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10800" w:type="dxa"/>
        <w:tblInd w:w="1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180"/>
        <w:gridCol w:w="1900"/>
        <w:gridCol w:w="1040"/>
        <w:gridCol w:w="280"/>
        <w:gridCol w:w="300"/>
        <w:gridCol w:w="280"/>
        <w:gridCol w:w="280"/>
        <w:gridCol w:w="280"/>
        <w:gridCol w:w="280"/>
        <w:gridCol w:w="280"/>
        <w:gridCol w:w="300"/>
        <w:gridCol w:w="560"/>
        <w:gridCol w:w="280"/>
        <w:gridCol w:w="280"/>
        <w:gridCol w:w="280"/>
        <w:gridCol w:w="300"/>
        <w:gridCol w:w="280"/>
        <w:gridCol w:w="280"/>
        <w:gridCol w:w="280"/>
        <w:gridCol w:w="280"/>
        <w:gridCol w:w="280"/>
        <w:gridCol w:w="300"/>
      </w:tblGrid>
      <w:tr w:rsidR="00FB0EBD" w14:paraId="5008B0CB" w14:textId="77777777" w:rsidTr="00CD03D7">
        <w:trPr>
          <w:trHeight w:val="251"/>
        </w:trPr>
        <w:tc>
          <w:tcPr>
            <w:tcW w:w="218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14:paraId="168EA478" w14:textId="77777777"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60"/>
              <w:rPr>
                <w:rFonts w:ascii="Times New Roman" w:hAnsi="Times New Roman"/>
                <w:sz w:val="24"/>
                <w:szCs w:val="24"/>
              </w:rPr>
            </w:pPr>
            <w:bookmarkStart w:id="0" w:name="page2"/>
            <w:bookmarkEnd w:id="0"/>
            <w:r>
              <w:rPr>
                <w:rFonts w:ascii="Arial" w:hAnsi="Arial" w:cs="Arial"/>
                <w:color w:val="000000"/>
                <w:sz w:val="18"/>
                <w:szCs w:val="18"/>
              </w:rPr>
              <w:t xml:space="preserve">Poznámky </w:t>
            </w:r>
            <w:proofErr w:type="spellStart"/>
            <w:r>
              <w:rPr>
                <w:rFonts w:ascii="Arial" w:hAnsi="Arial" w:cs="Arial"/>
                <w:color w:val="000000"/>
                <w:sz w:val="18"/>
                <w:szCs w:val="18"/>
              </w:rPr>
              <w:t>Úč</w:t>
            </w:r>
            <w:proofErr w:type="spellEnd"/>
            <w:r>
              <w:rPr>
                <w:rFonts w:ascii="Arial" w:hAnsi="Arial" w:cs="Arial"/>
                <w:color w:val="000000"/>
                <w:sz w:val="18"/>
                <w:szCs w:val="18"/>
              </w:rPr>
              <w:t xml:space="preserve"> MÚJ 3 - 01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9485E31" w14:textId="77777777"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47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- 1 -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14:paraId="68526C65" w14:textId="77777777"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8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IČO</w:t>
            </w:r>
          </w:p>
        </w:tc>
        <w:tc>
          <w:tcPr>
            <w:tcW w:w="2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14:paraId="3D153C6D" w14:textId="77777777" w:rsidR="00FB0EBD" w:rsidRDefault="006B5C7B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1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5</w:t>
            </w:r>
          </w:p>
        </w:tc>
        <w:tc>
          <w:tcPr>
            <w:tcW w:w="30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14:paraId="72BC045A" w14:textId="77777777" w:rsidR="00FB0EBD" w:rsidRDefault="006B5C7B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3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3</w:t>
            </w:r>
          </w:p>
        </w:tc>
        <w:tc>
          <w:tcPr>
            <w:tcW w:w="2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14:paraId="31FFD9F9" w14:textId="77777777" w:rsidR="00FB0EBD" w:rsidRDefault="006B5C7B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3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8</w:t>
            </w:r>
          </w:p>
        </w:tc>
        <w:tc>
          <w:tcPr>
            <w:tcW w:w="2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14:paraId="3F59E0E0" w14:textId="77777777" w:rsidR="00FB0EBD" w:rsidRDefault="006B5C7B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1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0</w:t>
            </w:r>
          </w:p>
        </w:tc>
        <w:tc>
          <w:tcPr>
            <w:tcW w:w="2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14:paraId="7614CCC9" w14:textId="77777777" w:rsidR="00FB0EBD" w:rsidRDefault="006B5C7B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1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9</w:t>
            </w:r>
          </w:p>
        </w:tc>
        <w:tc>
          <w:tcPr>
            <w:tcW w:w="2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14:paraId="17012BF0" w14:textId="77777777" w:rsidR="00FB0EBD" w:rsidRDefault="006B5C7B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1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9</w:t>
            </w:r>
          </w:p>
        </w:tc>
        <w:tc>
          <w:tcPr>
            <w:tcW w:w="2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14:paraId="22FF65D7" w14:textId="77777777" w:rsidR="00FB0EBD" w:rsidRDefault="006B5C7B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1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</w:t>
            </w:r>
          </w:p>
        </w:tc>
        <w:tc>
          <w:tcPr>
            <w:tcW w:w="30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14:paraId="3AF29FCE" w14:textId="77777777" w:rsidR="00FB0EBD" w:rsidRDefault="006B5C7B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3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14:paraId="08E96C3E" w14:textId="77777777"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DIČ</w:t>
            </w:r>
          </w:p>
        </w:tc>
        <w:tc>
          <w:tcPr>
            <w:tcW w:w="2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14:paraId="7DEA4828" w14:textId="77777777" w:rsidR="00FB0EBD" w:rsidRDefault="006B5C7B" w:rsidP="00F01F9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1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</w:t>
            </w:r>
          </w:p>
        </w:tc>
        <w:tc>
          <w:tcPr>
            <w:tcW w:w="2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14:paraId="1FDF2B3B" w14:textId="77777777" w:rsidR="00FB0EBD" w:rsidRDefault="006B5C7B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1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</w:t>
            </w:r>
          </w:p>
        </w:tc>
        <w:tc>
          <w:tcPr>
            <w:tcW w:w="2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14:paraId="4F8A4449" w14:textId="77777777" w:rsidR="00FB0EBD" w:rsidRDefault="006B5C7B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1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</w:t>
            </w:r>
          </w:p>
        </w:tc>
        <w:tc>
          <w:tcPr>
            <w:tcW w:w="30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14:paraId="066A73CC" w14:textId="77777777" w:rsidR="00FB0EBD" w:rsidRDefault="006B5C7B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3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</w:t>
            </w:r>
          </w:p>
        </w:tc>
        <w:tc>
          <w:tcPr>
            <w:tcW w:w="2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14:paraId="3CE91354" w14:textId="77777777" w:rsidR="00FB0EBD" w:rsidRDefault="006B5C7B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3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5</w:t>
            </w:r>
          </w:p>
        </w:tc>
        <w:tc>
          <w:tcPr>
            <w:tcW w:w="2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14:paraId="54975C86" w14:textId="77777777" w:rsidR="00FB0EBD" w:rsidRDefault="006B5C7B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1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0</w:t>
            </w:r>
          </w:p>
        </w:tc>
        <w:tc>
          <w:tcPr>
            <w:tcW w:w="2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14:paraId="4DC566CE" w14:textId="77777777" w:rsidR="00FB0EBD" w:rsidRDefault="006B5C7B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1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6</w:t>
            </w:r>
          </w:p>
        </w:tc>
        <w:tc>
          <w:tcPr>
            <w:tcW w:w="2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14:paraId="2905DCC8" w14:textId="77777777" w:rsidR="00FB0EBD" w:rsidRDefault="006B5C7B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1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0</w:t>
            </w:r>
          </w:p>
        </w:tc>
        <w:tc>
          <w:tcPr>
            <w:tcW w:w="2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14:paraId="60F3A65E" w14:textId="77777777" w:rsidR="00FB0EBD" w:rsidRDefault="006B5C7B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1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</w:t>
            </w:r>
          </w:p>
        </w:tc>
        <w:tc>
          <w:tcPr>
            <w:tcW w:w="30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14:paraId="7E424973" w14:textId="77777777" w:rsidR="00FB0EBD" w:rsidRDefault="006B5C7B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3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3</w:t>
            </w:r>
          </w:p>
        </w:tc>
      </w:tr>
      <w:tr w:rsidR="00FB0EBD" w14:paraId="69470DE1" w14:textId="77777777" w:rsidTr="00CD03D7">
        <w:trPr>
          <w:trHeight w:val="32"/>
        </w:trPr>
        <w:tc>
          <w:tcPr>
            <w:tcW w:w="21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78734ADD" w14:textId="77777777"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A0BE86F" w14:textId="77777777"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14:paraId="35E0D6BF" w14:textId="77777777"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0D9B30EF" w14:textId="77777777"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15B1089C" w14:textId="77777777"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43A3FC99" w14:textId="77777777"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051E4EB4" w14:textId="77777777"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76BE100D" w14:textId="77777777"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747AB98E" w14:textId="77777777"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232D8016" w14:textId="77777777"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23979D71" w14:textId="77777777"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56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14:paraId="0A7FBC8A" w14:textId="77777777"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6170AE5B" w14:textId="77777777"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3ADDCA0D" w14:textId="77777777"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699D2B43" w14:textId="77777777"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4D91A1AD" w14:textId="77777777"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66F438BF" w14:textId="77777777"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4231DB7E" w14:textId="77777777"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0DBE3E07" w14:textId="77777777"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565E506F" w14:textId="77777777"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7B408D82" w14:textId="77777777"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7681B699" w14:textId="77777777"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</w:tr>
    </w:tbl>
    <w:p w14:paraId="65EC6C25" w14:textId="77777777"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14:paraId="39FDA780" w14:textId="77777777" w:rsidR="00FB0EBD" w:rsidRDefault="00FB0EBD">
      <w:pPr>
        <w:widowControl w:val="0"/>
        <w:autoSpaceDE w:val="0"/>
        <w:autoSpaceDN w:val="0"/>
        <w:adjustRightInd w:val="0"/>
        <w:spacing w:after="0" w:line="285" w:lineRule="exact"/>
        <w:rPr>
          <w:rFonts w:ascii="Times New Roman" w:hAnsi="Times New Roman"/>
          <w:sz w:val="24"/>
          <w:szCs w:val="24"/>
        </w:rPr>
      </w:pPr>
    </w:p>
    <w:p w14:paraId="530FAE18" w14:textId="77777777" w:rsidR="00FB0EBD" w:rsidRPr="00CD03D7" w:rsidRDefault="00FB0EBD">
      <w:pPr>
        <w:widowControl w:val="0"/>
        <w:autoSpaceDE w:val="0"/>
        <w:autoSpaceDN w:val="0"/>
        <w:adjustRightInd w:val="0"/>
        <w:spacing w:after="0" w:line="240" w:lineRule="auto"/>
        <w:ind w:left="340"/>
        <w:rPr>
          <w:rFonts w:ascii="Times New Roman" w:hAnsi="Times New Roman"/>
          <w:b/>
          <w:sz w:val="24"/>
          <w:szCs w:val="24"/>
        </w:rPr>
      </w:pPr>
      <w:r w:rsidRPr="00CD03D7">
        <w:rPr>
          <w:rFonts w:ascii="Arial" w:hAnsi="Arial" w:cs="Arial"/>
          <w:b/>
          <w:color w:val="000000"/>
        </w:rPr>
        <w:t>Čl.1 Všeobecné údaje</w:t>
      </w:r>
    </w:p>
    <w:p w14:paraId="1B96AB55" w14:textId="77777777"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14:paraId="7E37A2D5" w14:textId="77777777"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14:paraId="376EC61B" w14:textId="77777777" w:rsidR="00FB0EBD" w:rsidRDefault="00FB0EBD">
      <w:pPr>
        <w:widowControl w:val="0"/>
        <w:autoSpaceDE w:val="0"/>
        <w:autoSpaceDN w:val="0"/>
        <w:adjustRightInd w:val="0"/>
        <w:spacing w:after="0" w:line="210" w:lineRule="exact"/>
        <w:rPr>
          <w:rFonts w:ascii="Times New Roman" w:hAnsi="Times New Roman"/>
          <w:sz w:val="24"/>
          <w:szCs w:val="24"/>
        </w:rPr>
      </w:pPr>
    </w:p>
    <w:p w14:paraId="2FB2D60C" w14:textId="77777777" w:rsidR="00FB0EBD" w:rsidRDefault="00FB0EBD" w:rsidP="00EF6780">
      <w:pPr>
        <w:widowControl w:val="0"/>
        <w:autoSpaceDE w:val="0"/>
        <w:autoSpaceDN w:val="0"/>
        <w:adjustRightInd w:val="0"/>
        <w:spacing w:after="0" w:line="240" w:lineRule="auto"/>
        <w:ind w:left="340"/>
        <w:rPr>
          <w:rFonts w:ascii="Times New Roman" w:hAnsi="Times New Roman"/>
          <w:b/>
          <w:sz w:val="24"/>
          <w:szCs w:val="24"/>
        </w:rPr>
      </w:pPr>
      <w:r w:rsidRPr="00CD03D7">
        <w:rPr>
          <w:rFonts w:ascii="Arial" w:hAnsi="Arial" w:cs="Arial"/>
          <w:b/>
          <w:color w:val="000000"/>
          <w:sz w:val="20"/>
          <w:szCs w:val="20"/>
        </w:rPr>
        <w:t>Čl.1.1 Názov právnickej osoby a jej sídlo alebo meno a priezvisko fyzickej osoby</w:t>
      </w:r>
      <w:r w:rsidR="00EF6780">
        <w:rPr>
          <w:rFonts w:ascii="Times New Roman" w:hAnsi="Times New Roman"/>
          <w:b/>
          <w:sz w:val="24"/>
          <w:szCs w:val="24"/>
        </w:rPr>
        <w:tab/>
      </w:r>
    </w:p>
    <w:p w14:paraId="7ACA54D6" w14:textId="77777777"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14:paraId="3F2584B6" w14:textId="77777777" w:rsidR="002F44DD" w:rsidRDefault="002F44DD">
      <w:pPr>
        <w:widowControl w:val="0"/>
        <w:autoSpaceDE w:val="0"/>
        <w:autoSpaceDN w:val="0"/>
        <w:adjustRightInd w:val="0"/>
        <w:spacing w:after="0" w:line="375" w:lineRule="exac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</w:r>
      <w:proofErr w:type="spellStart"/>
      <w:r w:rsidR="006B5C7B"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HaviarKovo</w:t>
      </w:r>
      <w:proofErr w:type="spellEnd"/>
      <w:r w:rsidR="006B5C7B"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 s.r.o., Pružina 699, 018 22 Pružina</w:t>
      </w:r>
    </w:p>
    <w:p w14:paraId="1D611469" w14:textId="77777777" w:rsidR="00EF6780" w:rsidRDefault="00EF6780">
      <w:pPr>
        <w:widowControl w:val="0"/>
        <w:autoSpaceDE w:val="0"/>
        <w:autoSpaceDN w:val="0"/>
        <w:adjustRightInd w:val="0"/>
        <w:spacing w:after="0" w:line="375" w:lineRule="exac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  <w:t>Spoločnosť sa predovšetkým zaoberá:</w:t>
      </w:r>
    </w:p>
    <w:p w14:paraId="3058AEE7" w14:textId="77777777" w:rsidR="00484EF9" w:rsidRDefault="002F44DD">
      <w:pPr>
        <w:widowControl w:val="0"/>
        <w:autoSpaceDE w:val="0"/>
        <w:autoSpaceDN w:val="0"/>
        <w:adjustRightInd w:val="0"/>
        <w:spacing w:after="0" w:line="375" w:lineRule="exact"/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</w:pPr>
      <w:r>
        <w:rPr>
          <w:rFonts w:ascii="Arial" w:hAnsi="Arial" w:cs="Arial"/>
          <w:sz w:val="16"/>
          <w:szCs w:val="16"/>
        </w:rPr>
        <w:tab/>
      </w:r>
      <w:r w:rsidR="006B5C7B"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Zámočníctvo</w:t>
      </w:r>
    </w:p>
    <w:p w14:paraId="553A9495" w14:textId="77777777" w:rsidR="002F44DD" w:rsidRDefault="002F44DD">
      <w:pPr>
        <w:widowControl w:val="0"/>
        <w:autoSpaceDE w:val="0"/>
        <w:autoSpaceDN w:val="0"/>
        <w:adjustRightInd w:val="0"/>
        <w:spacing w:after="0" w:line="375" w:lineRule="exact"/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</w:pP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ab/>
      </w:r>
      <w:proofErr w:type="spellStart"/>
      <w:r w:rsidR="006B5C7B"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Kovoobrábanie</w:t>
      </w:r>
      <w:proofErr w:type="spellEnd"/>
    </w:p>
    <w:p w14:paraId="4362E89A" w14:textId="77777777" w:rsidR="006B5C7B" w:rsidRDefault="002F44DD">
      <w:pPr>
        <w:widowControl w:val="0"/>
        <w:autoSpaceDE w:val="0"/>
        <w:autoSpaceDN w:val="0"/>
        <w:adjustRightInd w:val="0"/>
        <w:spacing w:after="0" w:line="375" w:lineRule="exact"/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</w:pP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ab/>
      </w:r>
      <w:r w:rsidR="006B5C7B"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Výroba a opracovanie jednoduchých výrobkov z kovu</w:t>
      </w:r>
    </w:p>
    <w:p w14:paraId="448238EE" w14:textId="77777777" w:rsidR="006B5C7B" w:rsidRDefault="006B5C7B">
      <w:pPr>
        <w:widowControl w:val="0"/>
        <w:autoSpaceDE w:val="0"/>
        <w:autoSpaceDN w:val="0"/>
        <w:adjustRightInd w:val="0"/>
        <w:spacing w:after="0" w:line="375" w:lineRule="exact"/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</w:pPr>
      <w:r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 xml:space="preserve">             Vývoj, výroba zabezpečovacích systémov alebo poplachových systémov a zariadení umožňujúcich </w:t>
      </w:r>
    </w:p>
    <w:p w14:paraId="52CEEC42" w14:textId="77777777" w:rsidR="002F44DD" w:rsidRDefault="006B5C7B">
      <w:pPr>
        <w:widowControl w:val="0"/>
        <w:autoSpaceDE w:val="0"/>
        <w:autoSpaceDN w:val="0"/>
        <w:adjustRightInd w:val="0"/>
        <w:spacing w:after="0" w:line="375" w:lineRule="exact"/>
        <w:rPr>
          <w:rFonts w:ascii="Arial" w:hAnsi="Arial" w:cs="Arial"/>
          <w:sz w:val="16"/>
          <w:szCs w:val="16"/>
        </w:rPr>
      </w:pPr>
      <w:r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 xml:space="preserve">             sledovanie pohybu a konania osoby v chránenom objekte, na chránenom mieste alebo v ich okolí </w:t>
      </w:r>
      <w:r w:rsidR="002F44DD" w:rsidRPr="002F44DD">
        <w:rPr>
          <w:rFonts w:ascii="Arial" w:hAnsi="Arial" w:cs="Arial"/>
          <w:b/>
          <w:bCs/>
          <w:color w:val="000000"/>
          <w:sz w:val="20"/>
        </w:rPr>
        <w:t> </w:t>
      </w:r>
    </w:p>
    <w:p w14:paraId="674A8C19" w14:textId="77777777" w:rsidR="002F44DD" w:rsidRPr="00EF6780" w:rsidRDefault="002F44DD">
      <w:pPr>
        <w:widowControl w:val="0"/>
        <w:autoSpaceDE w:val="0"/>
        <w:autoSpaceDN w:val="0"/>
        <w:adjustRightInd w:val="0"/>
        <w:spacing w:after="0" w:line="375" w:lineRule="exact"/>
        <w:rPr>
          <w:rFonts w:ascii="Arial" w:hAnsi="Arial" w:cs="Arial"/>
          <w:sz w:val="16"/>
          <w:szCs w:val="16"/>
        </w:rPr>
      </w:pPr>
    </w:p>
    <w:p w14:paraId="31ED790B" w14:textId="77777777" w:rsidR="00FB0EBD" w:rsidRPr="00CD03D7" w:rsidRDefault="00FB0EBD">
      <w:pPr>
        <w:widowControl w:val="0"/>
        <w:autoSpaceDE w:val="0"/>
        <w:autoSpaceDN w:val="0"/>
        <w:adjustRightInd w:val="0"/>
        <w:spacing w:after="0" w:line="240" w:lineRule="auto"/>
        <w:ind w:left="340"/>
        <w:rPr>
          <w:rFonts w:ascii="Times New Roman" w:hAnsi="Times New Roman"/>
          <w:b/>
          <w:sz w:val="24"/>
          <w:szCs w:val="24"/>
        </w:rPr>
      </w:pPr>
      <w:r w:rsidRPr="00CD03D7">
        <w:rPr>
          <w:rFonts w:ascii="Arial" w:hAnsi="Arial" w:cs="Arial"/>
          <w:b/>
          <w:color w:val="000000"/>
          <w:sz w:val="20"/>
          <w:szCs w:val="20"/>
        </w:rPr>
        <w:t>Čl.1.2 Údaje o konsolidovanom celku</w:t>
      </w:r>
    </w:p>
    <w:p w14:paraId="7E496C4A" w14:textId="77777777" w:rsidR="00FB0EBD" w:rsidRDefault="00FB0EBD">
      <w:pPr>
        <w:widowControl w:val="0"/>
        <w:autoSpaceDE w:val="0"/>
        <w:autoSpaceDN w:val="0"/>
        <w:adjustRightInd w:val="0"/>
        <w:spacing w:after="0" w:line="276" w:lineRule="exact"/>
        <w:rPr>
          <w:rFonts w:ascii="Times New Roman" w:hAnsi="Times New Roman"/>
          <w:sz w:val="24"/>
          <w:szCs w:val="24"/>
        </w:rPr>
      </w:pPr>
    </w:p>
    <w:p w14:paraId="61CC5628" w14:textId="77777777" w:rsidR="00FB0EBD" w:rsidRDefault="00FB0EBD">
      <w:pPr>
        <w:widowControl w:val="0"/>
        <w:autoSpaceDE w:val="0"/>
        <w:autoSpaceDN w:val="0"/>
        <w:adjustRightInd w:val="0"/>
        <w:spacing w:after="0" w:line="240" w:lineRule="auto"/>
        <w:ind w:left="34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6"/>
          <w:szCs w:val="16"/>
        </w:rPr>
        <w:t>Účtovná jednotka nie je súčasťou konsolidovaného celku.</w:t>
      </w:r>
    </w:p>
    <w:p w14:paraId="77121F5C" w14:textId="77777777"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14:paraId="0D49FCAB" w14:textId="77777777"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14:paraId="6A6EE37E" w14:textId="77777777"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14:paraId="3B1A3B88" w14:textId="77777777" w:rsidR="00FB0EBD" w:rsidRPr="00CD03D7" w:rsidRDefault="00FB0EBD">
      <w:pPr>
        <w:widowControl w:val="0"/>
        <w:autoSpaceDE w:val="0"/>
        <w:autoSpaceDN w:val="0"/>
        <w:adjustRightInd w:val="0"/>
        <w:spacing w:after="0" w:line="240" w:lineRule="auto"/>
        <w:ind w:left="340"/>
        <w:rPr>
          <w:rFonts w:ascii="Times New Roman" w:hAnsi="Times New Roman"/>
          <w:b/>
          <w:sz w:val="24"/>
          <w:szCs w:val="24"/>
        </w:rPr>
      </w:pPr>
      <w:r w:rsidRPr="00CD03D7">
        <w:rPr>
          <w:rFonts w:ascii="Arial" w:hAnsi="Arial" w:cs="Arial"/>
          <w:b/>
          <w:color w:val="000000"/>
          <w:sz w:val="20"/>
          <w:szCs w:val="20"/>
        </w:rPr>
        <w:t>Čl.1.3 Priemerný prepočítaný počet zamestnancov</w:t>
      </w:r>
    </w:p>
    <w:p w14:paraId="786A9350" w14:textId="77777777"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14:paraId="2BA26C22" w14:textId="77777777"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tbl>
      <w:tblPr>
        <w:tblpPr w:leftFromText="141" w:rightFromText="141" w:vertAnchor="text" w:horzAnchor="margin" w:tblpXSpec="center" w:tblpY="130"/>
        <w:tblW w:w="9451" w:type="dxa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717"/>
        <w:gridCol w:w="163"/>
        <w:gridCol w:w="163"/>
        <w:gridCol w:w="901"/>
        <w:gridCol w:w="902"/>
        <w:gridCol w:w="901"/>
        <w:gridCol w:w="901"/>
        <w:gridCol w:w="901"/>
        <w:gridCol w:w="902"/>
      </w:tblGrid>
      <w:tr w:rsidR="00CD03D7" w:rsidRPr="00CD03D7" w14:paraId="798373F5" w14:textId="77777777" w:rsidTr="00227D4B">
        <w:trPr>
          <w:trHeight w:val="331"/>
        </w:trPr>
        <w:tc>
          <w:tcPr>
            <w:tcW w:w="4043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1B28CD" w14:textId="77777777" w:rsidR="00CD03D7" w:rsidRPr="00CD03D7" w:rsidRDefault="00CD03D7" w:rsidP="00227D4B">
            <w:pPr>
              <w:spacing w:after="0" w:line="240" w:lineRule="auto"/>
              <w:rPr>
                <w:b/>
                <w:bCs/>
                <w:color w:val="000000"/>
              </w:rPr>
            </w:pPr>
            <w:r w:rsidRPr="00CD03D7">
              <w:rPr>
                <w:b/>
                <w:bCs/>
                <w:color w:val="000000"/>
              </w:rPr>
              <w:t>Údaje o počte zamestnancov:</w:t>
            </w:r>
          </w:p>
        </w:tc>
        <w:tc>
          <w:tcPr>
            <w:tcW w:w="90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F8E8C8" w14:textId="77777777" w:rsidR="00CD03D7" w:rsidRPr="00CD03D7" w:rsidRDefault="00CD03D7" w:rsidP="00227D4B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90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073638" w14:textId="77777777" w:rsidR="00CD03D7" w:rsidRPr="00CD03D7" w:rsidRDefault="00CD03D7" w:rsidP="00227D4B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90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B7DBF5" w14:textId="77777777" w:rsidR="00CD03D7" w:rsidRPr="00CD03D7" w:rsidRDefault="00CD03D7" w:rsidP="00227D4B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90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7E2923" w14:textId="77777777" w:rsidR="00CD03D7" w:rsidRPr="00CD03D7" w:rsidRDefault="00CD03D7" w:rsidP="00227D4B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90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FCE31B" w14:textId="77777777" w:rsidR="00CD03D7" w:rsidRPr="00CD03D7" w:rsidRDefault="00CD03D7" w:rsidP="00227D4B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90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A14FE9" w14:textId="77777777" w:rsidR="00CD03D7" w:rsidRPr="00CD03D7" w:rsidRDefault="00CD03D7" w:rsidP="00227D4B">
            <w:pPr>
              <w:spacing w:after="0" w:line="240" w:lineRule="auto"/>
              <w:rPr>
                <w:color w:val="000000"/>
              </w:rPr>
            </w:pPr>
          </w:p>
        </w:tc>
      </w:tr>
      <w:tr w:rsidR="00CD03D7" w:rsidRPr="00CD03D7" w14:paraId="1B4B975D" w14:textId="77777777" w:rsidTr="00227D4B">
        <w:trPr>
          <w:trHeight w:val="331"/>
        </w:trPr>
        <w:tc>
          <w:tcPr>
            <w:tcW w:w="5846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noWrap/>
            <w:vAlign w:val="center"/>
          </w:tcPr>
          <w:p w14:paraId="430487CC" w14:textId="77777777" w:rsidR="00CD03D7" w:rsidRPr="00CD03D7" w:rsidRDefault="00CD03D7" w:rsidP="00227D4B">
            <w:pPr>
              <w:spacing w:after="0" w:line="240" w:lineRule="auto"/>
              <w:jc w:val="center"/>
              <w:rPr>
                <w:b/>
                <w:bCs/>
                <w:color w:val="000000"/>
              </w:rPr>
            </w:pPr>
            <w:r w:rsidRPr="00CD03D7">
              <w:rPr>
                <w:b/>
                <w:bCs/>
                <w:color w:val="000000"/>
              </w:rPr>
              <w:t xml:space="preserve">Názov položky </w:t>
            </w:r>
          </w:p>
        </w:tc>
        <w:tc>
          <w:tcPr>
            <w:tcW w:w="3605" w:type="dxa"/>
            <w:gridSpan w:val="4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noWrap/>
            <w:vAlign w:val="center"/>
          </w:tcPr>
          <w:p w14:paraId="1FDA7873" w14:textId="748B8ED7" w:rsidR="00CD03D7" w:rsidRPr="00CD03D7" w:rsidRDefault="008A2DA0" w:rsidP="00FA596C">
            <w:pPr>
              <w:spacing w:after="0" w:line="240" w:lineRule="auto"/>
              <w:jc w:val="center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2024</w:t>
            </w:r>
          </w:p>
        </w:tc>
      </w:tr>
      <w:tr w:rsidR="00CD03D7" w:rsidRPr="00CD03D7" w14:paraId="785BEF0E" w14:textId="77777777" w:rsidTr="00227D4B">
        <w:trPr>
          <w:trHeight w:val="331"/>
        </w:trPr>
        <w:tc>
          <w:tcPr>
            <w:tcW w:w="371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14:paraId="3DFA9E7B" w14:textId="77777777" w:rsidR="00CD03D7" w:rsidRPr="00CD03D7" w:rsidRDefault="00CD03D7" w:rsidP="00227D4B">
            <w:pPr>
              <w:spacing w:after="0" w:line="240" w:lineRule="auto"/>
              <w:rPr>
                <w:color w:val="000000"/>
              </w:rPr>
            </w:pPr>
            <w:r w:rsidRPr="00CD03D7">
              <w:rPr>
                <w:color w:val="000000"/>
              </w:rPr>
              <w:t xml:space="preserve">Priemerný prepočítaný počet zamestnancov </w:t>
            </w:r>
          </w:p>
        </w:tc>
        <w:tc>
          <w:tcPr>
            <w:tcW w:w="1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14:paraId="529EAA67" w14:textId="77777777" w:rsidR="00CD03D7" w:rsidRPr="00CD03D7" w:rsidRDefault="00CD03D7" w:rsidP="00227D4B">
            <w:pPr>
              <w:spacing w:after="0" w:line="240" w:lineRule="auto"/>
              <w:rPr>
                <w:color w:val="000000"/>
              </w:rPr>
            </w:pPr>
            <w:r w:rsidRPr="00CD03D7">
              <w:rPr>
                <w:color w:val="000000"/>
              </w:rPr>
              <w:t> </w:t>
            </w:r>
          </w:p>
        </w:tc>
        <w:tc>
          <w:tcPr>
            <w:tcW w:w="1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14:paraId="2BFC0377" w14:textId="77777777" w:rsidR="00CD03D7" w:rsidRPr="00CD03D7" w:rsidRDefault="00CD03D7" w:rsidP="00227D4B">
            <w:pPr>
              <w:spacing w:after="0" w:line="240" w:lineRule="auto"/>
              <w:rPr>
                <w:color w:val="000000"/>
              </w:rPr>
            </w:pPr>
            <w:r w:rsidRPr="00CD03D7">
              <w:rPr>
                <w:color w:val="000000"/>
              </w:rPr>
              <w:t> </w:t>
            </w:r>
          </w:p>
        </w:tc>
        <w:tc>
          <w:tcPr>
            <w:tcW w:w="9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14:paraId="7E1DC218" w14:textId="77777777" w:rsidR="00CD03D7" w:rsidRPr="00CD03D7" w:rsidRDefault="00CD03D7" w:rsidP="00227D4B">
            <w:pPr>
              <w:spacing w:after="0" w:line="240" w:lineRule="auto"/>
              <w:rPr>
                <w:color w:val="000000"/>
              </w:rPr>
            </w:pPr>
            <w:r w:rsidRPr="00CD03D7">
              <w:rPr>
                <w:color w:val="000000"/>
              </w:rPr>
              <w:t> </w:t>
            </w:r>
          </w:p>
        </w:tc>
        <w:tc>
          <w:tcPr>
            <w:tcW w:w="9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14:paraId="56AC1910" w14:textId="77777777" w:rsidR="00CD03D7" w:rsidRPr="00CD03D7" w:rsidRDefault="00CD03D7" w:rsidP="00227D4B">
            <w:pPr>
              <w:spacing w:after="0" w:line="240" w:lineRule="auto"/>
              <w:rPr>
                <w:color w:val="000000"/>
              </w:rPr>
            </w:pPr>
            <w:r w:rsidRPr="00CD03D7">
              <w:rPr>
                <w:color w:val="000000"/>
              </w:rPr>
              <w:t> </w:t>
            </w:r>
          </w:p>
        </w:tc>
        <w:tc>
          <w:tcPr>
            <w:tcW w:w="901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bottom"/>
          </w:tcPr>
          <w:p w14:paraId="234A6EE1" w14:textId="77777777" w:rsidR="00CD03D7" w:rsidRPr="00CD03D7" w:rsidRDefault="00CD03D7" w:rsidP="00227D4B">
            <w:pPr>
              <w:spacing w:after="0" w:line="240" w:lineRule="auto"/>
              <w:rPr>
                <w:color w:val="000000"/>
              </w:rPr>
            </w:pPr>
            <w:r w:rsidRPr="00CD03D7">
              <w:rPr>
                <w:color w:val="000000"/>
              </w:rPr>
              <w:t> </w:t>
            </w:r>
          </w:p>
        </w:tc>
        <w:tc>
          <w:tcPr>
            <w:tcW w:w="901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bottom"/>
          </w:tcPr>
          <w:p w14:paraId="798C6F13" w14:textId="379C44E1" w:rsidR="00CD03D7" w:rsidRPr="00CD03D7" w:rsidRDefault="008A2DA0" w:rsidP="00227D4B">
            <w:pPr>
              <w:spacing w:after="0" w:line="240" w:lineRule="auto"/>
              <w:jc w:val="right"/>
              <w:rPr>
                <w:color w:val="000000"/>
              </w:rPr>
            </w:pPr>
            <w:r>
              <w:rPr>
                <w:color w:val="000000"/>
              </w:rPr>
              <w:t>5</w:t>
            </w:r>
          </w:p>
        </w:tc>
        <w:tc>
          <w:tcPr>
            <w:tcW w:w="901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bottom"/>
          </w:tcPr>
          <w:p w14:paraId="1B8E14BB" w14:textId="77777777" w:rsidR="00CD03D7" w:rsidRPr="00CD03D7" w:rsidRDefault="00CD03D7" w:rsidP="00227D4B">
            <w:pPr>
              <w:spacing w:after="0" w:line="240" w:lineRule="auto"/>
              <w:rPr>
                <w:color w:val="000000"/>
              </w:rPr>
            </w:pPr>
            <w:r w:rsidRPr="00CD03D7">
              <w:rPr>
                <w:color w:val="000000"/>
              </w:rPr>
              <w:t> </w:t>
            </w:r>
          </w:p>
        </w:tc>
        <w:tc>
          <w:tcPr>
            <w:tcW w:w="9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14:paraId="34BE01E8" w14:textId="77777777" w:rsidR="00CD03D7" w:rsidRPr="00CD03D7" w:rsidRDefault="00CD03D7" w:rsidP="00227D4B">
            <w:pPr>
              <w:spacing w:after="0" w:line="240" w:lineRule="auto"/>
              <w:rPr>
                <w:color w:val="000000"/>
              </w:rPr>
            </w:pPr>
            <w:r w:rsidRPr="00CD03D7">
              <w:rPr>
                <w:color w:val="000000"/>
              </w:rPr>
              <w:t> </w:t>
            </w:r>
          </w:p>
        </w:tc>
      </w:tr>
    </w:tbl>
    <w:p w14:paraId="79EEDAC0" w14:textId="77777777"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14:paraId="5B4B02E4" w14:textId="77777777" w:rsidR="00FB0EBD" w:rsidRDefault="00FB0EB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67BACA81" w14:textId="77777777" w:rsidR="00FB0EBD" w:rsidRDefault="00FB0EBD">
      <w:pPr>
        <w:widowControl w:val="0"/>
        <w:autoSpaceDE w:val="0"/>
        <w:autoSpaceDN w:val="0"/>
        <w:adjustRightInd w:val="0"/>
        <w:spacing w:after="0" w:line="310" w:lineRule="exact"/>
        <w:rPr>
          <w:rFonts w:ascii="Times New Roman" w:hAnsi="Times New Roman"/>
          <w:sz w:val="24"/>
          <w:szCs w:val="24"/>
        </w:rPr>
      </w:pPr>
      <w:bookmarkStart w:id="1" w:name="page3"/>
      <w:bookmarkEnd w:id="1"/>
    </w:p>
    <w:p w14:paraId="03F7A35D" w14:textId="77777777" w:rsidR="00227D4B" w:rsidRDefault="00227D4B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</w:rPr>
      </w:pPr>
    </w:p>
    <w:p w14:paraId="4E42DADC" w14:textId="77777777" w:rsidR="00227D4B" w:rsidRDefault="00227D4B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</w:rPr>
      </w:pPr>
    </w:p>
    <w:p w14:paraId="75D30CF9" w14:textId="77777777" w:rsidR="00227D4B" w:rsidRDefault="00227D4B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</w:rPr>
      </w:pPr>
    </w:p>
    <w:p w14:paraId="3CA5B19B" w14:textId="77777777" w:rsidR="00227D4B" w:rsidRDefault="00227D4B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</w:rPr>
      </w:pPr>
    </w:p>
    <w:p w14:paraId="3B9B589B" w14:textId="77777777" w:rsidR="00FB0EBD" w:rsidRPr="00CD03D7" w:rsidRDefault="00FB0EB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sz w:val="24"/>
          <w:szCs w:val="24"/>
        </w:rPr>
      </w:pPr>
      <w:r w:rsidRPr="00CD03D7">
        <w:rPr>
          <w:rFonts w:ascii="Arial" w:hAnsi="Arial" w:cs="Arial"/>
          <w:b/>
          <w:color w:val="000000"/>
        </w:rPr>
        <w:t>Čl.2 Informácie o prijatých postupoch</w:t>
      </w:r>
    </w:p>
    <w:p w14:paraId="51A30F38" w14:textId="77777777" w:rsidR="00FB0EBD" w:rsidRPr="00CD03D7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b/>
          <w:sz w:val="24"/>
          <w:szCs w:val="24"/>
        </w:rPr>
      </w:pPr>
    </w:p>
    <w:p w14:paraId="778BBA2C" w14:textId="77777777" w:rsidR="00FB0EBD" w:rsidRPr="00CD03D7" w:rsidRDefault="00FB0EBD">
      <w:pPr>
        <w:widowControl w:val="0"/>
        <w:autoSpaceDE w:val="0"/>
        <w:autoSpaceDN w:val="0"/>
        <w:adjustRightInd w:val="0"/>
        <w:spacing w:after="0" w:line="210" w:lineRule="exact"/>
        <w:rPr>
          <w:rFonts w:ascii="Times New Roman" w:hAnsi="Times New Roman"/>
          <w:b/>
          <w:sz w:val="24"/>
          <w:szCs w:val="24"/>
        </w:rPr>
      </w:pPr>
    </w:p>
    <w:p w14:paraId="46721A3A" w14:textId="77777777" w:rsidR="00FB0EBD" w:rsidRPr="00CD03D7" w:rsidRDefault="00FB0EB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sz w:val="24"/>
          <w:szCs w:val="24"/>
        </w:rPr>
      </w:pPr>
      <w:r w:rsidRPr="00CD03D7">
        <w:rPr>
          <w:rFonts w:ascii="Arial" w:hAnsi="Arial" w:cs="Arial"/>
          <w:b/>
          <w:color w:val="000000"/>
          <w:sz w:val="20"/>
          <w:szCs w:val="20"/>
        </w:rPr>
        <w:t>Čl.2.1 Nepretržité pokračovanie v činnosti</w:t>
      </w:r>
    </w:p>
    <w:p w14:paraId="226500CF" w14:textId="77777777" w:rsidR="00FB0EBD" w:rsidRDefault="00FB0EBD">
      <w:pPr>
        <w:widowControl w:val="0"/>
        <w:autoSpaceDE w:val="0"/>
        <w:autoSpaceDN w:val="0"/>
        <w:adjustRightInd w:val="0"/>
        <w:spacing w:after="0" w:line="276" w:lineRule="exact"/>
        <w:rPr>
          <w:rFonts w:ascii="Times New Roman" w:hAnsi="Times New Roman"/>
          <w:sz w:val="24"/>
          <w:szCs w:val="24"/>
        </w:rPr>
      </w:pPr>
    </w:p>
    <w:p w14:paraId="17DCC198" w14:textId="77777777" w:rsidR="00FB0EBD" w:rsidRDefault="00CD03D7" w:rsidP="00CD03D7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6"/>
          <w:szCs w:val="16"/>
        </w:rPr>
        <w:t>Účtovná závierka bola zostavená za predpokladu nepretržitého trvania spoločnosti.</w:t>
      </w:r>
    </w:p>
    <w:p w14:paraId="0AFBA722" w14:textId="77777777"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14:paraId="73477EB1" w14:textId="77777777" w:rsidR="00FB0EBD" w:rsidRDefault="00FB0EBD">
      <w:pPr>
        <w:widowControl w:val="0"/>
        <w:autoSpaceDE w:val="0"/>
        <w:autoSpaceDN w:val="0"/>
        <w:adjustRightInd w:val="0"/>
        <w:spacing w:after="0" w:line="371" w:lineRule="exact"/>
        <w:rPr>
          <w:rFonts w:ascii="Times New Roman" w:hAnsi="Times New Roman"/>
          <w:sz w:val="24"/>
          <w:szCs w:val="24"/>
        </w:rPr>
      </w:pPr>
    </w:p>
    <w:p w14:paraId="18D4471C" w14:textId="77777777" w:rsidR="00FB0EBD" w:rsidRPr="00CD03D7" w:rsidRDefault="00FB0EB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sz w:val="24"/>
          <w:szCs w:val="24"/>
        </w:rPr>
      </w:pPr>
      <w:r w:rsidRPr="00CD03D7">
        <w:rPr>
          <w:rFonts w:ascii="Arial" w:hAnsi="Arial" w:cs="Arial"/>
          <w:b/>
          <w:color w:val="000000"/>
          <w:sz w:val="20"/>
          <w:szCs w:val="20"/>
        </w:rPr>
        <w:t>Čl.2.2 Spôsob oceňovania jednotlivých položiek majetku a záväzkov</w:t>
      </w:r>
    </w:p>
    <w:p w14:paraId="22B8CBEC" w14:textId="77777777" w:rsidR="00FB0EBD" w:rsidRDefault="00FB0EBD">
      <w:pPr>
        <w:widowControl w:val="0"/>
        <w:autoSpaceDE w:val="0"/>
        <w:autoSpaceDN w:val="0"/>
        <w:adjustRightInd w:val="0"/>
        <w:spacing w:after="0" w:line="276" w:lineRule="exact"/>
        <w:rPr>
          <w:rFonts w:ascii="Times New Roman" w:hAnsi="Times New Roman"/>
          <w:sz w:val="24"/>
          <w:szCs w:val="24"/>
        </w:rPr>
      </w:pPr>
    </w:p>
    <w:p w14:paraId="2673F2E7" w14:textId="77777777" w:rsidR="00FB0EBD" w:rsidRDefault="00FB0EBD">
      <w:pPr>
        <w:widowControl w:val="0"/>
        <w:overflowPunct w:val="0"/>
        <w:autoSpaceDE w:val="0"/>
        <w:autoSpaceDN w:val="0"/>
        <w:adjustRightInd w:val="0"/>
        <w:spacing w:after="0" w:line="375" w:lineRule="auto"/>
        <w:ind w:left="360" w:right="4360" w:hanging="356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6"/>
          <w:szCs w:val="16"/>
        </w:rPr>
        <w:t>Účtovná jednotka oceňovala majetok a záväzky - ku dňu uskutočnenie účtovného prípadu</w:t>
      </w:r>
    </w:p>
    <w:p w14:paraId="493A5D69" w14:textId="77777777" w:rsidR="00FB0EBD" w:rsidRDefault="00FB0EBD">
      <w:pPr>
        <w:widowControl w:val="0"/>
        <w:autoSpaceDE w:val="0"/>
        <w:autoSpaceDN w:val="0"/>
        <w:adjustRightInd w:val="0"/>
        <w:spacing w:after="0" w:line="275" w:lineRule="exact"/>
        <w:rPr>
          <w:rFonts w:ascii="Times New Roman" w:hAnsi="Times New Roman"/>
          <w:sz w:val="24"/>
          <w:szCs w:val="24"/>
        </w:rPr>
      </w:pPr>
    </w:p>
    <w:p w14:paraId="5F1E68A6" w14:textId="77777777" w:rsidR="00FB0EBD" w:rsidRDefault="00FB0EB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6"/>
          <w:szCs w:val="16"/>
        </w:rPr>
        <w:t>Ku dňu uskutočnenia účtovného prípadu oceňovala účtovná jednotka majetok a záväzky obstarávacou cenou</w:t>
      </w:r>
    </w:p>
    <w:p w14:paraId="2CA18A8A" w14:textId="77777777" w:rsidR="00FB0EBD" w:rsidRDefault="00FB0EBD">
      <w:pPr>
        <w:widowControl w:val="0"/>
        <w:autoSpaceDE w:val="0"/>
        <w:autoSpaceDN w:val="0"/>
        <w:adjustRightInd w:val="0"/>
        <w:spacing w:after="0" w:line="99" w:lineRule="exact"/>
        <w:rPr>
          <w:rFonts w:ascii="Times New Roman" w:hAnsi="Times New Roman"/>
          <w:sz w:val="24"/>
          <w:szCs w:val="24"/>
        </w:rPr>
      </w:pPr>
    </w:p>
    <w:p w14:paraId="4C4C88A1" w14:textId="77777777" w:rsidR="00FB0EBD" w:rsidRDefault="00FB0EBD">
      <w:pPr>
        <w:widowControl w:val="0"/>
        <w:numPr>
          <w:ilvl w:val="0"/>
          <w:numId w:val="1"/>
        </w:numPr>
        <w:tabs>
          <w:tab w:val="clear" w:pos="720"/>
          <w:tab w:val="num" w:pos="460"/>
        </w:tabs>
        <w:overflowPunct w:val="0"/>
        <w:autoSpaceDE w:val="0"/>
        <w:autoSpaceDN w:val="0"/>
        <w:adjustRightInd w:val="0"/>
        <w:spacing w:after="0" w:line="240" w:lineRule="auto"/>
        <w:ind w:left="460" w:hanging="97"/>
        <w:jc w:val="both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color w:val="000000"/>
          <w:sz w:val="16"/>
          <w:szCs w:val="16"/>
        </w:rPr>
        <w:t xml:space="preserve">dlhodobý nehmotný majetok obstaraný kúpou </w:t>
      </w:r>
    </w:p>
    <w:p w14:paraId="2F2260AE" w14:textId="77777777" w:rsidR="00FB0EBD" w:rsidRDefault="00FB0EBD">
      <w:pPr>
        <w:widowControl w:val="0"/>
        <w:autoSpaceDE w:val="0"/>
        <w:autoSpaceDN w:val="0"/>
        <w:adjustRightInd w:val="0"/>
        <w:spacing w:after="0" w:line="99" w:lineRule="exact"/>
        <w:rPr>
          <w:rFonts w:ascii="Arial" w:hAnsi="Arial" w:cs="Arial"/>
          <w:color w:val="000000"/>
          <w:sz w:val="16"/>
          <w:szCs w:val="16"/>
        </w:rPr>
      </w:pPr>
    </w:p>
    <w:p w14:paraId="54E3C508" w14:textId="77777777" w:rsidR="00FB0EBD" w:rsidRDefault="00FB0EBD">
      <w:pPr>
        <w:widowControl w:val="0"/>
        <w:numPr>
          <w:ilvl w:val="0"/>
          <w:numId w:val="1"/>
        </w:numPr>
        <w:tabs>
          <w:tab w:val="clear" w:pos="720"/>
          <w:tab w:val="num" w:pos="460"/>
        </w:tabs>
        <w:overflowPunct w:val="0"/>
        <w:autoSpaceDE w:val="0"/>
        <w:autoSpaceDN w:val="0"/>
        <w:adjustRightInd w:val="0"/>
        <w:spacing w:after="0" w:line="240" w:lineRule="auto"/>
        <w:ind w:left="460" w:hanging="97"/>
        <w:jc w:val="both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color w:val="000000"/>
          <w:sz w:val="16"/>
          <w:szCs w:val="16"/>
        </w:rPr>
        <w:t xml:space="preserve">dlhodobý hmotný majetok obstaraný kúpou </w:t>
      </w:r>
    </w:p>
    <w:p w14:paraId="410AAB3C" w14:textId="77777777" w:rsidR="00FB0EBD" w:rsidRDefault="00FB0EBD">
      <w:pPr>
        <w:widowControl w:val="0"/>
        <w:autoSpaceDE w:val="0"/>
        <w:autoSpaceDN w:val="0"/>
        <w:adjustRightInd w:val="0"/>
        <w:spacing w:after="0" w:line="99" w:lineRule="exact"/>
        <w:rPr>
          <w:rFonts w:ascii="Arial" w:hAnsi="Arial" w:cs="Arial"/>
          <w:color w:val="000000"/>
          <w:sz w:val="16"/>
          <w:szCs w:val="16"/>
        </w:rPr>
      </w:pPr>
    </w:p>
    <w:p w14:paraId="5157E2C7" w14:textId="77777777" w:rsidR="00FB0EBD" w:rsidRDefault="00FB0EBD">
      <w:pPr>
        <w:widowControl w:val="0"/>
        <w:numPr>
          <w:ilvl w:val="0"/>
          <w:numId w:val="1"/>
        </w:numPr>
        <w:tabs>
          <w:tab w:val="clear" w:pos="720"/>
          <w:tab w:val="num" w:pos="460"/>
        </w:tabs>
        <w:overflowPunct w:val="0"/>
        <w:autoSpaceDE w:val="0"/>
        <w:autoSpaceDN w:val="0"/>
        <w:adjustRightInd w:val="0"/>
        <w:spacing w:after="0" w:line="240" w:lineRule="auto"/>
        <w:ind w:left="460" w:hanging="97"/>
        <w:jc w:val="both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color w:val="000000"/>
          <w:sz w:val="16"/>
          <w:szCs w:val="16"/>
        </w:rPr>
        <w:t xml:space="preserve">dlhodobý finančný majetok </w:t>
      </w:r>
    </w:p>
    <w:p w14:paraId="33A3DF29" w14:textId="77777777" w:rsidR="00FB0EBD" w:rsidRDefault="00FB0EBD">
      <w:pPr>
        <w:widowControl w:val="0"/>
        <w:autoSpaceDE w:val="0"/>
        <w:autoSpaceDN w:val="0"/>
        <w:adjustRightInd w:val="0"/>
        <w:spacing w:after="0" w:line="99" w:lineRule="exact"/>
        <w:rPr>
          <w:rFonts w:ascii="Arial" w:hAnsi="Arial" w:cs="Arial"/>
          <w:color w:val="000000"/>
          <w:sz w:val="16"/>
          <w:szCs w:val="16"/>
        </w:rPr>
      </w:pPr>
    </w:p>
    <w:p w14:paraId="30B4ECD4" w14:textId="77777777" w:rsidR="00FB0EBD" w:rsidRDefault="00FB0EBD">
      <w:pPr>
        <w:widowControl w:val="0"/>
        <w:numPr>
          <w:ilvl w:val="0"/>
          <w:numId w:val="1"/>
        </w:numPr>
        <w:tabs>
          <w:tab w:val="clear" w:pos="720"/>
          <w:tab w:val="num" w:pos="460"/>
        </w:tabs>
        <w:overflowPunct w:val="0"/>
        <w:autoSpaceDE w:val="0"/>
        <w:autoSpaceDN w:val="0"/>
        <w:adjustRightInd w:val="0"/>
        <w:spacing w:after="0" w:line="240" w:lineRule="auto"/>
        <w:ind w:left="460" w:hanging="97"/>
        <w:jc w:val="both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color w:val="000000"/>
          <w:sz w:val="16"/>
          <w:szCs w:val="16"/>
        </w:rPr>
        <w:t xml:space="preserve">zásoby obstarané kúpou </w:t>
      </w:r>
    </w:p>
    <w:p w14:paraId="27EE5F0D" w14:textId="77777777" w:rsidR="00FB0EBD" w:rsidRDefault="00FB0EBD">
      <w:pPr>
        <w:widowControl w:val="0"/>
        <w:autoSpaceDE w:val="0"/>
        <w:autoSpaceDN w:val="0"/>
        <w:adjustRightInd w:val="0"/>
        <w:spacing w:after="0" w:line="99" w:lineRule="exact"/>
        <w:rPr>
          <w:rFonts w:ascii="Arial" w:hAnsi="Arial" w:cs="Arial"/>
          <w:color w:val="000000"/>
          <w:sz w:val="16"/>
          <w:szCs w:val="16"/>
        </w:rPr>
      </w:pPr>
    </w:p>
    <w:p w14:paraId="7EC14DFC" w14:textId="77777777" w:rsidR="00FB0EBD" w:rsidRDefault="00FB0EBD">
      <w:pPr>
        <w:widowControl w:val="0"/>
        <w:numPr>
          <w:ilvl w:val="0"/>
          <w:numId w:val="1"/>
        </w:numPr>
        <w:tabs>
          <w:tab w:val="clear" w:pos="720"/>
          <w:tab w:val="num" w:pos="460"/>
        </w:tabs>
        <w:overflowPunct w:val="0"/>
        <w:autoSpaceDE w:val="0"/>
        <w:autoSpaceDN w:val="0"/>
        <w:adjustRightInd w:val="0"/>
        <w:spacing w:after="0" w:line="240" w:lineRule="auto"/>
        <w:ind w:left="460" w:hanging="97"/>
        <w:jc w:val="both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color w:val="000000"/>
          <w:sz w:val="16"/>
          <w:szCs w:val="16"/>
        </w:rPr>
        <w:t xml:space="preserve">pohľadávky pri odplatnom nadobudnutí </w:t>
      </w:r>
    </w:p>
    <w:p w14:paraId="58D9BBB3" w14:textId="77777777" w:rsidR="00FB0EBD" w:rsidRDefault="00FB0EBD">
      <w:pPr>
        <w:widowControl w:val="0"/>
        <w:autoSpaceDE w:val="0"/>
        <w:autoSpaceDN w:val="0"/>
        <w:adjustRightInd w:val="0"/>
        <w:spacing w:after="0" w:line="99" w:lineRule="exact"/>
        <w:rPr>
          <w:rFonts w:ascii="Arial" w:hAnsi="Arial" w:cs="Arial"/>
          <w:color w:val="000000"/>
          <w:sz w:val="16"/>
          <w:szCs w:val="16"/>
        </w:rPr>
      </w:pPr>
    </w:p>
    <w:p w14:paraId="3402A54F" w14:textId="77777777" w:rsidR="00FB0EBD" w:rsidRDefault="00FB0EBD">
      <w:pPr>
        <w:widowControl w:val="0"/>
        <w:numPr>
          <w:ilvl w:val="0"/>
          <w:numId w:val="1"/>
        </w:numPr>
        <w:tabs>
          <w:tab w:val="clear" w:pos="720"/>
          <w:tab w:val="num" w:pos="460"/>
        </w:tabs>
        <w:overflowPunct w:val="0"/>
        <w:autoSpaceDE w:val="0"/>
        <w:autoSpaceDN w:val="0"/>
        <w:adjustRightInd w:val="0"/>
        <w:spacing w:after="0" w:line="240" w:lineRule="auto"/>
        <w:ind w:left="460" w:hanging="97"/>
        <w:jc w:val="both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color w:val="000000"/>
          <w:sz w:val="16"/>
          <w:szCs w:val="16"/>
        </w:rPr>
        <w:t xml:space="preserve">záväzky pri ich prevzatí </w:t>
      </w:r>
    </w:p>
    <w:p w14:paraId="648C9506" w14:textId="77777777" w:rsidR="00FB0EBD" w:rsidRDefault="00FB0EBD">
      <w:pPr>
        <w:widowControl w:val="0"/>
        <w:autoSpaceDE w:val="0"/>
        <w:autoSpaceDN w:val="0"/>
        <w:adjustRightInd w:val="0"/>
        <w:spacing w:after="0" w:line="99" w:lineRule="exact"/>
        <w:rPr>
          <w:rFonts w:ascii="Arial" w:hAnsi="Arial" w:cs="Arial"/>
          <w:color w:val="000000"/>
          <w:sz w:val="16"/>
          <w:szCs w:val="16"/>
        </w:rPr>
      </w:pPr>
    </w:p>
    <w:p w14:paraId="003DF268" w14:textId="77777777" w:rsidR="00FB0EBD" w:rsidRDefault="00FB0EBD" w:rsidP="00731E9D">
      <w:pPr>
        <w:widowControl w:val="0"/>
        <w:numPr>
          <w:ilvl w:val="0"/>
          <w:numId w:val="1"/>
        </w:numPr>
        <w:tabs>
          <w:tab w:val="clear" w:pos="720"/>
          <w:tab w:val="num" w:pos="460"/>
        </w:tabs>
        <w:overflowPunct w:val="0"/>
        <w:autoSpaceDE w:val="0"/>
        <w:autoSpaceDN w:val="0"/>
        <w:adjustRightInd w:val="0"/>
        <w:spacing w:after="0" w:line="240" w:lineRule="auto"/>
        <w:ind w:left="460" w:hanging="97"/>
        <w:jc w:val="both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color w:val="000000"/>
          <w:sz w:val="16"/>
          <w:szCs w:val="16"/>
        </w:rPr>
        <w:t>krátkodobý f</w:t>
      </w:r>
      <w:r w:rsidR="00731E9D">
        <w:rPr>
          <w:rFonts w:ascii="Arial" w:hAnsi="Arial" w:cs="Arial"/>
          <w:color w:val="000000"/>
          <w:sz w:val="16"/>
          <w:szCs w:val="16"/>
        </w:rPr>
        <w:t>inančný majetok obstaraný kúpou</w:t>
      </w:r>
    </w:p>
    <w:p w14:paraId="6389307C" w14:textId="77777777" w:rsidR="00731E9D" w:rsidRDefault="00731E9D" w:rsidP="00731E9D">
      <w:pPr>
        <w:widowControl w:val="0"/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16"/>
          <w:szCs w:val="16"/>
        </w:rPr>
      </w:pPr>
    </w:p>
    <w:p w14:paraId="2115E170" w14:textId="77777777" w:rsidR="00731E9D" w:rsidRDefault="00731E9D" w:rsidP="00731E9D">
      <w:pPr>
        <w:widowControl w:val="0"/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color w:val="000000"/>
          <w:sz w:val="16"/>
          <w:szCs w:val="16"/>
        </w:rPr>
        <w:t>Pohľadávky pri ich vzniku sa oceňujú ich menovitou hodnotou.</w:t>
      </w:r>
    </w:p>
    <w:p w14:paraId="5F764620" w14:textId="77777777" w:rsidR="00731E9D" w:rsidRDefault="00731E9D" w:rsidP="00731E9D">
      <w:pPr>
        <w:widowControl w:val="0"/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color w:val="000000"/>
          <w:sz w:val="16"/>
          <w:szCs w:val="16"/>
        </w:rPr>
        <w:t xml:space="preserve">Záväzky pri ich vzniku sa oceňujú menovitou hodnotou. </w:t>
      </w:r>
    </w:p>
    <w:p w14:paraId="576D1B8E" w14:textId="77777777" w:rsidR="00731E9D" w:rsidRDefault="00731E9D" w:rsidP="00731E9D">
      <w:pPr>
        <w:widowControl w:val="0"/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color w:val="000000"/>
          <w:sz w:val="16"/>
          <w:szCs w:val="16"/>
        </w:rPr>
        <w:t>Spoločnosť neúčtuje o derivátoch.</w:t>
      </w:r>
    </w:p>
    <w:p w14:paraId="0FC6FFF0" w14:textId="77777777" w:rsidR="00731E9D" w:rsidRDefault="00731E9D" w:rsidP="00731E9D">
      <w:pPr>
        <w:widowControl w:val="0"/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color w:val="000000"/>
          <w:sz w:val="16"/>
          <w:szCs w:val="16"/>
        </w:rPr>
        <w:t>Spoločnosť neúčtuje o majetku a záväzkoch zabezpečených derivátmi.</w:t>
      </w:r>
    </w:p>
    <w:p w14:paraId="60555C7F" w14:textId="77777777" w:rsidR="00731E9D" w:rsidRPr="00731E9D" w:rsidRDefault="00731E9D" w:rsidP="00731E9D">
      <w:pPr>
        <w:widowControl w:val="0"/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16"/>
          <w:szCs w:val="16"/>
        </w:rPr>
      </w:pPr>
    </w:p>
    <w:p w14:paraId="45CA6AD3" w14:textId="77777777" w:rsidR="00FB0EBD" w:rsidRPr="00731E9D" w:rsidRDefault="00FB0EB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sz w:val="24"/>
          <w:szCs w:val="24"/>
        </w:rPr>
      </w:pPr>
      <w:bookmarkStart w:id="2" w:name="page4"/>
      <w:bookmarkEnd w:id="2"/>
      <w:r w:rsidRPr="00731E9D">
        <w:rPr>
          <w:rFonts w:ascii="Arial" w:hAnsi="Arial" w:cs="Arial"/>
          <w:b/>
          <w:color w:val="000000"/>
          <w:sz w:val="20"/>
          <w:szCs w:val="20"/>
        </w:rPr>
        <w:t xml:space="preserve">Čl.2.3 Spôsob </w:t>
      </w:r>
      <w:r w:rsidR="00CD03D7" w:rsidRPr="00731E9D">
        <w:rPr>
          <w:rFonts w:ascii="Arial" w:hAnsi="Arial" w:cs="Arial"/>
          <w:b/>
          <w:color w:val="000000"/>
          <w:sz w:val="20"/>
          <w:szCs w:val="20"/>
        </w:rPr>
        <w:t>odpisovania</w:t>
      </w:r>
    </w:p>
    <w:p w14:paraId="0170EFB5" w14:textId="77777777" w:rsidR="00FB0EBD" w:rsidRDefault="00FB0EBD">
      <w:pPr>
        <w:widowControl w:val="0"/>
        <w:autoSpaceDE w:val="0"/>
        <w:autoSpaceDN w:val="0"/>
        <w:adjustRightInd w:val="0"/>
        <w:spacing w:after="0" w:line="390" w:lineRule="exact"/>
        <w:rPr>
          <w:rFonts w:ascii="Times New Roman" w:hAnsi="Times New Roman"/>
          <w:sz w:val="24"/>
          <w:szCs w:val="24"/>
        </w:rPr>
      </w:pPr>
    </w:p>
    <w:p w14:paraId="64A89811" w14:textId="77777777" w:rsidR="00FB0EBD" w:rsidRPr="00CD03D7" w:rsidRDefault="00CD03D7">
      <w:pPr>
        <w:widowControl w:val="0"/>
        <w:autoSpaceDE w:val="0"/>
        <w:autoSpaceDN w:val="0"/>
        <w:adjustRightInd w:val="0"/>
        <w:spacing w:after="0" w:line="200" w:lineRule="exact"/>
        <w:rPr>
          <w:rFonts w:ascii="Arial" w:hAnsi="Arial" w:cs="Arial"/>
          <w:sz w:val="16"/>
          <w:szCs w:val="16"/>
        </w:rPr>
      </w:pPr>
      <w:r w:rsidRPr="00CD03D7">
        <w:rPr>
          <w:rFonts w:ascii="Arial" w:hAnsi="Arial" w:cs="Arial"/>
          <w:sz w:val="16"/>
          <w:szCs w:val="16"/>
        </w:rPr>
        <w:t xml:space="preserve">Odpisy dlhodobého nehmotného majetku sú stanovené vychádzajúc z predpokladanej doby jeho používania a predpokladaného priebehu jeho opotrebenia. </w:t>
      </w:r>
    </w:p>
    <w:p w14:paraId="32DEAF8D" w14:textId="77777777" w:rsidR="00CD03D7" w:rsidRDefault="00CD03D7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14:paraId="24017E54" w14:textId="77777777" w:rsidR="00FB0EBD" w:rsidRPr="00731E9D" w:rsidRDefault="00CD03D7">
      <w:pPr>
        <w:widowControl w:val="0"/>
        <w:autoSpaceDE w:val="0"/>
        <w:autoSpaceDN w:val="0"/>
        <w:adjustRightInd w:val="0"/>
        <w:spacing w:after="0" w:line="200" w:lineRule="exact"/>
        <w:rPr>
          <w:rFonts w:ascii="Arial" w:hAnsi="Arial" w:cs="Arial"/>
          <w:sz w:val="16"/>
          <w:szCs w:val="16"/>
        </w:rPr>
      </w:pPr>
      <w:r w:rsidRPr="00731E9D">
        <w:rPr>
          <w:rFonts w:ascii="Arial" w:hAnsi="Arial" w:cs="Arial"/>
          <w:sz w:val="16"/>
          <w:szCs w:val="16"/>
        </w:rPr>
        <w:lastRenderedPageBreak/>
        <w:t>Predpokladaná doba používania, metóda odpisovania a odpisová sadzba sú uvedené v tabuľke:</w:t>
      </w:r>
    </w:p>
    <w:p w14:paraId="685828A4" w14:textId="77777777" w:rsidR="00CD03D7" w:rsidRDefault="00CD03D7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14:paraId="191C0A66" w14:textId="77777777"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14:paraId="63C7B754" w14:textId="77777777" w:rsidR="00227D4B" w:rsidRDefault="00227D4B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tbl>
      <w:tblPr>
        <w:tblpPr w:leftFromText="141" w:rightFromText="141" w:vertAnchor="text" w:horzAnchor="margin" w:tblpXSpec="center" w:tblpY="-6"/>
        <w:tblW w:w="903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077"/>
        <w:gridCol w:w="1701"/>
        <w:gridCol w:w="1418"/>
        <w:gridCol w:w="1843"/>
      </w:tblGrid>
      <w:tr w:rsidR="00227D4B" w:rsidRPr="00227D4B" w14:paraId="3A3E1AF2" w14:textId="77777777" w:rsidTr="00227D4B">
        <w:tc>
          <w:tcPr>
            <w:tcW w:w="4077" w:type="dxa"/>
            <w:vAlign w:val="center"/>
          </w:tcPr>
          <w:p w14:paraId="7FD10E45" w14:textId="77777777" w:rsidR="00227D4B" w:rsidRPr="00227D4B" w:rsidRDefault="00227D4B" w:rsidP="00227D4B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27D4B">
              <w:rPr>
                <w:rFonts w:ascii="Arial" w:hAnsi="Arial" w:cs="Arial"/>
                <w:sz w:val="20"/>
                <w:szCs w:val="20"/>
              </w:rPr>
              <w:t>Druh majetku</w:t>
            </w:r>
          </w:p>
        </w:tc>
        <w:tc>
          <w:tcPr>
            <w:tcW w:w="1701" w:type="dxa"/>
            <w:vAlign w:val="center"/>
          </w:tcPr>
          <w:p w14:paraId="121D5778" w14:textId="77777777" w:rsidR="00227D4B" w:rsidRPr="00227D4B" w:rsidRDefault="00227D4B" w:rsidP="00227D4B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27D4B">
              <w:rPr>
                <w:rFonts w:ascii="Arial" w:hAnsi="Arial" w:cs="Arial"/>
                <w:sz w:val="20"/>
                <w:szCs w:val="20"/>
              </w:rPr>
              <w:t>Predpokladaná doba používania v rokoch</w:t>
            </w:r>
          </w:p>
        </w:tc>
        <w:tc>
          <w:tcPr>
            <w:tcW w:w="1418" w:type="dxa"/>
            <w:vAlign w:val="center"/>
          </w:tcPr>
          <w:p w14:paraId="0AB14760" w14:textId="77777777" w:rsidR="00227D4B" w:rsidRPr="00227D4B" w:rsidRDefault="00227D4B" w:rsidP="00227D4B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27D4B">
              <w:rPr>
                <w:rFonts w:ascii="Arial" w:hAnsi="Arial" w:cs="Arial"/>
                <w:sz w:val="20"/>
                <w:szCs w:val="20"/>
              </w:rPr>
              <w:t>Metóda odpisovania</w:t>
            </w:r>
          </w:p>
        </w:tc>
        <w:tc>
          <w:tcPr>
            <w:tcW w:w="1843" w:type="dxa"/>
            <w:vAlign w:val="center"/>
          </w:tcPr>
          <w:p w14:paraId="4E0BEADE" w14:textId="77777777" w:rsidR="00227D4B" w:rsidRPr="00227D4B" w:rsidRDefault="00227D4B" w:rsidP="00227D4B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27D4B">
              <w:rPr>
                <w:rFonts w:ascii="Arial" w:hAnsi="Arial" w:cs="Arial"/>
                <w:sz w:val="20"/>
                <w:szCs w:val="20"/>
              </w:rPr>
              <w:t>Sadzba ročného odpisu</w:t>
            </w:r>
          </w:p>
        </w:tc>
      </w:tr>
      <w:tr w:rsidR="00227D4B" w:rsidRPr="00227D4B" w14:paraId="3B68E78B" w14:textId="77777777" w:rsidTr="00EF6780">
        <w:tc>
          <w:tcPr>
            <w:tcW w:w="4077" w:type="dxa"/>
          </w:tcPr>
          <w:p w14:paraId="7B9C76A6" w14:textId="77777777" w:rsidR="00227D4B" w:rsidRPr="00EF6780" w:rsidRDefault="006B5C7B" w:rsidP="00227D4B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vozidlo</w:t>
            </w:r>
          </w:p>
        </w:tc>
        <w:tc>
          <w:tcPr>
            <w:tcW w:w="1701" w:type="dxa"/>
            <w:vAlign w:val="center"/>
          </w:tcPr>
          <w:p w14:paraId="3C80BC1C" w14:textId="77777777" w:rsidR="00227D4B" w:rsidRPr="00EF6780" w:rsidRDefault="006B5C7B" w:rsidP="00EF6780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</w:t>
            </w:r>
          </w:p>
        </w:tc>
        <w:tc>
          <w:tcPr>
            <w:tcW w:w="1418" w:type="dxa"/>
            <w:vAlign w:val="center"/>
          </w:tcPr>
          <w:p w14:paraId="31BD571D" w14:textId="77777777" w:rsidR="00227D4B" w:rsidRPr="00EF6780" w:rsidRDefault="0062376B" w:rsidP="00EF6780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Rov.</w:t>
            </w:r>
          </w:p>
        </w:tc>
        <w:tc>
          <w:tcPr>
            <w:tcW w:w="1843" w:type="dxa"/>
            <w:vAlign w:val="center"/>
          </w:tcPr>
          <w:p w14:paraId="47C3BE50" w14:textId="77777777" w:rsidR="00227D4B" w:rsidRPr="00EF6780" w:rsidRDefault="00227D4B" w:rsidP="00EF6780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27D4B" w:rsidRPr="00227D4B" w14:paraId="54653793" w14:textId="77777777" w:rsidTr="00EF6780">
        <w:tc>
          <w:tcPr>
            <w:tcW w:w="4077" w:type="dxa"/>
          </w:tcPr>
          <w:p w14:paraId="4287893A" w14:textId="77777777" w:rsidR="00227D4B" w:rsidRPr="00EF6780" w:rsidRDefault="00C63C6F" w:rsidP="00227D4B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Elektrický závitorez</w:t>
            </w:r>
          </w:p>
        </w:tc>
        <w:tc>
          <w:tcPr>
            <w:tcW w:w="1701" w:type="dxa"/>
            <w:vAlign w:val="center"/>
          </w:tcPr>
          <w:p w14:paraId="64A845B8" w14:textId="77777777" w:rsidR="00227D4B" w:rsidRPr="00EF6780" w:rsidRDefault="00C63C6F" w:rsidP="00EF6780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</w:t>
            </w:r>
          </w:p>
        </w:tc>
        <w:tc>
          <w:tcPr>
            <w:tcW w:w="1418" w:type="dxa"/>
            <w:vAlign w:val="center"/>
          </w:tcPr>
          <w:p w14:paraId="268780E8" w14:textId="77777777" w:rsidR="00227D4B" w:rsidRPr="00EF6780" w:rsidRDefault="00C63C6F" w:rsidP="00EF6780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Rov.</w:t>
            </w:r>
          </w:p>
        </w:tc>
        <w:tc>
          <w:tcPr>
            <w:tcW w:w="1843" w:type="dxa"/>
            <w:vAlign w:val="center"/>
          </w:tcPr>
          <w:p w14:paraId="37690EB0" w14:textId="77777777" w:rsidR="00227D4B" w:rsidRPr="00EF6780" w:rsidRDefault="00227D4B" w:rsidP="00EF6780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27D4B" w:rsidRPr="00227D4B" w14:paraId="4CF88974" w14:textId="77777777" w:rsidTr="00EF6780">
        <w:tc>
          <w:tcPr>
            <w:tcW w:w="4077" w:type="dxa"/>
          </w:tcPr>
          <w:p w14:paraId="4A11E0BD" w14:textId="77777777" w:rsidR="00227D4B" w:rsidRPr="00EF6780" w:rsidRDefault="00227D4B" w:rsidP="00227D4B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2AE78070" w14:textId="77777777" w:rsidR="00227D4B" w:rsidRPr="00EF6780" w:rsidRDefault="00227D4B" w:rsidP="00EF6780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0E3710FF" w14:textId="77777777" w:rsidR="00227D4B" w:rsidRPr="00EF6780" w:rsidRDefault="00227D4B" w:rsidP="00EF6780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7193C4F9" w14:textId="77777777" w:rsidR="00227D4B" w:rsidRPr="00EF6780" w:rsidRDefault="00227D4B" w:rsidP="00EF6780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27D4B" w:rsidRPr="00227D4B" w14:paraId="317746A1" w14:textId="77777777" w:rsidTr="00EF6780">
        <w:tc>
          <w:tcPr>
            <w:tcW w:w="4077" w:type="dxa"/>
          </w:tcPr>
          <w:p w14:paraId="75BE10DD" w14:textId="77777777" w:rsidR="00227D4B" w:rsidRPr="00EF6780" w:rsidRDefault="00227D4B" w:rsidP="00227D4B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1799D371" w14:textId="77777777" w:rsidR="00227D4B" w:rsidRPr="00EF6780" w:rsidRDefault="00227D4B" w:rsidP="00EF6780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035151EC" w14:textId="77777777" w:rsidR="00227D4B" w:rsidRPr="00EF6780" w:rsidRDefault="00227D4B" w:rsidP="00EF6780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61C0833B" w14:textId="77777777" w:rsidR="00227D4B" w:rsidRPr="00EF6780" w:rsidRDefault="00227D4B" w:rsidP="00EF6780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27D4B" w:rsidRPr="00227D4B" w14:paraId="6189CC26" w14:textId="77777777" w:rsidTr="00EF6780">
        <w:tc>
          <w:tcPr>
            <w:tcW w:w="4077" w:type="dxa"/>
          </w:tcPr>
          <w:p w14:paraId="47DD50F3" w14:textId="77777777" w:rsidR="00227D4B" w:rsidRPr="00EF6780" w:rsidRDefault="00227D4B" w:rsidP="00227D4B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1077588A" w14:textId="77777777" w:rsidR="00227D4B" w:rsidRPr="00EF6780" w:rsidRDefault="00227D4B" w:rsidP="00EF6780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4D8C6CF1" w14:textId="77777777" w:rsidR="00227D4B" w:rsidRPr="00EF6780" w:rsidRDefault="00227D4B" w:rsidP="00EF6780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F3C25FB" w14:textId="77777777" w:rsidR="00227D4B" w:rsidRPr="00EF6780" w:rsidRDefault="00227D4B" w:rsidP="00EF6780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27D4B" w:rsidRPr="00227D4B" w14:paraId="642D5B41" w14:textId="77777777" w:rsidTr="00EF6780">
        <w:tc>
          <w:tcPr>
            <w:tcW w:w="4077" w:type="dxa"/>
          </w:tcPr>
          <w:p w14:paraId="7E69AFF5" w14:textId="77777777" w:rsidR="00227D4B" w:rsidRPr="00EF6780" w:rsidRDefault="00227D4B" w:rsidP="00227D4B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37904842" w14:textId="77777777" w:rsidR="00227D4B" w:rsidRPr="00EF6780" w:rsidRDefault="00227D4B" w:rsidP="00EF6780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3530E85D" w14:textId="77777777" w:rsidR="00227D4B" w:rsidRPr="00EF6780" w:rsidRDefault="00227D4B" w:rsidP="00EF6780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04F1034" w14:textId="77777777" w:rsidR="00227D4B" w:rsidRPr="00EF6780" w:rsidRDefault="00227D4B" w:rsidP="00EF6780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27D4B" w:rsidRPr="00227D4B" w14:paraId="27737DF0" w14:textId="77777777" w:rsidTr="00EF6780">
        <w:tc>
          <w:tcPr>
            <w:tcW w:w="4077" w:type="dxa"/>
          </w:tcPr>
          <w:p w14:paraId="3B12A794" w14:textId="77777777" w:rsidR="00227D4B" w:rsidRPr="00EF6780" w:rsidRDefault="00227D4B" w:rsidP="00227D4B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55B39FDF" w14:textId="77777777" w:rsidR="00227D4B" w:rsidRPr="00EF6780" w:rsidRDefault="00227D4B" w:rsidP="00EF6780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6709164F" w14:textId="77777777" w:rsidR="00227D4B" w:rsidRPr="00EF6780" w:rsidRDefault="00227D4B" w:rsidP="00EF6780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62A9CEE8" w14:textId="77777777" w:rsidR="00227D4B" w:rsidRPr="00EF6780" w:rsidRDefault="00227D4B" w:rsidP="00EF6780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14B329FF" w14:textId="77777777"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14:paraId="385ECBE4" w14:textId="77777777"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14:paraId="27C0C2C5" w14:textId="77777777"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14:paraId="28FCCA59" w14:textId="77777777"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14:paraId="04EB7674" w14:textId="77777777"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14:paraId="582BE381" w14:textId="77777777"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14:paraId="26C3C1E1" w14:textId="77777777"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14:paraId="3EF18B70" w14:textId="77777777"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14:paraId="537F1217" w14:textId="77777777"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14:paraId="4CE5E45B" w14:textId="77777777"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14:paraId="2A765565" w14:textId="77777777" w:rsidR="00FB0EBD" w:rsidRDefault="00FB0EBD">
      <w:pPr>
        <w:widowControl w:val="0"/>
        <w:autoSpaceDE w:val="0"/>
        <w:autoSpaceDN w:val="0"/>
        <w:adjustRightInd w:val="0"/>
        <w:spacing w:after="0" w:line="366" w:lineRule="exact"/>
        <w:rPr>
          <w:rFonts w:ascii="Times New Roman" w:hAnsi="Times New Roman"/>
          <w:sz w:val="24"/>
          <w:szCs w:val="24"/>
        </w:rPr>
      </w:pPr>
    </w:p>
    <w:p w14:paraId="18B6D178" w14:textId="77777777" w:rsidR="00FB0EBD" w:rsidRPr="00731E9D" w:rsidRDefault="00FB0EB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sz w:val="24"/>
          <w:szCs w:val="24"/>
        </w:rPr>
      </w:pPr>
      <w:r w:rsidRPr="00731E9D">
        <w:rPr>
          <w:rFonts w:ascii="Arial" w:hAnsi="Arial" w:cs="Arial"/>
          <w:b/>
          <w:color w:val="000000"/>
          <w:sz w:val="20"/>
          <w:szCs w:val="20"/>
        </w:rPr>
        <w:t>Čl.2.4 Zmeny účtovných zásad a zmeny účtovných metód</w:t>
      </w:r>
    </w:p>
    <w:p w14:paraId="388EB0E6" w14:textId="77777777" w:rsidR="00FB0EBD" w:rsidRDefault="00FB0EBD">
      <w:pPr>
        <w:widowControl w:val="0"/>
        <w:autoSpaceDE w:val="0"/>
        <w:autoSpaceDN w:val="0"/>
        <w:adjustRightInd w:val="0"/>
        <w:spacing w:after="0" w:line="333" w:lineRule="exact"/>
        <w:rPr>
          <w:rFonts w:ascii="Times New Roman" w:hAnsi="Times New Roman"/>
          <w:sz w:val="24"/>
          <w:szCs w:val="24"/>
        </w:rPr>
      </w:pPr>
    </w:p>
    <w:p w14:paraId="55254C42" w14:textId="77777777" w:rsidR="00FB0EBD" w:rsidRDefault="00FB0EB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6"/>
          <w:szCs w:val="16"/>
        </w:rPr>
        <w:t>Účtovná jednotka v bežnom účtovnom období nevykonala žiadne zmeny účtovných zásad a účtovných metód.</w:t>
      </w:r>
    </w:p>
    <w:p w14:paraId="12EB5E9D" w14:textId="77777777" w:rsidR="00FB0EBD" w:rsidRDefault="00FB0EB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6A997052" w14:textId="77777777" w:rsidR="00FB0EBD" w:rsidRPr="00731E9D" w:rsidRDefault="00FB0EB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sz w:val="24"/>
          <w:szCs w:val="24"/>
        </w:rPr>
      </w:pPr>
      <w:bookmarkStart w:id="3" w:name="page5"/>
      <w:bookmarkEnd w:id="3"/>
      <w:r w:rsidRPr="00731E9D">
        <w:rPr>
          <w:rFonts w:ascii="Arial" w:hAnsi="Arial" w:cs="Arial"/>
          <w:b/>
          <w:color w:val="000000"/>
          <w:sz w:val="20"/>
          <w:szCs w:val="20"/>
        </w:rPr>
        <w:t>Čl.2.5 Informácie o dotáciách a ich oceňovanie v účtovníctve</w:t>
      </w:r>
    </w:p>
    <w:p w14:paraId="1B76D7FA" w14:textId="77777777" w:rsidR="00FB0EBD" w:rsidRDefault="00FB0EBD">
      <w:pPr>
        <w:widowControl w:val="0"/>
        <w:autoSpaceDE w:val="0"/>
        <w:autoSpaceDN w:val="0"/>
        <w:adjustRightInd w:val="0"/>
        <w:spacing w:after="0" w:line="390" w:lineRule="exact"/>
        <w:rPr>
          <w:rFonts w:ascii="Times New Roman" w:hAnsi="Times New Roman"/>
          <w:sz w:val="24"/>
          <w:szCs w:val="24"/>
        </w:rPr>
      </w:pPr>
    </w:p>
    <w:p w14:paraId="394851A9" w14:textId="77777777" w:rsidR="00FB0EBD" w:rsidRDefault="00FB0EB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6"/>
          <w:szCs w:val="16"/>
        </w:rPr>
        <w:t>Účtovná jednotka v bežnom účtovnom období neúčtovala a nedostala žiadne dotácie.</w:t>
      </w:r>
    </w:p>
    <w:p w14:paraId="267190F2" w14:textId="77777777"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14:paraId="6DD25181" w14:textId="77777777" w:rsidR="00FB0EBD" w:rsidRDefault="00FB0EBD">
      <w:pPr>
        <w:widowControl w:val="0"/>
        <w:autoSpaceDE w:val="0"/>
        <w:autoSpaceDN w:val="0"/>
        <w:adjustRightInd w:val="0"/>
        <w:spacing w:after="0" w:line="360" w:lineRule="exact"/>
        <w:rPr>
          <w:rFonts w:ascii="Times New Roman" w:hAnsi="Times New Roman"/>
          <w:sz w:val="24"/>
          <w:szCs w:val="24"/>
        </w:rPr>
      </w:pPr>
    </w:p>
    <w:p w14:paraId="388DA78B" w14:textId="77777777" w:rsidR="00FB0EBD" w:rsidRPr="00731E9D" w:rsidRDefault="00FB0EB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sz w:val="24"/>
          <w:szCs w:val="24"/>
        </w:rPr>
      </w:pPr>
      <w:r w:rsidRPr="00731E9D">
        <w:rPr>
          <w:rFonts w:ascii="Arial" w:hAnsi="Arial" w:cs="Arial"/>
          <w:b/>
          <w:color w:val="000000"/>
          <w:sz w:val="20"/>
          <w:szCs w:val="20"/>
        </w:rPr>
        <w:t>Čl.2.6 Informácie o účtovaní významných opráv chýb minulých účtovných období v bežnom účtovnom období</w:t>
      </w:r>
    </w:p>
    <w:p w14:paraId="2D6145B5" w14:textId="77777777" w:rsidR="00FB0EBD" w:rsidRDefault="00FB0EBD">
      <w:pPr>
        <w:widowControl w:val="0"/>
        <w:autoSpaceDE w:val="0"/>
        <w:autoSpaceDN w:val="0"/>
        <w:adjustRightInd w:val="0"/>
        <w:spacing w:after="0" w:line="333" w:lineRule="exact"/>
        <w:rPr>
          <w:rFonts w:ascii="Times New Roman" w:hAnsi="Times New Roman"/>
          <w:sz w:val="24"/>
          <w:szCs w:val="24"/>
        </w:rPr>
      </w:pPr>
    </w:p>
    <w:p w14:paraId="07BBEBCD" w14:textId="77777777" w:rsidR="00731E9D" w:rsidRDefault="00FB0EBD" w:rsidP="00731E9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6"/>
          <w:szCs w:val="16"/>
        </w:rPr>
        <w:t>Účtovná jednotka v bežnom účtovnom období neúčtovala žiadne opravy chýb minulých účtovných období.</w:t>
      </w:r>
      <w:bookmarkStart w:id="4" w:name="page6"/>
      <w:bookmarkEnd w:id="4"/>
    </w:p>
    <w:p w14:paraId="4F51D00B" w14:textId="77777777" w:rsidR="00731E9D" w:rsidRDefault="00731E9D" w:rsidP="00731E9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10A71529" w14:textId="77777777" w:rsidR="00731E9D" w:rsidRDefault="00FB0EBD" w:rsidP="00731E9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sz w:val="24"/>
          <w:szCs w:val="24"/>
        </w:rPr>
      </w:pPr>
      <w:r w:rsidRPr="00731E9D">
        <w:rPr>
          <w:rFonts w:ascii="Arial" w:hAnsi="Arial" w:cs="Arial"/>
          <w:b/>
          <w:color w:val="000000"/>
        </w:rPr>
        <w:t>Čl.3. Informácie, ktoré vysvetľujú a dopĺňajú súvahu a výkaz ziskov a strát</w:t>
      </w:r>
    </w:p>
    <w:p w14:paraId="74E36D3B" w14:textId="77777777" w:rsidR="00731E9D" w:rsidRDefault="00731E9D" w:rsidP="00731E9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14:paraId="53E25822" w14:textId="77777777" w:rsidR="00731E9D" w:rsidRDefault="00FB0EBD" w:rsidP="00731E9D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0"/>
          <w:szCs w:val="20"/>
        </w:rPr>
      </w:pPr>
      <w:r w:rsidRPr="00731E9D">
        <w:rPr>
          <w:rFonts w:ascii="Arial" w:hAnsi="Arial" w:cs="Arial"/>
          <w:b/>
          <w:color w:val="000000"/>
          <w:sz w:val="20"/>
          <w:szCs w:val="20"/>
        </w:rPr>
        <w:t>Čl.3.1 Informácia o sume a dôvodoch vzniku jednotlivých položiek nákladov alebo výnosov, ktoré majú výnimočný rozsa</w:t>
      </w:r>
      <w:r w:rsidR="00731E9D">
        <w:rPr>
          <w:rFonts w:ascii="Arial" w:hAnsi="Arial" w:cs="Arial"/>
          <w:b/>
          <w:color w:val="000000"/>
          <w:sz w:val="20"/>
          <w:szCs w:val="20"/>
        </w:rPr>
        <w:t>h</w:t>
      </w:r>
    </w:p>
    <w:p w14:paraId="2D5BF92D" w14:textId="77777777" w:rsidR="00731E9D" w:rsidRDefault="00731E9D" w:rsidP="00731E9D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0"/>
          <w:szCs w:val="20"/>
        </w:rPr>
      </w:pPr>
    </w:p>
    <w:p w14:paraId="3C73119C" w14:textId="77777777" w:rsidR="00731E9D" w:rsidRDefault="00FB0EBD" w:rsidP="00731E9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Arial" w:hAnsi="Arial" w:cs="Arial"/>
          <w:color w:val="000000"/>
          <w:sz w:val="16"/>
          <w:szCs w:val="16"/>
        </w:rPr>
        <w:t>Účtovná jednotka v bežnom účtovnom období neúčtovala jednotlivé položky nákladov alebo výnosov, ktoré majú výnimočný rozsah.</w:t>
      </w:r>
    </w:p>
    <w:p w14:paraId="2577547B" w14:textId="77777777" w:rsidR="00731E9D" w:rsidRDefault="00731E9D" w:rsidP="00731E9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14:paraId="6DF0BF1C" w14:textId="77777777" w:rsidR="00FB0EBD" w:rsidRPr="00731E9D" w:rsidRDefault="00FB0EBD" w:rsidP="00731E9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sz w:val="24"/>
          <w:szCs w:val="24"/>
        </w:rPr>
      </w:pPr>
      <w:r w:rsidRPr="00731E9D">
        <w:rPr>
          <w:rFonts w:ascii="Arial" w:hAnsi="Arial" w:cs="Arial"/>
          <w:b/>
          <w:color w:val="000000"/>
          <w:sz w:val="20"/>
          <w:szCs w:val="20"/>
        </w:rPr>
        <w:t>Čl.3.2 Informácie o záväzkoch</w:t>
      </w:r>
    </w:p>
    <w:p w14:paraId="47E07980" w14:textId="77777777"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tbl>
      <w:tblPr>
        <w:tblW w:w="0" w:type="auto"/>
        <w:tblInd w:w="5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5066"/>
        <w:gridCol w:w="4856"/>
      </w:tblGrid>
      <w:tr w:rsidR="00731E9D" w:rsidRPr="007A598F" w14:paraId="73C504EF" w14:textId="77777777" w:rsidTr="007A598F">
        <w:trPr>
          <w:trHeight w:val="491"/>
        </w:trPr>
        <w:tc>
          <w:tcPr>
            <w:tcW w:w="5066" w:type="dxa"/>
            <w:vAlign w:val="center"/>
          </w:tcPr>
          <w:p w14:paraId="09A205BC" w14:textId="77777777" w:rsidR="00731E9D" w:rsidRPr="007A598F" w:rsidRDefault="00542011" w:rsidP="007A598F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7A598F">
              <w:rPr>
                <w:rFonts w:ascii="Arial" w:hAnsi="Arial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4856" w:type="dxa"/>
            <w:vAlign w:val="center"/>
          </w:tcPr>
          <w:p w14:paraId="27C2B5CB" w14:textId="77777777" w:rsidR="00731E9D" w:rsidRPr="007A598F" w:rsidRDefault="00542011" w:rsidP="007A598F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7A598F">
              <w:rPr>
                <w:rFonts w:ascii="Arial" w:hAnsi="Arial" w:cs="Arial"/>
                <w:b/>
                <w:sz w:val="20"/>
                <w:szCs w:val="20"/>
              </w:rPr>
              <w:t>Suma za bežné účtovné obdobie</w:t>
            </w:r>
          </w:p>
        </w:tc>
      </w:tr>
      <w:tr w:rsidR="00731E9D" w:rsidRPr="007A598F" w14:paraId="333EA812" w14:textId="77777777" w:rsidTr="007A598F">
        <w:trPr>
          <w:trHeight w:val="553"/>
        </w:trPr>
        <w:tc>
          <w:tcPr>
            <w:tcW w:w="5066" w:type="dxa"/>
            <w:vAlign w:val="center"/>
          </w:tcPr>
          <w:p w14:paraId="685B3D02" w14:textId="77777777" w:rsidR="00731E9D" w:rsidRPr="007A598F" w:rsidRDefault="000B6624" w:rsidP="007A598F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Arial" w:hAnsi="Arial" w:cs="Arial"/>
                <w:sz w:val="20"/>
                <w:szCs w:val="20"/>
              </w:rPr>
            </w:pPr>
            <w:r w:rsidRPr="007A598F">
              <w:rPr>
                <w:rFonts w:ascii="Arial" w:hAnsi="Arial" w:cs="Arial"/>
                <w:sz w:val="20"/>
                <w:szCs w:val="20"/>
              </w:rPr>
              <w:t>Krátkodobé záväzky do lehoty</w:t>
            </w:r>
            <w:r w:rsidR="00542011" w:rsidRPr="007A598F">
              <w:rPr>
                <w:rFonts w:ascii="Arial" w:hAnsi="Arial" w:cs="Arial"/>
                <w:sz w:val="20"/>
                <w:szCs w:val="20"/>
              </w:rPr>
              <w:t xml:space="preserve"> splatnosti</w:t>
            </w:r>
          </w:p>
        </w:tc>
        <w:tc>
          <w:tcPr>
            <w:tcW w:w="4856" w:type="dxa"/>
            <w:vAlign w:val="center"/>
          </w:tcPr>
          <w:p w14:paraId="0F405D0E" w14:textId="2B6C0E02" w:rsidR="00731E9D" w:rsidRPr="007A598F" w:rsidRDefault="008A2DA0" w:rsidP="0062376B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13 148</w:t>
            </w:r>
          </w:p>
        </w:tc>
      </w:tr>
      <w:tr w:rsidR="00731E9D" w:rsidRPr="007A598F" w14:paraId="03C92568" w14:textId="77777777" w:rsidTr="007A598F">
        <w:trPr>
          <w:trHeight w:val="627"/>
        </w:trPr>
        <w:tc>
          <w:tcPr>
            <w:tcW w:w="5066" w:type="dxa"/>
            <w:vAlign w:val="center"/>
          </w:tcPr>
          <w:p w14:paraId="05C2870B" w14:textId="77777777" w:rsidR="00731E9D" w:rsidRPr="007A598F" w:rsidRDefault="00542011" w:rsidP="007A598F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Arial" w:hAnsi="Arial" w:cs="Arial"/>
                <w:sz w:val="20"/>
                <w:szCs w:val="20"/>
              </w:rPr>
            </w:pPr>
            <w:r w:rsidRPr="007A598F">
              <w:rPr>
                <w:rFonts w:ascii="Arial" w:hAnsi="Arial" w:cs="Arial"/>
                <w:sz w:val="20"/>
                <w:szCs w:val="20"/>
              </w:rPr>
              <w:t>Záväzky so zostatkovou dobou splatnosti jeden až päť rokov</w:t>
            </w:r>
          </w:p>
          <w:p w14:paraId="12C375EF" w14:textId="77777777" w:rsidR="00542011" w:rsidRPr="007A598F" w:rsidRDefault="00542011" w:rsidP="007A598F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856" w:type="dxa"/>
            <w:vAlign w:val="center"/>
          </w:tcPr>
          <w:p w14:paraId="6F90097E" w14:textId="77777777" w:rsidR="00731E9D" w:rsidRPr="007A598F" w:rsidRDefault="00731E9D" w:rsidP="007A598F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31E9D" w:rsidRPr="007A598F" w14:paraId="7EE68E01" w14:textId="77777777" w:rsidTr="007A598F">
        <w:trPr>
          <w:trHeight w:val="560"/>
        </w:trPr>
        <w:tc>
          <w:tcPr>
            <w:tcW w:w="5066" w:type="dxa"/>
            <w:vAlign w:val="center"/>
          </w:tcPr>
          <w:p w14:paraId="56ACB95B" w14:textId="77777777" w:rsidR="00731E9D" w:rsidRPr="007A598F" w:rsidRDefault="00542011" w:rsidP="007A598F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Arial" w:hAnsi="Arial" w:cs="Arial"/>
                <w:sz w:val="20"/>
                <w:szCs w:val="20"/>
              </w:rPr>
            </w:pPr>
            <w:r w:rsidRPr="007A598F">
              <w:rPr>
                <w:rFonts w:ascii="Arial" w:hAnsi="Arial" w:cs="Arial"/>
                <w:sz w:val="20"/>
                <w:szCs w:val="20"/>
              </w:rPr>
              <w:t>Záväzky so zostatkovou dobou splatnosti nad päť rokov</w:t>
            </w:r>
          </w:p>
        </w:tc>
        <w:tc>
          <w:tcPr>
            <w:tcW w:w="4856" w:type="dxa"/>
            <w:vAlign w:val="center"/>
          </w:tcPr>
          <w:p w14:paraId="3B4FC933" w14:textId="77777777" w:rsidR="00731E9D" w:rsidRPr="007A598F" w:rsidRDefault="00731E9D" w:rsidP="007A598F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31E9D" w:rsidRPr="007A598F" w14:paraId="6A1DB94D" w14:textId="77777777" w:rsidTr="007A598F">
        <w:trPr>
          <w:trHeight w:val="470"/>
        </w:trPr>
        <w:tc>
          <w:tcPr>
            <w:tcW w:w="5066" w:type="dxa"/>
            <w:vAlign w:val="center"/>
          </w:tcPr>
          <w:p w14:paraId="6DE2AC74" w14:textId="77777777" w:rsidR="00731E9D" w:rsidRPr="007A598F" w:rsidRDefault="00542011" w:rsidP="007A598F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Arial" w:hAnsi="Arial" w:cs="Arial"/>
                <w:sz w:val="20"/>
                <w:szCs w:val="20"/>
              </w:rPr>
            </w:pPr>
            <w:r w:rsidRPr="007A598F">
              <w:rPr>
                <w:rFonts w:ascii="Arial" w:hAnsi="Arial" w:cs="Arial"/>
                <w:sz w:val="20"/>
                <w:szCs w:val="20"/>
              </w:rPr>
              <w:t>Spolu</w:t>
            </w:r>
          </w:p>
        </w:tc>
        <w:tc>
          <w:tcPr>
            <w:tcW w:w="4856" w:type="dxa"/>
            <w:vAlign w:val="center"/>
          </w:tcPr>
          <w:p w14:paraId="2BFED427" w14:textId="54A6FF5E" w:rsidR="00731E9D" w:rsidRPr="007A598F" w:rsidRDefault="008A2DA0" w:rsidP="007A598F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13 148</w:t>
            </w:r>
          </w:p>
        </w:tc>
      </w:tr>
    </w:tbl>
    <w:p w14:paraId="115AB6B6" w14:textId="77777777"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14:paraId="602021A2" w14:textId="77777777" w:rsidR="00FB0EBD" w:rsidRDefault="00FB0EBD">
      <w:pPr>
        <w:widowControl w:val="0"/>
        <w:autoSpaceDE w:val="0"/>
        <w:autoSpaceDN w:val="0"/>
        <w:adjustRightInd w:val="0"/>
        <w:spacing w:after="0" w:line="321" w:lineRule="exact"/>
        <w:rPr>
          <w:rFonts w:ascii="Times New Roman" w:hAnsi="Times New Roman"/>
          <w:sz w:val="24"/>
          <w:szCs w:val="24"/>
        </w:rPr>
      </w:pPr>
      <w:bookmarkStart w:id="5" w:name="page7"/>
      <w:bookmarkEnd w:id="5"/>
    </w:p>
    <w:p w14:paraId="4BB7228F" w14:textId="77777777" w:rsidR="00FB0EBD" w:rsidRPr="00542011" w:rsidRDefault="00FB0EBD">
      <w:pPr>
        <w:widowControl w:val="0"/>
        <w:autoSpaceDE w:val="0"/>
        <w:autoSpaceDN w:val="0"/>
        <w:adjustRightInd w:val="0"/>
        <w:spacing w:after="0" w:line="240" w:lineRule="auto"/>
        <w:ind w:left="340"/>
        <w:rPr>
          <w:rFonts w:ascii="Times New Roman" w:hAnsi="Times New Roman"/>
          <w:b/>
          <w:sz w:val="24"/>
          <w:szCs w:val="24"/>
        </w:rPr>
      </w:pPr>
      <w:r w:rsidRPr="00542011">
        <w:rPr>
          <w:rFonts w:ascii="Arial" w:hAnsi="Arial" w:cs="Arial"/>
          <w:b/>
          <w:color w:val="000000"/>
          <w:sz w:val="20"/>
          <w:szCs w:val="20"/>
        </w:rPr>
        <w:t>Čl.3.3 Informácie o vlastných akciách</w:t>
      </w:r>
    </w:p>
    <w:p w14:paraId="4BB5B891" w14:textId="77777777"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14:paraId="15766CBE" w14:textId="77777777" w:rsidR="00FB0EBD" w:rsidRDefault="00FB0EBD">
      <w:pPr>
        <w:widowControl w:val="0"/>
        <w:autoSpaceDE w:val="0"/>
        <w:autoSpaceDN w:val="0"/>
        <w:adjustRightInd w:val="0"/>
        <w:spacing w:after="0" w:line="234" w:lineRule="exact"/>
        <w:rPr>
          <w:rFonts w:ascii="Times New Roman" w:hAnsi="Times New Roman"/>
          <w:sz w:val="24"/>
          <w:szCs w:val="24"/>
        </w:rPr>
      </w:pPr>
    </w:p>
    <w:p w14:paraId="7B36753C" w14:textId="77777777" w:rsidR="00FB0EBD" w:rsidRDefault="00FB0EBD">
      <w:pPr>
        <w:widowControl w:val="0"/>
        <w:autoSpaceDE w:val="0"/>
        <w:autoSpaceDN w:val="0"/>
        <w:adjustRightInd w:val="0"/>
        <w:spacing w:after="0" w:line="240" w:lineRule="auto"/>
        <w:ind w:left="34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6"/>
          <w:szCs w:val="16"/>
        </w:rPr>
        <w:t>Účtovná jednotka v bežnom účtovnom období nevlastnila, neobstarávala ani nepredávala vlastné akcie.</w:t>
      </w:r>
    </w:p>
    <w:p w14:paraId="733C722F" w14:textId="77777777" w:rsidR="00FB0EBD" w:rsidRDefault="00FB0EB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70F56AC9" w14:textId="77777777" w:rsidR="00FB0EBD" w:rsidRDefault="00FB0EBD">
      <w:pPr>
        <w:widowControl w:val="0"/>
        <w:autoSpaceDE w:val="0"/>
        <w:autoSpaceDN w:val="0"/>
        <w:adjustRightInd w:val="0"/>
        <w:spacing w:after="0" w:line="207" w:lineRule="exact"/>
        <w:rPr>
          <w:rFonts w:ascii="Times New Roman" w:hAnsi="Times New Roman"/>
          <w:sz w:val="24"/>
          <w:szCs w:val="24"/>
        </w:rPr>
      </w:pPr>
      <w:bookmarkStart w:id="6" w:name="page8"/>
      <w:bookmarkEnd w:id="6"/>
    </w:p>
    <w:p w14:paraId="120E88A6" w14:textId="77777777" w:rsidR="00FB0EBD" w:rsidRPr="00542011" w:rsidRDefault="00FB0EBD">
      <w:pPr>
        <w:widowControl w:val="0"/>
        <w:autoSpaceDE w:val="0"/>
        <w:autoSpaceDN w:val="0"/>
        <w:adjustRightInd w:val="0"/>
        <w:spacing w:after="0" w:line="240" w:lineRule="auto"/>
        <w:ind w:left="340"/>
        <w:rPr>
          <w:rFonts w:ascii="Times New Roman" w:hAnsi="Times New Roman"/>
          <w:b/>
          <w:sz w:val="24"/>
          <w:szCs w:val="24"/>
        </w:rPr>
      </w:pPr>
      <w:r w:rsidRPr="00542011">
        <w:rPr>
          <w:rFonts w:ascii="Arial" w:hAnsi="Arial" w:cs="Arial"/>
          <w:b/>
          <w:color w:val="000000"/>
          <w:sz w:val="20"/>
          <w:szCs w:val="20"/>
        </w:rPr>
        <w:t>Čl.3.4 Informácie o orgánoch účtovnej jednotky</w:t>
      </w:r>
    </w:p>
    <w:p w14:paraId="529D03DF" w14:textId="77777777"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14:paraId="6CAA6B5C" w14:textId="77777777" w:rsidR="00FB0EBD" w:rsidRDefault="00FB0EBD">
      <w:pPr>
        <w:widowControl w:val="0"/>
        <w:autoSpaceDE w:val="0"/>
        <w:autoSpaceDN w:val="0"/>
        <w:adjustRightInd w:val="0"/>
        <w:spacing w:after="0" w:line="303" w:lineRule="exact"/>
        <w:rPr>
          <w:rFonts w:ascii="Times New Roman" w:hAnsi="Times New Roman"/>
          <w:sz w:val="24"/>
          <w:szCs w:val="24"/>
        </w:rPr>
      </w:pPr>
    </w:p>
    <w:p w14:paraId="60E59118" w14:textId="77777777" w:rsidR="00FB0EBD" w:rsidRDefault="00FB0EBD">
      <w:pPr>
        <w:widowControl w:val="0"/>
        <w:overflowPunct w:val="0"/>
        <w:autoSpaceDE w:val="0"/>
        <w:autoSpaceDN w:val="0"/>
        <w:adjustRightInd w:val="0"/>
        <w:spacing w:after="0" w:line="375" w:lineRule="auto"/>
        <w:ind w:left="340" w:right="380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6"/>
          <w:szCs w:val="16"/>
        </w:rPr>
        <w:t>Účtovná jednotka v bežnom účtovnom období neposkytovala ani n</w:t>
      </w:r>
      <w:r w:rsidR="001A66F1">
        <w:rPr>
          <w:rFonts w:ascii="Arial" w:hAnsi="Arial" w:cs="Arial"/>
          <w:color w:val="000000"/>
          <w:sz w:val="16"/>
          <w:szCs w:val="16"/>
        </w:rPr>
        <w:t>e</w:t>
      </w:r>
      <w:r>
        <w:rPr>
          <w:rFonts w:ascii="Arial" w:hAnsi="Arial" w:cs="Arial"/>
          <w:color w:val="000000"/>
          <w:sz w:val="16"/>
          <w:szCs w:val="16"/>
        </w:rPr>
        <w:t>vyplácala príjmy a výhody členom štatutárnych orgánov, dozorných orgánov a iných orgánov.</w:t>
      </w:r>
    </w:p>
    <w:p w14:paraId="61FC3C7A" w14:textId="77777777" w:rsidR="00FB0EBD" w:rsidRDefault="0062376B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  <w:r>
        <w:rPr>
          <w:noProof/>
        </w:rPr>
        <w:drawing>
          <wp:anchor distT="0" distB="0" distL="114300" distR="114300" simplePos="0" relativeHeight="251657728" behindDoc="1" locked="0" layoutInCell="0" allowOverlap="1" wp14:anchorId="4E04C352" wp14:editId="27C5F503">
            <wp:simplePos x="0" y="0"/>
            <wp:positionH relativeFrom="column">
              <wp:posOffset>-354965</wp:posOffset>
            </wp:positionH>
            <wp:positionV relativeFrom="paragraph">
              <wp:posOffset>3206115</wp:posOffset>
            </wp:positionV>
            <wp:extent cx="7560310" cy="5039995"/>
            <wp:effectExtent l="19050" t="0" r="2540" b="0"/>
            <wp:wrapNone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560310" cy="503999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14:paraId="24A910B4" w14:textId="77777777" w:rsidR="00FB0EBD" w:rsidRDefault="00FB0EBD">
      <w:pPr>
        <w:widowControl w:val="0"/>
        <w:autoSpaceDE w:val="0"/>
        <w:autoSpaceDN w:val="0"/>
        <w:adjustRightInd w:val="0"/>
        <w:spacing w:after="0" w:line="207" w:lineRule="exact"/>
        <w:rPr>
          <w:rFonts w:ascii="Times New Roman" w:hAnsi="Times New Roman"/>
          <w:sz w:val="24"/>
          <w:szCs w:val="24"/>
        </w:rPr>
      </w:pPr>
      <w:bookmarkStart w:id="7" w:name="page9"/>
      <w:bookmarkEnd w:id="7"/>
    </w:p>
    <w:p w14:paraId="04F290F3" w14:textId="77777777" w:rsidR="00FB0EBD" w:rsidRPr="00227D4B" w:rsidRDefault="00FB0EBD">
      <w:pPr>
        <w:widowControl w:val="0"/>
        <w:autoSpaceDE w:val="0"/>
        <w:autoSpaceDN w:val="0"/>
        <w:adjustRightInd w:val="0"/>
        <w:spacing w:after="0" w:line="240" w:lineRule="auto"/>
        <w:ind w:left="340"/>
        <w:rPr>
          <w:rFonts w:ascii="Times New Roman" w:hAnsi="Times New Roman"/>
          <w:b/>
          <w:sz w:val="24"/>
          <w:szCs w:val="24"/>
        </w:rPr>
      </w:pPr>
      <w:r w:rsidRPr="00227D4B">
        <w:rPr>
          <w:rFonts w:ascii="Arial" w:hAnsi="Arial" w:cs="Arial"/>
          <w:b/>
          <w:color w:val="000000"/>
          <w:sz w:val="20"/>
          <w:szCs w:val="20"/>
        </w:rPr>
        <w:t>Čl.3.5 Informácie o povinnostiach účtovnej jednotky</w:t>
      </w:r>
    </w:p>
    <w:p w14:paraId="68AF7FA9" w14:textId="77777777" w:rsidR="00FB0EBD" w:rsidRDefault="00FB0EBD">
      <w:pPr>
        <w:widowControl w:val="0"/>
        <w:autoSpaceDE w:val="0"/>
        <w:autoSpaceDN w:val="0"/>
        <w:adjustRightInd w:val="0"/>
        <w:spacing w:after="0" w:line="333" w:lineRule="exact"/>
        <w:rPr>
          <w:rFonts w:ascii="Times New Roman" w:hAnsi="Times New Roman"/>
          <w:sz w:val="24"/>
          <w:szCs w:val="24"/>
        </w:rPr>
      </w:pPr>
    </w:p>
    <w:p w14:paraId="2FC157E1" w14:textId="77777777" w:rsidR="00FB0EBD" w:rsidRDefault="00FB0EBD">
      <w:pPr>
        <w:widowControl w:val="0"/>
        <w:autoSpaceDE w:val="0"/>
        <w:autoSpaceDN w:val="0"/>
        <w:adjustRightInd w:val="0"/>
        <w:spacing w:after="0" w:line="240" w:lineRule="auto"/>
        <w:ind w:left="34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6"/>
          <w:szCs w:val="16"/>
        </w:rPr>
        <w:t>Účtovná jednotka v bežnom účtovnom období nemá povinnosti, ktoré sa nevykazujú v súvahe.</w:t>
      </w:r>
    </w:p>
    <w:p w14:paraId="27551248" w14:textId="77777777"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14:paraId="05AB08D6" w14:textId="77777777"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14:paraId="0D7EA175" w14:textId="77777777" w:rsidR="00FB0EBD" w:rsidRDefault="00FB0EBD" w:rsidP="00227D4B">
      <w:pPr>
        <w:widowControl w:val="0"/>
        <w:autoSpaceDE w:val="0"/>
        <w:autoSpaceDN w:val="0"/>
        <w:adjustRightInd w:val="0"/>
        <w:spacing w:after="0" w:line="240" w:lineRule="auto"/>
        <w:ind w:left="34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6"/>
          <w:szCs w:val="16"/>
        </w:rPr>
        <w:t>Účtovná jednotka v bežnom účtovnom období ne</w:t>
      </w:r>
      <w:r w:rsidR="00227D4B">
        <w:rPr>
          <w:rFonts w:ascii="Arial" w:hAnsi="Arial" w:cs="Arial"/>
          <w:color w:val="000000"/>
          <w:sz w:val="16"/>
          <w:szCs w:val="16"/>
        </w:rPr>
        <w:t>účtuje na podsúvahových účtoch.</w:t>
      </w:r>
    </w:p>
    <w:sectPr w:rsidR="00FB0EBD" w:rsidSect="007A28D5">
      <w:pgSz w:w="11900" w:h="18142"/>
      <w:pgMar w:top="257" w:right="560" w:bottom="1440" w:left="560" w:header="708" w:footer="708" w:gutter="0"/>
      <w:cols w:space="708" w:equalWidth="0">
        <w:col w:w="10780"/>
      </w:cols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29"/>
    <w:multiLevelType w:val="hybridMultilevel"/>
    <w:tmpl w:val="00004823"/>
    <w:lvl w:ilvl="0" w:tplc="000018BE">
      <w:start w:val="1"/>
      <w:numFmt w:val="bullet"/>
      <w:lvlText w:val="-"/>
      <w:lvlJc w:val="left"/>
      <w:pPr>
        <w:tabs>
          <w:tab w:val="num" w:pos="720"/>
        </w:tabs>
        <w:ind w:left="720" w:hanging="360"/>
      </w:p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1" w15:restartNumberingAfterBreak="0">
    <w:nsid w:val="00006784"/>
    <w:multiLevelType w:val="hybridMultilevel"/>
    <w:tmpl w:val="00004AE1"/>
    <w:lvl w:ilvl="0" w:tplc="00003D6C">
      <w:start w:val="1"/>
      <w:numFmt w:val="bullet"/>
      <w:lvlText w:val="-"/>
      <w:lvlJc w:val="left"/>
      <w:pPr>
        <w:tabs>
          <w:tab w:val="num" w:pos="720"/>
        </w:tabs>
        <w:ind w:left="720" w:hanging="360"/>
      </w:p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num w:numId="1" w16cid:durableId="1456869699">
    <w:abstractNumId w:val="0"/>
  </w:num>
  <w:num w:numId="2" w16cid:durableId="206802074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bordersDoNotSurroundHeader/>
  <w:bordersDoNotSurroundFooter/>
  <w:proofState w:spelling="clean" w:grammar="clean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doNotCompress"/>
  <w:doNotValidateAgainstSchema/>
  <w:doNotDemarcateInvalidXml/>
  <w:compat>
    <w:spaceForUL/>
    <w:doNotLeaveBackslashAlone/>
    <w:ulTrailSpace/>
    <w:doNotExpandShiftReturn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87BD2"/>
    <w:rsid w:val="000B6624"/>
    <w:rsid w:val="001A66F1"/>
    <w:rsid w:val="00227D4B"/>
    <w:rsid w:val="002725F2"/>
    <w:rsid w:val="002F44DD"/>
    <w:rsid w:val="003511B3"/>
    <w:rsid w:val="00386F60"/>
    <w:rsid w:val="00387BD2"/>
    <w:rsid w:val="00484EF9"/>
    <w:rsid w:val="00505B68"/>
    <w:rsid w:val="00542011"/>
    <w:rsid w:val="005F139C"/>
    <w:rsid w:val="005F722D"/>
    <w:rsid w:val="0062376B"/>
    <w:rsid w:val="006B5C7B"/>
    <w:rsid w:val="0072240E"/>
    <w:rsid w:val="00731E9D"/>
    <w:rsid w:val="007A28D5"/>
    <w:rsid w:val="007A598F"/>
    <w:rsid w:val="00866186"/>
    <w:rsid w:val="008A2DA0"/>
    <w:rsid w:val="00973FA2"/>
    <w:rsid w:val="009B653B"/>
    <w:rsid w:val="00A17EC9"/>
    <w:rsid w:val="00BE6F1D"/>
    <w:rsid w:val="00C63C6F"/>
    <w:rsid w:val="00CD03D7"/>
    <w:rsid w:val="00CF0DEA"/>
    <w:rsid w:val="00DA534E"/>
    <w:rsid w:val="00E632EE"/>
    <w:rsid w:val="00EF6780"/>
    <w:rsid w:val="00F01F9A"/>
    <w:rsid w:val="00FA596C"/>
    <w:rsid w:val="00FB0E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703069AF"/>
  <w15:docId w15:val="{21A8D335-D31D-4FD0-869C-1BCFB6AFCB1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Times New Roman" w:hAnsi="Calibri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semiHidden="1" w:unhideWhenUs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semiHidden="1" w:unhideWhenUsed="1"/>
    <w:lsdException w:name="toc 2" w:locked="1" w:semiHidden="1" w:unhideWhenUsed="1"/>
    <w:lsdException w:name="toc 3" w:locked="1" w:semiHidden="1" w:unhideWhenUsed="1"/>
    <w:lsdException w:name="toc 4" w:locked="1" w:semiHidden="1" w:unhideWhenUsed="1"/>
    <w:lsdException w:name="toc 5" w:locked="1" w:semiHidden="1" w:unhideWhenUsed="1"/>
    <w:lsdException w:name="toc 6" w:locked="1" w:semiHidden="1" w:unhideWhenUsed="1"/>
    <w:lsdException w:name="toc 7" w:locked="1" w:semiHidden="1" w:unhideWhenUsed="1"/>
    <w:lsdException w:name="toc 8" w:locked="1" w:semiHidden="1" w:unhideWhenUsed="1"/>
    <w:lsdException w:name="toc 9" w:locked="1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qFormat="1"/>
    <w:lsdException w:name="Closing" w:semiHidden="1" w:unhideWhenUsed="1"/>
    <w:lsdException w:name="Signature" w:semiHidden="1" w:unhideWhenUsed="1"/>
    <w:lsdException w:name="Default Paragraph Font" w:locked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locked="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qFormat="1"/>
    <w:lsdException w:name="Emphasis" w:lock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7A28D5"/>
    <w:pPr>
      <w:spacing w:after="200" w:line="276" w:lineRule="auto"/>
    </w:pPr>
    <w:rPr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CD03D7"/>
    <w:rPr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pple-converted-space">
    <w:name w:val="apple-converted-space"/>
    <w:basedOn w:val="Predvolenpsmoodseku"/>
    <w:rsid w:val="00EF6780"/>
    <w:rPr>
      <w:rFonts w:cs="Times New Roman"/>
    </w:rPr>
  </w:style>
  <w:style w:type="character" w:customStyle="1" w:styleId="ra">
    <w:name w:val="ra"/>
    <w:basedOn w:val="Predvolenpsmoodseku"/>
    <w:rsid w:val="001A66F1"/>
    <w:rPr>
      <w:rFonts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572</Words>
  <Characters>3266</Characters>
  <Application>Microsoft Office Word</Application>
  <DocSecurity>0</DocSecurity>
  <Lines>27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Úč MÚJ 3 - 01</vt:lpstr>
    </vt:vector>
  </TitlesOfParts>
  <Company/>
  <LinksUpToDate>false</LinksUpToDate>
  <CharactersWithSpaces>3831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3 - 01</dc:title>
  <dc:creator>KOREKCIA Trenčín</dc:creator>
  <cp:lastModifiedBy>PC</cp:lastModifiedBy>
  <cp:revision>2</cp:revision>
  <cp:lastPrinted>2022-03-17T08:16:00Z</cp:lastPrinted>
  <dcterms:created xsi:type="dcterms:W3CDTF">2025-06-16T09:50:00Z</dcterms:created>
  <dcterms:modified xsi:type="dcterms:W3CDTF">2025-06-16T09:50:00Z</dcterms:modified>
</cp:coreProperties>
</file>