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401376" w14:textId="77777777" w:rsidR="00C04C4E" w:rsidRPr="00C04C4E" w:rsidRDefault="00C04C4E" w:rsidP="00C04C4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</w:pPr>
    </w:p>
    <w:p w14:paraId="69377FD0" w14:textId="77777777" w:rsidR="00C04C4E" w:rsidRPr="00C04C4E" w:rsidRDefault="00C04C4E" w:rsidP="00C04C4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 xml:space="preserve">Poznámky </w:t>
      </w:r>
    </w:p>
    <w:p w14:paraId="112F48A0" w14:textId="77777777" w:rsidR="00C04C4E" w:rsidRPr="00C04C4E" w:rsidRDefault="00C04C4E" w:rsidP="00C04C4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konsolidovanej účtovnej závierky zostavenej k 31.12.2024</w:t>
      </w:r>
    </w:p>
    <w:p w14:paraId="5E01D17A" w14:textId="77777777" w:rsidR="00C04C4E" w:rsidRPr="00C04C4E" w:rsidRDefault="00C04C4E" w:rsidP="00C04C4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 xml:space="preserve">účtovnej jednotky verejnej správy </w:t>
      </w:r>
    </w:p>
    <w:p w14:paraId="06CE2DBC" w14:textId="77777777" w:rsidR="00C04C4E" w:rsidRPr="00C04C4E" w:rsidRDefault="00C04C4E" w:rsidP="00C04C4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obce BUČANY</w:t>
      </w:r>
    </w:p>
    <w:p w14:paraId="2EBD34CE" w14:textId="77777777" w:rsidR="00C04C4E" w:rsidRPr="00C04C4E" w:rsidRDefault="00C04C4E" w:rsidP="00C04C4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</w:pPr>
    </w:p>
    <w:p w14:paraId="2B9F7C75" w14:textId="77777777" w:rsidR="00C04C4E" w:rsidRPr="00C04C4E" w:rsidRDefault="00C04C4E" w:rsidP="00C04C4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Čl. I</w:t>
      </w:r>
    </w:p>
    <w:p w14:paraId="20766222" w14:textId="77777777" w:rsidR="00C04C4E" w:rsidRPr="00C04C4E" w:rsidRDefault="00C04C4E" w:rsidP="00C04C4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b/>
          <w:caps/>
          <w:kern w:val="0"/>
          <w:lang w:eastAsia="sk-SK"/>
          <w14:ligatures w14:val="none"/>
        </w:rPr>
        <w:t>Všeobecné údaje</w:t>
      </w:r>
    </w:p>
    <w:p w14:paraId="789F6CB8" w14:textId="77777777" w:rsidR="00C04C4E" w:rsidRPr="00C04C4E" w:rsidRDefault="00C04C4E" w:rsidP="00C04C4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kern w:val="0"/>
          <w:lang w:eastAsia="sk-SK"/>
          <w14:ligatures w14:val="none"/>
        </w:rPr>
      </w:pPr>
    </w:p>
    <w:p w14:paraId="171ABBCB" w14:textId="77777777" w:rsidR="00C04C4E" w:rsidRPr="00C04C4E" w:rsidRDefault="00C04C4E" w:rsidP="00C04C4E">
      <w:pPr>
        <w:spacing w:after="0" w:line="360" w:lineRule="auto"/>
        <w:rPr>
          <w:rFonts w:ascii="Times New Roman" w:eastAsia="Times New Roman" w:hAnsi="Times New Roman" w:cs="Times New Roman"/>
          <w:b/>
          <w:i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b/>
          <w:i/>
          <w:kern w:val="0"/>
          <w:lang w:eastAsia="sk-SK"/>
          <w14:ligatures w14:val="none"/>
        </w:rPr>
        <w:t>Identifikačné údaje o  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04C4E" w:rsidRPr="00C04C4E" w14:paraId="7F48F6A7" w14:textId="77777777" w:rsidTr="0059319C">
        <w:tc>
          <w:tcPr>
            <w:tcW w:w="4781" w:type="dxa"/>
            <w:vAlign w:val="center"/>
          </w:tcPr>
          <w:p w14:paraId="77A3126A" w14:textId="77777777" w:rsidR="00C04C4E" w:rsidRPr="00C04C4E" w:rsidRDefault="00C04C4E" w:rsidP="00C04C4E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C04C4E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Názov konsolidujúcej účtovnej jednotky</w:t>
            </w:r>
          </w:p>
        </w:tc>
        <w:tc>
          <w:tcPr>
            <w:tcW w:w="5479" w:type="dxa"/>
          </w:tcPr>
          <w:p w14:paraId="46066B23" w14:textId="77777777" w:rsidR="00C04C4E" w:rsidRPr="00C04C4E" w:rsidRDefault="00C04C4E" w:rsidP="00C04C4E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C04C4E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OBEC Bučany</w:t>
            </w:r>
          </w:p>
        </w:tc>
      </w:tr>
      <w:tr w:rsidR="00C04C4E" w:rsidRPr="00C04C4E" w14:paraId="5E7CFEAE" w14:textId="77777777" w:rsidTr="0059319C">
        <w:tc>
          <w:tcPr>
            <w:tcW w:w="4781" w:type="dxa"/>
            <w:vAlign w:val="center"/>
          </w:tcPr>
          <w:p w14:paraId="2D2B55D0" w14:textId="77777777" w:rsidR="00C04C4E" w:rsidRPr="00C04C4E" w:rsidRDefault="00C04C4E" w:rsidP="00C04C4E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C04C4E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Sídlo konsolidujúcej účtovnej jednotky</w:t>
            </w:r>
          </w:p>
        </w:tc>
        <w:tc>
          <w:tcPr>
            <w:tcW w:w="5479" w:type="dxa"/>
          </w:tcPr>
          <w:p w14:paraId="7287CAD3" w14:textId="0D48BEA9" w:rsidR="00C04C4E" w:rsidRPr="00C04C4E" w:rsidRDefault="00C04C4E" w:rsidP="00C04C4E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C04C4E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Námestie sv. Floriána 269/1</w:t>
            </w:r>
            <w:r w:rsidR="00A4123A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, 919 28 Bučany</w:t>
            </w:r>
          </w:p>
        </w:tc>
      </w:tr>
      <w:tr w:rsidR="00C04C4E" w:rsidRPr="00C04C4E" w14:paraId="670018EF" w14:textId="77777777" w:rsidTr="0059319C">
        <w:tc>
          <w:tcPr>
            <w:tcW w:w="4781" w:type="dxa"/>
            <w:vAlign w:val="center"/>
          </w:tcPr>
          <w:p w14:paraId="7C434721" w14:textId="77777777" w:rsidR="00C04C4E" w:rsidRPr="00C04C4E" w:rsidRDefault="00C04C4E" w:rsidP="00C04C4E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C04C4E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14:paraId="3C0CA8BC" w14:textId="77777777" w:rsidR="00C04C4E" w:rsidRPr="00C04C4E" w:rsidRDefault="00C04C4E" w:rsidP="00C04C4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C04C4E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Obec - zo zákona č.369/1990 Zb.</w:t>
            </w:r>
          </w:p>
          <w:p w14:paraId="4CB215EE" w14:textId="77777777" w:rsidR="00C04C4E" w:rsidRPr="00C04C4E" w:rsidRDefault="00C04C4E" w:rsidP="00C04C4E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C04C4E" w:rsidRPr="00C04C4E" w14:paraId="30996CA6" w14:textId="77777777" w:rsidTr="0059319C">
        <w:tc>
          <w:tcPr>
            <w:tcW w:w="4781" w:type="dxa"/>
            <w:vAlign w:val="center"/>
          </w:tcPr>
          <w:p w14:paraId="09C981FD" w14:textId="77777777" w:rsidR="00C04C4E" w:rsidRPr="00C04C4E" w:rsidRDefault="00C04C4E" w:rsidP="00C04C4E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C04C4E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Štatutárny orgán</w:t>
            </w:r>
          </w:p>
        </w:tc>
        <w:tc>
          <w:tcPr>
            <w:tcW w:w="5479" w:type="dxa"/>
          </w:tcPr>
          <w:p w14:paraId="128C6F60" w14:textId="2C1AD26F" w:rsidR="00C04C4E" w:rsidRPr="00C04C4E" w:rsidRDefault="004F6838" w:rsidP="00C04C4E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Ing. Rastislav  Kurinec, </w:t>
            </w:r>
            <w:r w:rsidR="00C04C4E" w:rsidRPr="00C04C4E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starosta</w:t>
            </w:r>
          </w:p>
        </w:tc>
      </w:tr>
    </w:tbl>
    <w:p w14:paraId="08E9EDAE" w14:textId="77777777" w:rsidR="00C04C4E" w:rsidRPr="00C04C4E" w:rsidRDefault="00C04C4E" w:rsidP="00C04C4E">
      <w:pPr>
        <w:spacing w:after="0" w:line="360" w:lineRule="auto"/>
        <w:rPr>
          <w:rFonts w:ascii="Times New Roman" w:eastAsia="Times New Roman" w:hAnsi="Times New Roman" w:cs="Times New Roman"/>
          <w:b/>
          <w:i/>
          <w:kern w:val="0"/>
          <w:lang w:eastAsia="sk-SK"/>
          <w14:ligatures w14:val="none"/>
        </w:rPr>
      </w:pPr>
    </w:p>
    <w:p w14:paraId="114FE9BB" w14:textId="77777777" w:rsidR="00C04C4E" w:rsidRPr="00C04C4E" w:rsidRDefault="00C04C4E" w:rsidP="00C04C4E">
      <w:pPr>
        <w:spacing w:after="0" w:line="360" w:lineRule="auto"/>
        <w:rPr>
          <w:rFonts w:ascii="Times New Roman" w:eastAsia="Times New Roman" w:hAnsi="Times New Roman" w:cs="Times New Roman"/>
          <w:b/>
          <w:i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b/>
          <w:i/>
          <w:kern w:val="0"/>
          <w:lang w:eastAsia="sk-SK"/>
          <w14:ligatures w14:val="none"/>
        </w:rPr>
        <w:t>Identifikačné údaje o konsolidovaných  účtovných  jednotkách  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04C4E" w:rsidRPr="00C04C4E" w14:paraId="6B801535" w14:textId="77777777" w:rsidTr="0059319C">
        <w:tc>
          <w:tcPr>
            <w:tcW w:w="4781" w:type="dxa"/>
            <w:vAlign w:val="center"/>
          </w:tcPr>
          <w:p w14:paraId="41C66348" w14:textId="77777777" w:rsidR="00C04C4E" w:rsidRPr="00C04C4E" w:rsidRDefault="00C04C4E" w:rsidP="00C04C4E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C04C4E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Názov konsolidovanej účtovnej jednotky</w:t>
            </w:r>
          </w:p>
        </w:tc>
        <w:tc>
          <w:tcPr>
            <w:tcW w:w="5479" w:type="dxa"/>
          </w:tcPr>
          <w:p w14:paraId="72DB8B68" w14:textId="77777777" w:rsidR="00C04C4E" w:rsidRPr="00C04C4E" w:rsidRDefault="00C04C4E" w:rsidP="00C04C4E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C04C4E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Základná škola s materskou školou </w:t>
            </w:r>
          </w:p>
        </w:tc>
      </w:tr>
      <w:tr w:rsidR="00C04C4E" w:rsidRPr="00C04C4E" w14:paraId="023B28C9" w14:textId="77777777" w:rsidTr="0059319C">
        <w:tc>
          <w:tcPr>
            <w:tcW w:w="4781" w:type="dxa"/>
            <w:vAlign w:val="center"/>
          </w:tcPr>
          <w:p w14:paraId="2BBA78FB" w14:textId="77777777" w:rsidR="00C04C4E" w:rsidRPr="00C04C4E" w:rsidRDefault="00C04C4E" w:rsidP="00C04C4E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C04C4E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Sídlo konsolidovanej účtovnej jednotky</w:t>
            </w:r>
          </w:p>
        </w:tc>
        <w:tc>
          <w:tcPr>
            <w:tcW w:w="5479" w:type="dxa"/>
          </w:tcPr>
          <w:p w14:paraId="2BC01039" w14:textId="7E025313" w:rsidR="00C04C4E" w:rsidRPr="00C04C4E" w:rsidRDefault="00C04C4E" w:rsidP="00C04C4E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C04C4E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Hlavná 155/116</w:t>
            </w:r>
            <w:r w:rsidR="00A4123A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, 919 28 Bučany</w:t>
            </w:r>
          </w:p>
        </w:tc>
      </w:tr>
      <w:tr w:rsidR="00C04C4E" w:rsidRPr="00C04C4E" w14:paraId="7BF98980" w14:textId="77777777" w:rsidTr="0059319C">
        <w:tc>
          <w:tcPr>
            <w:tcW w:w="4781" w:type="dxa"/>
            <w:vAlign w:val="center"/>
          </w:tcPr>
          <w:p w14:paraId="329864D6" w14:textId="77777777" w:rsidR="00C04C4E" w:rsidRPr="00C04C4E" w:rsidRDefault="00C04C4E" w:rsidP="00C04C4E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C04C4E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1B6139F7" w14:textId="77777777" w:rsidR="00C04C4E" w:rsidRPr="00C04C4E" w:rsidRDefault="00C04C4E" w:rsidP="00C04C4E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C04C4E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01.01.2002</w:t>
            </w:r>
          </w:p>
        </w:tc>
      </w:tr>
    </w:tbl>
    <w:p w14:paraId="2F1CEC5C" w14:textId="77777777" w:rsidR="00C04C4E" w:rsidRPr="00C04C4E" w:rsidRDefault="00C04C4E" w:rsidP="00C04C4E">
      <w:pPr>
        <w:spacing w:after="0" w:line="36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04C4E" w:rsidRPr="00C04C4E" w14:paraId="588E5422" w14:textId="77777777" w:rsidTr="0059319C">
        <w:tc>
          <w:tcPr>
            <w:tcW w:w="4781" w:type="dxa"/>
            <w:vAlign w:val="center"/>
          </w:tcPr>
          <w:p w14:paraId="03A45ED1" w14:textId="77777777" w:rsidR="00C04C4E" w:rsidRPr="00C04C4E" w:rsidRDefault="00C04C4E" w:rsidP="00C04C4E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C04C4E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Názov konsolidovanej účtovnej jednotky</w:t>
            </w:r>
          </w:p>
        </w:tc>
        <w:tc>
          <w:tcPr>
            <w:tcW w:w="5479" w:type="dxa"/>
          </w:tcPr>
          <w:p w14:paraId="53D61FC9" w14:textId="77777777" w:rsidR="00C04C4E" w:rsidRPr="00C04C4E" w:rsidRDefault="00C04C4E" w:rsidP="00C04C4E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C04C4E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Kultúrno-spoločenské centrum Bučany </w:t>
            </w:r>
          </w:p>
        </w:tc>
      </w:tr>
      <w:tr w:rsidR="00C04C4E" w:rsidRPr="00C04C4E" w14:paraId="02A1C899" w14:textId="77777777" w:rsidTr="0059319C">
        <w:tc>
          <w:tcPr>
            <w:tcW w:w="4781" w:type="dxa"/>
            <w:vAlign w:val="center"/>
          </w:tcPr>
          <w:p w14:paraId="673E8EB1" w14:textId="77777777" w:rsidR="00C04C4E" w:rsidRPr="00C04C4E" w:rsidRDefault="00C04C4E" w:rsidP="00C04C4E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C04C4E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Sídlo konsolidovanej účtovnej jednotky</w:t>
            </w:r>
          </w:p>
        </w:tc>
        <w:tc>
          <w:tcPr>
            <w:tcW w:w="5479" w:type="dxa"/>
          </w:tcPr>
          <w:p w14:paraId="65F4FD2E" w14:textId="36072855" w:rsidR="00C04C4E" w:rsidRPr="00C04C4E" w:rsidRDefault="00C04C4E" w:rsidP="00C04C4E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C04C4E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Námestie sv. Floriána 108/6</w:t>
            </w:r>
            <w:r w:rsidR="00A4123A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, 919 28 Bučany</w:t>
            </w:r>
          </w:p>
        </w:tc>
      </w:tr>
      <w:tr w:rsidR="00C04C4E" w:rsidRPr="00C04C4E" w14:paraId="11E8E9C8" w14:textId="77777777" w:rsidTr="0059319C">
        <w:tc>
          <w:tcPr>
            <w:tcW w:w="4781" w:type="dxa"/>
            <w:vAlign w:val="center"/>
          </w:tcPr>
          <w:p w14:paraId="139944DD" w14:textId="77777777" w:rsidR="00C04C4E" w:rsidRPr="00C04C4E" w:rsidRDefault="00C04C4E" w:rsidP="00C04C4E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C04C4E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79F39D5D" w14:textId="77777777" w:rsidR="00C04C4E" w:rsidRPr="00C04C4E" w:rsidRDefault="00C04C4E" w:rsidP="00C04C4E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C04C4E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5. 11. 2009</w:t>
            </w:r>
          </w:p>
        </w:tc>
      </w:tr>
    </w:tbl>
    <w:p w14:paraId="2F5D4DD6" w14:textId="77777777" w:rsidR="00C04C4E" w:rsidRPr="00C04C4E" w:rsidRDefault="00C04C4E" w:rsidP="00C04C4E">
      <w:pPr>
        <w:spacing w:after="0" w:line="360" w:lineRule="auto"/>
        <w:rPr>
          <w:rFonts w:ascii="Times New Roman" w:eastAsia="Times New Roman" w:hAnsi="Times New Roman" w:cs="Times New Roman"/>
          <w:b/>
          <w:i/>
          <w:kern w:val="0"/>
          <w:lang w:eastAsia="sk-SK"/>
          <w14:ligatures w14:val="none"/>
        </w:rPr>
      </w:pPr>
    </w:p>
    <w:p w14:paraId="297FDCB7" w14:textId="77777777" w:rsidR="00C04C4E" w:rsidRPr="00C04C4E" w:rsidRDefault="00C04C4E" w:rsidP="00C04C4E">
      <w:pPr>
        <w:spacing w:after="0" w:line="360" w:lineRule="auto"/>
        <w:rPr>
          <w:rFonts w:ascii="Times New Roman" w:eastAsia="Times New Roman" w:hAnsi="Times New Roman" w:cs="Times New Roman"/>
          <w:b/>
          <w:i/>
          <w:kern w:val="0"/>
          <w:lang w:eastAsia="sk-SK"/>
          <w14:ligatures w14:val="none"/>
        </w:rPr>
      </w:pPr>
    </w:p>
    <w:p w14:paraId="29432762" w14:textId="77777777" w:rsidR="00C04C4E" w:rsidRPr="00C04C4E" w:rsidRDefault="00C04C4E" w:rsidP="00C04C4E">
      <w:pPr>
        <w:spacing w:after="0" w:line="360" w:lineRule="auto"/>
        <w:rPr>
          <w:rFonts w:ascii="Times New Roman" w:eastAsia="Times New Roman" w:hAnsi="Times New Roman" w:cs="Times New Roman"/>
          <w:b/>
          <w:i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b/>
          <w:i/>
          <w:kern w:val="0"/>
          <w:lang w:eastAsia="sk-SK"/>
          <w14:ligatures w14:val="none"/>
        </w:rPr>
        <w:t xml:space="preserve">Informácie o zamestnancoch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04C4E" w:rsidRPr="00C04C4E" w14:paraId="34F48DC5" w14:textId="77777777" w:rsidTr="0059319C">
        <w:tc>
          <w:tcPr>
            <w:tcW w:w="4781" w:type="dxa"/>
            <w:vAlign w:val="center"/>
          </w:tcPr>
          <w:p w14:paraId="104A9859" w14:textId="77777777" w:rsidR="00C04C4E" w:rsidRPr="00C04C4E" w:rsidRDefault="00C04C4E" w:rsidP="00C04C4E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C04C4E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Priemerný počet zamestnancov  konsolidovaného celku počas účtovného obdobia</w:t>
            </w:r>
          </w:p>
        </w:tc>
        <w:tc>
          <w:tcPr>
            <w:tcW w:w="5479" w:type="dxa"/>
          </w:tcPr>
          <w:p w14:paraId="18C33539" w14:textId="77777777" w:rsidR="00C04C4E" w:rsidRPr="00C04C4E" w:rsidRDefault="00C04C4E" w:rsidP="00C04C4E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color w:val="000000"/>
                <w:kern w:val="0"/>
                <w:lang w:eastAsia="sk-SK"/>
                <w14:ligatures w14:val="none"/>
              </w:rPr>
            </w:pPr>
            <w:r w:rsidRPr="00C04C4E">
              <w:rPr>
                <w:rFonts w:ascii="Times New Roman" w:eastAsia="Times New Roman" w:hAnsi="Times New Roman" w:cs="Times New Roman"/>
                <w:i/>
                <w:color w:val="000000"/>
                <w:kern w:val="0"/>
                <w:lang w:eastAsia="sk-SK"/>
                <w14:ligatures w14:val="none"/>
              </w:rPr>
              <w:t>60,8  (v roku 2023  to bolo 55,32)</w:t>
            </w:r>
          </w:p>
          <w:p w14:paraId="13DD899A" w14:textId="77777777" w:rsidR="00C04C4E" w:rsidRPr="00C04C4E" w:rsidRDefault="00C04C4E" w:rsidP="00C04C4E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C04C4E" w:rsidRPr="00C04C4E" w14:paraId="1B498B84" w14:textId="77777777" w:rsidTr="0059319C">
        <w:tc>
          <w:tcPr>
            <w:tcW w:w="4781" w:type="dxa"/>
            <w:vAlign w:val="center"/>
          </w:tcPr>
          <w:p w14:paraId="24EF9A95" w14:textId="77777777" w:rsidR="00C04C4E" w:rsidRPr="00C04C4E" w:rsidRDefault="00C04C4E" w:rsidP="00C04C4E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C04C4E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 z toho : Počet  vedúcich  zamestnancov </w:t>
            </w:r>
          </w:p>
        </w:tc>
        <w:tc>
          <w:tcPr>
            <w:tcW w:w="5479" w:type="dxa"/>
          </w:tcPr>
          <w:p w14:paraId="1709FBB5" w14:textId="77777777" w:rsidR="00C04C4E" w:rsidRPr="00C04C4E" w:rsidRDefault="00C04C4E" w:rsidP="00C04C4E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color w:val="000000"/>
                <w:kern w:val="0"/>
                <w:lang w:eastAsia="sk-SK"/>
                <w14:ligatures w14:val="none"/>
              </w:rPr>
            </w:pPr>
            <w:r w:rsidRPr="00C04C4E">
              <w:rPr>
                <w:rFonts w:ascii="Times New Roman" w:eastAsia="Times New Roman" w:hAnsi="Times New Roman" w:cs="Times New Roman"/>
                <w:i/>
                <w:color w:val="000000"/>
                <w:kern w:val="0"/>
                <w:lang w:eastAsia="sk-SK"/>
                <w14:ligatures w14:val="none"/>
              </w:rPr>
              <w:t>6 (v roku 2023 to bolo 6)</w:t>
            </w:r>
          </w:p>
          <w:p w14:paraId="7509FD5B" w14:textId="77777777" w:rsidR="00C04C4E" w:rsidRPr="00C04C4E" w:rsidRDefault="00C04C4E" w:rsidP="00C04C4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sk-SK"/>
                <w14:ligatures w14:val="none"/>
              </w:rPr>
            </w:pPr>
          </w:p>
        </w:tc>
      </w:tr>
    </w:tbl>
    <w:p w14:paraId="6F79F961" w14:textId="77777777" w:rsidR="00C04C4E" w:rsidRPr="00C04C4E" w:rsidRDefault="00C04C4E" w:rsidP="00C04C4E">
      <w:pPr>
        <w:spacing w:after="0" w:line="360" w:lineRule="auto"/>
        <w:rPr>
          <w:rFonts w:ascii="Times New Roman" w:eastAsia="Times New Roman" w:hAnsi="Times New Roman" w:cs="Times New Roman"/>
          <w:b/>
          <w:i/>
          <w:kern w:val="0"/>
          <w:lang w:eastAsia="sk-SK"/>
          <w14:ligatures w14:val="none"/>
        </w:rPr>
      </w:pPr>
    </w:p>
    <w:p w14:paraId="60B598C5" w14:textId="2E3D0CC7" w:rsidR="00C04C4E" w:rsidRPr="00C04C4E" w:rsidRDefault="00C04C4E" w:rsidP="00C04C4E">
      <w:pPr>
        <w:spacing w:after="0" w:line="360" w:lineRule="auto"/>
        <w:ind w:right="-79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lastRenderedPageBreak/>
        <w:t>Konsolidovaný celok sa v roku 2024 oproti minulým účtovným obdobiam nezmenil.</w:t>
      </w:r>
    </w:p>
    <w:p w14:paraId="31B2ACE9" w14:textId="77777777" w:rsidR="00C04C4E" w:rsidRPr="00C04C4E" w:rsidRDefault="00C04C4E" w:rsidP="00C04C4E">
      <w:pPr>
        <w:spacing w:after="0" w:line="360" w:lineRule="auto"/>
        <w:ind w:right="-79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Prehľad o účtovných jednotkách konsolidovaného celku je uvedený v prílohe,  v tabuľkovej časti </w:t>
      </w:r>
      <w:r w:rsidRPr="00C04C4E">
        <w:rPr>
          <w:rFonts w:ascii="Times New Roman" w:eastAsia="Times New Roman" w:hAnsi="Times New Roman" w:cs="Times New Roman"/>
          <w:i/>
          <w:kern w:val="0"/>
          <w:lang w:eastAsia="sk-SK"/>
          <w14:ligatures w14:val="none"/>
        </w:rPr>
        <w:t>Poznámok</w:t>
      </w: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. </w:t>
      </w:r>
    </w:p>
    <w:p w14:paraId="2EA03D57" w14:textId="77777777" w:rsidR="00C04C4E" w:rsidRPr="00C04C4E" w:rsidRDefault="00C04C4E" w:rsidP="00C04C4E">
      <w:pPr>
        <w:spacing w:after="0" w:line="360" w:lineRule="auto"/>
        <w:ind w:right="-79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545DEC26" w14:textId="77777777" w:rsidR="00C04C4E" w:rsidRPr="00C04C4E" w:rsidRDefault="00C04C4E" w:rsidP="00C04C4E">
      <w:pPr>
        <w:spacing w:after="0" w:line="360" w:lineRule="auto"/>
        <w:ind w:right="-79"/>
        <w:jc w:val="center"/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Čl. II</w:t>
      </w:r>
    </w:p>
    <w:p w14:paraId="32395AD4" w14:textId="77777777" w:rsidR="00C04C4E" w:rsidRPr="00C04C4E" w:rsidRDefault="00C04C4E" w:rsidP="00C04C4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b/>
          <w:caps/>
          <w:kern w:val="0"/>
          <w:lang w:eastAsia="sk-SK"/>
          <w14:ligatures w14:val="none"/>
        </w:rPr>
        <w:t>Informácie o metódach a postupoch konsolidácie</w:t>
      </w:r>
    </w:p>
    <w:p w14:paraId="5D5E3581" w14:textId="77777777" w:rsidR="00C04C4E" w:rsidRPr="00C04C4E" w:rsidRDefault="00C04C4E" w:rsidP="00C04C4E">
      <w:pPr>
        <w:spacing w:after="0" w:line="360" w:lineRule="auto"/>
        <w:rPr>
          <w:rFonts w:ascii="Times New Roman" w:eastAsia="Times New Roman" w:hAnsi="Times New Roman" w:cs="Times New Roman"/>
          <w:b/>
          <w:caps/>
          <w:kern w:val="0"/>
          <w:lang w:eastAsia="sk-SK"/>
          <w14:ligatures w14:val="none"/>
        </w:rPr>
      </w:pPr>
    </w:p>
    <w:p w14:paraId="02378270" w14:textId="77777777" w:rsidR="00C04C4E" w:rsidRPr="00C04C4E" w:rsidRDefault="00C04C4E" w:rsidP="00C97795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Konsolidovaná  účtovná  závierka  Obce  Bučany  bola zostavená v súlade so zákonom                               č. 431/2002 Z. z. o účtovníctve v znení neskorších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2693BDBC" w14:textId="77777777" w:rsidR="00C04C4E" w:rsidRPr="00C04C4E" w:rsidRDefault="00C04C4E" w:rsidP="00C97795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Konsolidovaná účtovná závierka k 31. decembru 2024 je zostavená ako riadna konsolidovaná účtovná závierka podľa zákona č. 431/2002 Z. z. o účtovníctve v znení neskorších predpisov, za účtovné obdobie od 1. januára 2024 do 31. decembra 2024. </w:t>
      </w:r>
    </w:p>
    <w:p w14:paraId="0CE28DE0" w14:textId="77777777" w:rsidR="00C04C4E" w:rsidRPr="00C04C4E" w:rsidRDefault="00C04C4E" w:rsidP="00C97795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Konsolidujúca účtovná jednotka je súčasťou súhrnného celku verejnej správy Slovenskej republiky.</w:t>
      </w:r>
    </w:p>
    <w:p w14:paraId="6A6973CF" w14:textId="77777777" w:rsidR="00C04C4E" w:rsidRPr="00C04C4E" w:rsidRDefault="00C04C4E" w:rsidP="00C97795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Konsolidovaná účtovná závierka bola zostavená za predpokladu nepretržitého trvania  činnosti v súlade so zákonom o účtovníctve a nadväzujúcimi právnymi predpismi.</w:t>
      </w:r>
    </w:p>
    <w:p w14:paraId="6A8CB732" w14:textId="77777777" w:rsidR="00C04C4E" w:rsidRPr="00C04C4E" w:rsidRDefault="00C04C4E" w:rsidP="00C97795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Účtovné metódy a všeobecné účtovné zásady boli účtovnou jednotkou konzistentne aplikované.  </w:t>
      </w:r>
    </w:p>
    <w:p w14:paraId="335CE1B1" w14:textId="77777777" w:rsidR="00C04C4E" w:rsidRPr="00C04C4E" w:rsidRDefault="00C04C4E" w:rsidP="00C97795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Medzi účtovnými jednotkami konsolidovaného celku neboli uskutočnené transakcie z dôvodu predaja majetku.</w:t>
      </w:r>
    </w:p>
    <w:p w14:paraId="0D4B05B1" w14:textId="77777777" w:rsidR="00C04C4E" w:rsidRPr="00C04C4E" w:rsidRDefault="00C04C4E" w:rsidP="00C04C4E">
      <w:pPr>
        <w:spacing w:after="0" w:line="360" w:lineRule="auto"/>
        <w:rPr>
          <w:rFonts w:ascii="Times New Roman" w:eastAsia="Times New Roman" w:hAnsi="Times New Roman" w:cs="Times New Roman"/>
          <w:i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i/>
          <w:kern w:val="0"/>
          <w:lang w:eastAsia="sk-SK"/>
          <w14:ligatures w14:val="none"/>
        </w:rPr>
        <w:t>Zahrnutie konsolidovaných účtovných jednotiek do konsolidovanej účtovnej závierky</w:t>
      </w:r>
    </w:p>
    <w:p w14:paraId="1226083B" w14:textId="77777777" w:rsidR="00C04C4E" w:rsidRPr="00C04C4E" w:rsidRDefault="00C04C4E" w:rsidP="00C04C4E">
      <w:pPr>
        <w:spacing w:after="0" w:line="36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Metóda úplnej konsolidácie bola použitá pri dcérskych účtovných jednotkách.</w:t>
      </w:r>
    </w:p>
    <w:p w14:paraId="58168A5C" w14:textId="77777777" w:rsidR="00C04C4E" w:rsidRPr="00C04C4E" w:rsidRDefault="00C04C4E" w:rsidP="00C04C4E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73C6DDD6" w14:textId="77777777" w:rsidR="00C04C4E" w:rsidRPr="00C04C4E" w:rsidRDefault="00C04C4E" w:rsidP="00C04C4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iCs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b/>
          <w:iCs/>
          <w:kern w:val="0"/>
          <w:lang w:eastAsia="sk-SK"/>
          <w14:ligatures w14:val="none"/>
        </w:rPr>
        <w:t>Čl. III</w:t>
      </w:r>
    </w:p>
    <w:p w14:paraId="2F394298" w14:textId="77777777" w:rsidR="00C04C4E" w:rsidRPr="00C04C4E" w:rsidRDefault="00C04C4E" w:rsidP="00C04C4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Informácie o metódach oceňovania použitých pri ocenení jednotlivých položiek konsolidovanej účtovnej závierky</w:t>
      </w:r>
    </w:p>
    <w:p w14:paraId="42BC91C4" w14:textId="77777777" w:rsidR="00C04C4E" w:rsidRPr="00C04C4E" w:rsidRDefault="00C04C4E" w:rsidP="00C04C4E">
      <w:pPr>
        <w:spacing w:after="0" w:line="360" w:lineRule="auto"/>
        <w:ind w:right="-79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5730F028" w14:textId="77777777" w:rsidR="00C04C4E" w:rsidRPr="00C04C4E" w:rsidRDefault="00C04C4E" w:rsidP="00C04C4E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i/>
          <w:iCs/>
          <w:kern w:val="0"/>
          <w:u w:val="single"/>
          <w:lang w:eastAsia="sk-SK"/>
          <w14:ligatures w14:val="none"/>
        </w:rPr>
        <w:t>Spôsob oceňovania jednotlivých položiek aktív a pasív v súlade so zákonom č. 431/2002 Z. z. o účtovníctve v znení neskorších predpisov</w:t>
      </w: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</w:t>
      </w:r>
    </w:p>
    <w:p w14:paraId="0B7A1436" w14:textId="77777777" w:rsidR="00C04C4E" w:rsidRPr="00C04C4E" w:rsidRDefault="00C04C4E" w:rsidP="00C04C4E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0"/>
          <w14:ligatures w14:val="none"/>
        </w:rPr>
      </w:pPr>
      <w:r w:rsidRPr="00C04C4E">
        <w:rPr>
          <w:rFonts w:ascii="Times New Roman" w:eastAsia="Calibri" w:hAnsi="Times New Roman" w:cs="Times New Roman"/>
          <w:kern w:val="0"/>
          <w14:ligatures w14:val="none"/>
        </w:rPr>
        <w:t xml:space="preserve">Dlhodobý majetok obstaraný kúpou sa oceňuje obstarávacou cenou, ktorá zahrňuje cenu obstarania a náklady súvisiace s obstaraním. Dlhodobý majetok vytvorený vlastnou činnosťou sa oceňuje vlastnými nákladmi. Dlhodobý majetok nadobudnutý bezodplatným prevodom pri splynutí, zlúčení, rozdelení alebo pri prevode správy sa oceňuje cenou, v ktorej sa doteraz </w:t>
      </w:r>
      <w:r w:rsidRPr="00C04C4E">
        <w:rPr>
          <w:rFonts w:ascii="Times New Roman" w:eastAsia="Calibri" w:hAnsi="Times New Roman" w:cs="Times New Roman"/>
          <w:kern w:val="0"/>
          <w14:ligatures w14:val="none"/>
        </w:rPr>
        <w:lastRenderedPageBreak/>
        <w:t>viedol v účtovníctve. Dlhodobý hmotný a nehmotný majetok nadobudnutý bezodplatne sa oceňuje reálnou hodnotou.</w:t>
      </w:r>
    </w:p>
    <w:p w14:paraId="656621C0" w14:textId="77777777" w:rsidR="00C04C4E" w:rsidRPr="00C04C4E" w:rsidRDefault="00C04C4E" w:rsidP="00C04C4E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Odpisy dlhodobého nehmotného majetku a dlhodobého hmotného majetku vychádzajú z predpokladanej doby a spôsobu a rozsahu jeho používania, pričom  odpisovať sa začína odo dňa jeho zaradenia. V tejto časti sa popisuje aj spôsob tvorby odpisového plánu so všetkými jeho atribútmi pre výpočet účtovných odpisov.</w:t>
      </w:r>
    </w:p>
    <w:p w14:paraId="1A299D31" w14:textId="77777777" w:rsidR="00C04C4E" w:rsidRPr="00C04C4E" w:rsidRDefault="00C04C4E" w:rsidP="00C04C4E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Cenné papiere a podiely sa oceňujú pri ich nadobudnutí obstarávacími cenami.  </w:t>
      </w:r>
    </w:p>
    <w:p w14:paraId="49801D7E" w14:textId="77777777" w:rsidR="00C04C4E" w:rsidRPr="00C04C4E" w:rsidRDefault="00C04C4E" w:rsidP="00C04C4E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Zásoby nakupované sa oceňujú obstarávacou cenou. </w:t>
      </w:r>
    </w:p>
    <w:p w14:paraId="52F8498F" w14:textId="77777777" w:rsidR="00C04C4E" w:rsidRPr="00C04C4E" w:rsidRDefault="00C04C4E" w:rsidP="00C04C4E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Zásoby vytvorené vlastnou činnosťou sa oceňujú vlastnými nákladmi. </w:t>
      </w:r>
    </w:p>
    <w:p w14:paraId="1A2AC42D" w14:textId="77777777" w:rsidR="00C04C4E" w:rsidRPr="00C04C4E" w:rsidRDefault="00C04C4E" w:rsidP="00C04C4E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Zásoby nadobudnuté bezodplatne sa oceňujú reálnou hodnotou.</w:t>
      </w:r>
    </w:p>
    <w:p w14:paraId="75B4A1ED" w14:textId="77777777" w:rsidR="00C04C4E" w:rsidRPr="00C04C4E" w:rsidRDefault="00C04C4E" w:rsidP="00C04C4E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Pohľadávky pri ich vzniku sa oceňujú menovitou hodnotou. </w:t>
      </w:r>
    </w:p>
    <w:p w14:paraId="2DB4E80D" w14:textId="77777777" w:rsidR="00C04C4E" w:rsidRPr="00C04C4E" w:rsidRDefault="00C04C4E" w:rsidP="00C04C4E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Pohľadávky pri odplatnom nadobudnutí sa oceňujú obstarávacou cenou. </w:t>
      </w:r>
    </w:p>
    <w:p w14:paraId="10370461" w14:textId="77777777" w:rsidR="00C04C4E" w:rsidRPr="00C04C4E" w:rsidRDefault="00C04C4E" w:rsidP="00C04C4E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Peňažné prostriedky a ceniny sa oceňujú menovitou hodnotou.</w:t>
      </w:r>
    </w:p>
    <w:p w14:paraId="29AFC5EC" w14:textId="77777777" w:rsidR="00C04C4E" w:rsidRPr="00C04C4E" w:rsidRDefault="00C04C4E" w:rsidP="00C04C4E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Záväzky sa pri ich vzniku oceňujú menovitou hodnotou a pri ich prevzatí sa oceňujú obstarávacou cenou. </w:t>
      </w:r>
    </w:p>
    <w:p w14:paraId="5748A98D" w14:textId="77777777" w:rsidR="00C04C4E" w:rsidRPr="00C04C4E" w:rsidRDefault="00C04C4E" w:rsidP="00C04C4E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Účty časového rozlíšenia aktív a pasív sú vykázané vo výške, ktorá je potrebná na dodržanie zásady vecnej a časovej súvislosti s účtovným obdobím.</w:t>
      </w:r>
    </w:p>
    <w:p w14:paraId="199D769E" w14:textId="77777777" w:rsidR="00C04C4E" w:rsidRPr="00C04C4E" w:rsidRDefault="00C04C4E" w:rsidP="00C04C4E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48DC508F" w14:textId="77777777" w:rsidR="00C04C4E" w:rsidRPr="00C04C4E" w:rsidRDefault="00C04C4E" w:rsidP="00C04C4E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bookmarkStart w:id="0" w:name="_Hlk162918807"/>
      <w:r w:rsidRPr="00C04C4E">
        <w:rPr>
          <w:rFonts w:ascii="Times New Roman" w:eastAsia="Times New Roman" w:hAnsi="Times New Roman" w:cs="Times New Roman"/>
          <w:i/>
          <w:iCs/>
          <w:kern w:val="0"/>
          <w:u w:val="single"/>
          <w:lang w:eastAsia="sk-SK"/>
          <w14:ligatures w14:val="none"/>
        </w:rPr>
        <w:t>Spôsob účtovania transferov</w:t>
      </w:r>
    </w:p>
    <w:p w14:paraId="470B4A87" w14:textId="77777777" w:rsidR="00C04C4E" w:rsidRPr="00C04C4E" w:rsidRDefault="00C04C4E" w:rsidP="00C04C4E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before="240" w:after="0" w:line="360" w:lineRule="auto"/>
        <w:contextualSpacing/>
        <w:jc w:val="both"/>
        <w:textAlignment w:val="center"/>
        <w:rPr>
          <w:rFonts w:ascii="Times New Roman" w:eastAsia="Times New Roman" w:hAnsi="Times New Roman" w:cs="Times New Roman"/>
          <w:bCs/>
          <w:color w:val="000000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bCs/>
          <w:color w:val="000000"/>
          <w:kern w:val="0"/>
          <w:lang w:eastAsia="sk-SK"/>
          <w14:ligatures w14:val="none"/>
        </w:rPr>
        <w:t xml:space="preserve">bežný transfer prijatý od iných subjektov ako od zriaďovateľa  sa  zúčtuje do výnosov vo vecnej a časovej súvislosti s nákladmi hradenými z tohto transferu </w:t>
      </w:r>
    </w:p>
    <w:p w14:paraId="1736E8F3" w14:textId="77777777" w:rsidR="00C04C4E" w:rsidRPr="00C04C4E" w:rsidRDefault="00C04C4E" w:rsidP="00C04C4E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before="240" w:after="0" w:line="360" w:lineRule="auto"/>
        <w:contextualSpacing/>
        <w:jc w:val="both"/>
        <w:textAlignment w:val="center"/>
        <w:rPr>
          <w:rFonts w:ascii="Times New Roman" w:eastAsia="Times New Roman" w:hAnsi="Times New Roman" w:cs="Times New Roman"/>
          <w:bCs/>
          <w:color w:val="000000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bCs/>
          <w:color w:val="000000"/>
          <w:kern w:val="0"/>
          <w:lang w:eastAsia="sk-SK"/>
          <w14:ligatures w14:val="none"/>
        </w:rPr>
        <w:t>bežný transfer prijatý od zriaďovateľa sa zúčtuje do výnosov vo vecnej a časovej súvislosti s výdavkami z tohto transferu</w:t>
      </w:r>
    </w:p>
    <w:p w14:paraId="309365D4" w14:textId="77777777" w:rsidR="00C04C4E" w:rsidRPr="00C04C4E" w:rsidRDefault="00C04C4E" w:rsidP="00C04C4E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before="240" w:after="0" w:line="360" w:lineRule="auto"/>
        <w:contextualSpacing/>
        <w:jc w:val="both"/>
        <w:textAlignment w:val="center"/>
        <w:rPr>
          <w:rFonts w:ascii="Times New Roman" w:eastAsia="Times New Roman" w:hAnsi="Times New Roman" w:cs="Times New Roman"/>
          <w:bCs/>
          <w:color w:val="000000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bCs/>
          <w:color w:val="000000"/>
          <w:kern w:val="0"/>
          <w:lang w:eastAsia="sk-SK"/>
          <w14:ligatures w14:val="none"/>
        </w:rPr>
        <w:t>bežný transfer poskytnutý iným subjektom ako zriadeným organizáciám -sa  zúčtuje do nákladov po splnení podmienok</w:t>
      </w:r>
    </w:p>
    <w:p w14:paraId="21B64EA8" w14:textId="77777777" w:rsidR="00C04C4E" w:rsidRPr="00C04C4E" w:rsidRDefault="00C04C4E" w:rsidP="00C04C4E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before="240" w:after="0" w:line="360" w:lineRule="auto"/>
        <w:contextualSpacing/>
        <w:jc w:val="both"/>
        <w:textAlignment w:val="center"/>
        <w:rPr>
          <w:rFonts w:ascii="Times New Roman" w:eastAsia="Times New Roman" w:hAnsi="Times New Roman" w:cs="Times New Roman"/>
          <w:bCs/>
          <w:color w:val="000000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bCs/>
          <w:color w:val="000000"/>
          <w:kern w:val="0"/>
          <w:lang w:eastAsia="sk-SK"/>
          <w14:ligatures w14:val="none"/>
        </w:rPr>
        <w:t xml:space="preserve">bežný transfer poskytnutý zriadeným rozpočtovým a príspevkovým organizáciám - sa  zúčtuje do nákladov pri poskytnutí transferu </w:t>
      </w:r>
    </w:p>
    <w:p w14:paraId="69F4584C" w14:textId="77777777" w:rsidR="00C04C4E" w:rsidRPr="00C04C4E" w:rsidRDefault="00C04C4E" w:rsidP="00C04C4E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before="240" w:after="0" w:line="360" w:lineRule="auto"/>
        <w:contextualSpacing/>
        <w:jc w:val="both"/>
        <w:textAlignment w:val="center"/>
        <w:rPr>
          <w:rFonts w:ascii="Times New Roman" w:eastAsia="Times New Roman" w:hAnsi="Times New Roman" w:cs="Times New Roman"/>
          <w:bCs/>
          <w:color w:val="000000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bCs/>
          <w:color w:val="000000"/>
          <w:kern w:val="0"/>
          <w:lang w:eastAsia="sk-SK"/>
          <w14:ligatures w14:val="none"/>
        </w:rPr>
        <w:t>kapitálový transfer prijatý od iných subjektov ako od zriaďovateľa  sa  zúčtuje do výnosov vo vecnej a časovej súvislosti s nákladmi z majetku obstaraného z tohto kapitálového transferu (napr. s odpismi, s opravnou položkou, so zostatkovou cenou vyradeného dlhodobého majetku)</w:t>
      </w:r>
    </w:p>
    <w:p w14:paraId="5DEC5092" w14:textId="77777777" w:rsidR="00C04C4E" w:rsidRPr="00C04C4E" w:rsidRDefault="00C04C4E" w:rsidP="00C04C4E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before="240" w:after="0" w:line="360" w:lineRule="auto"/>
        <w:contextualSpacing/>
        <w:jc w:val="both"/>
        <w:textAlignment w:val="center"/>
        <w:rPr>
          <w:rFonts w:ascii="Times New Roman" w:eastAsia="Times New Roman" w:hAnsi="Times New Roman" w:cs="Times New Roman"/>
          <w:bCs/>
          <w:color w:val="000000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bCs/>
          <w:color w:val="000000"/>
          <w:kern w:val="0"/>
          <w:lang w:eastAsia="sk-SK"/>
          <w14:ligatures w14:val="none"/>
        </w:rPr>
        <w:t>kapitálový transfer prijatý od zriaďovateľa  sa  zúčtuje do výnosov  vo vecnej a časovej súvislosti s nákladmi z majetku obstaraného z tohto kapitálového transferu (napr. s odpismi, s opravnou položkou, so zostatkovou cenou vyradeného dlhodobého majetku)</w:t>
      </w:r>
    </w:p>
    <w:p w14:paraId="4DDBDFA2" w14:textId="77777777" w:rsidR="00C04C4E" w:rsidRPr="00C04C4E" w:rsidRDefault="00C04C4E" w:rsidP="00C04C4E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before="240" w:after="0" w:line="360" w:lineRule="auto"/>
        <w:contextualSpacing/>
        <w:jc w:val="both"/>
        <w:textAlignment w:val="center"/>
        <w:rPr>
          <w:rFonts w:ascii="Times New Roman" w:eastAsia="Times New Roman" w:hAnsi="Times New Roman" w:cs="Times New Roman"/>
          <w:bCs/>
          <w:color w:val="000000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bCs/>
          <w:color w:val="000000"/>
          <w:kern w:val="0"/>
          <w:lang w:eastAsia="sk-SK"/>
          <w14:ligatures w14:val="none"/>
        </w:rPr>
        <w:t>kapitálový transfer poskytnutý iným subjektom ako zriadeným organizáciám  sa  zúčtuje do nákladov po splnení podmienok</w:t>
      </w:r>
    </w:p>
    <w:p w14:paraId="071F2797" w14:textId="77777777" w:rsidR="00C04C4E" w:rsidRPr="00C04C4E" w:rsidRDefault="00C04C4E" w:rsidP="00C04C4E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before="240" w:after="0" w:line="360" w:lineRule="auto"/>
        <w:contextualSpacing/>
        <w:jc w:val="both"/>
        <w:textAlignment w:val="center"/>
        <w:rPr>
          <w:rFonts w:ascii="Times New Roman" w:eastAsia="Times New Roman" w:hAnsi="Times New Roman" w:cs="Times New Roman"/>
          <w:bCs/>
          <w:color w:val="000000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bCs/>
          <w:color w:val="000000"/>
          <w:kern w:val="0"/>
          <w:lang w:eastAsia="sk-SK"/>
          <w14:ligatures w14:val="none"/>
        </w:rPr>
        <w:lastRenderedPageBreak/>
        <w:t xml:space="preserve">kapitálový transfer poskytnutý zriadeným rozpočtovým a príspevkovým organizáciám  sa zúčtuje do nákladov vo vecnej a časovej súvislosti s nákladmi z majetku účtovanými v zriadených organizáciách </w:t>
      </w:r>
    </w:p>
    <w:bookmarkEnd w:id="0"/>
    <w:p w14:paraId="513E883F" w14:textId="77777777" w:rsidR="00C04C4E" w:rsidRPr="00C04C4E" w:rsidRDefault="00C04C4E" w:rsidP="00C04C4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</w:p>
    <w:p w14:paraId="66FDC229" w14:textId="77777777" w:rsidR="00C04C4E" w:rsidRPr="00C04C4E" w:rsidRDefault="00C04C4E" w:rsidP="00C04C4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b/>
          <w:caps/>
          <w:kern w:val="0"/>
          <w:lang w:eastAsia="sk-SK"/>
          <w14:ligatures w14:val="none"/>
        </w:rPr>
        <w:t>Čl. IV</w:t>
      </w:r>
    </w:p>
    <w:p w14:paraId="300E809A" w14:textId="77777777" w:rsidR="00C04C4E" w:rsidRPr="00C04C4E" w:rsidRDefault="00C04C4E" w:rsidP="00C04C4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b/>
          <w:caps/>
          <w:kern w:val="0"/>
          <w:lang w:eastAsia="sk-SK"/>
          <w14:ligatures w14:val="none"/>
        </w:rPr>
        <w:t>Informácie o údajoch aktív a pasív</w:t>
      </w:r>
    </w:p>
    <w:p w14:paraId="37686864" w14:textId="77777777" w:rsidR="00C04C4E" w:rsidRPr="00C04C4E" w:rsidRDefault="00C04C4E" w:rsidP="00C04C4E">
      <w:pPr>
        <w:spacing w:after="0" w:line="360" w:lineRule="auto"/>
        <w:rPr>
          <w:rFonts w:ascii="Times New Roman" w:eastAsia="Times New Roman" w:hAnsi="Times New Roman" w:cs="Times New Roman"/>
          <w:caps/>
          <w:kern w:val="0"/>
          <w:lang w:eastAsia="sk-SK"/>
          <w14:ligatures w14:val="none"/>
        </w:rPr>
      </w:pPr>
    </w:p>
    <w:p w14:paraId="42095C90" w14:textId="4E01975D" w:rsidR="00C04C4E" w:rsidRPr="00C04C4E" w:rsidRDefault="00C04C4E" w:rsidP="00C97795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Prehľad pohybu dlhodobého nehmotného a dlhodobého hmotného majetku od 1. januára 2024 do  31. decembra 2024 je uvedený v  tabuľkovej časti </w:t>
      </w:r>
      <w:r w:rsidRPr="00C04C4E">
        <w:rPr>
          <w:rFonts w:ascii="Times New Roman" w:eastAsia="Times New Roman" w:hAnsi="Times New Roman" w:cs="Times New Roman"/>
          <w:i/>
          <w:kern w:val="0"/>
          <w:lang w:eastAsia="sk-SK"/>
          <w14:ligatures w14:val="none"/>
        </w:rPr>
        <w:t>Poznámok.</w:t>
      </w:r>
    </w:p>
    <w:p w14:paraId="79253C3A" w14:textId="2E189D95" w:rsidR="00C04C4E" w:rsidRPr="00C04C4E" w:rsidRDefault="00C04C4E" w:rsidP="00C97795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Najvýznamnejšou položkou pohľadávok sú pohľadávky z  daňových príjmov obce vo výške                                                                                    27 210,46 eur (v roku 2023 to bolo 5 768,50 eur) Pohľadávky z nedaňových príjmov predstavovali 54 255,55 eur</w:t>
      </w: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ab/>
        <w:t xml:space="preserve"> (v roku 2023 to bolo 49 122,27 eur..</w:t>
      </w:r>
    </w:p>
    <w:p w14:paraId="248462E6" w14:textId="77777777" w:rsidR="00C04C4E" w:rsidRPr="00C04C4E" w:rsidRDefault="00C04C4E" w:rsidP="00C97795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Ako finančný majetok sú vykázané peňažné prostriedky v pokladnici a účty v bankách. Účtami v bankách môže konsolidovaný celok voľne disponovať v sume 824 106,36 eur (v roku 2023 to bolo                  811 391,54 eur).</w:t>
      </w:r>
    </w:p>
    <w:p w14:paraId="06C2DD32" w14:textId="77777777" w:rsidR="00C04C4E" w:rsidRPr="00C04C4E" w:rsidRDefault="00C04C4E" w:rsidP="00C97795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Prehľad záväzkov podľa splatnosti je uvedený v tabuľkovej časti </w:t>
      </w:r>
      <w:r w:rsidRPr="00C04C4E">
        <w:rPr>
          <w:rFonts w:ascii="Times New Roman" w:eastAsia="Times New Roman" w:hAnsi="Times New Roman" w:cs="Times New Roman"/>
          <w:i/>
          <w:kern w:val="0"/>
          <w:lang w:eastAsia="sk-SK"/>
          <w14:ligatures w14:val="none"/>
        </w:rPr>
        <w:t>Poznámok</w:t>
      </w: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.</w:t>
      </w:r>
    </w:p>
    <w:p w14:paraId="00C9ED2B" w14:textId="77777777" w:rsidR="00C04C4E" w:rsidRPr="00C04C4E" w:rsidRDefault="00C04C4E" w:rsidP="00C97795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Konsolidovaný celok vykazuje úvery zo ŠFRB vo výške 388 527,99 eur (v roku 2023 to bolo 421 726,74 eur).</w:t>
      </w:r>
    </w:p>
    <w:p w14:paraId="5D9C2F1C" w14:textId="77777777" w:rsidR="00C04C4E" w:rsidRPr="00C04C4E" w:rsidRDefault="00C04C4E" w:rsidP="00C97795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4BC8309F" w14:textId="48D22B04" w:rsidR="00C04C4E" w:rsidRPr="00C04C4E" w:rsidRDefault="00A4123A" w:rsidP="00C04C4E">
      <w:pPr>
        <w:spacing w:after="0" w:line="360" w:lineRule="auto"/>
        <w:ind w:right="-79"/>
        <w:jc w:val="center"/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Čl. V</w:t>
      </w:r>
    </w:p>
    <w:p w14:paraId="59FE14D5" w14:textId="77777777" w:rsidR="00C04C4E" w:rsidRPr="00C04C4E" w:rsidRDefault="00C04C4E" w:rsidP="00C04C4E">
      <w:pPr>
        <w:tabs>
          <w:tab w:val="left" w:pos="0"/>
          <w:tab w:val="left" w:pos="420"/>
        </w:tabs>
        <w:spacing w:after="0" w:line="360" w:lineRule="auto"/>
        <w:ind w:left="-14" w:firstLine="14"/>
        <w:jc w:val="center"/>
        <w:rPr>
          <w:rFonts w:ascii="Times New Roman" w:eastAsia="Calibri" w:hAnsi="Times New Roman" w:cs="Times New Roman"/>
          <w:b/>
          <w:caps/>
          <w:kern w:val="0"/>
          <w:lang w:eastAsia="sk-SK"/>
          <w14:ligatures w14:val="none"/>
        </w:rPr>
      </w:pPr>
      <w:r w:rsidRPr="00C04C4E">
        <w:rPr>
          <w:rFonts w:ascii="Times New Roman" w:eastAsia="Calibri" w:hAnsi="Times New Roman" w:cs="Times New Roman"/>
          <w:b/>
          <w:caps/>
          <w:kern w:val="0"/>
          <w:lang w:eastAsia="sk-SK"/>
          <w14:ligatures w14:val="none"/>
        </w:rPr>
        <w:t>Informácie o výnosoch a nákladoch</w:t>
      </w:r>
    </w:p>
    <w:p w14:paraId="03721DC1" w14:textId="77777777" w:rsidR="00C04C4E" w:rsidRPr="00C04C4E" w:rsidRDefault="00C04C4E" w:rsidP="00C04C4E">
      <w:pPr>
        <w:tabs>
          <w:tab w:val="left" w:pos="0"/>
          <w:tab w:val="left" w:pos="420"/>
        </w:tabs>
        <w:spacing w:after="0" w:line="360" w:lineRule="auto"/>
        <w:ind w:left="-14" w:firstLine="14"/>
        <w:jc w:val="center"/>
        <w:rPr>
          <w:rFonts w:ascii="Times New Roman" w:eastAsia="Times New Roman" w:hAnsi="Times New Roman" w:cs="Times New Roman"/>
          <w:b/>
          <w:caps/>
          <w:kern w:val="0"/>
          <w:lang w:eastAsia="sk-SK"/>
          <w14:ligatures w14:val="none"/>
        </w:rPr>
      </w:pPr>
    </w:p>
    <w:p w14:paraId="3B5177E3" w14:textId="01622BF5" w:rsidR="00C04C4E" w:rsidRPr="00C04C4E" w:rsidRDefault="00C04C4E" w:rsidP="00A4123A">
      <w:pPr>
        <w:tabs>
          <w:tab w:val="left" w:pos="0"/>
          <w:tab w:val="left" w:pos="420"/>
        </w:tabs>
        <w:spacing w:after="0" w:line="360" w:lineRule="auto"/>
        <w:jc w:val="both"/>
        <w:rPr>
          <w:rFonts w:ascii="Times New Roman" w:eastAsia="Calibri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Calibri" w:hAnsi="Times New Roman" w:cs="Times New Roman"/>
          <w:kern w:val="0"/>
          <w:lang w:eastAsia="sk-SK"/>
          <w14:ligatures w14:val="none"/>
        </w:rPr>
        <w:t>Z hľadiska kvantity sú najvýznamnejšími nákladmi osobné náklady vo výške  1 634 229,59 eur (v roku 2023 to bolo 1 368 520,93 eur).</w:t>
      </w:r>
    </w:p>
    <w:p w14:paraId="3F710141" w14:textId="77777777" w:rsidR="00C04C4E" w:rsidRPr="00C04C4E" w:rsidRDefault="00C04C4E" w:rsidP="00A4123A">
      <w:pPr>
        <w:tabs>
          <w:tab w:val="left" w:pos="0"/>
          <w:tab w:val="left" w:pos="420"/>
        </w:tabs>
        <w:spacing w:after="0" w:line="360" w:lineRule="auto"/>
        <w:jc w:val="both"/>
        <w:rPr>
          <w:rFonts w:ascii="Times New Roman" w:eastAsia="Calibri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Calibri" w:hAnsi="Times New Roman" w:cs="Times New Roman"/>
          <w:kern w:val="0"/>
          <w:lang w:eastAsia="sk-SK"/>
          <w14:ligatures w14:val="none"/>
        </w:rPr>
        <w:t>Najvýznamnejšími výnosmi sú daňové výnosy a výnosy z poplatkov vo v</w:t>
      </w: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ýške 1 565 895,52 eur (v roku 2023 to bolo  1 354 717,35 eur) a výnosy zo </w:t>
      </w:r>
      <w:r w:rsidRPr="00C04C4E">
        <w:rPr>
          <w:rFonts w:ascii="Times New Roman" w:eastAsia="Calibri" w:hAnsi="Times New Roman" w:cs="Times New Roman"/>
          <w:kern w:val="0"/>
          <w:lang w:eastAsia="sk-SK"/>
          <w14:ligatures w14:val="none"/>
        </w:rPr>
        <w:t>zúčtovania</w:t>
      </w: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</w:t>
      </w:r>
      <w:r w:rsidRPr="00C04C4E">
        <w:rPr>
          <w:rFonts w:ascii="Times New Roman" w:eastAsia="Calibri" w:hAnsi="Times New Roman" w:cs="Times New Roman"/>
          <w:kern w:val="0"/>
          <w:lang w:eastAsia="sk-SK"/>
          <w14:ligatures w14:val="none"/>
        </w:rPr>
        <w:t>transferov bežných aj kapitálových od subjektov verejnej</w:t>
      </w: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správy vrátane štátneho </w:t>
      </w:r>
      <w:r w:rsidRPr="00C04C4E">
        <w:rPr>
          <w:rFonts w:ascii="Times New Roman" w:eastAsia="Calibri" w:hAnsi="Times New Roman" w:cs="Times New Roman"/>
          <w:kern w:val="0"/>
          <w:lang w:eastAsia="sk-SK"/>
          <w14:ligatures w14:val="none"/>
        </w:rPr>
        <w:t>rozpočtu, a to vo</w:t>
      </w: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</w:t>
      </w:r>
      <w:r w:rsidRPr="00C04C4E">
        <w:rPr>
          <w:rFonts w:ascii="Times New Roman" w:eastAsia="Calibri" w:hAnsi="Times New Roman" w:cs="Times New Roman"/>
          <w:kern w:val="0"/>
          <w:lang w:eastAsia="sk-SK"/>
          <w14:ligatures w14:val="none"/>
        </w:rPr>
        <w:t xml:space="preserve">výške 1 069 405,69 eur (v roku 2023 to bolo  901 520,87 eur). </w:t>
      </w:r>
    </w:p>
    <w:p w14:paraId="4FC11909" w14:textId="77777777" w:rsidR="00C04C4E" w:rsidRPr="00C04C4E" w:rsidRDefault="00C04C4E" w:rsidP="00A4123A">
      <w:pPr>
        <w:tabs>
          <w:tab w:val="left" w:pos="0"/>
          <w:tab w:val="left" w:pos="420"/>
        </w:tabs>
        <w:spacing w:after="0" w:line="360" w:lineRule="auto"/>
        <w:jc w:val="both"/>
        <w:rPr>
          <w:rFonts w:ascii="Times New Roman" w:eastAsia="Calibri" w:hAnsi="Times New Roman" w:cs="Times New Roman"/>
          <w:kern w:val="0"/>
          <w:lang w:eastAsia="sk-SK"/>
          <w14:ligatures w14:val="none"/>
        </w:rPr>
      </w:pPr>
    </w:p>
    <w:p w14:paraId="606FC53F" w14:textId="41C91E48" w:rsidR="00C04C4E" w:rsidRPr="00A4123A" w:rsidRDefault="00C04C4E" w:rsidP="00A4123A">
      <w:pPr>
        <w:spacing w:after="0" w:line="360" w:lineRule="auto"/>
        <w:ind w:right="-79"/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                                                                          </w:t>
      </w:r>
      <w:r w:rsidRPr="00C04C4E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Čl. V</w:t>
      </w:r>
      <w:r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I</w:t>
      </w:r>
    </w:p>
    <w:p w14:paraId="3AEEEF48" w14:textId="77777777" w:rsidR="00C04C4E" w:rsidRPr="00C04C4E" w:rsidRDefault="00C04C4E" w:rsidP="00C04C4E">
      <w:pPr>
        <w:spacing w:after="0" w:line="360" w:lineRule="auto"/>
        <w:ind w:left="-14" w:firstLine="14"/>
        <w:jc w:val="center"/>
        <w:rPr>
          <w:rFonts w:ascii="Times New Roman" w:eastAsia="Calibri" w:hAnsi="Times New Roman" w:cs="Times New Roman"/>
          <w:b/>
          <w:kern w:val="0"/>
          <w:lang w:eastAsia="sk-SK"/>
          <w14:ligatures w14:val="none"/>
        </w:rPr>
      </w:pPr>
      <w:r w:rsidRPr="00C04C4E">
        <w:rPr>
          <w:rFonts w:ascii="Times New Roman" w:eastAsia="Calibri" w:hAnsi="Times New Roman" w:cs="Times New Roman"/>
          <w:b/>
          <w:kern w:val="0"/>
          <w:lang w:eastAsia="sk-SK"/>
          <w14:ligatures w14:val="none"/>
        </w:rPr>
        <w:t>SKUTOČNOSTI, KTORÉ NASTALI PO DNI, KU KTORÉMU SA ZOSTAVUJE</w:t>
      </w:r>
      <w:r w:rsidRPr="00C04C4E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 xml:space="preserve"> KONSOLIDOVANA  </w:t>
      </w:r>
      <w:r w:rsidRPr="00C04C4E">
        <w:rPr>
          <w:rFonts w:ascii="Times New Roman" w:eastAsia="Calibri" w:hAnsi="Times New Roman" w:cs="Times New Roman"/>
          <w:b/>
          <w:kern w:val="0"/>
          <w:lang w:eastAsia="sk-SK"/>
          <w14:ligatures w14:val="none"/>
        </w:rPr>
        <w:t>ÚČTOVNÁ ZÁVIERKA, DO DŇA JEJ ZOSTAVENIA</w:t>
      </w:r>
    </w:p>
    <w:p w14:paraId="7B5E7E7C" w14:textId="77777777" w:rsidR="00C04C4E" w:rsidRPr="00C04C4E" w:rsidRDefault="00C04C4E" w:rsidP="00C04C4E">
      <w:pPr>
        <w:tabs>
          <w:tab w:val="left" w:pos="0"/>
          <w:tab w:val="left" w:pos="360"/>
          <w:tab w:val="left" w:pos="420"/>
        </w:tabs>
        <w:spacing w:after="0" w:line="360" w:lineRule="auto"/>
        <w:ind w:left="-14" w:firstLine="14"/>
        <w:rPr>
          <w:rFonts w:ascii="Times New Roman" w:eastAsia="Calibri" w:hAnsi="Times New Roman" w:cs="Times New Roman"/>
          <w:kern w:val="0"/>
          <w:lang w:eastAsia="sk-SK"/>
          <w14:ligatures w14:val="none"/>
        </w:rPr>
      </w:pPr>
    </w:p>
    <w:p w14:paraId="73275960" w14:textId="77777777" w:rsidR="00C04C4E" w:rsidRPr="00C04C4E" w:rsidRDefault="00C04C4E" w:rsidP="00C97795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04C4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Po dni, ku ktorému sa zostavuje konsolidovaná účtovná závierka nenastali také udalosti, ktoré by si vyžadovali zverejnenie alebo vykázanie v konsolidovanej účtovnej závierke za rok 2024.</w:t>
      </w:r>
    </w:p>
    <w:p w14:paraId="479C9B4E" w14:textId="77777777" w:rsidR="00C04C4E" w:rsidRPr="00C04C4E" w:rsidRDefault="00C04C4E" w:rsidP="00C04C4E">
      <w:pPr>
        <w:spacing w:after="0" w:line="360" w:lineRule="auto"/>
        <w:rPr>
          <w:rFonts w:ascii="Times New Roman" w:eastAsia="Times New Roman" w:hAnsi="Times New Roman" w:cs="Times New Roman"/>
          <w:bCs/>
          <w:color w:val="000000"/>
          <w:kern w:val="0"/>
          <w:lang w:eastAsia="sk-SK"/>
          <w14:ligatures w14:val="none"/>
        </w:rPr>
      </w:pPr>
    </w:p>
    <w:p w14:paraId="41023E15" w14:textId="77777777" w:rsidR="00C04C4E" w:rsidRDefault="00C04C4E"/>
    <w:sectPr w:rsidR="00C04C4E" w:rsidSect="00C04C4E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9768A2" w14:textId="77777777" w:rsidR="0037324A" w:rsidRDefault="0037324A">
      <w:pPr>
        <w:spacing w:after="0" w:line="240" w:lineRule="auto"/>
      </w:pPr>
      <w:r>
        <w:separator/>
      </w:r>
    </w:p>
  </w:endnote>
  <w:endnote w:type="continuationSeparator" w:id="0">
    <w:p w14:paraId="3F6A2300" w14:textId="77777777" w:rsidR="0037324A" w:rsidRDefault="003732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FEDAAC" w14:textId="77777777" w:rsidR="00C97795" w:rsidRDefault="00C97795" w:rsidP="006779A5">
    <w:pPr>
      <w:pStyle w:val="Zpat"/>
      <w:framePr w:wrap="auto" w:vAnchor="text" w:hAnchor="margin" w:xAlign="center" w:y="1"/>
      <w:rPr>
        <w:rStyle w:val="slostrnky"/>
        <w:rFonts w:eastAsiaTheme="majorEastAsia"/>
      </w:rPr>
    </w:pPr>
    <w:r>
      <w:rPr>
        <w:rStyle w:val="slostrnky"/>
        <w:rFonts w:eastAsiaTheme="majorEastAsia"/>
      </w:rPr>
      <w:fldChar w:fldCharType="begin"/>
    </w:r>
    <w:r>
      <w:rPr>
        <w:rStyle w:val="slostrnky"/>
        <w:rFonts w:eastAsiaTheme="majorEastAsia"/>
      </w:rPr>
      <w:instrText xml:space="preserve">PAGE  </w:instrText>
    </w:r>
    <w:r>
      <w:rPr>
        <w:rStyle w:val="slostrnky"/>
        <w:rFonts w:eastAsiaTheme="majorEastAsia"/>
      </w:rPr>
      <w:fldChar w:fldCharType="separate"/>
    </w:r>
    <w:r>
      <w:rPr>
        <w:rStyle w:val="slostrnky"/>
        <w:rFonts w:eastAsiaTheme="majorEastAsia"/>
        <w:noProof/>
      </w:rPr>
      <w:t>1</w:t>
    </w:r>
    <w:r>
      <w:rPr>
        <w:rStyle w:val="slostrnky"/>
        <w:rFonts w:eastAsiaTheme="majorEastAsia"/>
      </w:rPr>
      <w:fldChar w:fldCharType="end"/>
    </w:r>
  </w:p>
  <w:p w14:paraId="1517E270" w14:textId="77777777" w:rsidR="00C97795" w:rsidRDefault="00C97795" w:rsidP="00491430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4A7401" w14:textId="77777777" w:rsidR="0037324A" w:rsidRDefault="0037324A">
      <w:pPr>
        <w:spacing w:after="0" w:line="240" w:lineRule="auto"/>
      </w:pPr>
      <w:r>
        <w:separator/>
      </w:r>
    </w:p>
  </w:footnote>
  <w:footnote w:type="continuationSeparator" w:id="0">
    <w:p w14:paraId="4549E254" w14:textId="77777777" w:rsidR="0037324A" w:rsidRDefault="0037324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D95150"/>
    <w:multiLevelType w:val="hybridMultilevel"/>
    <w:tmpl w:val="BF62AE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87538D"/>
    <w:multiLevelType w:val="hybridMultilevel"/>
    <w:tmpl w:val="38183FA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725035"/>
    <w:multiLevelType w:val="hybridMultilevel"/>
    <w:tmpl w:val="BF7A42C0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064863359">
    <w:abstractNumId w:val="1"/>
  </w:num>
  <w:num w:numId="2" w16cid:durableId="1729263579">
    <w:abstractNumId w:val="0"/>
  </w:num>
  <w:num w:numId="3" w16cid:durableId="160985134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4C4E"/>
    <w:rsid w:val="002A366C"/>
    <w:rsid w:val="0037324A"/>
    <w:rsid w:val="004F6838"/>
    <w:rsid w:val="008216BF"/>
    <w:rsid w:val="008C5233"/>
    <w:rsid w:val="00A4123A"/>
    <w:rsid w:val="00C04C4E"/>
    <w:rsid w:val="00C97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83E0A8"/>
  <w15:chartTrackingRefBased/>
  <w15:docId w15:val="{7121E94F-0804-4C38-8E43-B028E92FE1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C04C4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C04C4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C04C4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C04C4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C04C4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C04C4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C04C4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C04C4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C04C4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C04C4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C04C4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C04C4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C04C4E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C04C4E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C04C4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C04C4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C04C4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C04C4E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C04C4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C04C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C04C4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C04C4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C04C4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C04C4E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C04C4E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C04C4E"/>
    <w:rPr>
      <w:i/>
      <w:iCs/>
      <w:color w:val="2F5496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C04C4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C04C4E"/>
    <w:rPr>
      <w:i/>
      <w:iCs/>
      <w:color w:val="2F5496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C04C4E"/>
    <w:rPr>
      <w:b/>
      <w:bCs/>
      <w:smallCaps/>
      <w:color w:val="2F5496" w:themeColor="accent1" w:themeShade="BF"/>
      <w:spacing w:val="5"/>
    </w:rPr>
  </w:style>
  <w:style w:type="paragraph" w:styleId="Zpat">
    <w:name w:val="footer"/>
    <w:basedOn w:val="Normln"/>
    <w:link w:val="ZpatChar"/>
    <w:uiPriority w:val="99"/>
    <w:rsid w:val="00C04C4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x-none" w:eastAsia="x-none"/>
      <w14:ligatures w14:val="none"/>
    </w:rPr>
  </w:style>
  <w:style w:type="character" w:customStyle="1" w:styleId="ZpatChar">
    <w:name w:val="Zápatí Char"/>
    <w:basedOn w:val="Standardnpsmoodstavce"/>
    <w:link w:val="Zpat"/>
    <w:uiPriority w:val="99"/>
    <w:rsid w:val="00C04C4E"/>
    <w:rPr>
      <w:rFonts w:ascii="Times New Roman" w:eastAsia="Times New Roman" w:hAnsi="Times New Roman" w:cs="Times New Roman"/>
      <w:kern w:val="0"/>
      <w:sz w:val="20"/>
      <w:szCs w:val="20"/>
      <w:lang w:val="x-none" w:eastAsia="x-none"/>
      <w14:ligatures w14:val="none"/>
    </w:rPr>
  </w:style>
  <w:style w:type="character" w:styleId="slostrnky">
    <w:name w:val="page number"/>
    <w:basedOn w:val="Standardnpsmoodstavce"/>
    <w:uiPriority w:val="99"/>
    <w:rsid w:val="00C04C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1156</Words>
  <Characters>6591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Bučany</dc:creator>
  <cp:keywords/>
  <dc:description/>
  <cp:lastModifiedBy>Obec Bučany</cp:lastModifiedBy>
  <cp:revision>4</cp:revision>
  <cp:lastPrinted>2025-06-12T12:19:00Z</cp:lastPrinted>
  <dcterms:created xsi:type="dcterms:W3CDTF">2025-06-12T11:55:00Z</dcterms:created>
  <dcterms:modified xsi:type="dcterms:W3CDTF">2025-06-12T12:19:00Z</dcterms:modified>
</cp:coreProperties>
</file>