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01376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69377FD0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Poznámky </w:t>
      </w:r>
    </w:p>
    <w:p w14:paraId="112F48A0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konsolidovanej účtovnej závierky zostavenej k 31.12.2024</w:t>
      </w:r>
    </w:p>
    <w:p w14:paraId="5E01D17A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 xml:space="preserve">účtovnej jednotky verejnej správy </w:t>
      </w:r>
    </w:p>
    <w:p w14:paraId="06CE2DBC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obce BUČANY</w:t>
      </w:r>
    </w:p>
    <w:p w14:paraId="2EBD34CE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</w:p>
    <w:p w14:paraId="2B9F7C75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Čl. I</w:t>
      </w:r>
    </w:p>
    <w:p w14:paraId="20766222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Všeobecné údaje</w:t>
      </w:r>
    </w:p>
    <w:p w14:paraId="789F6CB8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</w:p>
    <w:p w14:paraId="171ABBCB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Identifikačné údaje o  konsolidujúcej účtovnej jednotke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04C4E" w:rsidRPr="00C04C4E" w14:paraId="7F48F6A7" w14:textId="77777777" w:rsidTr="0059319C">
        <w:tc>
          <w:tcPr>
            <w:tcW w:w="4781" w:type="dxa"/>
            <w:vAlign w:val="center"/>
          </w:tcPr>
          <w:p w14:paraId="77A3126A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Názov konsolidujúcej účtovnej jednotky</w:t>
            </w:r>
          </w:p>
        </w:tc>
        <w:tc>
          <w:tcPr>
            <w:tcW w:w="5479" w:type="dxa"/>
          </w:tcPr>
          <w:p w14:paraId="46066B23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OBEC Bučany</w:t>
            </w:r>
          </w:p>
        </w:tc>
      </w:tr>
      <w:tr w:rsidR="00C04C4E" w:rsidRPr="00C04C4E" w14:paraId="5E7CFEAE" w14:textId="77777777" w:rsidTr="0059319C">
        <w:tc>
          <w:tcPr>
            <w:tcW w:w="4781" w:type="dxa"/>
            <w:vAlign w:val="center"/>
          </w:tcPr>
          <w:p w14:paraId="2D2B55D0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Sídlo konsolidujúcej účtovnej jednotky</w:t>
            </w:r>
          </w:p>
        </w:tc>
        <w:tc>
          <w:tcPr>
            <w:tcW w:w="5479" w:type="dxa"/>
          </w:tcPr>
          <w:p w14:paraId="7287CAD3" w14:textId="0D48BEA9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Námestie sv. Floriána 269/1</w:t>
            </w:r>
            <w:r w:rsidR="00A4123A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 919 28 Bučany</w:t>
            </w:r>
          </w:p>
        </w:tc>
      </w:tr>
      <w:tr w:rsidR="00C04C4E" w:rsidRPr="00C04C4E" w14:paraId="670018EF" w14:textId="77777777" w:rsidTr="0059319C">
        <w:tc>
          <w:tcPr>
            <w:tcW w:w="4781" w:type="dxa"/>
            <w:vAlign w:val="center"/>
          </w:tcPr>
          <w:p w14:paraId="7C434721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Dátum založenia, vzniku konsolidujúcej účtovnej jednotky</w:t>
            </w:r>
          </w:p>
        </w:tc>
        <w:tc>
          <w:tcPr>
            <w:tcW w:w="5479" w:type="dxa"/>
          </w:tcPr>
          <w:p w14:paraId="3C0CA8BC" w14:textId="77777777" w:rsidR="00C04C4E" w:rsidRPr="00C04C4E" w:rsidRDefault="00C04C4E" w:rsidP="00C04C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Obec - zo zákona č.369/1990 Zb.</w:t>
            </w:r>
          </w:p>
          <w:p w14:paraId="4CB215EE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</w:p>
        </w:tc>
      </w:tr>
      <w:tr w:rsidR="00C04C4E" w:rsidRPr="00C04C4E" w14:paraId="30996CA6" w14:textId="77777777" w:rsidTr="0059319C">
        <w:tc>
          <w:tcPr>
            <w:tcW w:w="4781" w:type="dxa"/>
            <w:vAlign w:val="center"/>
          </w:tcPr>
          <w:p w14:paraId="09C981FD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Štatutárny orgán</w:t>
            </w:r>
          </w:p>
        </w:tc>
        <w:tc>
          <w:tcPr>
            <w:tcW w:w="5479" w:type="dxa"/>
          </w:tcPr>
          <w:p w14:paraId="128C6F60" w14:textId="2C1AD26F" w:rsidR="00C04C4E" w:rsidRPr="00C04C4E" w:rsidRDefault="004F6838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Ing. Rastislav  Kurinec, </w:t>
            </w:r>
            <w:r w:rsidR="00C04C4E"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starosta</w:t>
            </w:r>
          </w:p>
        </w:tc>
      </w:tr>
    </w:tbl>
    <w:p w14:paraId="08E9EDAE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114FE9BB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>Identifikačné údaje o konsolidovaných  účtovných  jednotkách  pôsobnosti konsolidujúcej účtovnej jednotky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04C4E" w:rsidRPr="00C04C4E" w14:paraId="6B801535" w14:textId="77777777" w:rsidTr="0059319C">
        <w:tc>
          <w:tcPr>
            <w:tcW w:w="4781" w:type="dxa"/>
            <w:vAlign w:val="center"/>
          </w:tcPr>
          <w:p w14:paraId="41C66348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Názov konsolidovanej účtovnej jednotky</w:t>
            </w:r>
          </w:p>
        </w:tc>
        <w:tc>
          <w:tcPr>
            <w:tcW w:w="5479" w:type="dxa"/>
          </w:tcPr>
          <w:p w14:paraId="72DB8B68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Základná škola s materskou školou </w:t>
            </w:r>
          </w:p>
        </w:tc>
      </w:tr>
      <w:tr w:rsidR="00C04C4E" w:rsidRPr="00C04C4E" w14:paraId="023B28C9" w14:textId="77777777" w:rsidTr="0059319C">
        <w:tc>
          <w:tcPr>
            <w:tcW w:w="4781" w:type="dxa"/>
            <w:vAlign w:val="center"/>
          </w:tcPr>
          <w:p w14:paraId="2BBA78FB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Sídlo konsolidovanej účtovnej jednotky</w:t>
            </w:r>
          </w:p>
        </w:tc>
        <w:tc>
          <w:tcPr>
            <w:tcW w:w="5479" w:type="dxa"/>
          </w:tcPr>
          <w:p w14:paraId="2BC01039" w14:textId="7E025313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Hlavná 155/116</w:t>
            </w:r>
            <w:r w:rsidR="00A4123A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 919 28 Bučany</w:t>
            </w:r>
          </w:p>
        </w:tc>
      </w:tr>
      <w:tr w:rsidR="00C04C4E" w:rsidRPr="00C04C4E" w14:paraId="7BF98980" w14:textId="77777777" w:rsidTr="0059319C">
        <w:tc>
          <w:tcPr>
            <w:tcW w:w="4781" w:type="dxa"/>
            <w:vAlign w:val="center"/>
          </w:tcPr>
          <w:p w14:paraId="329864D6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1B6139F7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01.01.2002</w:t>
            </w:r>
          </w:p>
        </w:tc>
      </w:tr>
    </w:tbl>
    <w:p w14:paraId="2F1CEC5C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04C4E" w:rsidRPr="00C04C4E" w14:paraId="588E5422" w14:textId="77777777" w:rsidTr="0059319C">
        <w:tc>
          <w:tcPr>
            <w:tcW w:w="4781" w:type="dxa"/>
            <w:vAlign w:val="center"/>
          </w:tcPr>
          <w:p w14:paraId="03A45ED1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Názov konsolidovanej účtovnej jednotky</w:t>
            </w:r>
          </w:p>
        </w:tc>
        <w:tc>
          <w:tcPr>
            <w:tcW w:w="5479" w:type="dxa"/>
          </w:tcPr>
          <w:p w14:paraId="53D61FC9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Kultúrno-spoločenské centrum Bučany </w:t>
            </w:r>
          </w:p>
        </w:tc>
      </w:tr>
      <w:tr w:rsidR="00C04C4E" w:rsidRPr="00C04C4E" w14:paraId="02A1C899" w14:textId="77777777" w:rsidTr="0059319C">
        <w:tc>
          <w:tcPr>
            <w:tcW w:w="4781" w:type="dxa"/>
            <w:vAlign w:val="center"/>
          </w:tcPr>
          <w:p w14:paraId="673E8EB1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Sídlo konsolidovanej účtovnej jednotky</w:t>
            </w:r>
          </w:p>
        </w:tc>
        <w:tc>
          <w:tcPr>
            <w:tcW w:w="5479" w:type="dxa"/>
          </w:tcPr>
          <w:p w14:paraId="65F4FD2E" w14:textId="36072855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Námestie sv. Floriána 108/6</w:t>
            </w:r>
            <w:r w:rsidR="00A4123A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, 919 28 Bučany</w:t>
            </w:r>
          </w:p>
        </w:tc>
      </w:tr>
      <w:tr w:rsidR="00C04C4E" w:rsidRPr="00C04C4E" w14:paraId="11E8E9C8" w14:textId="77777777" w:rsidTr="0059319C">
        <w:tc>
          <w:tcPr>
            <w:tcW w:w="4781" w:type="dxa"/>
            <w:vAlign w:val="center"/>
          </w:tcPr>
          <w:p w14:paraId="139944DD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Dátum založenia konsolidovanej účtovnej jednotky</w:t>
            </w:r>
          </w:p>
        </w:tc>
        <w:tc>
          <w:tcPr>
            <w:tcW w:w="5479" w:type="dxa"/>
          </w:tcPr>
          <w:p w14:paraId="79F39D5D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5. 11. 2009</w:t>
            </w:r>
          </w:p>
        </w:tc>
      </w:tr>
    </w:tbl>
    <w:p w14:paraId="2F5D4DD6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297FDCB7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29432762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  <w:t xml:space="preserve">Informácie o zamestnancoch konsolidovaného celku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C04C4E" w:rsidRPr="00C04C4E" w14:paraId="34F48DC5" w14:textId="77777777" w:rsidTr="0059319C">
        <w:tc>
          <w:tcPr>
            <w:tcW w:w="4781" w:type="dxa"/>
            <w:vAlign w:val="center"/>
          </w:tcPr>
          <w:p w14:paraId="104A9859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>Priemerný počet zamestnancov  konsolidovaného celku počas účtovného obdobia</w:t>
            </w:r>
          </w:p>
        </w:tc>
        <w:tc>
          <w:tcPr>
            <w:tcW w:w="5479" w:type="dxa"/>
          </w:tcPr>
          <w:p w14:paraId="18C33539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sk-SK"/>
                <w14:ligatures w14:val="none"/>
              </w:rPr>
              <w:t>60,8  (v roku 2023  to bolo 55,32)</w:t>
            </w:r>
          </w:p>
          <w:p w14:paraId="13DD899A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sk-SK"/>
                <w14:ligatures w14:val="none"/>
              </w:rPr>
            </w:pPr>
          </w:p>
        </w:tc>
      </w:tr>
      <w:tr w:rsidR="00C04C4E" w:rsidRPr="00C04C4E" w14:paraId="1B498B84" w14:textId="77777777" w:rsidTr="0059319C">
        <w:tc>
          <w:tcPr>
            <w:tcW w:w="4781" w:type="dxa"/>
            <w:vAlign w:val="center"/>
          </w:tcPr>
          <w:p w14:paraId="24EF9A95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kern w:val="0"/>
                <w:lang w:eastAsia="sk-SK"/>
                <w14:ligatures w14:val="none"/>
              </w:rPr>
              <w:t xml:space="preserve"> z toho : Počet  vedúcich  zamestnancov </w:t>
            </w:r>
          </w:p>
        </w:tc>
        <w:tc>
          <w:tcPr>
            <w:tcW w:w="5479" w:type="dxa"/>
          </w:tcPr>
          <w:p w14:paraId="1709FBB5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sk-SK"/>
                <w14:ligatures w14:val="none"/>
              </w:rPr>
            </w:pPr>
            <w:r w:rsidRPr="00C04C4E">
              <w:rPr>
                <w:rFonts w:ascii="Times New Roman" w:eastAsia="Times New Roman" w:hAnsi="Times New Roman" w:cs="Times New Roman"/>
                <w:i/>
                <w:color w:val="000000"/>
                <w:kern w:val="0"/>
                <w:lang w:eastAsia="sk-SK"/>
                <w14:ligatures w14:val="none"/>
              </w:rPr>
              <w:t>6 (v roku 2023 to bolo 6)</w:t>
            </w:r>
          </w:p>
          <w:p w14:paraId="7509FD5B" w14:textId="77777777" w:rsidR="00C04C4E" w:rsidRPr="00C04C4E" w:rsidRDefault="00C04C4E" w:rsidP="00C04C4E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</w:p>
        </w:tc>
      </w:tr>
    </w:tbl>
    <w:p w14:paraId="6F79F961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i/>
          <w:kern w:val="0"/>
          <w:lang w:eastAsia="sk-SK"/>
          <w14:ligatures w14:val="none"/>
        </w:rPr>
      </w:pPr>
    </w:p>
    <w:p w14:paraId="60B598C5" w14:textId="2E3D0CC7" w:rsidR="00C04C4E" w:rsidRPr="00C04C4E" w:rsidRDefault="00C04C4E" w:rsidP="00C04C4E">
      <w:pPr>
        <w:spacing w:after="0" w:line="360" w:lineRule="auto"/>
        <w:ind w:right="-7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lastRenderedPageBreak/>
        <w:t>Konsolidovaný celok sa v roku 2024 oproti minulým účtovným obdobiam nezmenil.</w:t>
      </w:r>
    </w:p>
    <w:p w14:paraId="31B2ACE9" w14:textId="77777777" w:rsidR="00C04C4E" w:rsidRPr="00C04C4E" w:rsidRDefault="00C04C4E" w:rsidP="00C04C4E">
      <w:pPr>
        <w:spacing w:after="0" w:line="360" w:lineRule="auto"/>
        <w:ind w:right="-7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Prehľad o účtovných jednotkách konsolidovaného celku je uvedený v prílohe,  v tabuľkovej časti </w:t>
      </w:r>
      <w:r w:rsidRPr="00C04C4E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Poznámok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. </w:t>
      </w:r>
    </w:p>
    <w:p w14:paraId="2EA03D57" w14:textId="77777777" w:rsidR="00C04C4E" w:rsidRPr="00C04C4E" w:rsidRDefault="00C04C4E" w:rsidP="00C04C4E">
      <w:pPr>
        <w:spacing w:after="0" w:line="360" w:lineRule="auto"/>
        <w:ind w:right="-7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45DEC26" w14:textId="77777777" w:rsidR="00C04C4E" w:rsidRPr="00C04C4E" w:rsidRDefault="00C04C4E" w:rsidP="00C04C4E">
      <w:pPr>
        <w:spacing w:after="0" w:line="360" w:lineRule="auto"/>
        <w:ind w:right="-79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Čl. II</w:t>
      </w:r>
    </w:p>
    <w:p w14:paraId="32395AD4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Informácie o metódach a postupoch konsolidácie</w:t>
      </w:r>
    </w:p>
    <w:p w14:paraId="5D5E3581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</w:p>
    <w:p w14:paraId="02378270" w14:textId="77777777" w:rsidR="00C04C4E" w:rsidRPr="00C04C4E" w:rsidRDefault="00C04C4E" w:rsidP="00C977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Konsolidovaná  účtovná  závierka  Obce  Bučany  bola zostavená v súlade so zákonom                               č. 431/2002 Z. z. o účtovníctve v znení neskorších predpisov v súlade s Opatrením Ministerstva financií Slovenskej republiky  zo dňa 17. decembra 2008 č. MF/27526/2008 – 31, ktorým sa ustanovujú podrobnosti o metódach a postupoch konsolidácie vo verejnej správe a podrobnosti o usporiadaní a označovaní položiek konsolidovanej účtovnej závierky vo verejnej správe v znení neskorších predpisov.</w:t>
      </w:r>
    </w:p>
    <w:p w14:paraId="2693BDBC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Konsolidovaná účtovná závierka k 31. decembru 2024 je zostavená ako riadna konsolidovaná účtovná závierka podľa zákona č. 431/2002 Z. z. o účtovníctve v znení neskorších predpisov, za účtovné obdobie od 1. januára 2024 do 31. decembra 2024. </w:t>
      </w:r>
    </w:p>
    <w:p w14:paraId="0CE28DE0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Konsolidujúca účtovná jednotka je súčasťou súhrnného celku verejnej správy Slovenskej republiky.</w:t>
      </w:r>
    </w:p>
    <w:p w14:paraId="6A6973CF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Konsolidovaná účtovná závierka bola zostavená za predpokladu nepretržitého trvania  činnosti v súlade so zákonom o účtovníctve a nadväzujúcimi právnymi predpismi.</w:t>
      </w:r>
    </w:p>
    <w:p w14:paraId="6A8CB732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Účtovné metódy a všeobecné účtovné zásady boli účtovnou jednotkou konzistentne aplikované.  </w:t>
      </w:r>
    </w:p>
    <w:p w14:paraId="335CE1B1" w14:textId="77777777" w:rsidR="00C04C4E" w:rsidRPr="00C04C4E" w:rsidRDefault="00C04C4E" w:rsidP="00C977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Medzi účtovnými jednotkami konsolidovaného celku neboli uskutočnené transakcie z dôvodu predaja majetku.</w:t>
      </w:r>
    </w:p>
    <w:p w14:paraId="0D4B05B1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Zahrnutie konsolidovaných účtovných jednotiek do konsolidovanej účtovnej závierky</w:t>
      </w:r>
    </w:p>
    <w:p w14:paraId="1226083B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Metóda úplnej konsolidácie bola použitá pri dcérskych účtovných jednotkách.</w:t>
      </w:r>
    </w:p>
    <w:p w14:paraId="58168A5C" w14:textId="77777777" w:rsidR="00C04C4E" w:rsidRPr="00C04C4E" w:rsidRDefault="00C04C4E" w:rsidP="00C04C4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73C6DDD6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iCs/>
          <w:kern w:val="0"/>
          <w:lang w:eastAsia="sk-SK"/>
          <w14:ligatures w14:val="none"/>
        </w:rPr>
        <w:t>Čl. III</w:t>
      </w:r>
    </w:p>
    <w:p w14:paraId="2F394298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>Informácie o metódach oceňovania použitých pri ocenení jednotlivých položiek konsolidovanej účtovnej závierky</w:t>
      </w:r>
    </w:p>
    <w:p w14:paraId="42BC91C4" w14:textId="77777777" w:rsidR="00C04C4E" w:rsidRPr="00C04C4E" w:rsidRDefault="00C04C4E" w:rsidP="00C04C4E">
      <w:pPr>
        <w:spacing w:after="0" w:line="360" w:lineRule="auto"/>
        <w:ind w:right="-79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5730F028" w14:textId="77777777" w:rsidR="00C04C4E" w:rsidRPr="00C04C4E" w:rsidRDefault="00C04C4E" w:rsidP="00C04C4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i/>
          <w:iCs/>
          <w:kern w:val="0"/>
          <w:u w:val="single"/>
          <w:lang w:eastAsia="sk-SK"/>
          <w14:ligatures w14:val="none"/>
        </w:rPr>
        <w:t>Spôsob oceňovania jednotlivých položiek aktív a pasív v súlade so zákonom č. 431/2002 Z. z. o účtovníctve v znení neskorších predpisov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</w:p>
    <w:p w14:paraId="0B7A1436" w14:textId="77777777" w:rsidR="00C04C4E" w:rsidRPr="00C04C4E" w:rsidRDefault="00C04C4E" w:rsidP="00C04C4E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C04C4E">
        <w:rPr>
          <w:rFonts w:ascii="Times New Roman" w:eastAsia="Calibri" w:hAnsi="Times New Roman" w:cs="Times New Roman"/>
          <w:kern w:val="0"/>
          <w14:ligatures w14:val="none"/>
        </w:rPr>
        <w:t xml:space="preserve">Dlhodobý majetok obstaraný kúpou sa oceňuje obstarávacou cenou, ktorá zahrňuje cenu obstarania a náklady súvisiace s obstaraním. Dlhodobý majetok vytvorený vlastnou činnosťou sa oceňuje vlastnými nákladmi. Dlhodobý majetok nadobudnutý bezodplatným prevodom pri splynutí, zlúčení, rozdelení alebo pri prevode správy sa oceňuje cenou, v ktorej sa doteraz </w:t>
      </w:r>
      <w:r w:rsidRPr="00C04C4E">
        <w:rPr>
          <w:rFonts w:ascii="Times New Roman" w:eastAsia="Calibri" w:hAnsi="Times New Roman" w:cs="Times New Roman"/>
          <w:kern w:val="0"/>
          <w14:ligatures w14:val="none"/>
        </w:rPr>
        <w:lastRenderedPageBreak/>
        <w:t>viedol v účtovníctve. Dlhodobý hmotný a nehmotný majetok nadobudnutý bezodplatne sa oceňuje reálnou hodnotou.</w:t>
      </w:r>
    </w:p>
    <w:p w14:paraId="656621C0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Odpisy dlhodobého nehmotného majetku a dlhodobého hmotného majetku vychádzajú z predpokladanej doby a spôsobu a rozsahu jeho používania, pričom  odpisovať sa začína odo dňa jeho zaradenia. V tejto časti sa popisuje aj spôsob tvorby odpisového plánu so všetkými jeho atribútmi pre výpočet účtovných odpisov.</w:t>
      </w:r>
    </w:p>
    <w:p w14:paraId="1A299D31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Cenné papiere a podiely sa oceňujú pri ich nadobudnutí obstarávacími cenami.  </w:t>
      </w:r>
    </w:p>
    <w:p w14:paraId="49801D7E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Zásoby nakupované sa oceňujú obstarávacou cenou. </w:t>
      </w:r>
    </w:p>
    <w:p w14:paraId="52F8498F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Zásoby vytvorené vlastnou činnosťou sa oceňujú vlastnými nákladmi. </w:t>
      </w:r>
    </w:p>
    <w:p w14:paraId="1A2AC42D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Zásoby nadobudnuté bezodplatne sa oceňujú reálnou hodnotou.</w:t>
      </w:r>
    </w:p>
    <w:p w14:paraId="75B4A1ED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Pohľadávky pri ich vzniku sa oceňujú menovitou hodnotou. </w:t>
      </w:r>
    </w:p>
    <w:p w14:paraId="2DB4E80D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Pohľadávky pri odplatnom nadobudnutí sa oceňujú obstarávacou cenou. </w:t>
      </w:r>
    </w:p>
    <w:p w14:paraId="10370461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Peňažné prostriedky a ceniny sa oceňujú menovitou hodnotou.</w:t>
      </w:r>
    </w:p>
    <w:p w14:paraId="29AFC5EC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Záväzky sa pri ich vzniku oceňujú menovitou hodnotou a pri ich prevzatí sa oceňujú obstarávacou cenou. </w:t>
      </w:r>
    </w:p>
    <w:p w14:paraId="5748A98D" w14:textId="77777777" w:rsidR="00C04C4E" w:rsidRPr="00C04C4E" w:rsidRDefault="00C04C4E" w:rsidP="00C04C4E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Účty časového rozlíšenia aktív a pasív sú vykázané vo výške, ktorá je potrebná na dodržanie zásady vecnej a časovej súvislosti s účtovným obdobím.</w:t>
      </w:r>
    </w:p>
    <w:p w14:paraId="199D769E" w14:textId="77777777" w:rsidR="00C04C4E" w:rsidRPr="00C04C4E" w:rsidRDefault="00C04C4E" w:rsidP="00C04C4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8DC508F" w14:textId="77777777" w:rsidR="00C04C4E" w:rsidRPr="00C04C4E" w:rsidRDefault="00C04C4E" w:rsidP="00C04C4E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bookmarkStart w:id="0" w:name="_Hlk162918807"/>
      <w:r w:rsidRPr="00C04C4E">
        <w:rPr>
          <w:rFonts w:ascii="Times New Roman" w:eastAsia="Times New Roman" w:hAnsi="Times New Roman" w:cs="Times New Roman"/>
          <w:i/>
          <w:iCs/>
          <w:kern w:val="0"/>
          <w:u w:val="single"/>
          <w:lang w:eastAsia="sk-SK"/>
          <w14:ligatures w14:val="none"/>
        </w:rPr>
        <w:t>Spôsob účtovania transferov</w:t>
      </w:r>
    </w:p>
    <w:p w14:paraId="470B4A87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 xml:space="preserve">bežný transfer prijatý od iných subjektov ako od zriaďovateľa  sa  zúčtuje do výnosov vo vecnej a časovej súvislosti s nákladmi hradenými z tohto transferu </w:t>
      </w:r>
    </w:p>
    <w:p w14:paraId="1736E8F3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>bežný transfer prijatý od zriaďovateľa sa zúčtuje do výnosov vo vecnej a časovej súvislosti s výdavkami z tohto transferu</w:t>
      </w:r>
    </w:p>
    <w:p w14:paraId="309365D4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>bežný transfer poskytnutý iným subjektom ako zriadeným organizáciám -sa  zúčtuje do nákladov po splnení podmienok</w:t>
      </w:r>
    </w:p>
    <w:p w14:paraId="21B64EA8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 xml:space="preserve">bežný transfer poskytnutý zriadeným rozpočtovým a príspevkovým organizáciám - sa  zúčtuje do nákladov pri poskytnutí transferu </w:t>
      </w:r>
    </w:p>
    <w:p w14:paraId="69F4584C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>kapitálový transfer prijatý od iných subjektov ako od zriaďovateľa  sa  zúčtuje do výnosov vo vecnej a časovej súvislosti s nákladmi z majetku obstaraného z tohto kapitálového transferu (napr. s odpismi, s opravnou položkou, so zostatkovou cenou vyradeného dlhodobého majetku)</w:t>
      </w:r>
    </w:p>
    <w:p w14:paraId="5DEC5092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>kapitálový transfer prijatý od zriaďovateľa  sa  zúčtuje do výnosov  vo vecnej a časovej súvislosti s nákladmi z majetku obstaraného z tohto kapitálového transferu (napr. s odpismi, s opravnou položkou, so zostatkovou cenou vyradeného dlhodobého majetku)</w:t>
      </w:r>
    </w:p>
    <w:p w14:paraId="4DDBDFA2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t>kapitálový transfer poskytnutý iným subjektom ako zriadeným organizáciám  sa  zúčtuje do nákladov po splnení podmienok</w:t>
      </w:r>
    </w:p>
    <w:p w14:paraId="071F2797" w14:textId="77777777" w:rsidR="00C04C4E" w:rsidRPr="00C04C4E" w:rsidRDefault="00C04C4E" w:rsidP="00C04C4E">
      <w:pPr>
        <w:widowControl w:val="0"/>
        <w:numPr>
          <w:ilvl w:val="0"/>
          <w:numId w:val="3"/>
        </w:numPr>
        <w:suppressAutoHyphens/>
        <w:autoSpaceDE w:val="0"/>
        <w:autoSpaceDN w:val="0"/>
        <w:adjustRightInd w:val="0"/>
        <w:spacing w:before="240" w:after="0" w:line="360" w:lineRule="auto"/>
        <w:contextualSpacing/>
        <w:jc w:val="both"/>
        <w:textAlignment w:val="center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  <w:lastRenderedPageBreak/>
        <w:t xml:space="preserve">kapitálový transfer poskytnutý zriadeným rozpočtovým a príspevkovým organizáciám  sa zúčtuje do nákladov vo vecnej a časovej súvislosti s nákladmi z majetku účtovanými v zriadených organizáciách </w:t>
      </w:r>
    </w:p>
    <w:bookmarkEnd w:id="0"/>
    <w:p w14:paraId="513E883F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</w:pPr>
    </w:p>
    <w:p w14:paraId="66FDC229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Čl. IV</w:t>
      </w:r>
    </w:p>
    <w:p w14:paraId="300E809A" w14:textId="77777777" w:rsidR="00C04C4E" w:rsidRPr="00C04C4E" w:rsidRDefault="00C04C4E" w:rsidP="00C04C4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  <w:t>Informácie o údajoch aktív a pasív</w:t>
      </w:r>
    </w:p>
    <w:p w14:paraId="37686864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caps/>
          <w:kern w:val="0"/>
          <w:lang w:eastAsia="sk-SK"/>
          <w14:ligatures w14:val="none"/>
        </w:rPr>
      </w:pPr>
    </w:p>
    <w:p w14:paraId="42095C90" w14:textId="4E01975D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Prehľad pohybu dlhodobého nehmotného a dlhodobého hmotného majetku od 1. januára 2024 do  31. decembra 2024 je uvedený v  tabuľkovej časti </w:t>
      </w:r>
      <w:r w:rsidRPr="00C04C4E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Poznámok.</w:t>
      </w:r>
    </w:p>
    <w:p w14:paraId="79253C3A" w14:textId="2E189D95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Najvýznamnejšou položkou pohľadávok sú pohľadávky z  daňových príjmov obce vo výške                                                                                    27 210,46 eur (v roku 2023 to bolo 5 768,50 eur) Pohľadávky z nedaňových príjmov predstavovali 54 255,55 eur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ab/>
        <w:t xml:space="preserve"> (v roku 2023 to bolo 49 122,27 eur..</w:t>
      </w:r>
    </w:p>
    <w:p w14:paraId="248462E6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Ako finančný majetok sú vykázané peňažné prostriedky v pokladnici a účty v bankách. Účtami v bankách môže konsolidovaný celok voľne disponovať v sume 824 106,36 eur (v roku 2023 to bolo                  811 391,54 eur).</w:t>
      </w:r>
    </w:p>
    <w:p w14:paraId="06C2DD32" w14:textId="77777777" w:rsidR="00C04C4E" w:rsidRPr="00C04C4E" w:rsidRDefault="00C04C4E" w:rsidP="00C977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Prehľad záväzkov podľa splatnosti je uvedený v tabuľkovej časti </w:t>
      </w:r>
      <w:r w:rsidRPr="00C04C4E">
        <w:rPr>
          <w:rFonts w:ascii="Times New Roman" w:eastAsia="Times New Roman" w:hAnsi="Times New Roman" w:cs="Times New Roman"/>
          <w:i/>
          <w:kern w:val="0"/>
          <w:lang w:eastAsia="sk-SK"/>
          <w14:ligatures w14:val="none"/>
        </w:rPr>
        <w:t>Poznámok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.</w:t>
      </w:r>
    </w:p>
    <w:p w14:paraId="00C9ED2B" w14:textId="77777777" w:rsidR="00C04C4E" w:rsidRPr="00C04C4E" w:rsidRDefault="00C04C4E" w:rsidP="00C977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Konsolidovaný celok vykazuje úvery zo ŠFRB vo výške 388 527,99 eur (v roku 2023 to bolo 421 726,74 eur).</w:t>
      </w:r>
    </w:p>
    <w:p w14:paraId="5D9C2F1C" w14:textId="77777777" w:rsidR="00C04C4E" w:rsidRPr="00C04C4E" w:rsidRDefault="00C04C4E" w:rsidP="00C97795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</w:p>
    <w:p w14:paraId="4BC8309F" w14:textId="48D22B04" w:rsidR="00C04C4E" w:rsidRPr="00C04C4E" w:rsidRDefault="00A4123A" w:rsidP="00C04C4E">
      <w:pPr>
        <w:spacing w:after="0" w:line="360" w:lineRule="auto"/>
        <w:ind w:right="-79"/>
        <w:jc w:val="center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Čl. V</w:t>
      </w:r>
    </w:p>
    <w:p w14:paraId="59FE14D5" w14:textId="77777777" w:rsidR="00C04C4E" w:rsidRPr="00C04C4E" w:rsidRDefault="00C04C4E" w:rsidP="00C04C4E">
      <w:pPr>
        <w:tabs>
          <w:tab w:val="left" w:pos="0"/>
          <w:tab w:val="left" w:pos="420"/>
        </w:tabs>
        <w:spacing w:after="0" w:line="360" w:lineRule="auto"/>
        <w:ind w:left="-14" w:firstLine="14"/>
        <w:jc w:val="center"/>
        <w:rPr>
          <w:rFonts w:ascii="Times New Roman" w:eastAsia="Calibri" w:hAnsi="Times New Roman" w:cs="Times New Roman"/>
          <w:b/>
          <w:caps/>
          <w:kern w:val="0"/>
          <w:lang w:eastAsia="sk-SK"/>
          <w14:ligatures w14:val="none"/>
        </w:rPr>
      </w:pPr>
      <w:r w:rsidRPr="00C04C4E">
        <w:rPr>
          <w:rFonts w:ascii="Times New Roman" w:eastAsia="Calibri" w:hAnsi="Times New Roman" w:cs="Times New Roman"/>
          <w:b/>
          <w:caps/>
          <w:kern w:val="0"/>
          <w:lang w:eastAsia="sk-SK"/>
          <w14:ligatures w14:val="none"/>
        </w:rPr>
        <w:t>Informácie o výnosoch a nákladoch</w:t>
      </w:r>
    </w:p>
    <w:p w14:paraId="03721DC1" w14:textId="77777777" w:rsidR="00C04C4E" w:rsidRPr="00C04C4E" w:rsidRDefault="00C04C4E" w:rsidP="00C04C4E">
      <w:pPr>
        <w:tabs>
          <w:tab w:val="left" w:pos="0"/>
          <w:tab w:val="left" w:pos="420"/>
        </w:tabs>
        <w:spacing w:after="0" w:line="360" w:lineRule="auto"/>
        <w:ind w:left="-14" w:firstLine="14"/>
        <w:jc w:val="center"/>
        <w:rPr>
          <w:rFonts w:ascii="Times New Roman" w:eastAsia="Times New Roman" w:hAnsi="Times New Roman" w:cs="Times New Roman"/>
          <w:b/>
          <w:caps/>
          <w:kern w:val="0"/>
          <w:lang w:eastAsia="sk-SK"/>
          <w14:ligatures w14:val="none"/>
        </w:rPr>
      </w:pPr>
    </w:p>
    <w:p w14:paraId="3B5177E3" w14:textId="01622BF5" w:rsidR="00C04C4E" w:rsidRPr="00C04C4E" w:rsidRDefault="00C04C4E" w:rsidP="00A4123A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>Z hľadiska kvantity sú najvýznamnejšími nákladmi osobné náklady vo výške  1 634 229,59 eur (v roku 2023 to bolo 1 368 520,93 eur).</w:t>
      </w:r>
    </w:p>
    <w:p w14:paraId="3F710141" w14:textId="77777777" w:rsidR="00C04C4E" w:rsidRPr="00C04C4E" w:rsidRDefault="00C04C4E" w:rsidP="00A4123A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>Najvýznamnejšími výnosmi sú daňové výnosy a výnosy z poplatkov vo v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ýške 1 565 895,52 eur (v roku 2023 to bolo  1 354 717,35 eur) a výnosy zo </w:t>
      </w: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>zúčtovania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>transferov bežných aj kapitálových od subjektov verejnej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správy vrátane štátneho </w:t>
      </w: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>rozpočtu, a to vo</w:t>
      </w: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</w:t>
      </w:r>
      <w:r w:rsidRPr="00C04C4E">
        <w:rPr>
          <w:rFonts w:ascii="Times New Roman" w:eastAsia="Calibri" w:hAnsi="Times New Roman" w:cs="Times New Roman"/>
          <w:kern w:val="0"/>
          <w:lang w:eastAsia="sk-SK"/>
          <w14:ligatures w14:val="none"/>
        </w:rPr>
        <w:t xml:space="preserve">výške 1 069 405,69 eur (v roku 2023 to bolo  901 520,87 eur). </w:t>
      </w:r>
    </w:p>
    <w:p w14:paraId="4FC11909" w14:textId="77777777" w:rsidR="00C04C4E" w:rsidRPr="00C04C4E" w:rsidRDefault="00C04C4E" w:rsidP="00A4123A">
      <w:pPr>
        <w:tabs>
          <w:tab w:val="left" w:pos="0"/>
          <w:tab w:val="left" w:pos="420"/>
        </w:tabs>
        <w:spacing w:after="0" w:line="360" w:lineRule="auto"/>
        <w:jc w:val="both"/>
        <w:rPr>
          <w:rFonts w:ascii="Times New Roman" w:eastAsia="Calibri" w:hAnsi="Times New Roman" w:cs="Times New Roman"/>
          <w:kern w:val="0"/>
          <w:lang w:eastAsia="sk-SK"/>
          <w14:ligatures w14:val="none"/>
        </w:rPr>
      </w:pPr>
    </w:p>
    <w:p w14:paraId="606FC53F" w14:textId="41C91E48" w:rsidR="00C04C4E" w:rsidRPr="00A4123A" w:rsidRDefault="00C04C4E" w:rsidP="00A4123A">
      <w:pPr>
        <w:spacing w:after="0" w:line="360" w:lineRule="auto"/>
        <w:ind w:right="-79"/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 xml:space="preserve">                                                                           </w:t>
      </w:r>
      <w:r w:rsidRPr="00C04C4E"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Čl. V</w:t>
      </w:r>
      <w:r>
        <w:rPr>
          <w:rFonts w:ascii="Times New Roman" w:eastAsia="Times New Roman" w:hAnsi="Times New Roman" w:cs="Times New Roman"/>
          <w:b/>
          <w:bCs/>
          <w:kern w:val="0"/>
          <w:lang w:eastAsia="sk-SK"/>
          <w14:ligatures w14:val="none"/>
        </w:rPr>
        <w:t>I</w:t>
      </w:r>
    </w:p>
    <w:p w14:paraId="3AEEEF48" w14:textId="77777777" w:rsidR="00C04C4E" w:rsidRPr="00C04C4E" w:rsidRDefault="00C04C4E" w:rsidP="00C04C4E">
      <w:pPr>
        <w:spacing w:after="0" w:line="360" w:lineRule="auto"/>
        <w:ind w:left="-14" w:firstLine="14"/>
        <w:jc w:val="center"/>
        <w:rPr>
          <w:rFonts w:ascii="Times New Roman" w:eastAsia="Calibri" w:hAnsi="Times New Roman" w:cs="Times New Roman"/>
          <w:b/>
          <w:kern w:val="0"/>
          <w:lang w:eastAsia="sk-SK"/>
          <w14:ligatures w14:val="none"/>
        </w:rPr>
      </w:pPr>
      <w:r w:rsidRPr="00C04C4E">
        <w:rPr>
          <w:rFonts w:ascii="Times New Roman" w:eastAsia="Calibri" w:hAnsi="Times New Roman" w:cs="Times New Roman"/>
          <w:b/>
          <w:kern w:val="0"/>
          <w:lang w:eastAsia="sk-SK"/>
          <w14:ligatures w14:val="none"/>
        </w:rPr>
        <w:t>SKUTOČNOSTI, KTORÉ NASTALI PO DNI, KU KTORÉMU SA ZOSTAVUJE</w:t>
      </w:r>
      <w:r w:rsidRPr="00C04C4E">
        <w:rPr>
          <w:rFonts w:ascii="Times New Roman" w:eastAsia="Times New Roman" w:hAnsi="Times New Roman" w:cs="Times New Roman"/>
          <w:b/>
          <w:kern w:val="0"/>
          <w:lang w:eastAsia="sk-SK"/>
          <w14:ligatures w14:val="none"/>
        </w:rPr>
        <w:t xml:space="preserve"> KONSOLIDOVANA  </w:t>
      </w:r>
      <w:r w:rsidRPr="00C04C4E">
        <w:rPr>
          <w:rFonts w:ascii="Times New Roman" w:eastAsia="Calibri" w:hAnsi="Times New Roman" w:cs="Times New Roman"/>
          <w:b/>
          <w:kern w:val="0"/>
          <w:lang w:eastAsia="sk-SK"/>
          <w14:ligatures w14:val="none"/>
        </w:rPr>
        <w:t>ÚČTOVNÁ ZÁVIERKA, DO DŇA JEJ ZOSTAVENIA</w:t>
      </w:r>
    </w:p>
    <w:p w14:paraId="7B5E7E7C" w14:textId="77777777" w:rsidR="00C04C4E" w:rsidRPr="00C04C4E" w:rsidRDefault="00C04C4E" w:rsidP="00C04C4E">
      <w:pPr>
        <w:tabs>
          <w:tab w:val="left" w:pos="0"/>
          <w:tab w:val="left" w:pos="360"/>
          <w:tab w:val="left" w:pos="420"/>
        </w:tabs>
        <w:spacing w:after="0" w:line="360" w:lineRule="auto"/>
        <w:ind w:left="-14" w:firstLine="14"/>
        <w:rPr>
          <w:rFonts w:ascii="Times New Roman" w:eastAsia="Calibri" w:hAnsi="Times New Roman" w:cs="Times New Roman"/>
          <w:kern w:val="0"/>
          <w:lang w:eastAsia="sk-SK"/>
          <w14:ligatures w14:val="none"/>
        </w:rPr>
      </w:pPr>
    </w:p>
    <w:p w14:paraId="73275960" w14:textId="77777777" w:rsidR="00C04C4E" w:rsidRPr="00C04C4E" w:rsidRDefault="00C04C4E" w:rsidP="00C97795">
      <w:pPr>
        <w:spacing w:after="0" w:line="360" w:lineRule="auto"/>
        <w:ind w:right="-79"/>
        <w:jc w:val="both"/>
        <w:rPr>
          <w:rFonts w:ascii="Times New Roman" w:eastAsia="Times New Roman" w:hAnsi="Times New Roman" w:cs="Times New Roman"/>
          <w:kern w:val="0"/>
          <w:lang w:eastAsia="sk-SK"/>
          <w14:ligatures w14:val="none"/>
        </w:rPr>
      </w:pPr>
      <w:r w:rsidRPr="00C04C4E">
        <w:rPr>
          <w:rFonts w:ascii="Times New Roman" w:eastAsia="Times New Roman" w:hAnsi="Times New Roman" w:cs="Times New Roman"/>
          <w:kern w:val="0"/>
          <w:lang w:eastAsia="sk-SK"/>
          <w14:ligatures w14:val="none"/>
        </w:rPr>
        <w:t>Po dni, ku ktorému sa zostavuje konsolidovaná účtovná závierka nenastali také udalosti, ktoré by si vyžadovali zverejnenie alebo vykázanie v konsolidovanej účtovnej závierke za rok 2024.</w:t>
      </w:r>
    </w:p>
    <w:p w14:paraId="479C9B4E" w14:textId="77777777" w:rsidR="00C04C4E" w:rsidRPr="00C04C4E" w:rsidRDefault="00C04C4E" w:rsidP="00C04C4E">
      <w:pPr>
        <w:spacing w:after="0" w:line="360" w:lineRule="auto"/>
        <w:rPr>
          <w:rFonts w:ascii="Times New Roman" w:eastAsia="Times New Roman" w:hAnsi="Times New Roman" w:cs="Times New Roman"/>
          <w:bCs/>
          <w:color w:val="000000"/>
          <w:kern w:val="0"/>
          <w:lang w:eastAsia="sk-SK"/>
          <w14:ligatures w14:val="none"/>
        </w:rPr>
      </w:pPr>
    </w:p>
    <w:p w14:paraId="41023E15" w14:textId="77777777" w:rsidR="00C04C4E" w:rsidRDefault="00C04C4E"/>
    <w:sectPr w:rsidR="00C04C4E" w:rsidSect="00C04C4E">
      <w:foot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9768A2" w14:textId="77777777" w:rsidR="0037324A" w:rsidRDefault="0037324A">
      <w:pPr>
        <w:spacing w:after="0" w:line="240" w:lineRule="auto"/>
      </w:pPr>
      <w:r>
        <w:separator/>
      </w:r>
    </w:p>
  </w:endnote>
  <w:endnote w:type="continuationSeparator" w:id="0">
    <w:p w14:paraId="3F6A2300" w14:textId="77777777" w:rsidR="0037324A" w:rsidRDefault="00373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FEDAAC" w14:textId="77777777" w:rsidR="00C97795" w:rsidRDefault="00C97795" w:rsidP="006779A5">
    <w:pPr>
      <w:pStyle w:val="Zpat"/>
      <w:framePr w:wrap="auto" w:vAnchor="text" w:hAnchor="margin" w:xAlign="center" w:y="1"/>
      <w:rPr>
        <w:rStyle w:val="slostrnky"/>
        <w:rFonts w:eastAsiaTheme="majorEastAsia"/>
      </w:rPr>
    </w:pPr>
    <w:r>
      <w:rPr>
        <w:rStyle w:val="slostrnky"/>
        <w:rFonts w:eastAsiaTheme="majorEastAsia"/>
      </w:rPr>
      <w:fldChar w:fldCharType="begin"/>
    </w:r>
    <w:r>
      <w:rPr>
        <w:rStyle w:val="slostrnky"/>
        <w:rFonts w:eastAsiaTheme="majorEastAsia"/>
      </w:rPr>
      <w:instrText xml:space="preserve">PAGE  </w:instrText>
    </w:r>
    <w:r>
      <w:rPr>
        <w:rStyle w:val="slostrnky"/>
        <w:rFonts w:eastAsiaTheme="majorEastAsia"/>
      </w:rPr>
      <w:fldChar w:fldCharType="separate"/>
    </w:r>
    <w:r>
      <w:rPr>
        <w:rStyle w:val="slostrnky"/>
        <w:rFonts w:eastAsiaTheme="majorEastAsia"/>
        <w:noProof/>
      </w:rPr>
      <w:t>1</w:t>
    </w:r>
    <w:r>
      <w:rPr>
        <w:rStyle w:val="slostrnky"/>
        <w:rFonts w:eastAsiaTheme="majorEastAsia"/>
      </w:rPr>
      <w:fldChar w:fldCharType="end"/>
    </w:r>
  </w:p>
  <w:p w14:paraId="1517E270" w14:textId="77777777" w:rsidR="00C97795" w:rsidRDefault="00C97795" w:rsidP="00491430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A7401" w14:textId="77777777" w:rsidR="0037324A" w:rsidRDefault="0037324A">
      <w:pPr>
        <w:spacing w:after="0" w:line="240" w:lineRule="auto"/>
      </w:pPr>
      <w:r>
        <w:separator/>
      </w:r>
    </w:p>
  </w:footnote>
  <w:footnote w:type="continuationSeparator" w:id="0">
    <w:p w14:paraId="4549E254" w14:textId="77777777" w:rsidR="0037324A" w:rsidRDefault="003732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95150"/>
    <w:multiLevelType w:val="hybridMultilevel"/>
    <w:tmpl w:val="BF62AEB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7538D"/>
    <w:multiLevelType w:val="hybridMultilevel"/>
    <w:tmpl w:val="38183FA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725035"/>
    <w:multiLevelType w:val="hybridMultilevel"/>
    <w:tmpl w:val="BF7A42C0"/>
    <w:lvl w:ilvl="0" w:tplc="041B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64863359">
    <w:abstractNumId w:val="1"/>
  </w:num>
  <w:num w:numId="2" w16cid:durableId="1729263579">
    <w:abstractNumId w:val="0"/>
  </w:num>
  <w:num w:numId="3" w16cid:durableId="1609851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C4E"/>
    <w:rsid w:val="002A366C"/>
    <w:rsid w:val="0037324A"/>
    <w:rsid w:val="004F6838"/>
    <w:rsid w:val="008216BF"/>
    <w:rsid w:val="008C5233"/>
    <w:rsid w:val="00A4123A"/>
    <w:rsid w:val="00C04C4E"/>
    <w:rsid w:val="00C9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3E0A8"/>
  <w15:chartTrackingRefBased/>
  <w15:docId w15:val="{7121E94F-0804-4C38-8E43-B028E92FE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C04C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C04C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C04C4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C04C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C04C4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C04C4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C04C4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C04C4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C04C4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C04C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C04C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C04C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C04C4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C04C4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C04C4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C04C4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C04C4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C04C4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C04C4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C04C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C04C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C04C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C04C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C04C4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C04C4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C04C4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C04C4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C04C4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C04C4E"/>
    <w:rPr>
      <w:b/>
      <w:bCs/>
      <w:smallCaps/>
      <w:color w:val="2F5496" w:themeColor="accent1" w:themeShade="BF"/>
      <w:spacing w:val="5"/>
    </w:rPr>
  </w:style>
  <w:style w:type="paragraph" w:styleId="Zpat">
    <w:name w:val="footer"/>
    <w:basedOn w:val="Normln"/>
    <w:link w:val="ZpatChar"/>
    <w:uiPriority w:val="99"/>
    <w:rsid w:val="00C04C4E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C04C4E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slostrnky">
    <w:name w:val="page number"/>
    <w:basedOn w:val="Standardnpsmoodstavce"/>
    <w:uiPriority w:val="99"/>
    <w:rsid w:val="00C04C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5</Pages>
  <Words>1156</Words>
  <Characters>6591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Bučany</dc:creator>
  <cp:keywords/>
  <dc:description/>
  <cp:lastModifiedBy>Obec Bučany</cp:lastModifiedBy>
  <cp:revision>4</cp:revision>
  <cp:lastPrinted>2025-06-12T12:19:00Z</cp:lastPrinted>
  <dcterms:created xsi:type="dcterms:W3CDTF">2025-06-12T11:55:00Z</dcterms:created>
  <dcterms:modified xsi:type="dcterms:W3CDTF">2025-06-12T12:19:00Z</dcterms:modified>
</cp:coreProperties>
</file>