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Poznámky konsolidovanej účtovnej závierky obce Gôtovany</w:t>
      </w:r>
    </w:p>
    <w:p>
      <w:pPr>
        <w:pStyle w:val="Normal"/>
        <w:spacing w:lineRule="atLeast" w:line="100"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zostavenej k 31. decembru 202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4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I.</w:t>
      </w:r>
    </w:p>
    <w:p>
      <w:pPr>
        <w:pStyle w:val="Normal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VŠEOBECNÉ ÚDAJE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Identifikačné údaje konsolidujúcej účtovnej jednotky</w:t>
      </w:r>
    </w:p>
    <w:tbl>
      <w:tblPr>
        <w:tblW w:w="9189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7"/>
        <w:gridCol w:w="3551"/>
      </w:tblGrid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Názov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tLeast" w:line="100" w:before="0" w:after="0"/>
              <w:ind w:left="-109" w:hanging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Obec Gôtovany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Sídlo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Gôtovany 45, 032 14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IČO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00315192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Dátum založenia, vzniku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left="741" w:hanging="709"/>
              <w:rPr>
                <w:color w:val="C9211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01.01.1990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Identifikačné údaje o konsolidovaných účtovných jednotkách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Konsolidovaný celok Obce Gôtovany sa v roku 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oproti minulým účtovným obdobiam nezmenil.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Obec Gôtovany má v zriaďovateľskej pôsobnosti rozpočtovú organizáciu (RO):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5"/>
        <w:gridCol w:w="3585"/>
      </w:tblGrid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Názov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MŠ Gôtovany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Sídlo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Gôtovany 60, 032 14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IČO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42213894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Dátum založenia, vzniku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1.4.2002 (delimitáciou)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Prehľad o účtovných jednotkách konsolidovaného celku je uvedený v prílohe č. 1, v tabuľkovej časti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</w:r>
    </w:p>
    <w:p>
      <w:pPr>
        <w:pStyle w:val="Normal"/>
        <w:jc w:val="both"/>
        <w:rPr>
          <w:color w:val="C9211E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Konsolidovaná účtovná závierka konsolidovaného celku Obce Gôtovany k 31. decembru 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je zostavená ako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riadna konsolidovaná účtovná závierka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podľa zákona č. 431/2002 Z. z. o účtovníctve v znení neskorších predpisov,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 účtovné obdobie od 1. januára 202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do 31. decembra 202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Obec je súčasťou súhrnného celku verejnej správy Slovenskej republiky.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Informácie o vedúcich predstaviteľoch a o zamestnancoch konsolidovaného celku</w:t>
      </w:r>
    </w:p>
    <w:tbl>
      <w:tblPr>
        <w:tblW w:w="6240" w:type="dxa"/>
        <w:jc w:val="left"/>
        <w:tblInd w:w="1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02"/>
        <w:gridCol w:w="3737"/>
      </w:tblGrid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Starosta obce: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Mgr. Andrea Adamčiaková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Zástupca starostu: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Ing. Andrej Lúčan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Hlavný kontrolór obce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PhDr. Desana Stromková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keepNext w:val="true"/>
        <w:spacing w:lineRule="auto" w:line="24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Materská škola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s právnou subjektivitou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Cs/>
          <w:color w:val="000000"/>
          <w:sz w:val="24"/>
          <w:szCs w:val="24"/>
        </w:rPr>
        <w:t>Riaditeľka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Mgr. Miriam Čupková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Cs/>
          <w:color w:val="000000"/>
          <w:sz w:val="24"/>
          <w:szCs w:val="24"/>
        </w:rPr>
        <w:t>Počet žiakov: 34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Materská škola v Gôtovanoch hospodári s vlastnými  finančnými prostriedkami a je napojená na rozpočet obce.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40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7"/>
        <w:gridCol w:w="3626"/>
        <w:gridCol w:w="2118"/>
      </w:tblGrid>
      <w:tr>
        <w:trPr>
          <w:trHeight w:val="753" w:hRule="atLeast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Organizácia – účtovná jednotka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ind w:left="400" w:hanging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priemerný počet zamestnancov</w:t>
            </w:r>
          </w:p>
          <w:p>
            <w:pPr>
              <w:pStyle w:val="Normal"/>
              <w:spacing w:lineRule="atLeast" w:line="100" w:before="0" w:after="0"/>
              <w:ind w:left="373" w:hanging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konsolidovaného celku počas</w:t>
            </w:r>
          </w:p>
          <w:p>
            <w:pPr>
              <w:pStyle w:val="Normal"/>
              <w:spacing w:lineRule="atLeast" w:line="100" w:before="0" w:after="0"/>
              <w:ind w:left="373" w:hanging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účtovného obdobia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ind w:left="579" w:hanging="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Z toho riadiacich</w:t>
            </w:r>
          </w:p>
        </w:tc>
      </w:tr>
      <w:tr>
        <w:trPr/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Obec Gôtovany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Materská škola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Informácia o splnení predpokladu nepretržitého pokračovania v činnosti účtovnej jednotky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Konsolidovaná účtovná závierka Obce bola zostavená za predpokladu nepretržitého trvania činnosti v súlade so zákonom o účtovníctve a nadväzujúcimi právnymi predpismi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Informácie o metódach oceňovania použitých pri ocenení jednotlivých položiek konsolidovanej účtovnej závierky obce Gôtovany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Pri oceňovaní majetku a záväzkov sa uplatňuje zásada opatrnosti. Za základ sa berú všetky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riziká, straty a zníženia hodnoty, ktoré sa týkajú majetku a záväzkov a sú známe ku dňu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zostavenia účtovnej závierky.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nehmotný a hmotný majetok nakupovaný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cenou, ktorá zahrňuje cenu, za ktorú sa majetok obstaral ako aj náklady súvisiace s jeho obstaraním (dopravné, montáž a pod.).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majetok vytvorený vlastnou činnosťou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vlastnými nákladmi, ktoré predstavujú všetky priame náklady vynaložené na výrobu alebo inú činnosť a všetky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nepriame náklady vzťahujúce sa na výrobu alebo inú činnosť.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nehmotný a hmotný majetok získaný bezodplatne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reprodukčnou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obstarávacou cenou, teda cenou, za ktorú by sa majetok obstaral v čase, keď sa o ňom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účtuje.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majetok nadobudnutý prevodom správy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cenou, v ktorej sa doteraz viedol v účtovníctve.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finančný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Nakupované zásoby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obstarávacou cenou, ktorá zahrňuje cenu, za ktorú sa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majetok obstaral ako aj náklady súvisiace s jeho obstaraním (napr.: prepravné,  provízia,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poistné a zľavy).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Zásoby vytvorené vlastnou činnosťou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vlastnými nákladmi, ktoré predstavujú všetky priame náklady vynaložené na tvorbu zásob ako aj časťou nepriamych nákladov, ktoré sa k tvorbe zásob vzťahujú.</w:t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spacing w:lineRule="atLeast" w:line="100" w:before="0" w:after="0"/>
        <w:ind w:left="0" w:hanging="0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Cenné papiere a podiely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obstarávacími cenami, vrátane nákladov súvisiacich  s obstaraním.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Pohľadávky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Krátkodobý finančný majetok - peňažné prostriedky a ceniny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sa oceňujú ich    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menovitou hodnotou.</w:t>
      </w:r>
    </w:p>
    <w:p>
      <w:pPr>
        <w:pStyle w:val="Odstavecseseznamem1"/>
        <w:numPr>
          <w:ilvl w:val="0"/>
          <w:numId w:val="1"/>
        </w:numPr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prevzatí oceňujú obstarávacou cenou.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Ak sa pri inventarizácii zistí, že suma záväzkov je iná ako ich výška v účtovníctve, uvedú </w:t>
      </w:r>
    </w:p>
    <w:p>
      <w:pPr>
        <w:pStyle w:val="Normal"/>
        <w:spacing w:lineRule="atLeast" w:line="100" w:before="0" w:after="0"/>
        <w:ind w:left="360" w:hanging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sa záväzky v účtovníctve a v účtovnej závierke v tomto zistenom ocenení.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Majetok obstaraný z transferov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II.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METÓDACH A POSTUPOCH KONSOLIDÁCIE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Konsolidovaná účtovná závierka Obce bola zostavená v súlade so zákonom č. 431/2002 Z. z.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 označovaní položiek konsolidovanej účtovnej závierky vo verejnej správe v znení neskorších predpisov.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rámci konsolidácie konsolidovaného celku obce Gôtovany boli eliminované vzájomné pohľadávky, záväzky, náklady a výnosy.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Zahrnutie konsolidovaných účtovných jednotiek do konsolidovanej účtovnej závierky</w:t>
      </w:r>
    </w:p>
    <w:tbl>
      <w:tblPr>
        <w:tblW w:w="9220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700"/>
        <w:gridCol w:w="1701"/>
        <w:gridCol w:w="1600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podielovej konsolidácie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vlastného imania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Obec Gôtovany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Materská škola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Pri dcérskych účtovných jednotkách bola použitá metóda úplnej konsolidácie.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roku 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>, rovnako ako v predchádzajúcich účtovných obdobiach, sa medzi účtovnými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jednotkami konsolidovaného celku Obce Gôtovany neuskutočnil nákup, resp. predaj majetku, preto nebolo potrebné vykonať konsolidáciu medzivýsledku.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III.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ÚDAJOCH AKTÍV A PASÍV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a) Konsolidovaný celok verejnej správy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uvedené v tabuľke č. 1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b) Aktíva a pasíva za konsolidovaný celok: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konsolidovanej súvahe k 31.12.202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je na strane aktív vykázaný majetok spolu vo výške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netto 1.</w:t>
      </w:r>
      <w:r>
        <w:rPr>
          <w:rFonts w:cs="Times New Roman" w:ascii="Times New Roman" w:hAnsi="Times New Roman"/>
          <w:color w:val="000000"/>
          <w:sz w:val="24"/>
          <w:szCs w:val="24"/>
        </w:rPr>
        <w:t>226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172,47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Eur, z toho neobežný majetok predstavuje </w:t>
      </w:r>
      <w:r>
        <w:rPr>
          <w:rFonts w:cs="Times New Roman" w:ascii="Times New Roman" w:hAnsi="Times New Roman"/>
          <w:color w:val="000000"/>
          <w:sz w:val="24"/>
          <w:szCs w:val="24"/>
        </w:rPr>
        <w:t>1.046.808,51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a obežný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majetok </w:t>
      </w:r>
      <w:r>
        <w:rPr>
          <w:rFonts w:cs="Times New Roman" w:ascii="Times New Roman" w:hAnsi="Times New Roman"/>
          <w:color w:val="000000"/>
          <w:sz w:val="24"/>
          <w:szCs w:val="24"/>
        </w:rPr>
        <w:t>178.147,94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Eur. Časové rozlíšenie na strane aktív – náklady a príjmy budúcich období činí 1.</w:t>
      </w:r>
      <w:r>
        <w:rPr>
          <w:rFonts w:cs="Times New Roman" w:ascii="Times New Roman" w:hAnsi="Times New Roman"/>
          <w:color w:val="000000"/>
          <w:sz w:val="24"/>
          <w:szCs w:val="24"/>
        </w:rPr>
        <w:t>216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02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Vlastné imanie a záväzky na strane pasív súhlasia s výškou aktív v hodnote 1.</w:t>
      </w:r>
      <w:r>
        <w:rPr>
          <w:rFonts w:cs="Times New Roman" w:ascii="Times New Roman" w:hAnsi="Times New Roman"/>
          <w:color w:val="000000"/>
          <w:sz w:val="24"/>
          <w:szCs w:val="24"/>
        </w:rPr>
        <w:t>226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172,47 </w:t>
      </w:r>
      <w:r>
        <w:rPr>
          <w:rFonts w:cs="Times New Roman" w:ascii="Times New Roman" w:hAnsi="Times New Roman"/>
          <w:color w:val="000000"/>
          <w:sz w:val="24"/>
          <w:szCs w:val="24"/>
        </w:rPr>
        <w:t>Eur.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Vlastné imanie je vykázané vo výške 46</w:t>
      </w:r>
      <w:r>
        <w:rPr>
          <w:rFonts w:cs="Times New Roman" w:ascii="Times New Roman" w:hAnsi="Times New Roman"/>
          <w:color w:val="000000"/>
          <w:sz w:val="24"/>
          <w:szCs w:val="24"/>
        </w:rPr>
        <w:t>8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168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64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a záväzky v hodnote 4</w:t>
      </w:r>
      <w:r>
        <w:rPr>
          <w:rFonts w:cs="Times New Roman" w:ascii="Times New Roman" w:hAnsi="Times New Roman"/>
          <w:color w:val="000000"/>
          <w:sz w:val="24"/>
          <w:szCs w:val="24"/>
        </w:rPr>
        <w:t>38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731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21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Časové rozlíšenie na strane pasív - výdavky a výnosy budúcich období - činí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319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272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62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 Eur.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c) Prehľad a pohybe vlastného imania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Po agregácii činí vlastné imanie za konsolidovaný celok k 31.12.202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sumu  46</w:t>
      </w:r>
      <w:r>
        <w:rPr>
          <w:rFonts w:cs="Times New Roman" w:ascii="Times New Roman" w:hAnsi="Times New Roman"/>
          <w:color w:val="000000"/>
          <w:sz w:val="24"/>
          <w:szCs w:val="24"/>
        </w:rPr>
        <w:t>8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168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64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podrobnejšie údaje uvedené v tabuľke č. 12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Vlastné imanie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d) Prehľad o pohybe rezerv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Konsolidovaný celok vykazuje tvorenie rezerv na audit v tabuľke č. 13 – 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Rezervy zákonné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e) Prehľad o pohybe dlhodobého hmotného a nehmotného majetku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Zostatková cena dlhodobého majetku </w:t>
      </w:r>
      <w:r>
        <w:rPr>
          <w:rFonts w:cs="Times New Roman" w:ascii="Times New Roman" w:hAnsi="Times New Roman"/>
          <w:color w:val="000000"/>
          <w:sz w:val="24"/>
          <w:szCs w:val="24"/>
        </w:rPr>
        <w:t>1.046.808,51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Z tejto sumy je dlhodobý nehmotný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15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35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0,00 Eur a dlhodobý hmotný majetok v zostatkovej hodnote </w:t>
      </w:r>
      <w:r>
        <w:rPr>
          <w:rFonts w:cs="Times New Roman" w:ascii="Times New Roman" w:hAnsi="Times New Roman"/>
          <w:color w:val="000000"/>
          <w:sz w:val="24"/>
          <w:szCs w:val="24"/>
        </w:rPr>
        <w:t>939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328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51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Podrobnejšie údaje uvedené v tabuľke č. 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(r. 9, r. 22 a r. 32)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f) Dlhodobý finančný majetok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Hodnota dlhodobého finančného majetku v obstarávacej cene bola k 31.12.202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vo výške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92.130,00 Eur. Jedná sa o realizovateľné cenné papiere vo vzťahu k eminentovi - Liptovská vodárenská spoločnosť a.s.. - podrobnejšie údaje uvedené v tabuľke č. 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(r. 25 a 31)                                          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g) Zásoby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Zásoby sú v konsolidovanej súvahe vykázané spolu vo výške 0,00 Eur. V účtovnom období zároveň konsolidovaný celok nevykazuje tvorbu, zníženie ani zrušenie opravnej položky k zásobám.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h) Dlhodobé pohľadávky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Konsolidovaný celok vykazuje dlhodobé pohľadávky vo výške 0,00 Eur.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i) Krátkodobé pohľadávky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 súvahe za konsolidovaný celok sú vykázané krátkodobé pohľadávky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3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318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95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Eur, ktoré v celom podiele zúčtovala obec Gôtovany.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315- Ostatné pohľadávky </w:t>
      </w:r>
      <w:r>
        <w:rPr>
          <w:rFonts w:cs="Times New Roman" w:ascii="Times New Roman" w:hAnsi="Times New Roman"/>
          <w:color w:val="000000"/>
          <w:sz w:val="24"/>
          <w:szCs w:val="24"/>
        </w:rPr>
        <w:t>50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96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€  (vyúčtovanie elektriky a vodného)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318– Pohľadávka z nedaňových príjmov  </w:t>
      </w:r>
      <w:r>
        <w:rPr>
          <w:rFonts w:cs="Times New Roman" w:ascii="Times New Roman" w:hAnsi="Times New Roman"/>
          <w:color w:val="000000"/>
          <w:sz w:val="24"/>
          <w:szCs w:val="24"/>
        </w:rPr>
        <w:t>660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0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0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(nájomné, komunálny odpad, ČOV..)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319- Pohľadávky z daňových príjmov </w:t>
      </w:r>
      <w:r>
        <w:rPr>
          <w:rFonts w:cs="Times New Roman" w:ascii="Times New Roman" w:hAnsi="Times New Roman"/>
          <w:color w:val="000000"/>
          <w:sz w:val="24"/>
          <w:szCs w:val="24"/>
        </w:rPr>
        <w:t>1.149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27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 (daň z nehnuteľnosti, daň za psa 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335 – Pohľadávky voči zamestnancom </w:t>
      </w:r>
      <w:r>
        <w:rPr>
          <w:rFonts w:cs="Times New Roman" w:ascii="Times New Roman" w:hAnsi="Times New Roman"/>
          <w:color w:val="000000"/>
          <w:sz w:val="24"/>
          <w:szCs w:val="24"/>
        </w:rPr>
        <w:t>190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68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378 – Iné pohľadávky 1268,04 EUR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účtovnom období zároveň konsolidovaný celok nevykazuje tvorbu, zníženie ani zrušenie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opravnej položky ku krátkodobým pohľadávkam.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j) Finančné účty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Na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finančných účto</w:t>
      </w:r>
      <w:r>
        <w:rPr>
          <w:rFonts w:cs="Times New Roman" w:ascii="Times New Roman" w:hAnsi="Times New Roman"/>
          <w:color w:val="000000"/>
          <w:sz w:val="24"/>
          <w:szCs w:val="24"/>
        </w:rPr>
        <w:t>ch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obce a materskej školy (RO) 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 xml:space="preserve"> sú vykázané peňažné prostriedky v pokladnici a účty v bankách. Účtami v bankách môže účtovná jednotka voľne disponovať.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k) Poskytnuté finančné výpomoci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Konsolidovaný celok nevykazuje žiadne poskytnuté finančné výpomoci.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l) Časové rozlíšenie na strane aktív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Časové rozlíšenie je za celý konsolidovaný celok vo výške  1.</w:t>
      </w:r>
      <w:r>
        <w:rPr>
          <w:rFonts w:cs="Times New Roman" w:ascii="Times New Roman" w:hAnsi="Times New Roman"/>
          <w:color w:val="000000"/>
          <w:sz w:val="24"/>
          <w:szCs w:val="24"/>
        </w:rPr>
        <w:t>216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02</w:t>
      </w:r>
      <w:r>
        <w:rPr>
          <w:rFonts w:cs="Times New Roman" w:ascii="Times New Roman" w:hAnsi="Times New Roman"/>
          <w:color w:val="000000"/>
          <w:sz w:val="24"/>
          <w:szCs w:val="24"/>
        </w:rPr>
        <w:t>Eur. Celú sumu tvoria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náklady budúcich období. 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10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Časové rozlíšenie na strane aktív – náklady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m) Dlhodobé záväzky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Záväzky za celý konsolidovaný celok činia 389.658,57 Eur. Z toho 2.388,81 Eur sú záväzky zo sociálneho fondu (472 - zostatok FP na účte SF), 387.269,76 Eur sú záväzky voči ŠFRB a 21.275,16 Eur sú záväzky Garančného fondu.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Vykazované dlhodobé záväzky sú všetky v lehote splatnosti, so zostatkovou dobou splatnosti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Záväzky podľa doby splatnosti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n) Krátkodobé záväzky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 súvahe za konsolidovaný celok sú vykázané krátkodobé záväzky spolu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74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551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73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Eur. Celá suma záväzkov predstavuje plnenie z bežnej činnosti za mesiac december 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>. Vykazované krátkodobé záväzky sú všetky v lehote splatnosti, so zostatkovou dobou splatnosti do jedného roka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Záväzky podľa doby splatnosti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o) Vydané dlhopisy</w:t>
      </w:r>
    </w:p>
    <w:p>
      <w:pPr>
        <w:pStyle w:val="Normal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účtovnom období neboli v rámci konsolidovaného celku vydané žiadne dlhopisy.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p) Bankové úvery a návratné výpomoci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rámci konsolidovaného neboli prijaté žiadne bankové úvery a návratné výpomoci.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q) Časové rozlíšenie na strane pasív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319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272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62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Celú sumu tvoria výnosy budúcich období.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18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Časové rozlíšenie na strane pasív – Výnosy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IV.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ÚDAJOCH NÁKLADOV A VÝNOSOV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a) Náklady na služby a ostatné finančné náklady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Náklady spolu za konsolidovaný celok </w:t>
      </w:r>
      <w:r>
        <w:rPr>
          <w:rFonts w:cs="Times New Roman" w:ascii="Times New Roman" w:hAnsi="Times New Roman"/>
          <w:color w:val="000000"/>
          <w:sz w:val="24"/>
          <w:szCs w:val="24"/>
        </w:rPr>
        <w:t>sú uvedené v tabuľkovej časti tabuľka č. 18 až 21..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b) Výnosy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Výnosy spolu za konsolidovaný celok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sú vykázané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viď. tabuľka č. 22.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000000"/>
          <w:sz w:val="22"/>
          <w:szCs w:val="22"/>
          <w:lang w:val="sk-SK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Ďalšie podrobnejšie informácie k nákladom a výnosom sú uvedené v tabuľkovej časti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2"/>
          <w:szCs w:val="22"/>
          <w:lang w:val="sk-SK" w:bidi="ar-SA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2"/>
          <w:szCs w:val="22"/>
          <w:lang w:val="sk-SK" w:bidi="ar-SA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2"/>
          <w:szCs w:val="22"/>
          <w:lang w:val="sk-SK" w:bidi="ar-SA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2"/>
          <w:szCs w:val="22"/>
          <w:lang w:val="sk-SK" w:bidi="ar-SA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2"/>
          <w:szCs w:val="22"/>
          <w:lang w:val="sk-SK" w:bidi="ar-SA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  <w:lang w:val="sk-SK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sk-SK" w:bidi="ar-SA"/>
        </w:rPr>
        <w:t>Čl.V.</w:t>
      </w:r>
    </w:p>
    <w:p>
      <w:pPr>
        <w:pStyle w:val="Normal"/>
        <w:tabs>
          <w:tab w:val="left" w:pos="462" w:leader="none"/>
        </w:tabs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  <w:lang w:val="sk-SK" w:bidi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 w:bidi="ar-SA"/>
        </w:rPr>
        <w:t>INFORMÁCIE NA PODSÚVAHOVÝCH ÚČTOCH</w:t>
      </w:r>
    </w:p>
    <w:p>
      <w:pPr>
        <w:pStyle w:val="Normal"/>
        <w:jc w:val="both"/>
        <w:rPr>
          <w:rFonts w:ascii="Times New Roman" w:hAnsi="Times New Roman"/>
          <w:b/>
          <w:b/>
          <w:color w:val="000000"/>
          <w:lang w:val="sk-SK" w:bidi="ar-SA"/>
        </w:rPr>
      </w:pPr>
      <w:r>
        <w:rPr>
          <w:rFonts w:ascii="Times New Roman" w:hAnsi="Times New Roman"/>
          <w:b/>
          <w:color w:val="000000"/>
          <w:lang w:val="sk-SK" w:bidi="ar-SA"/>
        </w:rPr>
      </w:r>
    </w:p>
    <w:p>
      <w:pPr>
        <w:pStyle w:val="Telotextu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>Prehľad o iných aktívach a iných pasívach a o kultúrnych pamiatkach konsolidovaného celku je uvedený v tabuľkovej časti.</w:t>
      </w:r>
    </w:p>
    <w:p>
      <w:pPr>
        <w:pStyle w:val="Telotextu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>Účtovná jednotka eviduje na podsúvahových účtoch nasledovné položky:</w:t>
      </w:r>
    </w:p>
    <w:p>
      <w:pPr>
        <w:pStyle w:val="Telotextu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 xml:space="preserve">- majetok vo výpožičke vo  výške </w:t>
      </w:r>
      <w:r>
        <w:rPr>
          <w:rFonts w:ascii="Times New Roman" w:hAnsi="Times New Roman"/>
          <w:color w:val="000000"/>
          <w:lang w:val="sk-SK" w:bidi="ar-SA"/>
        </w:rPr>
        <w:t>14</w:t>
      </w:r>
      <w:r>
        <w:rPr>
          <w:rFonts w:ascii="Times New Roman" w:hAnsi="Times New Roman"/>
          <w:color w:val="000000"/>
          <w:lang w:val="sk-SK" w:bidi="ar-SA"/>
        </w:rPr>
        <w:t>.359,00 EUR</w:t>
      </w:r>
    </w:p>
    <w:p>
      <w:pPr>
        <w:pStyle w:val="Telotextu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 xml:space="preserve">(z toho 14.359,00 povodňová súprava) </w:t>
      </w:r>
    </w:p>
    <w:p>
      <w:pPr>
        <w:pStyle w:val="Telotextu"/>
        <w:spacing w:lineRule="atLeast" w:line="100" w:before="0" w:after="0"/>
        <w:jc w:val="both"/>
        <w:rPr>
          <w:rFonts w:ascii="Times New Roman" w:hAnsi="Times New Roman"/>
          <w:color w:val="000000"/>
          <w:sz w:val="22"/>
          <w:szCs w:val="22"/>
          <w:lang w:val="sk-SK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 xml:space="preserve">- drobný hmotný majetok OTE vo výške 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47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028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60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 xml:space="preserve"> EUR ( po jednotlivých strediskách)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V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OSTATNÝCH SKUTOČNOSTIACH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 31.12.202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do dňa zostavenia konsolidovanej účtovnej závierky nedošlo k takým skutočnostiam, ktoré by ovplyvnili, resp. zmenili výsledky vykázané v účtovnej evidencii a v účtovných výkazoch konsolidovaných účtovných jednotiek k 31.12.202</w:t>
      </w:r>
      <w:r>
        <w:rPr>
          <w:rFonts w:cs="Times New Roman" w:ascii="Times New Roman" w:hAnsi="Times New Roman"/>
          <w:color w:val="000000"/>
          <w:sz w:val="24"/>
          <w:szCs w:val="24"/>
        </w:rPr>
        <w:t>4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 Gôtovanoch, dňa 1</w:t>
      </w:r>
      <w:r>
        <w:rPr>
          <w:rFonts w:cs="Times New Roman" w:ascii="Times New Roman" w:hAnsi="Times New Roman"/>
          <w:color w:val="000000"/>
          <w:sz w:val="24"/>
          <w:szCs w:val="24"/>
        </w:rPr>
        <w:t>9</w:t>
      </w:r>
      <w:r>
        <w:rPr>
          <w:rFonts w:cs="Times New Roman" w:ascii="Times New Roman" w:hAnsi="Times New Roman"/>
          <w:color w:val="000000"/>
          <w:sz w:val="24"/>
          <w:szCs w:val="24"/>
        </w:rPr>
        <w:t>.06.202</w:t>
      </w:r>
      <w:r>
        <w:rPr>
          <w:rFonts w:cs="Times New Roman" w:ascii="Times New Roman" w:hAnsi="Times New Roman"/>
          <w:color w:val="000000"/>
          <w:sz w:val="24"/>
          <w:szCs w:val="24"/>
        </w:rPr>
        <w:t>5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Vypracovala:    Ing. Juraj Brziak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externý účtovník obce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Schválil:           Mgr. Andrea Adamčiaková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starostka obce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Obec Gôtovany</w:t>
    </w:r>
  </w:p>
  <w:p>
    <w:pPr>
      <w:pStyle w:val="Hlavika"/>
      <w:jc w:val="center"/>
      <w:rPr/>
    </w:pPr>
    <w:r>
      <w:rPr>
        <w:rFonts w:cs="Times New Roman" w:ascii="Times New Roman" w:hAnsi="Times New Roman"/>
        <w:sz w:val="20"/>
        <w:szCs w:val="20"/>
      </w:rPr>
      <w:t>Poznámky konsolidovanej účtovnej závierky zostavenej k 31.12.202</w:t>
    </w:r>
    <w:r>
      <w:rPr>
        <w:rFonts w:cs="Times New Roman" w:ascii="Times New Roman" w:hAnsi="Times New Roman"/>
        <w:sz w:val="20"/>
        <w:szCs w:val="20"/>
      </w:rPr>
      <w:t>4</w:t>
    </w:r>
  </w:p>
  <w:p>
    <w:pPr>
      <w:pStyle w:val="Hlavika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lavika"/>
      <w:jc w:val="center"/>
      <w:rPr/>
    </w:pPr>
    <w:r>
      <w:rPr>
        <w:rFonts w:cs="Times New Roman" w:ascii="Times New Roman" w:hAnsi="Times New Roman"/>
        <w:sz w:val="20"/>
        <w:szCs w:val="20"/>
      </w:rPr>
      <w:t>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0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307"/>
      <w:color w:val="auto"/>
      <w:kern w:val="0"/>
      <w:sz w:val="22"/>
      <w:szCs w:val="22"/>
      <w:lang w:val="sk-SK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e201a"/>
    <w:rPr>
      <w:rFonts w:ascii="Symbol" w:hAnsi="Symbol" w:cs="Symbol"/>
    </w:rPr>
  </w:style>
  <w:style w:type="character" w:styleId="WW8Num1z1" w:customStyle="1">
    <w:name w:val="WW8Num1z1"/>
    <w:qFormat/>
    <w:rsid w:val="00be201a"/>
    <w:rPr>
      <w:rFonts w:ascii="Courier New" w:hAnsi="Courier New" w:cs="Courier New"/>
    </w:rPr>
  </w:style>
  <w:style w:type="character" w:styleId="WW8Num1z2" w:customStyle="1">
    <w:name w:val="WW8Num1z2"/>
    <w:qFormat/>
    <w:rsid w:val="00be201a"/>
    <w:rPr>
      <w:rFonts w:ascii="Wingdings" w:hAnsi="Wingdings" w:cs="Wingdings"/>
    </w:rPr>
  </w:style>
  <w:style w:type="character" w:styleId="WW8Num2z0" w:customStyle="1">
    <w:name w:val="WW8Num2z0"/>
    <w:qFormat/>
    <w:rsid w:val="00be201a"/>
    <w:rPr/>
  </w:style>
  <w:style w:type="character" w:styleId="WW8Num2z1" w:customStyle="1">
    <w:name w:val="WW8Num2z1"/>
    <w:qFormat/>
    <w:rsid w:val="00be201a"/>
    <w:rPr/>
  </w:style>
  <w:style w:type="character" w:styleId="WW8Num2z2" w:customStyle="1">
    <w:name w:val="WW8Num2z2"/>
    <w:qFormat/>
    <w:rsid w:val="00be201a"/>
    <w:rPr/>
  </w:style>
  <w:style w:type="character" w:styleId="WW8Num2z3" w:customStyle="1">
    <w:name w:val="WW8Num2z3"/>
    <w:qFormat/>
    <w:rsid w:val="00be201a"/>
    <w:rPr/>
  </w:style>
  <w:style w:type="character" w:styleId="WW8Num2z4" w:customStyle="1">
    <w:name w:val="WW8Num2z4"/>
    <w:qFormat/>
    <w:rsid w:val="00be201a"/>
    <w:rPr/>
  </w:style>
  <w:style w:type="character" w:styleId="WW8Num2z5" w:customStyle="1">
    <w:name w:val="WW8Num2z5"/>
    <w:qFormat/>
    <w:rsid w:val="00be201a"/>
    <w:rPr/>
  </w:style>
  <w:style w:type="character" w:styleId="WW8Num2z6" w:customStyle="1">
    <w:name w:val="WW8Num2z6"/>
    <w:qFormat/>
    <w:rsid w:val="00be201a"/>
    <w:rPr/>
  </w:style>
  <w:style w:type="character" w:styleId="WW8Num2z7" w:customStyle="1">
    <w:name w:val="WW8Num2z7"/>
    <w:qFormat/>
    <w:rsid w:val="00be201a"/>
    <w:rPr/>
  </w:style>
  <w:style w:type="character" w:styleId="WW8Num2z8" w:customStyle="1">
    <w:name w:val="WW8Num2z8"/>
    <w:qFormat/>
    <w:rsid w:val="00be201a"/>
    <w:rPr/>
  </w:style>
  <w:style w:type="character" w:styleId="Standardnpsmoodstavce1" w:customStyle="1">
    <w:name w:val="Standardní písmo odstavce1"/>
    <w:qFormat/>
    <w:rsid w:val="00be201a"/>
    <w:rPr/>
  </w:style>
  <w:style w:type="character" w:styleId="ZhlavChar" w:customStyle="1">
    <w:name w:val="Záhlaví Char"/>
    <w:basedOn w:val="Standardnpsmoodstavce1"/>
    <w:qFormat/>
    <w:rsid w:val="00be201a"/>
    <w:rPr/>
  </w:style>
  <w:style w:type="character" w:styleId="ZpatChar" w:customStyle="1">
    <w:name w:val="Zápatí Char"/>
    <w:basedOn w:val="Standardnpsmoodstavce1"/>
    <w:qFormat/>
    <w:rsid w:val="00be201a"/>
    <w:rPr/>
  </w:style>
  <w:style w:type="character" w:styleId="Odrky" w:customStyle="1">
    <w:name w:val="Odrážky"/>
    <w:qFormat/>
    <w:rsid w:val="00be201a"/>
    <w:rPr>
      <w:rFonts w:ascii="OpenSymbol" w:hAnsi="OpenSymbol" w:eastAsia="OpenSymbol" w:cs="OpenSymbol"/>
    </w:rPr>
  </w:style>
  <w:style w:type="character" w:styleId="TextbublinyChar" w:customStyle="1">
    <w:name w:val="Text bubliny Char"/>
    <w:basedOn w:val="DefaultParagraphFont"/>
    <w:uiPriority w:val="99"/>
    <w:semiHidden/>
    <w:qFormat/>
    <w:rsid w:val="00011f48"/>
    <w:rPr>
      <w:rFonts w:ascii="Segoe UI" w:hAnsi="Segoe UI" w:eastAsia="SimSun" w:cs="Segoe UI"/>
      <w:sz w:val="18"/>
      <w:szCs w:val="18"/>
      <w:lang w:eastAsia="ar-SA"/>
    </w:rPr>
  </w:style>
  <w:style w:type="character" w:styleId="ListLabel1">
    <w:name w:val="ListLabel 1"/>
    <w:qFormat/>
    <w:rPr>
      <w:rFonts w:cs="Symbol"/>
      <w:b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paragraph" w:styleId="Nadpis" w:customStyle="1">
    <w:name w:val="Nadpis"/>
    <w:basedOn w:val="Normal"/>
    <w:next w:val="Telotextu"/>
    <w:qFormat/>
    <w:rsid w:val="00be201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rsid w:val="00be201a"/>
    <w:pPr>
      <w:spacing w:before="0" w:after="120"/>
    </w:pPr>
    <w:rPr/>
  </w:style>
  <w:style w:type="paragraph" w:styleId="Zoznam">
    <w:name w:val="List"/>
    <w:basedOn w:val="Telotextu"/>
    <w:rsid w:val="00be201a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be201a"/>
    <w:pPr>
      <w:suppressLineNumbers/>
    </w:pPr>
    <w:rPr>
      <w:rFonts w:cs="Mangal"/>
    </w:rPr>
  </w:style>
  <w:style w:type="paragraph" w:styleId="Popisok" w:customStyle="1">
    <w:name w:val="Popisok"/>
    <w:basedOn w:val="Normal"/>
    <w:qFormat/>
    <w:rsid w:val="00be20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rsid w:val="00be201a"/>
    <w:pPr>
      <w:suppressLineNumbers/>
      <w:tabs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Pta">
    <w:name w:val="Footer"/>
    <w:basedOn w:val="Normal"/>
    <w:rsid w:val="00be201a"/>
    <w:pPr>
      <w:suppressLineNumbers/>
      <w:tabs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Odstavecseseznamem1" w:customStyle="1">
    <w:name w:val="Odstavec se seznamem1"/>
    <w:basedOn w:val="Normal"/>
    <w:qFormat/>
    <w:rsid w:val="00be201a"/>
    <w:pPr>
      <w:ind w:left="720" w:hanging="0"/>
    </w:pPr>
    <w:rPr/>
  </w:style>
  <w:style w:type="paragraph" w:styleId="Obsahtabuky" w:customStyle="1">
    <w:name w:val="Obsah tabuľky"/>
    <w:basedOn w:val="Normal"/>
    <w:qFormat/>
    <w:rsid w:val="00be201a"/>
    <w:pPr>
      <w:suppressLineNumbers/>
    </w:pPr>
    <w:rPr/>
  </w:style>
  <w:style w:type="paragraph" w:styleId="Nadpistabuky" w:customStyle="1">
    <w:name w:val="Nadpis tabuľky"/>
    <w:basedOn w:val="Obsahtabuky"/>
    <w:qFormat/>
    <w:rsid w:val="00be201a"/>
    <w:pPr>
      <w:jc w:val="center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11f4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6465-3A04-445A-A0D1-9B36488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Application>LibreOffice/6.0.4.2$Windows_X86_64 LibreOffice_project/9b0d9b32d5dcda91d2f1a96dc04c645c450872bf</Application>
  <Pages>7</Pages>
  <Words>1635</Words>
  <Characters>9909</Characters>
  <CharactersWithSpaces>11475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2016-06-14T09:44:00Z</dcterms:created>
  <dc:creator>PC</dc:creator>
  <dc:description/>
  <dc:language>sk-SK</dc:language>
  <cp:lastModifiedBy/>
  <cp:lastPrinted>2022-06-09T07:29:00Z</cp:lastPrinted>
  <dcterms:modified xsi:type="dcterms:W3CDTF">2025-06-18T16:05:24Z</dcterms:modified>
  <cp:revision>102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