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Poznámky konsolidovanej účtovnej závierky obce Gôtovany</w:t>
      </w:r>
    </w:p>
    <w:p>
      <w:pPr>
        <w:pStyle w:val="Normal"/>
        <w:spacing w:lineRule="atLeast" w:line="100" w:before="0" w:after="0"/>
        <w:jc w:val="center"/>
        <w:rPr>
          <w:color w:val="000000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zostavenej k 31. decembru 202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4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Čl. I.</w:t>
      </w:r>
    </w:p>
    <w:p>
      <w:pPr>
        <w:pStyle w:val="Normal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VŠEOBECNÉ ÚDAJE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Identifikačné údaje konsolidujúcej účtovnej jednotky</w:t>
      </w:r>
    </w:p>
    <w:tbl>
      <w:tblPr>
        <w:tblW w:w="9189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7"/>
        <w:gridCol w:w="3551"/>
      </w:tblGrid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Názov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lineRule="atLeast" w:line="100" w:before="0" w:after="0"/>
              <w:ind w:left="-109" w:hanging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   </w:t>
            </w: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Obec Gôtovany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Sídlo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Gôtovany 45, 032 14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IČO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00315192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Dátum založenia, vzniku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>
                <w:color w:val="C9211E"/>
              </w:rPr>
            </w:pPr>
            <w:r>
              <w:rPr>
                <w:rFonts w:cs="Times New Roman" w:ascii="Times New Roman" w:hAnsi="Times New Roman"/>
                <w:bCs/>
                <w:color w:val="000000"/>
                <w:sz w:val="24"/>
                <w:szCs w:val="24"/>
              </w:rPr>
              <w:t>01.01.1990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Identifikačné údaje o konsolidovaných účtovných jednotkách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Konsolidovaný celok Obce Gôtovany sa v roku 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oproti minulým účtovným obdobiam nezmenil.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Obec Gôtovany má v zriaďovateľskej pôsobnosti rozpočtovú organizáciu (RO):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5"/>
        <w:gridCol w:w="3585"/>
      </w:tblGrid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Názov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MŠ Gôtovany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Sídlo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Gôtovany 60, 032 14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IČO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42213894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0"/>
                <w:szCs w:val="24"/>
              </w:rPr>
              <w:t>Dátum založenia, vzniku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1.4.2002 (delimitáciou)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Prehľad o účtovných jednotkách konsolidovaného celku je uvedený v prílohe č. 1, v tabuľkovej časti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  <w:color w:val="000000"/>
          <w:sz w:val="24"/>
          <w:szCs w:val="24"/>
        </w:rPr>
      </w:pP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</w:r>
    </w:p>
    <w:p>
      <w:pPr>
        <w:pStyle w:val="Normal"/>
        <w:jc w:val="both"/>
        <w:rPr>
          <w:color w:val="C9211E"/>
        </w:rPr>
      </w:pP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jc w:val="both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Konsolidovaná účtovná závierka konsolidovaného celku Obce Gôtovany k 31. decembru 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je zostavená ako 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riadna konsolidovaná účtovná závierka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podľa zákona č. 431/2002 Z. z. o účtovníctve v znení neskorších predpisov, 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za účtovné obdobie od 1. januára 202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do 31. decembra 202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Obec je súčasťou súhrnného celku verejnej správy Slovenskej republiky.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Informácie o vedúcich predstaviteľoch a o zamestnancoch konsolidovaného celku</w:t>
      </w:r>
    </w:p>
    <w:tbl>
      <w:tblPr>
        <w:tblW w:w="6240" w:type="dxa"/>
        <w:jc w:val="left"/>
        <w:tblInd w:w="1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02"/>
        <w:gridCol w:w="3737"/>
      </w:tblGrid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Starosta obce: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Mgr. Andrea Adamčiaková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Zástupca starostu: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Ing. Andrej Lúčan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Hlavný kontrolór obce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PhDr. Desana Stromková</w:t>
            </w:r>
          </w:p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keepNext w:val="true"/>
        <w:spacing w:lineRule="auto" w:line="24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Materská škola </w:t>
      </w:r>
      <w:r>
        <w:rPr>
          <w:rFonts w:cs="Times New Roman" w:ascii="Times New Roman" w:hAnsi="Times New Roman"/>
          <w:bCs/>
          <w:color w:val="000000"/>
          <w:sz w:val="24"/>
          <w:szCs w:val="24"/>
        </w:rPr>
        <w:t>s právnou subjektivitou</w:t>
      </w:r>
    </w:p>
    <w:p>
      <w:pPr>
        <w:pStyle w:val="Normal"/>
        <w:spacing w:lineRule="auto" w:line="24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iCs/>
          <w:color w:val="000000"/>
          <w:sz w:val="24"/>
          <w:szCs w:val="24"/>
        </w:rPr>
        <w:t>Riaditeľka</w:t>
      </w: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:</w:t>
      </w:r>
      <w:r>
        <w:rPr>
          <w:rFonts w:cs="Times New Roman"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Mgr. Miriam Čupková</w:t>
      </w:r>
    </w:p>
    <w:p>
      <w:pPr>
        <w:pStyle w:val="Normal"/>
        <w:spacing w:lineRule="auto" w:line="24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iCs/>
          <w:color w:val="000000"/>
          <w:sz w:val="24"/>
          <w:szCs w:val="24"/>
        </w:rPr>
        <w:t>Počet žiakov: 34</w:t>
      </w:r>
    </w:p>
    <w:p>
      <w:pPr>
        <w:pStyle w:val="Normal"/>
        <w:spacing w:lineRule="auto" w:line="24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Materská škola v Gôtovanoch hospodári s vlastnými  finančnými prostriedkami a je napojená na rozpočet obce.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tbl>
      <w:tblPr>
        <w:tblW w:w="940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657"/>
        <w:gridCol w:w="3626"/>
        <w:gridCol w:w="2118"/>
      </w:tblGrid>
      <w:tr>
        <w:trPr>
          <w:trHeight w:val="753" w:hRule="atLeast"/>
        </w:trPr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color w:val="000000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  <w:t>Organizácia – účtovná jednotka</w:t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color w:val="000000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color w:val="000000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ind w:left="400" w:hanging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  <w:t>priemerný počet zamestnancov</w:t>
            </w:r>
          </w:p>
          <w:p>
            <w:pPr>
              <w:pStyle w:val="Normal"/>
              <w:spacing w:lineRule="atLeast" w:line="100" w:before="0" w:after="0"/>
              <w:ind w:left="373" w:hanging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  <w:t>konsolidovaného celku počas</w:t>
            </w:r>
          </w:p>
          <w:p>
            <w:pPr>
              <w:pStyle w:val="Normal"/>
              <w:spacing w:lineRule="atLeast" w:line="100" w:before="0" w:after="0"/>
              <w:ind w:left="373" w:hanging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  <w:t>účtovného obdobia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ind w:left="579" w:hanging="0"/>
              <w:jc w:val="center"/>
              <w:rPr>
                <w:rFonts w:ascii="Times New Roman" w:hAnsi="Times New Roman" w:cs="Times New Roman"/>
                <w:b/>
                <w:b/>
                <w:bCs/>
                <w:color w:val="000000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18"/>
                <w:szCs w:val="24"/>
              </w:rPr>
              <w:t>Z toho riadiacich</w:t>
            </w:r>
          </w:p>
        </w:tc>
      </w:tr>
      <w:tr>
        <w:trPr/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Obec Gôtovany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Materská škola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color w:val="000000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Celkom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Informácia o splnení predpokladu nepretržitého pokračovania v činnosti účtovnej jednotky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Konsolidovaná účtovná závierka Obce bola zostavená za predpokladu nepretržitého trvania činnosti v súlade so zákonom o účtovníctve a nadväzujúcimi právnymi predpismi</w:t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Informácie o metódach oceňovania použitých pri ocenení jednotlivých položiek konsolidovanej účtovnej závierky obce Gôtovany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Pri oceňovaní majetku a záväzkov sa uplatňuje zásada opatrnosti. Za základ sa berú všetky</w:t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riziká, straty a zníženia hodnoty, ktoré sa týkajú majetku a záväzkov a sú známe ku dňu</w:t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zostavenia účtovnej závierky.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Dlhodobý nehmotný a hmotný majetok nakupovaný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obstarávacou cenou, ktorá zahrňuje cenu, za ktorú sa majetok obstaral ako aj náklady súvisiace s jeho obstaraním (dopravné, montáž a pod.).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Dlhodobý majetok vytvorený vlastnou činnosťou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vlastnými nákladmi, ktoré predstavujú všetky priame náklady vynaložené na výrobu alebo inú činnosť a všetky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nepriame náklady vzťahujúce sa na výrobu alebo inú činnosť.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Dlhodobý nehmotný a hmotný majetok získaný bezodplatne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reprodukčnou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obstarávacou cenou, teda cenou, za ktorú by sa majetok obstaral v čase, keď sa o ňom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účtuje.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Dlhodobý majetok nadobudnutý prevodom správy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cenou, v ktorej sa doteraz viedol v účtovníctve.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Dlhodobý finančný majetok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obstarávacou cenou.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Nakupované zásoby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oceňujú obstarávacou cenou, ktorá zahrňuje cenu, za ktorú sa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majetok obstaral ako aj náklady súvisiace s jeho obstaraním (napr.: prepravné,  provízia,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poistné a zľavy).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Zásoby vytvorené vlastnou činnosťou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oceňujú vlastnými nákladmi, ktoré predstavujú všetky priame náklady vynaložené na tvorbu zásob ako aj časťou nepriamych nákladov, ktoré sa k tvorbe zásob vzťahujú.</w:t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Cenné papiere a podiely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oceňujú obstarávacími cenami, vrátane nákladov súvisiacich  s obstaraním.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Pohľadávky </w:t>
      </w:r>
      <w:r>
        <w:rPr>
          <w:rFonts w:cs="Times New Roman" w:ascii="Times New Roman" w:hAnsi="Times New Roman"/>
          <w:color w:val="000000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Krátkodobý finančný majetok - peňažné prostriedky a ceniny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sa oceňujú ich    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menovitou hodnotou.</w:t>
      </w:r>
    </w:p>
    <w:p>
      <w:pPr>
        <w:pStyle w:val="Odstavecseseznamem1"/>
        <w:numPr>
          <w:ilvl w:val="0"/>
          <w:numId w:val="1"/>
        </w:numPr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color w:val="000000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color w:val="000000"/>
          <w:sz w:val="24"/>
          <w:szCs w:val="24"/>
        </w:rPr>
        <w:t>sa pri ich prevzatí oceňujú obstarávacou cenou.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Ak sa pri inventarizácii zistí, že suma záväzkov je iná ako ich výška v účtovníctve, uvedú </w:t>
      </w:r>
    </w:p>
    <w:p>
      <w:pPr>
        <w:pStyle w:val="Normal"/>
        <w:spacing w:lineRule="atLeast" w:line="100" w:before="0" w:after="0"/>
        <w:ind w:left="360" w:hanging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sa záväzky v účtovníctve a v účtovnej závierke v tomto zistenom ocenení.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Majetok obstaraný z transferov </w:t>
      </w:r>
      <w:r>
        <w:rPr>
          <w:rFonts w:cs="Times New Roman" w:ascii="Times New Roman" w:hAnsi="Times New Roman"/>
          <w:color w:val="000000"/>
          <w:sz w:val="24"/>
          <w:szCs w:val="24"/>
        </w:rPr>
        <w:t>sa oceňuje obstarávacou cenou.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Čl. II.</w:t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INFORMÁCIE O METÓDACH A POSTUPOCH KONSOLIDÁCIE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Konsolidovaná účtovná závierka Obce bola zostavená v súlade so zákonom č. 431/2002 Z. z.</w:t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 označovaní položiek konsolidovanej účtovnej závierky vo verejnej správe v znení neskorších predpisov.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rámci konsolidácie konsolidovaného celku obce Gôtovany boli eliminované vzájomné pohľadávky, záväzky, náklady a výnosy.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Zahrnutie konsolidovaných účtovných jednotiek do konsolidovanej účtovnej závierky</w:t>
      </w:r>
    </w:p>
    <w:tbl>
      <w:tblPr>
        <w:tblW w:w="9220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700"/>
        <w:gridCol w:w="1701"/>
        <w:gridCol w:w="1600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Metóda 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Metóda podielovej konsolidácie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Metóda vlastného imania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Obec Gôtovany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Materská škola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C9211E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Pri dcérskych účtovných jednotkách bola použitá metóda úplnej konsolidácie.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roku 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>, rovnako ako v predchádzajúcich účtovných obdobiach, sa medzi účtovnými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jednotkami konsolidovaného celku Obce Gôtovany neuskutočnil nákup, resp. predaj majetku, preto nebolo potrebné vykonať konsolidáciu medzivýsledku.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Čl. III.</w:t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INFORMÁCIE O ÚDAJOCH AKTÍV A PASÍV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a) Konsolidovaný celok verejnej správy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- uvedené v tabuľke č. 1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b) Aktíva a pasíva za konsolidovaný celok: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konsolidovanej súvahe k 31.12.202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je na strane aktív vykázaný majetok spolu vo výške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netto 1.</w:t>
      </w:r>
      <w:r>
        <w:rPr>
          <w:rFonts w:cs="Times New Roman" w:ascii="Times New Roman" w:hAnsi="Times New Roman"/>
          <w:color w:val="000000"/>
          <w:sz w:val="24"/>
          <w:szCs w:val="24"/>
        </w:rPr>
        <w:t>226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172,47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Eur, z toho neobežný majetok predstavuje </w:t>
      </w:r>
      <w:r>
        <w:rPr>
          <w:rFonts w:cs="Times New Roman" w:ascii="Times New Roman" w:hAnsi="Times New Roman"/>
          <w:color w:val="000000"/>
          <w:sz w:val="24"/>
          <w:szCs w:val="24"/>
        </w:rPr>
        <w:t>1.046.808,51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 a obežný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majetok </w:t>
      </w:r>
      <w:r>
        <w:rPr>
          <w:rFonts w:cs="Times New Roman" w:ascii="Times New Roman" w:hAnsi="Times New Roman"/>
          <w:color w:val="000000"/>
          <w:sz w:val="24"/>
          <w:szCs w:val="24"/>
        </w:rPr>
        <w:t>178.147,94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 Eur. Časové rozlíšenie na strane aktív – náklady a príjmy budúcich období činí 1.</w:t>
      </w:r>
      <w:r>
        <w:rPr>
          <w:rFonts w:cs="Times New Roman" w:ascii="Times New Roman" w:hAnsi="Times New Roman"/>
          <w:color w:val="000000"/>
          <w:sz w:val="24"/>
          <w:szCs w:val="24"/>
        </w:rPr>
        <w:t>216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02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 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Vlastné imanie a záväzky na strane pasív súhlasia s výškou aktív v hodnote 1.</w:t>
      </w:r>
      <w:r>
        <w:rPr>
          <w:rFonts w:cs="Times New Roman" w:ascii="Times New Roman" w:hAnsi="Times New Roman"/>
          <w:color w:val="000000"/>
          <w:sz w:val="24"/>
          <w:szCs w:val="24"/>
        </w:rPr>
        <w:t>226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172,47 </w:t>
      </w:r>
      <w:r>
        <w:rPr>
          <w:rFonts w:cs="Times New Roman" w:ascii="Times New Roman" w:hAnsi="Times New Roman"/>
          <w:color w:val="000000"/>
          <w:sz w:val="24"/>
          <w:szCs w:val="24"/>
        </w:rPr>
        <w:t>Eur.</w:t>
      </w:r>
    </w:p>
    <w:p>
      <w:pPr>
        <w:pStyle w:val="Normal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Vlastné imanie je vykázané vo výške 46</w:t>
      </w:r>
      <w:r>
        <w:rPr>
          <w:rFonts w:cs="Times New Roman" w:ascii="Times New Roman" w:hAnsi="Times New Roman"/>
          <w:color w:val="000000"/>
          <w:sz w:val="24"/>
          <w:szCs w:val="24"/>
        </w:rPr>
        <w:t>8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168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64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 a záväzky v hodnote 4</w:t>
      </w:r>
      <w:r>
        <w:rPr>
          <w:rFonts w:cs="Times New Roman" w:ascii="Times New Roman" w:hAnsi="Times New Roman"/>
          <w:color w:val="000000"/>
          <w:sz w:val="24"/>
          <w:szCs w:val="24"/>
        </w:rPr>
        <w:t>38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731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21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 xml:space="preserve">Časové rozlíšenie na strane pasív - výdavky a výnosy budúcich období - činí 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319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272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>62</w:t>
      </w:r>
      <w:r>
        <w:rPr>
          <w:rFonts w:cs="Times New Roman" w:ascii="Times New Roman" w:hAnsi="Times New Roman"/>
          <w:color w:val="000000"/>
          <w:sz w:val="24"/>
          <w:szCs w:val="24"/>
          <w:u w:val="single"/>
        </w:rPr>
        <w:t xml:space="preserve"> Eur.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c) Prehľad a pohybe vlastného imania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Po agregácii činí vlastné imanie za konsolidovaný celok k 31.12.202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sumu  46</w:t>
      </w:r>
      <w:r>
        <w:rPr>
          <w:rFonts w:cs="Times New Roman" w:ascii="Times New Roman" w:hAnsi="Times New Roman"/>
          <w:color w:val="000000"/>
          <w:sz w:val="24"/>
          <w:szCs w:val="24"/>
        </w:rPr>
        <w:t>8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168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64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- podrobnejšie údaje uvedené v tabuľke č. 12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Vlastné imanie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d) Prehľad o pohybe rezerv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Konsolidovaný celok vykazuje tvorenie rezerv na audit v tabuľke č. 13 – </w:t>
      </w:r>
      <w:r>
        <w:rPr>
          <w:rFonts w:cs="Times New Roman" w:ascii="Times New Roman" w:hAnsi="Times New Roman"/>
          <w:i/>
          <w:color w:val="000000"/>
          <w:sz w:val="24"/>
          <w:szCs w:val="24"/>
        </w:rPr>
        <w:t>Rezervy zákonné</w:t>
      </w:r>
      <w:r>
        <w:rPr>
          <w:rFonts w:cs="Times New Roman" w:ascii="Times New Roman" w:hAnsi="Times New Roman"/>
          <w:b/>
          <w:bCs/>
          <w:i/>
          <w:iCs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e) Prehľad o pohybe dlhodobého hmotného a nehmotného majetku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Zostatková cena dlhodobého majetku </w:t>
      </w:r>
      <w:r>
        <w:rPr>
          <w:rFonts w:cs="Times New Roman" w:ascii="Times New Roman" w:hAnsi="Times New Roman"/>
          <w:color w:val="000000"/>
          <w:sz w:val="24"/>
          <w:szCs w:val="24"/>
        </w:rPr>
        <w:t>1.046.808,51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 Z tejto sumy je dlhodobý nehmotný majetok </w:t>
      </w:r>
      <w:r>
        <w:rPr>
          <w:rFonts w:cs="Times New Roman" w:ascii="Times New Roman" w:hAnsi="Times New Roman"/>
          <w:color w:val="000000"/>
          <w:sz w:val="24"/>
          <w:szCs w:val="24"/>
        </w:rPr>
        <w:t>15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35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0,00 Eur a dlhodobý hmotný majetok v zostatkovej hodnote </w:t>
      </w:r>
      <w:r>
        <w:rPr>
          <w:rFonts w:cs="Times New Roman" w:ascii="Times New Roman" w:hAnsi="Times New Roman"/>
          <w:color w:val="000000"/>
          <w:sz w:val="24"/>
          <w:szCs w:val="24"/>
        </w:rPr>
        <w:t>939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328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51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 Podrobnejšie údaje uvedené v tabuľke č. 2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color w:val="000000"/>
          <w:sz w:val="24"/>
          <w:szCs w:val="24"/>
        </w:rPr>
        <w:t>(r. 9, r. 22 a r. 32)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f) Dlhodobý finančný majetok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Hodnota dlhodobého finančného majetku v obstarávacej cene bola k 31.12.202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vo výške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92.130,00 Eur. Jedná sa o realizovateľné cenné papiere vo vzťahu k eminentovi - Liptovská vodárenská spoločnosť a.s.. - podrobnejšie údaje uvedené v tabuľke č. 2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color w:val="000000"/>
          <w:sz w:val="24"/>
          <w:szCs w:val="24"/>
        </w:rPr>
        <w:t>(r. 25 a 31)                                          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g) Zásoby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Zásoby sú v konsolidovanej súvahe vykázané spolu vo výške 0,00 Eur. V účtovnom období zároveň konsolidovaný celok nevykazuje tvorbu, zníženie ani zrušenie opravnej položky k zásobám.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h) Dlhodobé pohľadávky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Konsolidovaný celok vykazuje dlhodobé pohľadávky vo výške 0,00 Eur.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i) Krátkodobé pohľadávky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 súvahe za konsolidovaný celok sú vykázané krátkodobé pohľadávky vo výške </w:t>
      </w:r>
      <w:r>
        <w:rPr>
          <w:rFonts w:cs="Times New Roman" w:ascii="Times New Roman" w:hAnsi="Times New Roman"/>
          <w:color w:val="000000"/>
          <w:sz w:val="24"/>
          <w:szCs w:val="24"/>
        </w:rPr>
        <w:t>3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318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95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Eur, ktoré v celom podiele zúčtovala obec Gôtovany.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315- Ostatné pohľadávky </w:t>
      </w:r>
      <w:r>
        <w:rPr>
          <w:rFonts w:cs="Times New Roman" w:ascii="Times New Roman" w:hAnsi="Times New Roman"/>
          <w:color w:val="000000"/>
          <w:sz w:val="24"/>
          <w:szCs w:val="24"/>
        </w:rPr>
        <w:t>50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96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€  (vyúčtovanie elektriky a vodného)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318– Pohľadávka z nedaňových príjmov  </w:t>
      </w:r>
      <w:r>
        <w:rPr>
          <w:rFonts w:cs="Times New Roman" w:ascii="Times New Roman" w:hAnsi="Times New Roman"/>
          <w:color w:val="000000"/>
          <w:sz w:val="24"/>
          <w:szCs w:val="24"/>
        </w:rPr>
        <w:t>660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0</w:t>
      </w:r>
      <w:r>
        <w:rPr>
          <w:rFonts w:cs="Times New Roman" w:ascii="Times New Roman" w:hAnsi="Times New Roman"/>
          <w:b/>
          <w:color w:val="000000"/>
          <w:sz w:val="24"/>
          <w:szCs w:val="24"/>
        </w:rPr>
        <w:t>0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EUR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(nájomné, komunálny odpad, ČOV..)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319- Pohľadávky z daňových príjmov </w:t>
      </w:r>
      <w:r>
        <w:rPr>
          <w:rFonts w:cs="Times New Roman" w:ascii="Times New Roman" w:hAnsi="Times New Roman"/>
          <w:color w:val="000000"/>
          <w:sz w:val="24"/>
          <w:szCs w:val="24"/>
        </w:rPr>
        <w:t>1.149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27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EUR (daň z nehnuteľnosti, daň za psa )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335 – Pohľadávky voči zamestnancom </w:t>
      </w:r>
      <w:r>
        <w:rPr>
          <w:rFonts w:cs="Times New Roman" w:ascii="Times New Roman" w:hAnsi="Times New Roman"/>
          <w:color w:val="000000"/>
          <w:sz w:val="24"/>
          <w:szCs w:val="24"/>
        </w:rPr>
        <w:t>190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68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EUR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378 – Iné pohľadávky 1268,04 EUR 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účtovnom období zároveň konsolidovaný celok nevykazuje tvorbu, zníženie ani zrušenie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opravnej položky ku krátkodobým pohľadávkam.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j) Finančné účty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Na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finančných účto</w:t>
      </w:r>
      <w:r>
        <w:rPr>
          <w:rFonts w:cs="Times New Roman" w:ascii="Times New Roman" w:hAnsi="Times New Roman"/>
          <w:color w:val="000000"/>
          <w:sz w:val="24"/>
          <w:szCs w:val="24"/>
        </w:rPr>
        <w:t>ch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obce a materskej školy (RO) 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 xml:space="preserve"> sú vykázané peňažné prostriedky v pokladnici a účty v bankách. Účtami v bankách môže účtovná jednotka voľne disponovať.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k) Poskytnuté finančné výpomoci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Konsolidovaný celok nevykazuje žiadne poskytnuté finančné výpomoci.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l) Časové rozlíšenie na strane aktív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Časové rozlíšenie je za celý konsolidovaný celok vo výške  1.</w:t>
      </w:r>
      <w:r>
        <w:rPr>
          <w:rFonts w:cs="Times New Roman" w:ascii="Times New Roman" w:hAnsi="Times New Roman"/>
          <w:color w:val="000000"/>
          <w:sz w:val="24"/>
          <w:szCs w:val="24"/>
        </w:rPr>
        <w:t>216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02</w:t>
      </w:r>
      <w:r>
        <w:rPr>
          <w:rFonts w:cs="Times New Roman" w:ascii="Times New Roman" w:hAnsi="Times New Roman"/>
          <w:color w:val="000000"/>
          <w:sz w:val="24"/>
          <w:szCs w:val="24"/>
        </w:rPr>
        <w:t>Eur. Celú sumu tvoria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náklady budúcich období. 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Viď. tabuľka č. 10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Časové rozlíšenie na strane aktív – náklady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m) Dlhodobé záväzky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Záväzky za celý konsolidovaný celok činia 389.658,57 Eur. Z toho 2.388,81 Eur sú záväzky zo sociálneho fondu (472 - zostatok FP na účte SF), 387.269,76 Eur sú záväzky voči ŠFRB a 21.275,16 Eur sú záväzky Garančného fondu.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Vykazované dlhodobé záväzky sú všetky v lehote splatnosti, so zostatkovou dobou splatnosti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Záväzky podľa doby splatnosti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n) Krátkodobé záväzky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 súvahe za konsolidovaný celok sú vykázané krátkodobé záväzky spolu vo výške </w:t>
      </w:r>
      <w:r>
        <w:rPr>
          <w:rFonts w:cs="Times New Roman" w:ascii="Times New Roman" w:hAnsi="Times New Roman"/>
          <w:color w:val="000000"/>
          <w:sz w:val="24"/>
          <w:szCs w:val="24"/>
        </w:rPr>
        <w:t>74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551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73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Eur. Celá suma záväzkov predstavuje plnenie z bežnej činnosti za mesiac december 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>. Vykazované krátkodobé záväzky sú všetky v lehote splatnosti, so zostatkovou dobou splatnosti do jedného roka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 xml:space="preserve">.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Záväzky podľa doby splatnosti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o) Vydané dlhopisy</w:t>
      </w:r>
    </w:p>
    <w:p>
      <w:pPr>
        <w:pStyle w:val="Normal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účtovnom období neboli v rámci konsolidovaného celku vydané žiadne dlhopisy.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p) Bankové úvery a návratné výpomoci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 rámci konsolidovaného neboli prijaté žiadne bankové úvery a návratné výpomoci.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q) Časové rozlíšenie na strane pasív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Časové rozlíšenie je za celý konsolidovaný celok vo výške </w:t>
      </w:r>
      <w:r>
        <w:rPr>
          <w:rFonts w:cs="Times New Roman" w:ascii="Times New Roman" w:hAnsi="Times New Roman"/>
          <w:color w:val="000000"/>
          <w:sz w:val="24"/>
          <w:szCs w:val="24"/>
        </w:rPr>
        <w:t>319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>272</w:t>
      </w:r>
      <w:r>
        <w:rPr>
          <w:rFonts w:cs="Times New Roman" w:ascii="Times New Roman" w:hAnsi="Times New Roman"/>
          <w:color w:val="000000"/>
          <w:sz w:val="24"/>
          <w:szCs w:val="24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</w:rPr>
        <w:t>62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Eur. Celú sumu tvoria výnosy budúcich období.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Viď. tabuľka č. 18 – </w:t>
      </w:r>
      <w:r>
        <w:rPr>
          <w:rFonts w:cs="Times New Roman" w:ascii="Times New Roman" w:hAnsi="Times New Roman"/>
          <w:i/>
          <w:iCs/>
          <w:color w:val="000000"/>
          <w:sz w:val="24"/>
          <w:szCs w:val="24"/>
        </w:rPr>
        <w:t>Časové rozlíšenie na strane pasív – Výnosy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Čl. IV.</w:t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INFORMÁCIE O ÚDAJOCH NÁKLADOV A VÝNOSOV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a) Náklady na služby a ostatné finančné náklady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Náklady spolu za konsolidovaný celok </w:t>
      </w:r>
      <w:r>
        <w:rPr>
          <w:rFonts w:cs="Times New Roman" w:ascii="Times New Roman" w:hAnsi="Times New Roman"/>
          <w:color w:val="000000"/>
          <w:sz w:val="24"/>
          <w:szCs w:val="24"/>
        </w:rPr>
        <w:t>sú uvedené v tabuľkovej časti tabuľka č. 18 až 21..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b) Výnosy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Výnosy spolu za konsolidovaný celok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sú vykázané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viď. tabuľka č. 22. </w:t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color w:val="000000"/>
        </w:rPr>
      </w:r>
    </w:p>
    <w:p>
      <w:pPr>
        <w:pStyle w:val="Normal"/>
        <w:spacing w:lineRule="atLeast" w:line="100" w:before="0" w:after="0"/>
        <w:rPr>
          <w:color w:val="000000"/>
          <w:sz w:val="22"/>
          <w:szCs w:val="22"/>
          <w:lang w:val="sk-SK" w:bidi="ar-SA"/>
        </w:rPr>
      </w:pP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Ďalšie podrobnejšie informácie k nákladom a výnosom sú uvedené v tabuľkovej časti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2"/>
          <w:szCs w:val="22"/>
          <w:lang w:val="sk-SK" w:bidi="ar-SA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2"/>
          <w:szCs w:val="22"/>
          <w:lang w:val="sk-SK" w:bidi="ar-SA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2"/>
          <w:szCs w:val="22"/>
          <w:lang w:val="sk-SK" w:bidi="ar-SA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2"/>
          <w:szCs w:val="22"/>
          <w:lang w:val="sk-SK" w:bidi="ar-SA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z w:val="22"/>
          <w:szCs w:val="22"/>
          <w:lang w:val="sk-SK" w:bidi="ar-SA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/>
          <w:b/>
          <w:b/>
          <w:bCs/>
          <w:color w:val="000000"/>
          <w:sz w:val="24"/>
          <w:szCs w:val="24"/>
          <w:lang w:val="sk-SK" w:bidi="ar-SA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  <w:lang w:val="sk-SK" w:bidi="ar-SA"/>
        </w:rPr>
        <w:t>Čl.V.</w:t>
      </w:r>
    </w:p>
    <w:p>
      <w:pPr>
        <w:pStyle w:val="Normal"/>
        <w:tabs>
          <w:tab w:val="left" w:pos="462" w:leader="none"/>
        </w:tabs>
        <w:jc w:val="center"/>
        <w:rPr>
          <w:rFonts w:ascii="Times New Roman" w:hAnsi="Times New Roman"/>
          <w:b/>
          <w:b/>
          <w:bCs/>
          <w:color w:val="000000"/>
          <w:sz w:val="24"/>
          <w:szCs w:val="24"/>
          <w:lang w:val="sk-SK" w:bidi="ar-SA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sk-SK" w:bidi="ar-SA"/>
        </w:rPr>
        <w:t>INFORMÁCIE NA PODSÚVAHOVÝCH ÚČTOCH</w:t>
      </w:r>
    </w:p>
    <w:p>
      <w:pPr>
        <w:pStyle w:val="Normal"/>
        <w:jc w:val="both"/>
        <w:rPr>
          <w:rFonts w:ascii="Times New Roman" w:hAnsi="Times New Roman"/>
          <w:b/>
          <w:b/>
          <w:color w:val="000000"/>
          <w:lang w:val="sk-SK" w:bidi="ar-SA"/>
        </w:rPr>
      </w:pPr>
      <w:r>
        <w:rPr>
          <w:rFonts w:ascii="Times New Roman" w:hAnsi="Times New Roman"/>
          <w:b/>
          <w:color w:val="000000"/>
          <w:lang w:val="sk-SK" w:bidi="ar-SA"/>
        </w:rPr>
      </w:r>
    </w:p>
    <w:p>
      <w:pPr>
        <w:pStyle w:val="Telotextu"/>
        <w:jc w:val="both"/>
        <w:rPr>
          <w:rFonts w:ascii="Times New Roman" w:hAnsi="Times New Roman"/>
          <w:color w:val="000000"/>
          <w:lang w:val="sk-SK" w:bidi="ar-SA"/>
        </w:rPr>
      </w:pPr>
      <w:r>
        <w:rPr>
          <w:rFonts w:ascii="Times New Roman" w:hAnsi="Times New Roman"/>
          <w:color w:val="000000"/>
          <w:lang w:val="sk-SK" w:bidi="ar-SA"/>
        </w:rPr>
        <w:t>Prehľad o iných aktívach a iných pasívach a o kultúrnych pamiatkach konsolidovaného celku je uvedený v tabuľkovej časti.</w:t>
      </w:r>
    </w:p>
    <w:p>
      <w:pPr>
        <w:pStyle w:val="Telotextu"/>
        <w:jc w:val="both"/>
        <w:rPr>
          <w:rFonts w:ascii="Times New Roman" w:hAnsi="Times New Roman"/>
          <w:color w:val="000000"/>
          <w:lang w:val="sk-SK" w:bidi="ar-SA"/>
        </w:rPr>
      </w:pPr>
      <w:r>
        <w:rPr>
          <w:rFonts w:ascii="Times New Roman" w:hAnsi="Times New Roman"/>
          <w:color w:val="000000"/>
          <w:lang w:val="sk-SK" w:bidi="ar-SA"/>
        </w:rPr>
        <w:t>Účtovná jednotka eviduje na podsúvahových účtoch nasledovné položky:</w:t>
      </w:r>
    </w:p>
    <w:p>
      <w:pPr>
        <w:pStyle w:val="Telotextu"/>
        <w:jc w:val="both"/>
        <w:rPr>
          <w:rFonts w:ascii="Times New Roman" w:hAnsi="Times New Roman"/>
          <w:color w:val="000000"/>
          <w:lang w:val="sk-SK" w:bidi="ar-SA"/>
        </w:rPr>
      </w:pPr>
      <w:r>
        <w:rPr>
          <w:rFonts w:ascii="Times New Roman" w:hAnsi="Times New Roman"/>
          <w:color w:val="000000"/>
          <w:lang w:val="sk-SK" w:bidi="ar-SA"/>
        </w:rPr>
        <w:t xml:space="preserve">- majetok vo výpožičke vo  výške </w:t>
      </w:r>
      <w:r>
        <w:rPr>
          <w:rFonts w:ascii="Times New Roman" w:hAnsi="Times New Roman"/>
          <w:color w:val="000000"/>
          <w:lang w:val="sk-SK" w:bidi="ar-SA"/>
        </w:rPr>
        <w:t>14</w:t>
      </w:r>
      <w:r>
        <w:rPr>
          <w:rFonts w:ascii="Times New Roman" w:hAnsi="Times New Roman"/>
          <w:color w:val="000000"/>
          <w:lang w:val="sk-SK" w:bidi="ar-SA"/>
        </w:rPr>
        <w:t>.359,00 EUR</w:t>
      </w:r>
    </w:p>
    <w:p>
      <w:pPr>
        <w:pStyle w:val="Telotextu"/>
        <w:jc w:val="both"/>
        <w:rPr>
          <w:rFonts w:ascii="Times New Roman" w:hAnsi="Times New Roman"/>
          <w:color w:val="000000"/>
          <w:lang w:val="sk-SK" w:bidi="ar-SA"/>
        </w:rPr>
      </w:pPr>
      <w:r>
        <w:rPr>
          <w:rFonts w:ascii="Times New Roman" w:hAnsi="Times New Roman"/>
          <w:color w:val="000000"/>
          <w:lang w:val="sk-SK" w:bidi="ar-SA"/>
        </w:rPr>
        <w:t xml:space="preserve">(z toho 14.359,00 povodňová súprava) </w:t>
      </w:r>
    </w:p>
    <w:p>
      <w:pPr>
        <w:pStyle w:val="Telotextu"/>
        <w:spacing w:lineRule="atLeast" w:line="100" w:before="0" w:after="0"/>
        <w:jc w:val="both"/>
        <w:rPr>
          <w:rFonts w:ascii="Times New Roman" w:hAnsi="Times New Roman"/>
          <w:color w:val="000000"/>
          <w:sz w:val="22"/>
          <w:szCs w:val="22"/>
          <w:lang w:val="sk-SK" w:bidi="ar-SA"/>
        </w:rPr>
      </w:pP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 xml:space="preserve">- drobný hmotný majetok OTE vo výške 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47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028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,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>60</w:t>
      </w:r>
      <w:r>
        <w:rPr>
          <w:rFonts w:cs="Times New Roman" w:ascii="Times New Roman" w:hAnsi="Times New Roman"/>
          <w:color w:val="000000"/>
          <w:sz w:val="24"/>
          <w:szCs w:val="24"/>
          <w:lang w:val="sk-SK" w:bidi="ar-SA"/>
        </w:rPr>
        <w:t xml:space="preserve"> EUR ( po jednotlivých strediskách)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Čl. V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</w:t>
      </w: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center"/>
        <w:rPr>
          <w:color w:val="C9211E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  <w:t>INFORMÁCIE O OSTATNÝCH SKUTOČNOSTIACH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K 31.12.202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do dňa zostavenia konsolidovanej účtovnej závierky nedošlo k takým skutočnostiam, ktoré by ovplyvnili, resp. zmenili výsledky vykázané v účtovnej evidencii a v účtovných výkazoch konsolidovaných účtovných jednotiek k 31.12.202</w:t>
      </w:r>
      <w:r>
        <w:rPr>
          <w:rFonts w:cs="Times New Roman" w:ascii="Times New Roman" w:hAnsi="Times New Roman"/>
          <w:color w:val="000000"/>
          <w:sz w:val="24"/>
          <w:szCs w:val="24"/>
        </w:rPr>
        <w:t>4</w:t>
      </w:r>
      <w:r>
        <w:rPr>
          <w:rFonts w:cs="Times New Roman" w:ascii="Times New Roman" w:hAnsi="Times New Roman"/>
          <w:color w:val="000000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 Gôtovanoch, dňa 1</w:t>
      </w:r>
      <w:r>
        <w:rPr>
          <w:rFonts w:cs="Times New Roman" w:ascii="Times New Roman" w:hAnsi="Times New Roman"/>
          <w:color w:val="000000"/>
          <w:sz w:val="24"/>
          <w:szCs w:val="24"/>
        </w:rPr>
        <w:t>9</w:t>
      </w:r>
      <w:r>
        <w:rPr>
          <w:rFonts w:cs="Times New Roman" w:ascii="Times New Roman" w:hAnsi="Times New Roman"/>
          <w:color w:val="000000"/>
          <w:sz w:val="24"/>
          <w:szCs w:val="24"/>
        </w:rPr>
        <w:t>.06.202</w:t>
      </w:r>
      <w:r>
        <w:rPr>
          <w:rFonts w:cs="Times New Roman" w:ascii="Times New Roman" w:hAnsi="Times New Roman"/>
          <w:color w:val="000000"/>
          <w:sz w:val="24"/>
          <w:szCs w:val="24"/>
        </w:rPr>
        <w:t>5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Vypracovala:    Ing. Juraj Brziak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                   </w:t>
      </w:r>
      <w:r>
        <w:rPr>
          <w:rFonts w:cs="Times New Roman" w:ascii="Times New Roman" w:hAnsi="Times New Roman"/>
          <w:color w:val="000000"/>
          <w:sz w:val="24"/>
          <w:szCs w:val="24"/>
        </w:rPr>
        <w:t>externý účtovník obce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rPr>
          <w:color w:val="C9211E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Schválil:           Mgr. Andrea Adamčiaková</w:t>
      </w:r>
    </w:p>
    <w:p>
      <w:pPr>
        <w:pStyle w:val="Normal"/>
        <w:spacing w:lineRule="auto" w:line="240" w:before="0" w:after="0"/>
        <w:rPr>
          <w:color w:val="000000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                   </w:t>
      </w:r>
      <w:r>
        <w:rPr>
          <w:rFonts w:cs="Times New Roman" w:ascii="Times New Roman" w:hAnsi="Times New Roman"/>
          <w:color w:val="000000"/>
          <w:sz w:val="24"/>
          <w:szCs w:val="24"/>
        </w:rPr>
        <w:t>starostka obce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  <w:t>Obec Gôtovany</w:t>
    </w:r>
  </w:p>
  <w:p>
    <w:pPr>
      <w:pStyle w:val="Hlavika"/>
      <w:jc w:val="center"/>
      <w:rPr/>
    </w:pPr>
    <w:r>
      <w:rPr>
        <w:rFonts w:cs="Times New Roman" w:ascii="Times New Roman" w:hAnsi="Times New Roman"/>
        <w:sz w:val="20"/>
        <w:szCs w:val="20"/>
      </w:rPr>
      <w:t>Poznámky konsolidovanej účtovnej závierky zostavenej k 31.12.202</w:t>
    </w:r>
    <w:r>
      <w:rPr>
        <w:rFonts w:cs="Times New Roman" w:ascii="Times New Roman" w:hAnsi="Times New Roman"/>
        <w:sz w:val="20"/>
        <w:szCs w:val="20"/>
      </w:rPr>
      <w:t>4</w:t>
    </w:r>
  </w:p>
  <w:p>
    <w:pPr>
      <w:pStyle w:val="Hlavika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</w:r>
  </w:p>
  <w:p>
    <w:pPr>
      <w:pStyle w:val="Hlavika"/>
      <w:jc w:val="center"/>
      <w:rPr/>
    </w:pPr>
    <w:r>
      <w:rPr>
        <w:rFonts w:cs="Times New Roman" w:ascii="Times New Roman" w:hAnsi="Times New Roman"/>
        <w:sz w:val="20"/>
        <w:szCs w:val="20"/>
      </w:rPr>
      <w:t>________________________________________________________________________________________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4"/>
        <w:b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e201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font307"/>
      <w:color w:val="auto"/>
      <w:kern w:val="0"/>
      <w:sz w:val="22"/>
      <w:szCs w:val="22"/>
      <w:lang w:val="sk-SK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be201a"/>
    <w:rPr>
      <w:rFonts w:ascii="Symbol" w:hAnsi="Symbol" w:cs="Symbol"/>
    </w:rPr>
  </w:style>
  <w:style w:type="character" w:styleId="WW8Num1z1" w:customStyle="1">
    <w:name w:val="WW8Num1z1"/>
    <w:qFormat/>
    <w:rsid w:val="00be201a"/>
    <w:rPr>
      <w:rFonts w:ascii="Courier New" w:hAnsi="Courier New" w:cs="Courier New"/>
    </w:rPr>
  </w:style>
  <w:style w:type="character" w:styleId="WW8Num1z2" w:customStyle="1">
    <w:name w:val="WW8Num1z2"/>
    <w:qFormat/>
    <w:rsid w:val="00be201a"/>
    <w:rPr>
      <w:rFonts w:ascii="Wingdings" w:hAnsi="Wingdings" w:cs="Wingdings"/>
    </w:rPr>
  </w:style>
  <w:style w:type="character" w:styleId="WW8Num2z0" w:customStyle="1">
    <w:name w:val="WW8Num2z0"/>
    <w:qFormat/>
    <w:rsid w:val="00be201a"/>
    <w:rPr/>
  </w:style>
  <w:style w:type="character" w:styleId="WW8Num2z1" w:customStyle="1">
    <w:name w:val="WW8Num2z1"/>
    <w:qFormat/>
    <w:rsid w:val="00be201a"/>
    <w:rPr/>
  </w:style>
  <w:style w:type="character" w:styleId="WW8Num2z2" w:customStyle="1">
    <w:name w:val="WW8Num2z2"/>
    <w:qFormat/>
    <w:rsid w:val="00be201a"/>
    <w:rPr/>
  </w:style>
  <w:style w:type="character" w:styleId="WW8Num2z3" w:customStyle="1">
    <w:name w:val="WW8Num2z3"/>
    <w:qFormat/>
    <w:rsid w:val="00be201a"/>
    <w:rPr/>
  </w:style>
  <w:style w:type="character" w:styleId="WW8Num2z4" w:customStyle="1">
    <w:name w:val="WW8Num2z4"/>
    <w:qFormat/>
    <w:rsid w:val="00be201a"/>
    <w:rPr/>
  </w:style>
  <w:style w:type="character" w:styleId="WW8Num2z5" w:customStyle="1">
    <w:name w:val="WW8Num2z5"/>
    <w:qFormat/>
    <w:rsid w:val="00be201a"/>
    <w:rPr/>
  </w:style>
  <w:style w:type="character" w:styleId="WW8Num2z6" w:customStyle="1">
    <w:name w:val="WW8Num2z6"/>
    <w:qFormat/>
    <w:rsid w:val="00be201a"/>
    <w:rPr/>
  </w:style>
  <w:style w:type="character" w:styleId="WW8Num2z7" w:customStyle="1">
    <w:name w:val="WW8Num2z7"/>
    <w:qFormat/>
    <w:rsid w:val="00be201a"/>
    <w:rPr/>
  </w:style>
  <w:style w:type="character" w:styleId="WW8Num2z8" w:customStyle="1">
    <w:name w:val="WW8Num2z8"/>
    <w:qFormat/>
    <w:rsid w:val="00be201a"/>
    <w:rPr/>
  </w:style>
  <w:style w:type="character" w:styleId="Standardnpsmoodstavce1" w:customStyle="1">
    <w:name w:val="Standardní písmo odstavce1"/>
    <w:qFormat/>
    <w:rsid w:val="00be201a"/>
    <w:rPr/>
  </w:style>
  <w:style w:type="character" w:styleId="ZhlavChar" w:customStyle="1">
    <w:name w:val="Záhlaví Char"/>
    <w:basedOn w:val="Standardnpsmoodstavce1"/>
    <w:qFormat/>
    <w:rsid w:val="00be201a"/>
    <w:rPr/>
  </w:style>
  <w:style w:type="character" w:styleId="ZpatChar" w:customStyle="1">
    <w:name w:val="Zápatí Char"/>
    <w:basedOn w:val="Standardnpsmoodstavce1"/>
    <w:qFormat/>
    <w:rsid w:val="00be201a"/>
    <w:rPr/>
  </w:style>
  <w:style w:type="character" w:styleId="Odrky" w:customStyle="1">
    <w:name w:val="Odrážky"/>
    <w:qFormat/>
    <w:rsid w:val="00be201a"/>
    <w:rPr>
      <w:rFonts w:ascii="OpenSymbol" w:hAnsi="OpenSymbol" w:eastAsia="OpenSymbol" w:cs="OpenSymbol"/>
    </w:rPr>
  </w:style>
  <w:style w:type="character" w:styleId="TextbublinyChar" w:customStyle="1">
    <w:name w:val="Text bubliny Char"/>
    <w:basedOn w:val="DefaultParagraphFont"/>
    <w:uiPriority w:val="99"/>
    <w:semiHidden/>
    <w:qFormat/>
    <w:rsid w:val="00011f48"/>
    <w:rPr>
      <w:rFonts w:ascii="Segoe UI" w:hAnsi="Segoe UI" w:eastAsia="SimSun" w:cs="Segoe UI"/>
      <w:sz w:val="18"/>
      <w:szCs w:val="18"/>
      <w:lang w:eastAsia="ar-SA"/>
    </w:rPr>
  </w:style>
  <w:style w:type="character" w:styleId="ListLabel1">
    <w:name w:val="ListLabel 1"/>
    <w:qFormat/>
    <w:rPr>
      <w:rFonts w:cs="Symbol"/>
      <w:b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Wingdings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paragraph" w:styleId="Nadpis" w:customStyle="1">
    <w:name w:val="Nadpis"/>
    <w:basedOn w:val="Normal"/>
    <w:next w:val="Telotextu"/>
    <w:qFormat/>
    <w:rsid w:val="00be201a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rsid w:val="00be201a"/>
    <w:pPr>
      <w:spacing w:before="0" w:after="120"/>
    </w:pPr>
    <w:rPr/>
  </w:style>
  <w:style w:type="paragraph" w:styleId="Zoznam">
    <w:name w:val="List"/>
    <w:basedOn w:val="Telotextu"/>
    <w:rsid w:val="00be201a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be201a"/>
    <w:pPr>
      <w:suppressLineNumbers/>
    </w:pPr>
    <w:rPr>
      <w:rFonts w:cs="Mangal"/>
    </w:rPr>
  </w:style>
  <w:style w:type="paragraph" w:styleId="Popisok" w:customStyle="1">
    <w:name w:val="Popisok"/>
    <w:basedOn w:val="Normal"/>
    <w:qFormat/>
    <w:rsid w:val="00be201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rsid w:val="00be201a"/>
    <w:pPr>
      <w:suppressLineNumbers/>
      <w:tabs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Pta">
    <w:name w:val="Footer"/>
    <w:basedOn w:val="Normal"/>
    <w:rsid w:val="00be201a"/>
    <w:pPr>
      <w:suppressLineNumbers/>
      <w:tabs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Odstavecseseznamem1" w:customStyle="1">
    <w:name w:val="Odstavec se seznamem1"/>
    <w:basedOn w:val="Normal"/>
    <w:qFormat/>
    <w:rsid w:val="00be201a"/>
    <w:pPr>
      <w:ind w:left="720" w:hanging="0"/>
    </w:pPr>
    <w:rPr/>
  </w:style>
  <w:style w:type="paragraph" w:styleId="Obsahtabuky" w:customStyle="1">
    <w:name w:val="Obsah tabuľky"/>
    <w:basedOn w:val="Normal"/>
    <w:qFormat/>
    <w:rsid w:val="00be201a"/>
    <w:pPr>
      <w:suppressLineNumbers/>
    </w:pPr>
    <w:rPr/>
  </w:style>
  <w:style w:type="paragraph" w:styleId="Nadpistabuky" w:customStyle="1">
    <w:name w:val="Nadpis tabuľky"/>
    <w:basedOn w:val="Obsahtabuky"/>
    <w:qFormat/>
    <w:rsid w:val="00be201a"/>
    <w:pPr>
      <w:jc w:val="center"/>
    </w:pPr>
    <w:rPr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11f4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iv sady Office">
  <a:themeElements>
    <a:clrScheme name="Kancelář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66465-3A04-445A-A0D1-9B364880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1249</TotalTime>
  <Application>LibreOffice/6.0.4.2$Windows_X86_64 LibreOffice_project/9b0d9b32d5dcda91d2f1a96dc04c645c450872bf</Application>
  <Pages>7</Pages>
  <Words>1635</Words>
  <Characters>9909</Characters>
  <CharactersWithSpaces>11475</CharactersWithSpaces>
  <Paragraphs>204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2016-06-14T09:44:00Z</dcterms:created>
  <dc:creator>PC</dc:creator>
  <dc:description/>
  <dc:language>sk-SK</dc:language>
  <cp:lastModifiedBy/>
  <cp:lastPrinted>2022-06-09T07:29:00Z</cp:lastPrinted>
  <dcterms:modified xsi:type="dcterms:W3CDTF">2025-06-18T16:05:24Z</dcterms:modified>
  <cp:revision>102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ScaleCrop">
    <vt:bool>0</vt:bool>
  </property>
  <property fmtid="{D5CDD505-2E9C-101B-9397-08002B2CF9AE}" pid="6" name="ShareDoc">
    <vt:bool>0</vt:bool>
  </property>
</Properties>
</file>