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72" w:type="dxa"/>
        <w:tblCellMar>
          <w:left w:w="70" w:type="dxa"/>
          <w:right w:w="70" w:type="dxa"/>
        </w:tblCellMar>
        <w:tblLook w:val="04A0"/>
      </w:tblPr>
      <w:tblGrid>
        <w:gridCol w:w="808"/>
        <w:gridCol w:w="789"/>
        <w:gridCol w:w="783"/>
        <w:gridCol w:w="689"/>
        <w:gridCol w:w="1302"/>
        <w:gridCol w:w="1119"/>
        <w:gridCol w:w="655"/>
        <w:gridCol w:w="1302"/>
        <w:gridCol w:w="1119"/>
        <w:gridCol w:w="646"/>
      </w:tblGrid>
      <w:tr w:rsidR="00DF1F0D" w:rsidRPr="00DF1F0D" w:rsidTr="00DF1F0D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  <w:t>Čl. III</w:t>
            </w:r>
          </w:p>
        </w:tc>
      </w:tr>
      <w:tr w:rsidR="00DF1F0D" w:rsidRPr="00DF1F0D" w:rsidTr="00DF1F0D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  <w:t>Informácie, ktoré vysvetľujú a dopĺňajú súvahu a výkaz ziskov a strát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Udalosť</w:t>
            </w:r>
          </w:p>
        </w:tc>
        <w:tc>
          <w:tcPr>
            <w:tcW w:w="2903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</w:t>
            </w:r>
          </w:p>
        </w:tc>
        <w:tc>
          <w:tcPr>
            <w:tcW w:w="154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DF1F0D" w:rsidRPr="00DF1F0D" w:rsidTr="00DF1F0D">
        <w:trPr>
          <w:trHeight w:val="315"/>
        </w:trPr>
        <w:tc>
          <w:tcPr>
            <w:tcW w:w="4620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903" w:type="dxa"/>
            <w:gridSpan w:val="3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color w:val="33CCCC"/>
                <w:sz w:val="20"/>
                <w:szCs w:val="2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540"/>
              <w:jc w:val="right"/>
              <w:rPr>
                <w:rFonts w:ascii="Calibri" w:eastAsia="Times New Roman" w:hAnsi="Calibri" w:cs="Calibri"/>
                <w:color w:val="33CCCC"/>
                <w:sz w:val="18"/>
                <w:szCs w:val="18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sz w:val="18"/>
                <w:szCs w:val="18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9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9F16F4" w:rsidP="009F16F4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>
              <w:rPr>
                <w:rFonts w:ascii="Calibri" w:eastAsia="Times New Roman" w:hAnsi="Calibri" w:cs="Calibri"/>
                <w:color w:val="33CCCC"/>
                <w:lang w:eastAsia="sk-SK"/>
              </w:rPr>
              <w:t>72712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147 361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9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5587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formy zabezpečenia záväzku</w:t>
            </w:r>
          </w:p>
        </w:tc>
        <w:tc>
          <w:tcPr>
            <w:tcW w:w="348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záväzku zabezpečená</w:t>
            </w:r>
          </w:p>
        </w:tc>
      </w:tr>
      <w:tr w:rsidR="00DF1F0D" w:rsidRPr="00DF1F0D" w:rsidTr="00DF1F0D">
        <w:trPr>
          <w:trHeight w:val="315"/>
        </w:trPr>
        <w:tc>
          <w:tcPr>
            <w:tcW w:w="5587" w:type="dxa"/>
            <w:gridSpan w:val="6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Záložným právom</w:t>
            </w:r>
          </w:p>
        </w:tc>
        <w:tc>
          <w:tcPr>
            <w:tcW w:w="15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Inou formou zabezpečenia</w:t>
            </w:r>
          </w:p>
        </w:tc>
      </w:tr>
      <w:tr w:rsidR="00DF1F0D" w:rsidRPr="00DF1F0D" w:rsidTr="00DF1F0D">
        <w:trPr>
          <w:trHeight w:val="300"/>
        </w:trPr>
        <w:tc>
          <w:tcPr>
            <w:tcW w:w="5587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nie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1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293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21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549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Menovitá hodnota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15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Hodnota </w:t>
            </w: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nadobudn</w:t>
            </w:r>
            <w:proofErr w:type="spellEnd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Hodnota za prevod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17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 xml:space="preserve">Nie sú </w:t>
            </w: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15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1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15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300" w:firstLine="66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orgánoch účtovnej jednotky: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príjmu, výhody súčasných členov orgánov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príjmu, výhody bývalých členov orgánov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9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dozorných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iných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03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dozorných</w:t>
            </w:r>
          </w:p>
        </w:tc>
        <w:tc>
          <w:tcPr>
            <w:tcW w:w="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iných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Poskytnuté záruky alebo </w:t>
            </w: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zabezp</w:t>
            </w:r>
            <w:proofErr w:type="spellEnd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Nie sú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Poskytnuté pôžičky (ku dňu ÚZ)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Splatené pôžičky (ku dňu ÚZ)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Finančné prostriedky a iné plnenie použité na súkromné účely na </w:t>
            </w: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vyúč-tovanie</w:t>
            </w:r>
            <w:proofErr w:type="spellEnd"/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Povinnosti nájomcu z </w:t>
            </w:r>
            <w:proofErr w:type="spellStart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operat</w:t>
            </w:r>
            <w:proofErr w:type="spellEnd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. prenájmu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Povinnosti z </w:t>
            </w:r>
            <w:proofErr w:type="spellStart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uzatv</w:t>
            </w:r>
            <w:proofErr w:type="spellEnd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. úverových zmlúv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Povinnosti z licenčných zmlúv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Povinnosti z koncesionárskych zmlúv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Ostatné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finančných povinností: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významných podmienených záväzkoch</w:t>
            </w:r>
          </w:p>
        </w:tc>
      </w:tr>
      <w:tr w:rsidR="00DF1F0D" w:rsidRPr="00DF1F0D" w:rsidTr="00DF1F0D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5658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F0D" w:rsidRPr="00DF1F0D" w:rsidRDefault="00DF1F0D" w:rsidP="00DF1F0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Zo súdnych rozhodnutí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 poskytnutých záruk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 ručenia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Iné podmienené záväzky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ind w:firstLineChars="400" w:firstLine="883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podmienených záväzkov: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F1F0D" w:rsidRPr="00DF1F0D" w:rsidRDefault="00DF1F0D" w:rsidP="00DF1F0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46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© Ing. Mgr. Martin </w:t>
            </w:r>
            <w:proofErr w:type="spellStart"/>
            <w:r w:rsidRPr="00DF1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Tužinský</w:t>
            </w:r>
            <w:proofErr w:type="spellEnd"/>
            <w:r w:rsidRPr="00DF1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, PhD., daňový poradca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34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e-mail: vzdelavanie@profuturion.sk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DF1F0D" w:rsidRPr="00DF1F0D" w:rsidTr="00DF1F0D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F1F0D" w:rsidRPr="00DF1F0D" w:rsidRDefault="00DF1F0D" w:rsidP="00DF1F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:rsidR="00E01982" w:rsidRDefault="00E01982"/>
    <w:sectPr w:rsidR="00E01982" w:rsidSect="00E019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defaultTabStop w:val="708"/>
  <w:hyphenationZone w:val="425"/>
  <w:characterSpacingControl w:val="doNotCompress"/>
  <w:compat/>
  <w:rsids>
    <w:rsidRoot w:val="00DF1F0D"/>
    <w:rsid w:val="00860611"/>
    <w:rsid w:val="009F16F4"/>
    <w:rsid w:val="00DF1F0D"/>
    <w:rsid w:val="00E01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198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48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499</Words>
  <Characters>2850</Characters>
  <Application>Microsoft Office Word</Application>
  <DocSecurity>0</DocSecurity>
  <Lines>23</Lines>
  <Paragraphs>6</Paragraphs>
  <ScaleCrop>false</ScaleCrop>
  <Company/>
  <LinksUpToDate>false</LinksUpToDate>
  <CharactersWithSpaces>3343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2025-06-20T09:09:00Z</dcterms:created>
  <dcterms:modified xsi:type="dcterms:W3CDTF">2025-06-24T07:30:00Z</dcterms:modified>
</cp:coreProperties>
</file>