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Title"/>
      </w:pPr>
      <w:r>
        <w:t>Poznámky k účtovnej závierke za rok 2024</w:t>
      </w:r>
    </w:p>
    <w:p>
      <w:r>
        <w:t>POZNÁMKY K ÚČTOVNEJ ZÁVIERKE ZA ROK 2024</w:t>
        <w:br/>
        <w:t>Decomy Services s. r. o.</w:t>
        <w:br/>
        <w:t>Levanduľová 25, 900 42 Miloslavov</w:t>
        <w:br/>
        <w:t>Účtovná jednotka: Mikro účtovná jednotka</w:t>
        <w:br/>
        <w:t>Účtovníctvo: Podvojné</w:t>
        <w:br/>
        <w:t>Účtovné obdobie: 01.01.2024 – 31.12.2024</w:t>
      </w:r>
    </w:p>
    <w:p>
      <w:r>
        <w:t>1. VŠEOBECNÉ ÚDAJE O ÚČTOVNEJ JEDNOTKE</w:t>
        <w:br/>
        <w:t>- Právna forma: Spoločnosť s ručením obmedzeným</w:t>
        <w:br/>
        <w:t>- Predmet činnosti: interiérové a stavebno-technické služby</w:t>
        <w:br/>
        <w:t>- IČO: interiérové a stavebno-technické služby</w:t>
        <w:br/>
        <w:t>- Účtovný softvér: POHODA</w:t>
        <w:br/>
        <w:t>- Účtovná jednotka bola v roku 2024 klasifikovaná ako mikro účtovná jednotka v zmysle § 2a ods. 6 zákona o účtovníctve.</w:t>
      </w:r>
    </w:p>
    <w:p>
      <w:r>
        <w:t>2. POUŽITÉ ÚČTOVNÉ ZÁSADY A METÓDY</w:t>
        <w:br/>
        <w:t>- Účtovná závierka bola zostavená v súlade so zákonom č. 431/2002 Z.z. o účtovníctve a opatrením MF SR pre mikro účtovné jednotky.</w:t>
        <w:br/>
        <w:t>- Spoločnosť neuplatnila zmeny účtovných zásad oproti predchádzajúcemu obdobiu.</w:t>
        <w:br/>
        <w:t>- Účtuje sa v sústave podvojného účtovníctva.</w:t>
      </w:r>
    </w:p>
    <w:p>
      <w:r>
        <w:t>3. DLHODOBÝ MAJETOK</w:t>
        <w:br/>
        <w:t>- Spoločnosť vlastní 1 osobné motorové vozidlo:</w:t>
        <w:br/>
        <w:t xml:space="preserve">  - Obstarávacia cena: 21 884,00 EUR</w:t>
        <w:br/>
        <w:t xml:space="preserve">  - Daňová zostatková hodnota k 31.12.2024: 15 501,16 EUR</w:t>
        <w:br/>
        <w:t>- Vozidlo je odpisované rovnomerne podľa zákona o dani z príjmov.</w:t>
      </w:r>
    </w:p>
    <w:p>
      <w:r>
        <w:t>4. KRÁTKODOBÝ FINANČNÝ MAJETOK</w:t>
        <w:br/>
        <w:t>- Hotovosť v pokladni k 31.12.2024: 15 896,14 EUR</w:t>
        <w:br/>
        <w:t>- Spoločnosť má tiež bežný účet v banke (zostatok sa neuvádza).</w:t>
      </w:r>
    </w:p>
    <w:p>
      <w:r>
        <w:t>5. POHĽADÁVKY A ZÁVÄZKY</w:t>
        <w:br/>
        <w:t>- Spoločnosť eviduje bežné obchodné pohľadávky a záväzky z obchodného styku.</w:t>
        <w:br/>
        <w:t>- K 31.12.2024 neeviduje žiadne záväzky po splatnosti dlhšej ako 30 dní.</w:t>
      </w:r>
    </w:p>
    <w:p>
      <w:r>
        <w:t>6. VÝNOSY A NÁKLADY</w:t>
        <w:br/>
        <w:t>- Výnosy spoločnosti sú z podnikateľskej činnosti v oblasti služieb.</w:t>
        <w:br/>
        <w:t>- Náklady zahŕňajú predovšetkým: materiál, služby, pohonné hmoty a odpisy.</w:t>
      </w:r>
    </w:p>
    <w:p>
      <w:r>
        <w:t>7. INFORMÁCIE O ZAMESTNANCOCH</w:t>
        <w:br/>
        <w:t>- Spoločnosť nemá žiadnych zamestnancov.</w:t>
        <w:br/>
        <w:t>- Konateľ nepoberá odmenu za výkon funkcie.</w:t>
      </w:r>
    </w:p>
    <w:p>
      <w:r>
        <w:t>8. ĎALŠIE INFORMÁCIE</w:t>
        <w:br/>
        <w:t>- Spoločnosť nemá záväzky z lízingu alebo prenájmu s opciou na kúpu.</w:t>
        <w:br/>
        <w:t>- Neeviduje účasti v iných účtovných jednotkách.</w:t>
        <w:br/>
        <w:t>- Neviedla výskum ani vývoj.</w:t>
        <w:br/>
        <w:t>- Nemá súdne spory, riziká ani udalosti po dátume závierky, ktoré by si vyžadovali osobitné zverejnenie.</w:t>
      </w:r>
    </w:p>
    <w:p>
      <w:r>
        <w:t>- DIČ: 2120316616</w:t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