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202" coordsize="21600,21600" o:spt="202.0" path="m,l,21600r21600,l21600,xe">
            <v:stroke joinstyle="miter"/>
            <v:path o:connecttype="rect" gradientshapeok="t"/>
          </v:shapetype>
        </w:pic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before="7" w:lineRule="auto"/>
        <w:ind w:right="-381.2598425196836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POZNÁMKY</w:t>
      </w:r>
    </w:p>
    <w:p w:rsidR="00000000" w:rsidDel="00000000" w:rsidP="00000000" w:rsidRDefault="00000000" w:rsidRPr="00000000" w14:paraId="00000004">
      <w:pPr>
        <w:spacing w:before="7" w:lineRule="auto"/>
        <w:ind w:right="-381.2598425196836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k mikro účtovnej závierke za rok 2024</w:t>
      </w:r>
    </w:p>
    <w:p w:rsidR="00000000" w:rsidDel="00000000" w:rsidP="00000000" w:rsidRDefault="00000000" w:rsidRPr="00000000" w14:paraId="00000005">
      <w:pPr>
        <w:spacing w:before="7" w:line="240" w:lineRule="auto"/>
        <w:ind w:right="-381.2598425196836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9" w:line="240" w:lineRule="auto"/>
        <w:ind w:left="0" w:right="-381.2598425196836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Článok 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right="-381.2598425196836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Všeobecné údaje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before="7" w:line="240" w:lineRule="auto"/>
        <w:ind w:right="-381.2598425196836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-381.2598425196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Identifikácia účtovnej jednotky (názov,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 dátum vzniku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, sídlo):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60" w:lineRule="auto"/>
        <w:ind w:right="-381.2598425196836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87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6602"/>
        <w:tblGridChange w:id="0">
          <w:tblGrid>
            <w:gridCol w:w="3085"/>
            <w:gridCol w:w="660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B">
            <w:pPr>
              <w:spacing w:line="260" w:lineRule="auto"/>
              <w:ind w:right="-381.2598425196836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Názov:</w:t>
            </w:r>
          </w:p>
        </w:tc>
        <w:tc>
          <w:tcPr/>
          <w:p w:rsidR="00000000" w:rsidDel="00000000" w:rsidP="00000000" w:rsidRDefault="00000000" w:rsidRPr="00000000" w14:paraId="0000000C">
            <w:pPr>
              <w:spacing w:line="260" w:lineRule="auto"/>
              <w:ind w:right="-381.2598425196836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unimaro s. r. o.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spacing w:line="260" w:lineRule="auto"/>
              <w:ind w:right="-381.2598425196836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Dátum vzniku:</w:t>
            </w:r>
          </w:p>
        </w:tc>
        <w:tc>
          <w:tcPr/>
          <w:p w:rsidR="00000000" w:rsidDel="00000000" w:rsidP="00000000" w:rsidRDefault="00000000" w:rsidRPr="00000000" w14:paraId="0000000E">
            <w:pPr>
              <w:spacing w:line="260" w:lineRule="auto"/>
              <w:ind w:right="-381.2598425196836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28.11.2023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F">
            <w:pPr>
              <w:spacing w:line="260" w:lineRule="auto"/>
              <w:ind w:right="-381.2598425196836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Sídlo:</w:t>
            </w:r>
          </w:p>
        </w:tc>
        <w:tc>
          <w:tcPr/>
          <w:p w:rsidR="00000000" w:rsidDel="00000000" w:rsidP="00000000" w:rsidRDefault="00000000" w:rsidRPr="00000000" w14:paraId="00000010">
            <w:pPr>
              <w:spacing w:line="260" w:lineRule="auto"/>
              <w:ind w:right="-381.2598425196836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Štefánikova 872/3 058 01 Poprad</w:t>
            </w:r>
          </w:p>
        </w:tc>
      </w:tr>
    </w:tbl>
    <w:p w:rsidR="00000000" w:rsidDel="00000000" w:rsidP="00000000" w:rsidRDefault="00000000" w:rsidRPr="00000000" w14:paraId="00000011">
      <w:pPr>
        <w:spacing w:line="260" w:lineRule="auto"/>
        <w:ind w:right="-381.2598425196836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60" w:lineRule="auto"/>
        <w:ind w:right="-381.2598425196836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-381.2598425196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Údaje o konsolidovanom celku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- obchodné meno a sídlo konsolidujúcej účtovnej jednotky: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-381.2598425196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nie je súčasťou konsolidovaného celku.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-381.2598425196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60" w:lineRule="auto"/>
        <w:ind w:right="-381.2598425196836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Priemerný prepočítaný počet zamestnancov</w:t>
      </w:r>
      <w:r w:rsidDel="00000000" w:rsidR="00000000" w:rsidRPr="00000000">
        <w:rPr>
          <w:rFonts w:ascii="Arial" w:cs="Arial" w:eastAsia="Arial" w:hAnsi="Arial"/>
          <w:rtl w:val="0"/>
        </w:rPr>
        <w:t xml:space="preserve">:</w:t>
      </w:r>
    </w:p>
    <w:p w:rsidR="00000000" w:rsidDel="00000000" w:rsidP="00000000" w:rsidRDefault="00000000" w:rsidRPr="00000000" w14:paraId="00000017">
      <w:pPr>
        <w:spacing w:line="260" w:lineRule="auto"/>
        <w:ind w:right="-381.2598425196836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87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19"/>
        <w:gridCol w:w="2126"/>
        <w:gridCol w:w="3342"/>
        <w:tblGridChange w:id="0">
          <w:tblGrid>
            <w:gridCol w:w="4219"/>
            <w:gridCol w:w="2126"/>
            <w:gridCol w:w="33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8">
            <w:pPr>
              <w:spacing w:line="260" w:lineRule="auto"/>
              <w:ind w:right="-381.2598425196836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Názov</w:t>
            </w:r>
          </w:p>
        </w:tc>
        <w:tc>
          <w:tcPr/>
          <w:p w:rsidR="00000000" w:rsidDel="00000000" w:rsidP="00000000" w:rsidRDefault="00000000" w:rsidRPr="00000000" w14:paraId="00000019">
            <w:pPr>
              <w:spacing w:line="260" w:lineRule="auto"/>
              <w:ind w:right="-381.2598425196836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Bežné účtovné</w:t>
            </w:r>
          </w:p>
          <w:p w:rsidR="00000000" w:rsidDel="00000000" w:rsidP="00000000" w:rsidRDefault="00000000" w:rsidRPr="00000000" w14:paraId="0000001A">
            <w:pPr>
              <w:spacing w:line="260" w:lineRule="auto"/>
              <w:ind w:right="-381.2598425196836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obdobie</w:t>
            </w:r>
          </w:p>
        </w:tc>
        <w:tc>
          <w:tcPr/>
          <w:p w:rsidR="00000000" w:rsidDel="00000000" w:rsidP="00000000" w:rsidRDefault="00000000" w:rsidRPr="00000000" w14:paraId="0000001B">
            <w:pPr>
              <w:spacing w:line="260" w:lineRule="auto"/>
              <w:ind w:right="-381.2598425196836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C">
            <w:pPr>
              <w:spacing w:line="260" w:lineRule="auto"/>
              <w:ind w:right="-381.2598425196836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Priemerný prepočítaný počet zamestnancov</w:t>
            </w:r>
          </w:p>
        </w:tc>
        <w:tc>
          <w:tcPr/>
          <w:p w:rsidR="00000000" w:rsidDel="00000000" w:rsidP="00000000" w:rsidRDefault="00000000" w:rsidRPr="00000000" w14:paraId="0000001D">
            <w:pPr>
              <w:spacing w:line="260" w:lineRule="auto"/>
              <w:ind w:right="-381.2598425196836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1E">
            <w:pPr>
              <w:spacing w:line="260" w:lineRule="auto"/>
              <w:ind w:right="-381.2598425196836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381.2598425196836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-381.259842519683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pStyle w:val="Heading1"/>
        <w:ind w:right="-381.2598425196836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ind w:right="-381.2598425196836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Informácie o prijatých postupoch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before="11" w:line="260" w:lineRule="auto"/>
        <w:ind w:right="-381.2598425196836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before="11"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1. Informácia, či je účtovná závierka zostavená za splnenia predpokladu, že účtovná jednotka bude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nepretržite pokračovať</w:t>
      </w:r>
      <w:r w:rsidDel="00000000" w:rsidR="00000000" w:rsidRPr="00000000">
        <w:rPr>
          <w:rFonts w:ascii="Arial" w:cs="Arial" w:eastAsia="Arial" w:hAnsi="Arial"/>
          <w:rtl w:val="0"/>
        </w:rPr>
        <w:t xml:space="preserve"> vo svojej činnosti:</w:t>
      </w:r>
    </w:p>
    <w:p w:rsidR="00000000" w:rsidDel="00000000" w:rsidP="00000000" w:rsidRDefault="00000000" w:rsidRPr="00000000" w14:paraId="00000027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Účtovná závierka bola zostavená za splnenia predpokladu, že účtovná jednotka bude naďalej pokračovať vo svojej činnosti.</w:t>
      </w:r>
    </w:p>
    <w:p w:rsidR="00000000" w:rsidDel="00000000" w:rsidP="00000000" w:rsidRDefault="00000000" w:rsidRPr="00000000" w14:paraId="00000028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Spôsob oceňovania</w:t>
      </w:r>
      <w:r w:rsidDel="00000000" w:rsidR="00000000" w:rsidRPr="00000000">
        <w:rPr>
          <w:rFonts w:ascii="Arial" w:cs="Arial" w:eastAsia="Arial" w:hAnsi="Arial"/>
          <w:rtl w:val="0"/>
        </w:rPr>
        <w:t xml:space="preserve"> jednotlivých položiek majetku a záväzkov, a to:</w:t>
      </w:r>
    </w:p>
    <w:p w:rsidR="00000000" w:rsidDel="00000000" w:rsidP="00000000" w:rsidRDefault="00000000" w:rsidRPr="00000000" w14:paraId="0000002A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87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43"/>
        <w:gridCol w:w="4844"/>
        <w:tblGridChange w:id="0">
          <w:tblGrid>
            <w:gridCol w:w="4843"/>
            <w:gridCol w:w="4844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B">
            <w:pPr>
              <w:tabs>
                <w:tab w:val="left" w:leader="none" w:pos="808"/>
              </w:tabs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2C">
            <w:pPr>
              <w:tabs>
                <w:tab w:val="left" w:leader="none" w:pos="808"/>
              </w:tabs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Spôsob oceňovania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D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Dlhodobý nehmotný majetok:</w:t>
            </w:r>
          </w:p>
        </w:tc>
        <w:tc>
          <w:tcPr/>
          <w:p w:rsidR="00000000" w:rsidDel="00000000" w:rsidP="00000000" w:rsidRDefault="00000000" w:rsidRPr="00000000" w14:paraId="0000002E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F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Dlhodobý hmotný majetok:</w:t>
            </w:r>
          </w:p>
        </w:tc>
        <w:tc>
          <w:tcPr/>
          <w:p w:rsidR="00000000" w:rsidDel="00000000" w:rsidP="00000000" w:rsidRDefault="00000000" w:rsidRPr="00000000" w14:paraId="00000030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1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Dlhodobý finančný majetok:</w:t>
            </w:r>
          </w:p>
        </w:tc>
        <w:tc>
          <w:tcPr/>
          <w:p w:rsidR="00000000" w:rsidDel="00000000" w:rsidP="00000000" w:rsidRDefault="00000000" w:rsidRPr="00000000" w14:paraId="00000032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Zásoby obstarané kúpou:</w:t>
            </w:r>
          </w:p>
        </w:tc>
        <w:tc>
          <w:tcPr/>
          <w:p w:rsidR="00000000" w:rsidDel="00000000" w:rsidP="00000000" w:rsidRDefault="00000000" w:rsidRPr="00000000" w14:paraId="00000034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5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Zásoby vytvorené vlastnou činnosťou:</w:t>
            </w:r>
          </w:p>
        </w:tc>
        <w:tc>
          <w:tcPr/>
          <w:p w:rsidR="00000000" w:rsidDel="00000000" w:rsidP="00000000" w:rsidRDefault="00000000" w:rsidRPr="00000000" w14:paraId="00000036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Vlastné náklady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7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Vlastné pohľadávky:</w:t>
            </w:r>
          </w:p>
        </w:tc>
        <w:tc>
          <w:tcPr/>
          <w:p w:rsidR="00000000" w:rsidDel="00000000" w:rsidP="00000000" w:rsidRDefault="00000000" w:rsidRPr="00000000" w14:paraId="00000038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Kúpené pohľadávky:</w:t>
            </w:r>
          </w:p>
        </w:tc>
        <w:tc>
          <w:tcPr/>
          <w:p w:rsidR="00000000" w:rsidDel="00000000" w:rsidP="00000000" w:rsidRDefault="00000000" w:rsidRPr="00000000" w14:paraId="0000003A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B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Krátkodobý finančný majetok:</w:t>
            </w:r>
          </w:p>
        </w:tc>
        <w:tc>
          <w:tcPr/>
          <w:p w:rsidR="00000000" w:rsidDel="00000000" w:rsidP="00000000" w:rsidRDefault="00000000" w:rsidRPr="00000000" w14:paraId="0000003C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D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Záväzky vrátane rezerv:</w:t>
            </w:r>
          </w:p>
        </w:tc>
        <w:tc>
          <w:tcPr/>
          <w:p w:rsidR="00000000" w:rsidDel="00000000" w:rsidP="00000000" w:rsidRDefault="00000000" w:rsidRPr="00000000" w14:paraId="0000003E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Dlhopisy:</w:t>
            </w:r>
          </w:p>
        </w:tc>
        <w:tc>
          <w:tcPr/>
          <w:p w:rsidR="00000000" w:rsidDel="00000000" w:rsidP="00000000" w:rsidRDefault="00000000" w:rsidRPr="00000000" w14:paraId="00000040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1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Pôžičky a úvery:</w:t>
            </w:r>
          </w:p>
        </w:tc>
        <w:tc>
          <w:tcPr/>
          <w:p w:rsidR="00000000" w:rsidDel="00000000" w:rsidP="00000000" w:rsidRDefault="00000000" w:rsidRPr="00000000" w14:paraId="00000042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3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Derivátové operácie:</w:t>
            </w:r>
          </w:p>
        </w:tc>
        <w:tc>
          <w:tcPr/>
          <w:p w:rsidR="00000000" w:rsidDel="00000000" w:rsidP="00000000" w:rsidRDefault="00000000" w:rsidRPr="00000000" w14:paraId="00000044">
            <w:pPr>
              <w:tabs>
                <w:tab w:val="left" w:leader="none" w:pos="808"/>
              </w:tabs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Menovitá hodnota</w:t>
            </w:r>
          </w:p>
        </w:tc>
      </w:tr>
    </w:tbl>
    <w:p w:rsidR="00000000" w:rsidDel="00000000" w:rsidP="00000000" w:rsidRDefault="00000000" w:rsidRPr="00000000" w14:paraId="00000045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3. Spôsob zostavenia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odpisového plánu</w:t>
      </w:r>
      <w:r w:rsidDel="00000000" w:rsidR="00000000" w:rsidRPr="00000000">
        <w:rPr>
          <w:rFonts w:ascii="Arial" w:cs="Arial" w:eastAsia="Arial" w:hAnsi="Arial"/>
          <w:rtl w:val="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000000" w:rsidDel="00000000" w:rsidP="00000000" w:rsidRDefault="00000000" w:rsidRPr="00000000" w14:paraId="00000048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Spoločnosť neeviduje žiaden dlhodobý odpisovaný či neodpisovaný majetok.</w:t>
      </w:r>
    </w:p>
    <w:p w:rsidR="00000000" w:rsidDel="00000000" w:rsidP="00000000" w:rsidRDefault="00000000" w:rsidRPr="00000000" w14:paraId="00000049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Zmeny účtovných  zásad  a zmeny účtovných  metód</w:t>
      </w:r>
      <w:r w:rsidDel="00000000" w:rsidR="00000000" w:rsidRPr="00000000">
        <w:rPr>
          <w:rFonts w:ascii="Arial" w:cs="Arial" w:eastAsia="Arial" w:hAnsi="Arial"/>
          <w:rtl w:val="0"/>
        </w:rPr>
        <w:t xml:space="preserve">  s uvedením  dôvodu  týchto  zmien a vyčíslením ich  vplyvu  na  finančnú  hodnotu  majetku,  záväzkov,  základného  imania a výsledku hospodárenia účtovnej jednotky:</w:t>
      </w:r>
    </w:p>
    <w:p w:rsidR="00000000" w:rsidDel="00000000" w:rsidP="00000000" w:rsidRDefault="00000000" w:rsidRPr="00000000" w14:paraId="0000004B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Účtovná jednotka zostavila účtovnú závierku ako  mikro účtovná jednotka, nemá zamestnancov, dosiahnutý obrat a majetok spoločnosti zodpovedá zatriedeniu do mikro účtovnej jednotky.</w:t>
      </w:r>
    </w:p>
    <w:p w:rsidR="00000000" w:rsidDel="00000000" w:rsidP="00000000" w:rsidRDefault="00000000" w:rsidRPr="00000000" w14:paraId="0000004C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Informácie o dotáciách</w:t>
      </w:r>
      <w:r w:rsidDel="00000000" w:rsidR="00000000" w:rsidRPr="00000000">
        <w:rPr>
          <w:rFonts w:ascii="Arial" w:cs="Arial" w:eastAsia="Arial" w:hAnsi="Arial"/>
          <w:rtl w:val="0"/>
        </w:rPr>
        <w:t xml:space="preserve"> a ich oceňovanie v účtovníctve:</w:t>
      </w:r>
    </w:p>
    <w:p w:rsidR="00000000" w:rsidDel="00000000" w:rsidP="00000000" w:rsidRDefault="00000000" w:rsidRPr="00000000" w14:paraId="0000004E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V roku 2024 nebolo účtované o dotáciách.</w:t>
      </w:r>
    </w:p>
    <w:p w:rsidR="00000000" w:rsidDel="00000000" w:rsidP="00000000" w:rsidRDefault="00000000" w:rsidRPr="00000000" w14:paraId="0000004F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6. Informácie o účtovaní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významných opráv chýb</w:t>
      </w:r>
      <w:r w:rsidDel="00000000" w:rsidR="00000000" w:rsidRPr="00000000">
        <w:rPr>
          <w:rFonts w:ascii="Arial" w:cs="Arial" w:eastAsia="Arial" w:hAnsi="Arial"/>
          <w:rtl w:val="0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000000" w:rsidDel="00000000" w:rsidP="00000000" w:rsidRDefault="00000000" w:rsidRPr="00000000" w14:paraId="00000051">
      <w:pPr>
        <w:tabs>
          <w:tab w:val="left" w:leader="none" w:pos="808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V roku 2024 nebolo účtované o opravách chýb minulých účtovných období.</w:t>
      </w:r>
    </w:p>
    <w:p w:rsidR="00000000" w:rsidDel="00000000" w:rsidP="00000000" w:rsidRDefault="00000000" w:rsidRPr="00000000" w14:paraId="00000052">
      <w:pPr>
        <w:spacing w:before="1" w:line="28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pStyle w:val="Heading1"/>
        <w:ind w:right="157"/>
        <w:jc w:val="center"/>
        <w:rPr>
          <w:rFonts w:ascii="Arial" w:cs="Arial" w:eastAsia="Arial" w:hAnsi="Arial"/>
          <w:b w:val="0"/>
          <w:sz w:val="22"/>
          <w:szCs w:val="22"/>
        </w:rPr>
      </w:pPr>
      <w:bookmarkStart w:colFirst="0" w:colLast="0" w:name="_heading=h.emcfqfpokxax" w:id="0"/>
      <w:bookmarkEnd w:id="0"/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ind w:right="157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Informácie, ktoré vysvetľujú a dopĺňajú súvahu a výkaz ziskov a strát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spacing w:before="11"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1. Informácia o sume a dôvodoch vzniku jednotlivých položiek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nákladov alebo výnosov</w:t>
      </w:r>
      <w:r w:rsidDel="00000000" w:rsidR="00000000" w:rsidRPr="00000000">
        <w:rPr>
          <w:rFonts w:ascii="Arial" w:cs="Arial" w:eastAsia="Arial" w:hAnsi="Arial"/>
          <w:rtl w:val="0"/>
        </w:rPr>
        <w:t xml:space="preserve">, ktoré majú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výnimočný rozsah alebo výskyt</w:t>
      </w:r>
      <w:r w:rsidDel="00000000" w:rsidR="00000000" w:rsidRPr="00000000">
        <w:rPr>
          <w:rFonts w:ascii="Arial" w:cs="Arial" w:eastAsia="Arial" w:hAnsi="Arial"/>
          <w:rtl w:val="0"/>
        </w:rPr>
        <w:t xml:space="preserve">, napríklad výnosy z predaja podniku alebo časti podniku, náklady z dôvodu predaja podniku alebo časti podniku, škody z dôvodu živelných pohrôm:</w:t>
      </w:r>
    </w:p>
    <w:p w:rsidR="00000000" w:rsidDel="00000000" w:rsidP="00000000" w:rsidRDefault="00000000" w:rsidRPr="00000000" w14:paraId="00000057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Účtovná jednotka neúčtovala v roku 2024 o nákladoch alebo výnosoch, ktoré by mali výnimočný rozsah alebo výskyt.</w:t>
      </w:r>
    </w:p>
    <w:p w:rsidR="00000000" w:rsidDel="00000000" w:rsidP="00000000" w:rsidRDefault="00000000" w:rsidRPr="00000000" w14:paraId="00000058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Informácie o záväzkoch</w:t>
      </w:r>
      <w:r w:rsidDel="00000000" w:rsidR="00000000" w:rsidRPr="00000000">
        <w:rPr>
          <w:rFonts w:ascii="Arial" w:cs="Arial" w:eastAsia="Arial" w:hAnsi="Arial"/>
          <w:rtl w:val="0"/>
        </w:rPr>
        <w:t xml:space="preserve">, a to:</w:t>
      </w:r>
    </w:p>
    <w:p w:rsidR="00000000" w:rsidDel="00000000" w:rsidP="00000000" w:rsidRDefault="00000000" w:rsidRPr="00000000" w14:paraId="0000005A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- celkovej sume záväzkov so zostatkovou dobou splatnosti dlhšou ako päť rokov:</w:t>
      </w:r>
    </w:p>
    <w:p w:rsidR="00000000" w:rsidDel="00000000" w:rsidP="00000000" w:rsidRDefault="00000000" w:rsidRPr="00000000" w14:paraId="0000005C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- celkovej sume zabezpečených záväzkov, opis a spôsoby zabezpečenia záväzkov:</w:t>
      </w:r>
    </w:p>
    <w:p w:rsidR="00000000" w:rsidDel="00000000" w:rsidP="00000000" w:rsidRDefault="00000000" w:rsidRPr="00000000" w14:paraId="0000005D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Spoločnosť neeviduje záväzky s dobou splatnosti dlhšou ako 5 rokov a neeviduje ani zabezpečené záväzky.</w:t>
      </w:r>
    </w:p>
    <w:p w:rsidR="00000000" w:rsidDel="00000000" w:rsidP="00000000" w:rsidRDefault="00000000" w:rsidRPr="00000000" w14:paraId="0000005F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Informácie o vlastných akciách</w:t>
      </w:r>
      <w:r w:rsidDel="00000000" w:rsidR="00000000" w:rsidRPr="00000000">
        <w:rPr>
          <w:rFonts w:ascii="Arial" w:cs="Arial" w:eastAsia="Arial" w:hAnsi="Arial"/>
          <w:rtl w:val="0"/>
        </w:rPr>
        <w:t xml:space="preserve"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</w:p>
    <w:p w:rsidR="00000000" w:rsidDel="00000000" w:rsidP="00000000" w:rsidRDefault="00000000" w:rsidRPr="00000000" w14:paraId="00000061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4. Informácia, či účtovná jednotka tvorila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kapitálový fond z príspevkov</w:t>
      </w:r>
      <w:r w:rsidDel="00000000" w:rsidR="00000000" w:rsidRPr="00000000">
        <w:rPr>
          <w:rFonts w:ascii="Arial" w:cs="Arial" w:eastAsia="Arial" w:hAnsi="Arial"/>
          <w:rtl w:val="0"/>
        </w:rPr>
        <w:t xml:space="preserve"> podľa § 123 ods. 2 a § 217a Obchodného zákonníka v znení neskorších predpisov.</w:t>
      </w:r>
    </w:p>
    <w:p w:rsidR="00000000" w:rsidDel="00000000" w:rsidP="00000000" w:rsidRDefault="00000000" w:rsidRPr="00000000" w14:paraId="00000063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Informácie o orgánoch účtovnej jednotky</w:t>
      </w:r>
      <w:r w:rsidDel="00000000" w:rsidR="00000000" w:rsidRPr="00000000">
        <w:rPr>
          <w:rFonts w:ascii="Arial" w:cs="Arial" w:eastAsia="Arial" w:hAnsi="Arial"/>
          <w:rtl w:val="0"/>
        </w:rPr>
        <w:t xml:space="preserve">, a to:</w:t>
      </w:r>
    </w:p>
    <w:p w:rsidR="00000000" w:rsidDel="00000000" w:rsidP="00000000" w:rsidRDefault="00000000" w:rsidRPr="00000000" w14:paraId="00000065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a) výške jednotlivých druhov záruk alebo iných zabezpečení poskytnutých pre členov štatutárneho orgánu,  dozorného  orgánu  a  iného  orgánu  účtovnej  jednotky,  a to v členení za jednotlivé orgány:</w:t>
      </w:r>
    </w:p>
    <w:p w:rsidR="00000000" w:rsidDel="00000000" w:rsidP="00000000" w:rsidRDefault="00000000" w:rsidRPr="00000000" w14:paraId="00000067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000000" w:rsidDel="00000000" w:rsidP="00000000" w:rsidRDefault="00000000" w:rsidRPr="00000000" w14:paraId="00000069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c) hlavných podmienkach, na základe ktorých im boli záruky alebo iné zabezpečenie a pôžičky poskytnuté; pri pôžičkách sa uvádzajú úrokové sadzby:</w:t>
      </w:r>
    </w:p>
    <w:p w:rsidR="00000000" w:rsidDel="00000000" w:rsidP="00000000" w:rsidRDefault="00000000" w:rsidRPr="00000000" w14:paraId="0000006B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vyúčtovať:</w:t>
      </w:r>
    </w:p>
    <w:p w:rsidR="00000000" w:rsidDel="00000000" w:rsidP="00000000" w:rsidRDefault="00000000" w:rsidRPr="00000000" w14:paraId="0000006D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6.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Informácie o povinnostiach</w:t>
      </w:r>
      <w:r w:rsidDel="00000000" w:rsidR="00000000" w:rsidRPr="00000000">
        <w:rPr>
          <w:rFonts w:ascii="Arial" w:cs="Arial" w:eastAsia="Arial" w:hAnsi="Arial"/>
          <w:rtl w:val="0"/>
        </w:rPr>
        <w:t xml:space="preserve"> účtovnej jednotky, a to:</w:t>
      </w:r>
    </w:p>
    <w:p w:rsidR="00000000" w:rsidDel="00000000" w:rsidP="00000000" w:rsidRDefault="00000000" w:rsidRPr="00000000" w14:paraId="0000006F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a) celkovej sume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finančných povinností</w:t>
      </w:r>
      <w:r w:rsidDel="00000000" w:rsidR="00000000" w:rsidRPr="00000000">
        <w:rPr>
          <w:rFonts w:ascii="Arial" w:cs="Arial" w:eastAsia="Arial" w:hAnsi="Arial"/>
          <w:rtl w:val="0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000000" w:rsidDel="00000000" w:rsidP="00000000" w:rsidRDefault="00000000" w:rsidRPr="00000000" w14:paraId="00000071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b) celkovej sume významných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podmienených záväzkov</w:t>
      </w:r>
      <w:r w:rsidDel="00000000" w:rsidR="00000000" w:rsidRPr="00000000">
        <w:rPr>
          <w:rFonts w:ascii="Arial" w:cs="Arial" w:eastAsia="Arial" w:hAnsi="Arial"/>
          <w:rtl w:val="0"/>
        </w:rP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:rsidR="00000000" w:rsidDel="00000000" w:rsidP="00000000" w:rsidRDefault="00000000" w:rsidRPr="00000000" w14:paraId="00000073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c)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opise významných finančných povinností</w:t>
      </w:r>
      <w:r w:rsidDel="00000000" w:rsidR="00000000" w:rsidRPr="00000000">
        <w:rPr>
          <w:rFonts w:ascii="Arial" w:cs="Arial" w:eastAsia="Arial" w:hAnsi="Arial"/>
          <w:rtl w:val="0"/>
        </w:rPr>
        <w:t xml:space="preserve"> a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významných podmienených záväzkov: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d) celkovej sume významných finančných povinností a významných podmienených záväzkoch voči dcérskej účtovnej jednotke a účtovnej jednotke s podstatným vplyvom:</w:t>
      </w:r>
    </w:p>
    <w:p w:rsidR="00000000" w:rsidDel="00000000" w:rsidP="00000000" w:rsidRDefault="00000000" w:rsidRPr="00000000" w14:paraId="00000077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e)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opise významných povinností</w:t>
      </w:r>
      <w:r w:rsidDel="00000000" w:rsidR="00000000" w:rsidRPr="00000000">
        <w:rPr>
          <w:rFonts w:ascii="Arial" w:cs="Arial" w:eastAsia="Arial" w:hAnsi="Arial"/>
          <w:rtl w:val="0"/>
        </w:rPr>
        <w:t xml:space="preserve"> účtovnej jednotky vyplývajúcich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z dôchodkových programov</w:t>
      </w:r>
      <w:r w:rsidDel="00000000" w:rsidR="00000000" w:rsidRPr="00000000">
        <w:rPr>
          <w:rFonts w:ascii="Arial" w:cs="Arial" w:eastAsia="Arial" w:hAnsi="Arial"/>
          <w:rtl w:val="0"/>
        </w:rPr>
        <w:t xml:space="preserve"> pre zamestnancov:</w:t>
      </w:r>
    </w:p>
    <w:p w:rsidR="00000000" w:rsidDel="00000000" w:rsidP="00000000" w:rsidRDefault="00000000" w:rsidRPr="00000000" w14:paraId="00000079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7. Informácie o udelení výlučného práva alebo osobitného práva, ktorým sa udelilo právo poskytovať </w:t>
      </w:r>
      <w:r w:rsidDel="00000000" w:rsidR="00000000" w:rsidRPr="00000000">
        <w:rPr>
          <w:rFonts w:ascii="Arial" w:cs="Arial" w:eastAsia="Arial" w:hAnsi="Arial"/>
          <w:b w:val="1"/>
          <w:u w:val="single"/>
          <w:rtl w:val="0"/>
        </w:rPr>
        <w:t xml:space="preserve">služby vo verejnom záujme</w:t>
      </w:r>
      <w:r w:rsidDel="00000000" w:rsidR="00000000" w:rsidRPr="00000000">
        <w:rPr>
          <w:rFonts w:ascii="Arial" w:cs="Arial" w:eastAsia="Arial" w:hAnsi="Arial"/>
          <w:rtl w:val="0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00000" w:rsidDel="00000000" w:rsidP="00000000" w:rsidRDefault="00000000" w:rsidRPr="00000000" w14:paraId="0000007B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tabs>
          <w:tab w:val="left" w:leader="none" w:pos="668"/>
        </w:tabs>
        <w:ind w:left="101" w:right="116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Pre body 3. až 7 článku III nemá účtovná jednotka náplň.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-381.2598425196836" w:firstLine="0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60" w:w="11907" w:orient="portrait"/>
      <w:pgMar w:bottom="800" w:top="1340" w:left="1060" w:right="1300" w:header="0" w:footer="6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4">
    <w:pPr>
      <w:spacing w:line="200" w:lineRule="auto"/>
      <w:rPr>
        <w:sz w:val="20"/>
        <w:szCs w:val="20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5562600</wp:posOffset>
              </wp:positionH>
              <wp:positionV relativeFrom="paragraph">
                <wp:posOffset>10134600</wp:posOffset>
              </wp:positionV>
              <wp:extent cx="560070" cy="196850"/>
              <wp:effectExtent b="0" l="0" r="0" t="0"/>
              <wp:wrapNone/>
              <wp:docPr id="2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075490" y="3691100"/>
                        <a:ext cx="541020" cy="177800"/>
                      </a:xfrm>
                      <a:custGeom>
                        <a:rect b="b" l="l" r="r" t="t"/>
                        <a:pathLst>
                          <a:path extrusionOk="0" h="177800" w="541020">
                            <a:moveTo>
                              <a:pt x="0" y="0"/>
                            </a:moveTo>
                            <a:lnTo>
                              <a:pt x="0" y="177800"/>
                            </a:lnTo>
                            <a:lnTo>
                              <a:pt x="541020" y="177800"/>
                            </a:lnTo>
                            <a:lnTo>
                              <a:pt x="541020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64.99999046325684"/>
                            <w:ind w:left="20" w:right="0" w:firstLine="4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Strana  PAGE 3</w:t>
                          </w:r>
                        </w:p>
                      </w:txbxContent>
                    </wps:txbx>
                    <wps:bodyPr anchorCtr="0" anchor="t" bIns="38100" lIns="88900" spcFirstLastPara="1" rIns="88900" wrap="square" tIns="381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5562600</wp:posOffset>
              </wp:positionH>
              <wp:positionV relativeFrom="paragraph">
                <wp:posOffset>10134600</wp:posOffset>
              </wp:positionV>
              <wp:extent cx="560070" cy="196850"/>
              <wp:effectExtent b="0" l="0" r="0" t="0"/>
              <wp:wrapNone/>
              <wp:docPr id="2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0070" cy="1968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E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F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0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1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990"/>
        <w:tab w:val="left" w:leader="none" w:pos="6348"/>
      </w:tabs>
      <w:spacing w:after="0" w:before="0" w:line="240" w:lineRule="auto"/>
      <w:ind w:left="-397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MÚJ 3 – 01                           IČO: </w:t>
    </w:r>
    <w:r w:rsidDel="00000000" w:rsidR="00000000" w:rsidRPr="00000000">
      <w:rPr>
        <w:rFonts w:ascii="Arial" w:cs="Arial" w:eastAsia="Arial" w:hAnsi="Arial"/>
        <w:rtl w:val="0"/>
      </w:rPr>
      <w:t xml:space="preserve">55889573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DIČ: </w:t>
    </w:r>
    <w:r w:rsidDel="00000000" w:rsidR="00000000" w:rsidRPr="00000000">
      <w:rPr>
        <w:rFonts w:ascii="Arial" w:cs="Arial" w:eastAsia="Arial" w:hAnsi="Arial"/>
        <w:rtl w:val="0"/>
      </w:rPr>
      <w:t xml:space="preserve">2122123146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2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3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sk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/>
    <w:rPr>
      <w:rFonts w:ascii="Times New Roman" w:cs="Times New Roman" w:eastAsia="Times New Roman" w:hAnsi="Times New Roman"/>
      <w:b w:val="1"/>
      <w:sz w:val="24"/>
      <w:szCs w:val="24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rsid w:val="001954B3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Zkladntext">
    <w:name w:val="Body Text"/>
    <w:basedOn w:val="Normlny"/>
    <w:uiPriority w:val="1"/>
    <w:qFormat w:val="1"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 w:val="1"/>
    <w:rsid w:val="001954B3"/>
  </w:style>
  <w:style w:type="paragraph" w:styleId="TableParagraph" w:customStyle="1">
    <w:name w:val="Table Paragraph"/>
    <w:basedOn w:val="Normlny"/>
    <w:uiPriority w:val="1"/>
    <w:qFormat w:val="1"/>
    <w:rsid w:val="001954B3"/>
  </w:style>
  <w:style w:type="paragraph" w:styleId="Hlavika">
    <w:name w:val="header"/>
    <w:basedOn w:val="Normlny"/>
    <w:link w:val="HlavikaChar"/>
    <w:unhideWhenUsed w:val="1"/>
    <w:rsid w:val="00EB4798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 w:val="1"/>
    <w:rsid w:val="00EB4798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.0" w:type="dxa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Fs2UXhGDUzeymVW2GfT8adT+sA==">CgMxLjAyDmguZW1jZnFmcG9reGF4OAByITF5Y1BmUXdJVldCenVNTHFCQXIzdVJQZlhCWG1BdkIxRw==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2023-05-25T10:13:00Z</dcterms:created>
  <dc:creator>maria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