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tabs>
          <w:tab w:val="left" w:pos="9000" w:leader="none"/>
        </w:tabs>
        <w:suppressAutoHyphens w:val="true"/>
        <w:jc w:val="center"/>
        <w:rPr>
          <w:rFonts w:ascii="Arial" w:hAnsi="Arial" w:cs="Arial"/>
          <w:b/>
          <w:b/>
          <w:sz w:val="28"/>
          <w:szCs w:val="28"/>
        </w:rPr>
      </w:pPr>
      <w:bookmarkStart w:id="0" w:name="FWT_T7a"/>
      <w:bookmarkEnd w:id="0"/>
      <w:r>
        <w:rPr>
          <w:rFonts w:cs="Arial" w:ascii="Arial" w:hAnsi="Arial"/>
          <w:b/>
          <w:sz w:val="28"/>
          <w:szCs w:val="28"/>
        </w:rPr>
        <w:t>Poznámky k účtovnej závierke</w:t>
      </w:r>
    </w:p>
    <w:p>
      <w:pPr>
        <w:pStyle w:val="Normal"/>
        <w:tabs>
          <w:tab w:val="left" w:pos="9000" w:leader="none"/>
        </w:tabs>
        <w:suppressAutoHyphens w:val="true"/>
        <w:jc w:val="center"/>
        <w:rPr>
          <w:rFonts w:ascii="Arial" w:hAnsi="Arial" w:cs="Arial"/>
          <w:b/>
          <w:b/>
          <w:sz w:val="20"/>
          <w:szCs w:val="20"/>
        </w:rPr>
      </w:pPr>
      <w:r>
        <w:rPr>
          <w:rFonts w:cs="Arial" w:ascii="Arial" w:hAnsi="Arial"/>
          <w:b/>
          <w:sz w:val="28"/>
          <w:szCs w:val="28"/>
        </w:rPr>
        <w:t>zostavenej k  </w:t>
      </w:r>
      <w:bookmarkStart w:id="1" w:name="EntityDateEnd"/>
      <w:r>
        <w:rPr>
          <w:rFonts w:cs="Arial" w:ascii="Arial" w:hAnsi="Arial"/>
          <w:b/>
          <w:sz w:val="28"/>
          <w:szCs w:val="28"/>
        </w:rPr>
        <w:t xml:space="preserve">31. decembru </w:t>
      </w:r>
      <w:bookmarkEnd w:id="1"/>
      <w:r>
        <w:rPr>
          <w:rFonts w:cs="Arial" w:ascii="Arial" w:hAnsi="Arial"/>
          <w:b/>
          <w:sz w:val="28"/>
          <w:szCs w:val="28"/>
        </w:rPr>
        <w:t>2024</w:t>
      </w:r>
    </w:p>
    <w:p>
      <w:pPr>
        <w:pStyle w:val="Odstavec"/>
        <w:rPr>
          <w:rFonts w:ascii="Arial" w:hAnsi="Arial" w:cs="Arial"/>
        </w:rPr>
      </w:pPr>
      <w:r>
        <w:rPr>
          <w:rFonts w:cs="Arial" w:ascii="Arial" w:hAnsi="Arial"/>
        </w:rPr>
      </w:r>
    </w:p>
    <w:p>
      <w:pPr>
        <w:pStyle w:val="Odstavec"/>
        <w:rPr>
          <w:rFonts w:ascii="Arial" w:hAnsi="Arial" w:cs="Arial"/>
        </w:rPr>
      </w:pPr>
      <w:r>
        <w:rPr>
          <w:rFonts w:cs="Arial" w:ascii="Arial" w:hAnsi="Arial"/>
        </w:rPr>
      </w:r>
    </w:p>
    <w:p>
      <w:pPr>
        <w:pStyle w:val="Nadpis1"/>
        <w:numPr>
          <w:ilvl w:val="0"/>
          <w:numId w:val="4"/>
        </w:numPr>
        <w:ind w:left="426" w:hanging="426"/>
        <w:rPr>
          <w:rFonts w:ascii="Arial" w:hAnsi="Arial"/>
          <w:sz w:val="20"/>
          <w:szCs w:val="20"/>
        </w:rPr>
      </w:pPr>
      <w:r>
        <w:rPr>
          <w:rFonts w:ascii="Arial" w:hAnsi="Arial"/>
          <w:sz w:val="20"/>
          <w:szCs w:val="20"/>
        </w:rPr>
        <w:t>VŠEOBECNÉ INFORMÁCIE</w:t>
      </w:r>
    </w:p>
    <w:p>
      <w:pPr>
        <w:pStyle w:val="Nadpis2"/>
        <w:numPr>
          <w:ilvl w:val="6"/>
          <w:numId w:val="2"/>
        </w:numPr>
        <w:rPr/>
      </w:pPr>
      <w:r>
        <w:rPr/>
        <w:t>Názov a sídlo</w:t>
      </w:r>
    </w:p>
    <w:p>
      <w:pPr>
        <w:pStyle w:val="Odstavec"/>
        <w:rPr/>
      </w:pPr>
      <w:r>
        <w:rPr/>
        <w:fldChar w:fldCharType="begin"/>
      </w:r>
      <w:r>
        <w:instrText> REF EntityName \h </w:instrText>
      </w:r>
      <w:r>
        <w:fldChar w:fldCharType="separate"/>
      </w:r>
      <w:r>
        <w:t>M&amp;M, s.r.o.</w:t>
      </w:r>
      <w:r>
        <w:fldChar w:fldCharType="end"/>
      </w:r>
      <w:r>
        <w:rPr>
          <w:rFonts w:cs="Arial" w:ascii="Arial" w:hAnsi="Arial"/>
        </w:rPr>
        <w:t xml:space="preserve">  </w:t>
      </w:r>
    </w:p>
    <w:p>
      <w:pPr>
        <w:pStyle w:val="Odstavec"/>
        <w:rPr>
          <w:rFonts w:ascii="Arial" w:hAnsi="Arial" w:cs="Arial"/>
        </w:rPr>
      </w:pPr>
      <w:bookmarkStart w:id="2" w:name="EntityAddressL1"/>
      <w:bookmarkEnd w:id="2"/>
      <w:r>
        <w:rPr>
          <w:rFonts w:cs="Arial" w:ascii="Arial" w:hAnsi="Arial"/>
        </w:rPr>
        <w:t>ČSA 51</w:t>
      </w:r>
    </w:p>
    <w:p>
      <w:pPr>
        <w:pStyle w:val="Odstavec"/>
        <w:rPr>
          <w:rFonts w:ascii="Arial" w:hAnsi="Arial" w:cs="Arial"/>
        </w:rPr>
      </w:pPr>
      <w:bookmarkStart w:id="3" w:name="EntityAddressL2"/>
      <w:bookmarkEnd w:id="3"/>
      <w:r>
        <w:rPr>
          <w:rFonts w:cs="Arial" w:ascii="Arial" w:hAnsi="Arial"/>
        </w:rPr>
        <w:t>977 01 Brezno</w:t>
      </w:r>
    </w:p>
    <w:p>
      <w:pPr>
        <w:pStyle w:val="Odstavec"/>
        <w:rPr>
          <w:rFonts w:ascii="Arial" w:hAnsi="Arial" w:cs="Arial"/>
        </w:rPr>
      </w:pPr>
      <w:r>
        <w:rPr>
          <w:rFonts w:cs="Arial" w:ascii="Arial" w:hAnsi="Arial"/>
        </w:rPr>
      </w:r>
    </w:p>
    <w:p>
      <w:pPr>
        <w:pStyle w:val="Body"/>
        <w:rPr/>
      </w:pPr>
      <w:r>
        <w:rPr>
          <w:rFonts w:cs="Arial" w:ascii="Arial" w:hAnsi="Arial"/>
        </w:rPr>
        <w:t xml:space="preserve">Spoločnosť </w:t>
      </w:r>
      <w:r>
        <w:rPr>
          <w:rFonts w:cs="Arial" w:ascii="Arial" w:hAnsi="Arial"/>
        </w:rPr>
        <w:fldChar w:fldCharType="begin"/>
      </w:r>
      <w:r>
        <w:instrText> REF EntityName \h </w:instrText>
      </w:r>
      <w:r>
        <w:fldChar w:fldCharType="separate"/>
      </w:r>
      <w:r>
        <w:t>M&amp;M, s.r.o.</w:t>
      </w:r>
      <w:r>
        <w:fldChar w:fldCharType="end"/>
      </w:r>
      <w:r>
        <w:rPr>
          <w:rFonts w:cs="Arial" w:ascii="Arial" w:hAnsi="Arial"/>
        </w:rPr>
        <w:t xml:space="preserve"> (ďalej len „Spoločnosť“) bola založená</w:t>
      </w:r>
      <w:bookmarkStart w:id="4" w:name="EstDate"/>
      <w:r>
        <w:rPr>
          <w:rFonts w:cs="Arial" w:ascii="Arial" w:hAnsi="Arial"/>
        </w:rPr>
        <w:t xml:space="preserve"> 19. októbra 1997</w:t>
      </w:r>
      <w:bookmarkEnd w:id="4"/>
      <w:r>
        <w:rPr>
          <w:rFonts w:cs="Arial" w:ascii="Arial" w:hAnsi="Arial"/>
        </w:rPr>
        <w:t> a do Obchodného registra bola zapísaná </w:t>
      </w:r>
      <w:bookmarkStart w:id="5" w:name="EntryDate"/>
      <w:r>
        <w:rPr>
          <w:rFonts w:cs="Arial" w:ascii="Arial" w:hAnsi="Arial"/>
        </w:rPr>
        <w:t>3. novembra 1997</w:t>
      </w:r>
      <w:bookmarkEnd w:id="5"/>
      <w:r>
        <w:rPr>
          <w:rFonts w:cs="Arial" w:ascii="Arial" w:hAnsi="Arial"/>
        </w:rPr>
        <w:t>.(Obchodný register Okresného súdu  </w:t>
      </w:r>
      <w:bookmarkStart w:id="6" w:name="DistrictCourt"/>
      <w:r>
        <w:rPr>
          <w:rFonts w:cs="Arial" w:ascii="Arial" w:hAnsi="Arial"/>
        </w:rPr>
        <w:t>Okresný Súd Banská Bystrica</w:t>
      </w:r>
      <w:bookmarkEnd w:id="6"/>
      <w:r>
        <w:rPr>
          <w:rFonts w:cs="Arial" w:ascii="Arial" w:hAnsi="Arial"/>
        </w:rPr>
        <w:t>.v Banskej Bystrici, oddiel. l</w:t>
      </w:r>
      <w:bookmarkStart w:id="7" w:name="Section"/>
      <w:r>
        <w:rPr>
          <w:rFonts w:cs="Arial" w:ascii="Arial" w:hAnsi="Arial"/>
        </w:rPr>
        <w:t>Sro</w:t>
      </w:r>
      <w:bookmarkEnd w:id="7"/>
      <w:r>
        <w:rPr>
          <w:rFonts w:cs="Arial" w:ascii="Arial" w:hAnsi="Arial"/>
        </w:rPr>
        <w:t>, vložka č.</w:t>
      </w:r>
      <w:bookmarkStart w:id="8" w:name="FileNum"/>
      <w:r>
        <w:rPr>
          <w:rFonts w:cs="Arial" w:ascii="Arial" w:hAnsi="Arial"/>
        </w:rPr>
        <w:t>4942/S</w:t>
      </w:r>
      <w:bookmarkEnd w:id="8"/>
      <w:r>
        <w:rPr>
          <w:rFonts w:cs="Arial" w:ascii="Arial" w:hAnsi="Arial"/>
        </w:rPr>
        <w:t>).</w:t>
      </w:r>
    </w:p>
    <w:p>
      <w:pPr>
        <w:pStyle w:val="Odstavec"/>
        <w:rPr>
          <w:rFonts w:ascii="Arial" w:hAnsi="Arial" w:cs="Arial"/>
        </w:rPr>
      </w:pPr>
      <w:r>
        <w:rPr>
          <w:rFonts w:cs="Arial" w:ascii="Arial" w:hAnsi="Arial"/>
        </w:rPr>
      </w:r>
    </w:p>
    <w:p>
      <w:pPr>
        <w:pStyle w:val="Body"/>
        <w:spacing w:lineRule="auto" w:line="276"/>
        <w:rPr>
          <w:rFonts w:ascii="Arial" w:hAnsi="Arial" w:cs="Arial"/>
          <w:b/>
          <w:b/>
          <w:i/>
          <w:i/>
        </w:rPr>
      </w:pPr>
      <w:r>
        <w:rPr>
          <w:rFonts w:cs="Arial" w:ascii="Arial" w:hAnsi="Arial"/>
          <w:b/>
          <w:i/>
        </w:rPr>
        <w:t>Opis vykonávanej činnosti Spoločnosti</w:t>
      </w:r>
    </w:p>
    <w:p>
      <w:pPr>
        <w:pStyle w:val="Odstavec"/>
        <w:rPr>
          <w:rStyle w:val="Ra"/>
          <w:rFonts w:ascii="Arial" w:hAnsi="Arial" w:cs="Arial"/>
        </w:rPr>
      </w:pPr>
      <w:r>
        <w:rPr>
          <w:rStyle w:val="Ra"/>
          <w:rFonts w:cs="Arial" w:ascii="Arial" w:hAnsi="Arial"/>
        </w:rPr>
        <w:t>- výroba drevených obalov, výrobkov z dreva</w:t>
      </w:r>
    </w:p>
    <w:p>
      <w:pPr>
        <w:pStyle w:val="Odstavec"/>
        <w:rPr>
          <w:rFonts w:ascii="Arial" w:hAnsi="Arial" w:cs="Arial"/>
        </w:rPr>
      </w:pPr>
      <w:r>
        <w:rPr>
          <w:rFonts w:cs="Arial" w:ascii="Arial" w:hAnsi="Arial"/>
        </w:rPr>
      </w:r>
    </w:p>
    <w:p>
      <w:pPr>
        <w:pStyle w:val="Nadpis2"/>
        <w:numPr>
          <w:ilvl w:val="6"/>
          <w:numId w:val="2"/>
        </w:numPr>
        <w:rPr/>
      </w:pPr>
      <w:r>
        <w:rPr/>
        <w:t>Neobmedzené ručenie</w:t>
      </w:r>
    </w:p>
    <w:p>
      <w:pPr>
        <w:pStyle w:val="Body"/>
        <w:rPr>
          <w:rFonts w:ascii="Arial" w:hAnsi="Arial" w:cs="Arial"/>
        </w:rPr>
      </w:pPr>
      <w:r>
        <w:rPr>
          <w:rFonts w:cs="Arial" w:ascii="Arial" w:hAnsi="Arial"/>
        </w:rPr>
        <w:t xml:space="preserve">Spoločnosť nie je neobmedzene ručiacim spoločníkom v iných účtovných jednotkách. </w:t>
      </w:r>
    </w:p>
    <w:p>
      <w:pPr>
        <w:pStyle w:val="Odstavec"/>
        <w:rPr>
          <w:rFonts w:ascii="Arial" w:hAnsi="Arial" w:cs="Arial"/>
        </w:rPr>
      </w:pPr>
      <w:r>
        <w:rPr>
          <w:rFonts w:cs="Arial" w:ascii="Arial" w:hAnsi="Arial"/>
        </w:rPr>
      </w:r>
    </w:p>
    <w:p>
      <w:pPr>
        <w:pStyle w:val="Nadpis2"/>
        <w:numPr>
          <w:ilvl w:val="6"/>
          <w:numId w:val="2"/>
        </w:numPr>
        <w:rPr/>
      </w:pPr>
      <w:r>
        <w:rPr/>
        <w:t>Dátum schválenia účtovnej závierky za predchádzajúce účtovné obdobie</w:t>
      </w:r>
    </w:p>
    <w:p>
      <w:pPr>
        <w:pStyle w:val="Body"/>
        <w:rPr>
          <w:rFonts w:ascii="Arial" w:hAnsi="Arial" w:cs="Arial"/>
        </w:rPr>
      </w:pPr>
      <w:r>
        <w:rPr>
          <w:rFonts w:cs="Arial" w:ascii="Arial" w:hAnsi="Arial"/>
        </w:rPr>
        <w:t>Valné zhromaždenie schválilo dňa 27. marca</w:t>
      </w:r>
      <w:r>
        <w:rPr>
          <w:rFonts w:cs="Arial" w:ascii="Arial" w:hAnsi="Arial"/>
          <w:lang w:val="en-US"/>
        </w:rPr>
        <w:t xml:space="preserve"> </w:t>
      </w:r>
      <w:r>
        <w:rPr>
          <w:rFonts w:cs="Arial" w:ascii="Arial" w:hAnsi="Arial"/>
        </w:rPr>
        <w:t>2024 účtovnú závierku Spoločnosti za predchádzajúce účtovné obdobie.</w:t>
      </w:r>
    </w:p>
    <w:p>
      <w:pPr>
        <w:pStyle w:val="Body"/>
        <w:rPr>
          <w:rFonts w:ascii="Arial" w:hAnsi="Arial" w:cs="Arial"/>
        </w:rPr>
      </w:pPr>
      <w:r>
        <w:rPr>
          <w:rFonts w:cs="Arial" w:ascii="Arial" w:hAnsi="Arial"/>
        </w:rPr>
      </w:r>
    </w:p>
    <w:p>
      <w:pPr>
        <w:pStyle w:val="Nadpis2"/>
        <w:numPr>
          <w:ilvl w:val="6"/>
          <w:numId w:val="2"/>
        </w:numPr>
        <w:rPr/>
      </w:pPr>
      <w:r>
        <w:rPr/>
        <w:t>Právny dôvod na zostavenie účtovnej závierky</w:t>
      </w:r>
    </w:p>
    <w:p>
      <w:pPr>
        <w:pStyle w:val="Odstavec"/>
        <w:rPr>
          <w:rFonts w:ascii="Arial" w:hAnsi="Arial" w:cs="Arial"/>
        </w:rPr>
      </w:pPr>
      <w:r>
        <w:rPr>
          <w:rFonts w:cs="Arial" w:ascii="Arial" w:hAnsi="Arial"/>
        </w:rPr>
        <w:t xml:space="preserve">Účtovná závierka Spoločnosti k </w:t>
      </w:r>
      <w:bookmarkStart w:id="9" w:name="EntityDateEnd1"/>
      <w:r>
        <w:rPr>
          <w:rFonts w:cs="Arial" w:ascii="Arial" w:hAnsi="Arial"/>
        </w:rPr>
        <w:t xml:space="preserve">31. decembru </w:t>
      </w:r>
      <w:bookmarkEnd w:id="9"/>
      <w:r>
        <w:rPr>
          <w:rFonts w:cs="Arial" w:ascii="Arial" w:hAnsi="Arial"/>
        </w:rPr>
        <w:t xml:space="preserve">2024 je zostavená ako riadna účtovná závierka podľa § 17 ods. 6 zákona NR SR č. 431/2002 Z.z. o účtovníctve v znení neskorších predpisov (ďalej len „zákon o účtovníctve“) za účtovné obdobie od </w:t>
      </w:r>
      <w:bookmarkStart w:id="10" w:name="EntityDateStart"/>
      <w:r>
        <w:rPr>
          <w:rFonts w:cs="Arial" w:ascii="Arial" w:hAnsi="Arial"/>
        </w:rPr>
        <w:t xml:space="preserve">1. januára </w:t>
      </w:r>
      <w:bookmarkEnd w:id="10"/>
      <w:r>
        <w:rPr>
          <w:rFonts w:cs="Arial" w:ascii="Arial" w:hAnsi="Arial"/>
        </w:rPr>
        <w:t xml:space="preserve">2024 do  </w:t>
      </w:r>
      <w:bookmarkStart w:id="11" w:name="EntityDateEnd2"/>
      <w:r>
        <w:rPr>
          <w:rFonts w:cs="Arial" w:ascii="Arial" w:hAnsi="Arial"/>
        </w:rPr>
        <w:t xml:space="preserve">31. decembra </w:t>
      </w:r>
      <w:bookmarkEnd w:id="11"/>
      <w:r>
        <w:rPr>
          <w:rFonts w:cs="Arial" w:ascii="Arial" w:hAnsi="Arial"/>
        </w:rPr>
        <w:t>2024.</w:t>
      </w:r>
    </w:p>
    <w:p>
      <w:pPr>
        <w:pStyle w:val="Odstavec"/>
        <w:rPr>
          <w:rFonts w:ascii="Arial" w:hAnsi="Arial" w:cs="Arial"/>
        </w:rPr>
      </w:pPr>
      <w:r>
        <w:rPr>
          <w:rFonts w:cs="Arial" w:ascii="Arial" w:hAnsi="Arial"/>
        </w:rPr>
      </w:r>
    </w:p>
    <w:p>
      <w:pPr>
        <w:pStyle w:val="Nadpis2"/>
        <w:numPr>
          <w:ilvl w:val="6"/>
          <w:numId w:val="2"/>
        </w:numPr>
        <w:rPr/>
      </w:pPr>
      <w:r>
        <w:rPr/>
        <w:t>Údaje o skupine</w:t>
      </w:r>
    </w:p>
    <w:p>
      <w:pPr>
        <w:pStyle w:val="Odstavec"/>
        <w:rPr>
          <w:rFonts w:ascii="Arial" w:hAnsi="Arial" w:cs="Arial"/>
        </w:rPr>
      </w:pPr>
      <w:r>
        <w:rPr>
          <w:rFonts w:cs="Arial" w:ascii="Arial" w:hAnsi="Arial"/>
        </w:rPr>
        <w:t>Spoločnosť sa nezahrňuje do konsolidovanej účtovnej závierky žiadnej spoločnosti.</w:t>
      </w:r>
    </w:p>
    <w:p>
      <w:pPr>
        <w:pStyle w:val="Body"/>
        <w:rPr>
          <w:rFonts w:ascii="Arial" w:hAnsi="Arial" w:cs="Arial"/>
        </w:rPr>
      </w:pPr>
      <w:r>
        <w:rPr>
          <w:rFonts w:cs="Arial" w:ascii="Arial" w:hAnsi="Arial"/>
        </w:rPr>
      </w:r>
    </w:p>
    <w:p>
      <w:pPr>
        <w:pStyle w:val="Nadpis2"/>
        <w:numPr>
          <w:ilvl w:val="6"/>
          <w:numId w:val="2"/>
        </w:numPr>
        <w:rPr/>
      </w:pPr>
      <w:r>
        <w:rPr/>
        <w:t>Počet zamestnancov</w:t>
      </w:r>
    </w:p>
    <w:p>
      <w:pPr>
        <w:pStyle w:val="Normal"/>
        <w:ind w:left="482" w:hanging="0"/>
        <w:rPr>
          <w:rFonts w:ascii="Arial" w:hAnsi="Arial" w:cs="Arial"/>
        </w:rPr>
      </w:pPr>
      <w:r>
        <w:rPr>
          <w:rFonts w:cs="Arial" w:ascii="Arial" w:hAnsi="Arial"/>
        </w:rPr>
        <w:t xml:space="preserve"> </w:t>
      </w:r>
    </w:p>
    <w:tbl>
      <w:tblPr>
        <w:tblW w:w="9220" w:type="dxa"/>
        <w:jc w:val="left"/>
        <w:tblInd w:w="482" w:type="dxa"/>
        <w:tblBorders>
          <w:bottom w:val="single" w:sz="4" w:space="0" w:color="00000A"/>
          <w:insideH w:val="single" w:sz="4" w:space="0" w:color="00000A"/>
        </w:tblBorders>
        <w:tblCellMar>
          <w:top w:w="0" w:type="dxa"/>
          <w:left w:w="70" w:type="dxa"/>
          <w:bottom w:w="0" w:type="dxa"/>
          <w:right w:w="70" w:type="dxa"/>
        </w:tblCellMar>
        <w:tblLook w:firstRow="1" w:noVBand="1" w:lastRow="0" w:firstColumn="1" w:lastColumn="0" w:noHBand="0" w:val="04a0"/>
      </w:tblPr>
      <w:tblGrid>
        <w:gridCol w:w="6418"/>
        <w:gridCol w:w="1400"/>
        <w:gridCol w:w="1402"/>
      </w:tblGrid>
      <w:tr>
        <w:trPr>
          <w:trHeight w:val="80" w:hRule="atLeast"/>
        </w:trPr>
        <w:tc>
          <w:tcPr>
            <w:tcW w:w="6418"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bookmarkStart w:id="12" w:name="RANGE!B3:D6"/>
            <w:bookmarkEnd w:id="12"/>
            <w:r>
              <w:rPr>
                <w:rFonts w:cs="Arial" w:ascii="Arial" w:hAnsi="Arial"/>
                <w:b/>
                <w:bCs/>
                <w:sz w:val="18"/>
                <w:szCs w:val="18"/>
              </w:rPr>
              <w:t>Názov položky</w:t>
            </w:r>
          </w:p>
        </w:tc>
        <w:tc>
          <w:tcPr>
            <w:tcW w:w="140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Stav k 31.12.2024</w:t>
            </w:r>
          </w:p>
        </w:tc>
        <w:tc>
          <w:tcPr>
            <w:tcW w:w="1402"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Stav k 31.12.2023</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Priemerný prepočítaný počet zamestnancov</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2</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2</w:t>
            </w:r>
          </w:p>
        </w:tc>
      </w:tr>
      <w:tr>
        <w:trPr>
          <w:trHeight w:val="48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Stav zamestnancov ku dňu, ku ktorému sa zostavuje účtovná závierka, z toho:</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ind w:firstLine="360"/>
              <w:rPr>
                <w:rFonts w:ascii="Arial" w:hAnsi="Arial" w:cs="Arial"/>
                <w:i/>
                <w:i/>
                <w:iCs/>
                <w:sz w:val="18"/>
                <w:szCs w:val="18"/>
              </w:rPr>
            </w:pPr>
            <w:r>
              <w:rPr>
                <w:rFonts w:cs="Arial" w:ascii="Arial" w:hAnsi="Arial"/>
                <w:i/>
                <w:iCs/>
                <w:sz w:val="18"/>
                <w:szCs w:val="18"/>
              </w:rPr>
              <w:t>počet vedúcich zamestnancov</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i/>
                <w:i/>
                <w:iCs/>
                <w:sz w:val="18"/>
                <w:szCs w:val="18"/>
              </w:rPr>
            </w:pPr>
            <w:r>
              <w:rPr>
                <w:rFonts w:cs="Arial" w:ascii="Arial" w:hAnsi="Arial"/>
                <w:i/>
                <w:iCs/>
                <w:sz w:val="18"/>
                <w:szCs w:val="18"/>
              </w:rPr>
              <w:t>1</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i/>
                <w:i/>
                <w:iCs/>
                <w:sz w:val="18"/>
                <w:szCs w:val="18"/>
              </w:rPr>
            </w:pPr>
            <w:r>
              <w:rPr>
                <w:rFonts w:cs="Arial" w:ascii="Arial" w:hAnsi="Arial"/>
                <w:i/>
                <w:iCs/>
                <w:sz w:val="18"/>
                <w:szCs w:val="18"/>
              </w:rPr>
              <w:t>1</w:t>
            </w:r>
          </w:p>
        </w:tc>
      </w:tr>
    </w:tbl>
    <w:p>
      <w:pPr>
        <w:pStyle w:val="Normal"/>
        <w:ind w:left="482" w:hanging="0"/>
        <w:rPr>
          <w:rFonts w:ascii="Arial" w:hAnsi="Arial" w:cs="Arial"/>
        </w:rPr>
      </w:pPr>
      <w:r>
        <w:rPr>
          <w:rFonts w:cs="Arial" w:ascii="Arial" w:hAnsi="Arial"/>
        </w:rPr>
      </w:r>
    </w:p>
    <w:p>
      <w:pPr>
        <w:pStyle w:val="Normal"/>
        <w:ind w:left="482" w:hanging="0"/>
        <w:rPr>
          <w:rFonts w:ascii="Arial" w:hAnsi="Arial" w:cs="Arial"/>
        </w:rPr>
      </w:pPr>
      <w:bookmarkStart w:id="13" w:name="FWT_T1"/>
      <w:bookmarkStart w:id="14" w:name="FWT_T1"/>
      <w:bookmarkEnd w:id="14"/>
      <w:r>
        <w:rPr>
          <w:rFonts w:cs="Arial" w:ascii="Arial" w:hAnsi="Arial"/>
        </w:rPr>
      </w:r>
    </w:p>
    <w:p>
      <w:pPr>
        <w:pStyle w:val="Body"/>
        <w:jc w:val="center"/>
        <w:rPr>
          <w:rFonts w:ascii="Arial" w:hAnsi="Arial" w:cs="Arial"/>
        </w:rPr>
      </w:pPr>
      <w:r>
        <w:rPr>
          <w:rFonts w:cs="Arial" w:ascii="Arial" w:hAnsi="Arial"/>
        </w:rPr>
      </w:r>
    </w:p>
    <w:p>
      <w:pPr>
        <w:pStyle w:val="Normal"/>
        <w:rPr>
          <w:rFonts w:ascii="Arial" w:hAnsi="Arial" w:cs="Arial"/>
          <w:b/>
          <w:b/>
          <w:bCs/>
          <w:iCs/>
          <w:sz w:val="20"/>
          <w:szCs w:val="20"/>
        </w:rPr>
      </w:pPr>
      <w:r>
        <w:rPr>
          <w:rFonts w:cs="Arial" w:ascii="Arial" w:hAnsi="Arial"/>
          <w:b/>
          <w:bCs/>
          <w:iCs/>
          <w:sz w:val="20"/>
          <w:szCs w:val="20"/>
        </w:rPr>
      </w:r>
      <w:r>
        <w:br w:type="page"/>
      </w:r>
    </w:p>
    <w:p>
      <w:pPr>
        <w:pStyle w:val="Nadpis2"/>
        <w:numPr>
          <w:ilvl w:val="6"/>
          <w:numId w:val="2"/>
        </w:numPr>
        <w:rPr/>
      </w:pPr>
      <w:r>
        <w:rPr/>
        <w:t xml:space="preserve">Orgány a spoločníci Spoločnosti </w:t>
      </w:r>
    </w:p>
    <w:tbl>
      <w:tblPr>
        <w:tblW w:w="9205" w:type="dxa"/>
        <w:jc w:val="left"/>
        <w:tblInd w:w="434" w:type="dxa"/>
        <w:tblBorders>
          <w:bottom w:val="single" w:sz="4" w:space="0" w:color="00000A"/>
          <w:insideH w:val="single" w:sz="4" w:space="0" w:color="00000A"/>
        </w:tblBorders>
        <w:tblCellMar>
          <w:top w:w="0" w:type="dxa"/>
          <w:left w:w="0" w:type="dxa"/>
          <w:bottom w:w="0" w:type="dxa"/>
          <w:right w:w="0" w:type="dxa"/>
        </w:tblCellMar>
        <w:tblLook w:firstRow="1" w:noVBand="1" w:lastRow="0" w:firstColumn="1" w:lastColumn="0" w:noHBand="0" w:val="04a0"/>
      </w:tblPr>
      <w:tblGrid>
        <w:gridCol w:w="4527"/>
        <w:gridCol w:w="2410"/>
        <w:gridCol w:w="2268"/>
      </w:tblGrid>
      <w:tr>
        <w:trPr>
          <w:trHeight w:val="170" w:hRule="atLeast"/>
          <w:cantSplit w:val="true"/>
        </w:trPr>
        <w:tc>
          <w:tcPr>
            <w:tcW w:w="4527" w:type="dxa"/>
            <w:tcBorders>
              <w:bottom w:val="single" w:sz="4" w:space="0" w:color="00000A"/>
              <w:insideH w:val="single" w:sz="4" w:space="0" w:color="00000A"/>
            </w:tcBorders>
            <w:shd w:fill="auto" w:val="clear"/>
          </w:tcPr>
          <w:p>
            <w:pPr>
              <w:pStyle w:val="Normal"/>
              <w:suppressAutoHyphens w:val="true"/>
              <w:rPr>
                <w:rFonts w:ascii="Arial" w:hAnsi="Arial" w:cs="Arial"/>
                <w:sz w:val="18"/>
                <w:szCs w:val="18"/>
              </w:rPr>
            </w:pPr>
            <w:r>
              <w:rPr>
                <w:rFonts w:cs="Arial" w:ascii="Arial" w:hAnsi="Arial"/>
                <w:sz w:val="18"/>
                <w:szCs w:val="18"/>
              </w:rPr>
            </w:r>
          </w:p>
        </w:tc>
        <w:tc>
          <w:tcPr>
            <w:tcW w:w="2410" w:type="dxa"/>
            <w:tcBorders>
              <w:bottom w:val="single" w:sz="4" w:space="0" w:color="00000A"/>
              <w:insideH w:val="single" w:sz="4" w:space="0" w:color="00000A"/>
            </w:tcBorders>
            <w:shd w:fill="auto" w:val="clear"/>
            <w:vAlign w:val="bottom"/>
          </w:tcPr>
          <w:p>
            <w:pPr>
              <w:pStyle w:val="Body"/>
              <w:jc w:val="left"/>
              <w:rPr>
                <w:rFonts w:ascii="Arial" w:hAnsi="Arial" w:cs="Arial"/>
                <w:b/>
                <w:b/>
                <w:sz w:val="18"/>
                <w:szCs w:val="18"/>
              </w:rPr>
            </w:pPr>
            <w:r>
              <w:rPr>
                <w:rFonts w:cs="Arial" w:ascii="Arial" w:hAnsi="Arial"/>
                <w:b/>
                <w:sz w:val="18"/>
                <w:szCs w:val="18"/>
              </w:rPr>
              <w:t>Stav</w:t>
            </w:r>
          </w:p>
          <w:p>
            <w:pPr>
              <w:pStyle w:val="Normal"/>
              <w:ind w:left="113" w:right="142" w:hanging="0"/>
              <w:rPr>
                <w:rFonts w:ascii="Arial" w:hAnsi="Arial" w:cs="Arial"/>
                <w:b/>
                <w:b/>
                <w:bCs/>
                <w:sz w:val="18"/>
                <w:szCs w:val="18"/>
              </w:rPr>
            </w:pPr>
            <w:r>
              <w:rPr>
                <w:rFonts w:cs="Arial" w:ascii="Arial" w:hAnsi="Arial"/>
                <w:b/>
                <w:sz w:val="18"/>
                <w:szCs w:val="18"/>
              </w:rPr>
              <w:t>k 31.12.2024</w:t>
            </w:r>
          </w:p>
        </w:tc>
        <w:tc>
          <w:tcPr>
            <w:tcW w:w="2268" w:type="dxa"/>
            <w:tcBorders>
              <w:bottom w:val="single" w:sz="4" w:space="0" w:color="00000A"/>
              <w:insideH w:val="single" w:sz="4" w:space="0" w:color="00000A"/>
            </w:tcBorders>
            <w:shd w:fill="auto" w:val="clear"/>
            <w:vAlign w:val="bottom"/>
          </w:tcPr>
          <w:p>
            <w:pPr>
              <w:pStyle w:val="Body"/>
              <w:jc w:val="left"/>
              <w:rPr>
                <w:rFonts w:ascii="Arial" w:hAnsi="Arial" w:cs="Arial"/>
                <w:b/>
                <w:b/>
                <w:sz w:val="18"/>
                <w:szCs w:val="18"/>
              </w:rPr>
            </w:pPr>
            <w:r>
              <w:rPr>
                <w:rFonts w:cs="Arial" w:ascii="Arial" w:hAnsi="Arial"/>
                <w:b/>
                <w:sz w:val="18"/>
                <w:szCs w:val="18"/>
              </w:rPr>
              <w:t>Stav</w:t>
            </w:r>
          </w:p>
          <w:p>
            <w:pPr>
              <w:pStyle w:val="Normal"/>
              <w:ind w:left="113" w:right="141" w:hanging="0"/>
              <w:rPr>
                <w:rFonts w:ascii="Arial" w:hAnsi="Arial" w:cs="Arial"/>
                <w:b/>
                <w:b/>
                <w:sz w:val="18"/>
                <w:szCs w:val="18"/>
              </w:rPr>
            </w:pPr>
            <w:r>
              <w:rPr>
                <w:rFonts w:cs="Arial" w:ascii="Arial" w:hAnsi="Arial"/>
                <w:b/>
                <w:sz w:val="18"/>
                <w:szCs w:val="18"/>
              </w:rPr>
              <w:t>k 31.12.2023</w:t>
            </w:r>
          </w:p>
        </w:tc>
      </w:tr>
      <w:tr>
        <w:trPr>
          <w:trHeight w:val="170" w:hRule="atLeast"/>
          <w:cantSplit w:val="true"/>
        </w:trPr>
        <w:tc>
          <w:tcPr>
            <w:tcW w:w="4527" w:type="dxa"/>
            <w:tcBorders>
              <w:top w:val="single" w:sz="4" w:space="0" w:color="00000A"/>
              <w:bottom w:val="single" w:sz="4" w:space="0" w:color="00000A"/>
              <w:insideH w:val="single" w:sz="4" w:space="0" w:color="00000A"/>
            </w:tcBorders>
            <w:shd w:fill="auto" w:val="clear"/>
            <w:vAlign w:val="bottom"/>
          </w:tcPr>
          <w:p>
            <w:pPr>
              <w:pStyle w:val="Normal"/>
              <w:suppressAutoHyphens w:val="true"/>
              <w:rPr>
                <w:rFonts w:ascii="Arial" w:hAnsi="Arial" w:cs="Arial"/>
                <w:sz w:val="18"/>
                <w:szCs w:val="18"/>
              </w:rPr>
            </w:pPr>
            <w:r>
              <w:rPr>
                <w:rFonts w:cs="Arial" w:ascii="Arial" w:hAnsi="Arial"/>
                <w:sz w:val="18"/>
                <w:szCs w:val="18"/>
              </w:rPr>
            </w:r>
          </w:p>
        </w:tc>
        <w:tc>
          <w:tcPr>
            <w:tcW w:w="2410" w:type="dxa"/>
            <w:tcBorders>
              <w:top w:val="single" w:sz="4" w:space="0" w:color="00000A"/>
              <w:bottom w:val="single" w:sz="4" w:space="0" w:color="00000A"/>
              <w:insideH w:val="single" w:sz="4" w:space="0" w:color="00000A"/>
            </w:tcBorders>
            <w:shd w:fill="auto" w:val="clear"/>
            <w:vAlign w:val="bottom"/>
          </w:tcPr>
          <w:p>
            <w:pPr>
              <w:pStyle w:val="Normal"/>
              <w:suppressAutoHyphens w:val="true"/>
              <w:ind w:left="113" w:right="57" w:hanging="0"/>
              <w:jc w:val="right"/>
              <w:rPr>
                <w:rFonts w:ascii="Arial" w:hAnsi="Arial" w:cs="Arial"/>
                <w:b/>
                <w:b/>
                <w:bCs/>
                <w:sz w:val="18"/>
                <w:szCs w:val="18"/>
              </w:rPr>
            </w:pPr>
            <w:r>
              <w:rPr>
                <w:rFonts w:cs="Arial" w:ascii="Arial" w:hAnsi="Arial"/>
                <w:b/>
                <w:bCs/>
                <w:sz w:val="18"/>
                <w:szCs w:val="18"/>
              </w:rPr>
            </w:r>
          </w:p>
        </w:tc>
        <w:tc>
          <w:tcPr>
            <w:tcW w:w="2268" w:type="dxa"/>
            <w:tcBorders>
              <w:top w:val="single" w:sz="4" w:space="0" w:color="00000A"/>
              <w:bottom w:val="single" w:sz="4" w:space="0" w:color="00000A"/>
              <w:insideH w:val="single" w:sz="4" w:space="0" w:color="00000A"/>
            </w:tcBorders>
            <w:shd w:fill="auto" w:val="clear"/>
            <w:vAlign w:val="bottom"/>
          </w:tcPr>
          <w:p>
            <w:pPr>
              <w:pStyle w:val="Normal"/>
              <w:suppressAutoHyphens w:val="true"/>
              <w:ind w:left="113" w:right="57" w:hanging="0"/>
              <w:jc w:val="right"/>
              <w:rPr>
                <w:rFonts w:ascii="Arial" w:hAnsi="Arial" w:cs="Arial"/>
                <w:bCs/>
                <w:sz w:val="18"/>
                <w:szCs w:val="18"/>
              </w:rPr>
            </w:pPr>
            <w:r>
              <w:rPr>
                <w:rFonts w:cs="Arial" w:ascii="Arial" w:hAnsi="Arial"/>
                <w:bCs/>
                <w:sz w:val="18"/>
                <w:szCs w:val="18"/>
              </w:rPr>
            </w:r>
          </w:p>
        </w:tc>
      </w:tr>
      <w:tr>
        <w:trPr>
          <w:trHeight w:val="170" w:hRule="atLeast"/>
          <w:cantSplit w:val="true"/>
        </w:trPr>
        <w:tc>
          <w:tcPr>
            <w:tcW w:w="4527" w:type="dxa"/>
            <w:tcBorders>
              <w:top w:val="single" w:sz="4" w:space="0" w:color="00000A"/>
              <w:bottom w:val="single" w:sz="4" w:space="0" w:color="00000A"/>
              <w:insideH w:val="single" w:sz="4" w:space="0" w:color="00000A"/>
            </w:tcBorders>
            <w:shd w:fill="auto" w:val="clear"/>
            <w:vAlign w:val="bottom"/>
          </w:tcPr>
          <w:p>
            <w:pPr>
              <w:pStyle w:val="Odstavec"/>
              <w:ind w:left="0" w:hanging="0"/>
              <w:rPr>
                <w:rFonts w:ascii="Arial" w:hAnsi="Arial" w:cs="Arial"/>
              </w:rPr>
            </w:pPr>
            <w:r>
              <w:rPr>
                <w:rFonts w:cs="Arial" w:ascii="Arial" w:hAnsi="Arial"/>
              </w:rPr>
              <w:t>Konatelia:</w:t>
            </w:r>
          </w:p>
        </w:tc>
        <w:tc>
          <w:tcPr>
            <w:tcW w:w="2410" w:type="dxa"/>
            <w:tcBorders>
              <w:top w:val="single" w:sz="4" w:space="0" w:color="00000A"/>
              <w:bottom w:val="single" w:sz="4" w:space="0" w:color="00000A"/>
              <w:insideH w:val="single" w:sz="4" w:space="0" w:color="00000A"/>
            </w:tcBorders>
            <w:shd w:fill="auto" w:val="clear"/>
            <w:vAlign w:val="bottom"/>
          </w:tcPr>
          <w:p>
            <w:pPr>
              <w:pStyle w:val="Odstavec"/>
              <w:ind w:left="0" w:hanging="0"/>
              <w:jc w:val="left"/>
              <w:rPr/>
            </w:pPr>
            <w:r>
              <w:rPr>
                <w:rFonts w:cs="Arial" w:ascii="Arial" w:hAnsi="Arial"/>
              </w:rPr>
              <w:t xml:space="preserve">Ing. </w:t>
            </w:r>
            <w:hyperlink r:id="rId2">
              <w:r>
                <w:rPr>
                  <w:rStyle w:val="Internetovodkaz"/>
                  <w:rFonts w:cs="Arial" w:ascii="Arial" w:hAnsi="Arial"/>
                  <w:color w:val="00000A"/>
                </w:rPr>
                <w:t xml:space="preserve">Martina Hrnčiariková </w:t>
              </w:r>
            </w:hyperlink>
          </w:p>
        </w:tc>
        <w:tc>
          <w:tcPr>
            <w:tcW w:w="2268" w:type="dxa"/>
            <w:tcBorders>
              <w:top w:val="single" w:sz="4" w:space="0" w:color="00000A"/>
              <w:bottom w:val="single" w:sz="4" w:space="0" w:color="00000A"/>
              <w:insideH w:val="single" w:sz="4" w:space="0" w:color="00000A"/>
            </w:tcBorders>
            <w:shd w:fill="auto" w:val="clear"/>
            <w:vAlign w:val="bottom"/>
          </w:tcPr>
          <w:p>
            <w:pPr>
              <w:pStyle w:val="Odstavec"/>
              <w:ind w:left="0" w:hanging="0"/>
              <w:jc w:val="left"/>
              <w:rPr/>
            </w:pPr>
            <w:r>
              <w:rPr>
                <w:rFonts w:cs="Arial" w:ascii="Arial" w:hAnsi="Arial"/>
              </w:rPr>
              <w:t xml:space="preserve">Ing. </w:t>
            </w:r>
            <w:hyperlink r:id="rId3">
              <w:r>
                <w:rPr>
                  <w:rStyle w:val="Internetovodkaz"/>
                  <w:rFonts w:cs="Arial" w:ascii="Arial" w:hAnsi="Arial"/>
                  <w:color w:val="00000A"/>
                </w:rPr>
                <w:t xml:space="preserve">Martina Hrnčiariková </w:t>
              </w:r>
            </w:hyperlink>
          </w:p>
        </w:tc>
      </w:tr>
      <w:tr>
        <w:trPr>
          <w:trHeight w:val="80" w:hRule="atLeast"/>
          <w:cantSplit w:val="true"/>
        </w:trPr>
        <w:tc>
          <w:tcPr>
            <w:tcW w:w="4527" w:type="dxa"/>
            <w:tcBorders>
              <w:top w:val="single" w:sz="4" w:space="0" w:color="00000A"/>
              <w:bottom w:val="single" w:sz="4" w:space="0" w:color="00000A"/>
              <w:insideH w:val="single" w:sz="4" w:space="0" w:color="00000A"/>
            </w:tcBorders>
            <w:shd w:fill="auto" w:val="clear"/>
            <w:vAlign w:val="bottom"/>
          </w:tcPr>
          <w:p>
            <w:pPr>
              <w:pStyle w:val="Odstavec"/>
              <w:rPr>
                <w:rFonts w:ascii="Arial" w:hAnsi="Arial" w:cs="Arial"/>
              </w:rPr>
            </w:pPr>
            <w:r>
              <w:rPr>
                <w:rFonts w:cs="Arial" w:ascii="Arial" w:hAnsi="Arial"/>
              </w:rPr>
            </w:r>
          </w:p>
        </w:tc>
        <w:tc>
          <w:tcPr>
            <w:tcW w:w="2410" w:type="dxa"/>
            <w:tcBorders>
              <w:top w:val="single" w:sz="4" w:space="0" w:color="00000A"/>
              <w:bottom w:val="single" w:sz="4" w:space="0" w:color="00000A"/>
              <w:insideH w:val="single" w:sz="4" w:space="0" w:color="00000A"/>
            </w:tcBorders>
            <w:shd w:fill="auto" w:val="clear"/>
            <w:vAlign w:val="bottom"/>
          </w:tcPr>
          <w:p>
            <w:pPr>
              <w:pStyle w:val="Odstavec"/>
              <w:ind w:left="0" w:hanging="0"/>
              <w:rPr/>
            </w:pPr>
            <w:hyperlink r:id="rId4">
              <w:r>
                <w:rPr>
                  <w:rStyle w:val="Internetovodkaz"/>
                  <w:rFonts w:cs="Arial" w:ascii="Arial" w:hAnsi="Arial"/>
                  <w:color w:val="00000A"/>
                </w:rPr>
                <w:t xml:space="preserve">Anton Knoško </w:t>
              </w:r>
            </w:hyperlink>
          </w:p>
        </w:tc>
        <w:tc>
          <w:tcPr>
            <w:tcW w:w="2268" w:type="dxa"/>
            <w:tcBorders>
              <w:top w:val="single" w:sz="4" w:space="0" w:color="00000A"/>
              <w:bottom w:val="single" w:sz="4" w:space="0" w:color="00000A"/>
              <w:insideH w:val="single" w:sz="4" w:space="0" w:color="00000A"/>
            </w:tcBorders>
            <w:shd w:fill="auto" w:val="clear"/>
            <w:vAlign w:val="bottom"/>
          </w:tcPr>
          <w:p>
            <w:pPr>
              <w:pStyle w:val="Odstavec"/>
              <w:ind w:left="0" w:hanging="0"/>
              <w:rPr/>
            </w:pPr>
            <w:hyperlink r:id="rId5">
              <w:r>
                <w:rPr>
                  <w:rStyle w:val="Internetovodkaz"/>
                  <w:rFonts w:cs="Arial" w:ascii="Arial" w:hAnsi="Arial"/>
                  <w:color w:val="00000A"/>
                </w:rPr>
                <w:t xml:space="preserve">Anton Knoško </w:t>
              </w:r>
            </w:hyperlink>
          </w:p>
        </w:tc>
      </w:tr>
    </w:tbl>
    <w:p>
      <w:pPr>
        <w:pStyle w:val="Odstavec"/>
        <w:rPr>
          <w:rFonts w:ascii="Arial" w:hAnsi="Arial" w:cs="Arial"/>
        </w:rPr>
      </w:pPr>
      <w:r>
        <w:rPr>
          <w:rFonts w:cs="Arial" w:ascii="Arial" w:hAnsi="Arial"/>
        </w:rPr>
      </w:r>
    </w:p>
    <w:p>
      <w:pPr>
        <w:pStyle w:val="Odstavec"/>
        <w:rPr>
          <w:rFonts w:ascii="Arial" w:hAnsi="Arial" w:cs="Arial"/>
        </w:rPr>
      </w:pPr>
      <w:r>
        <w:rPr>
          <w:rFonts w:cs="Arial" w:ascii="Arial" w:hAnsi="Arial"/>
        </w:rPr>
      </w:r>
    </w:p>
    <w:p>
      <w:pPr>
        <w:pStyle w:val="Odstavec"/>
        <w:rPr>
          <w:rFonts w:ascii="Arial" w:hAnsi="Arial" w:cs="Arial"/>
        </w:rPr>
      </w:pPr>
      <w:r>
        <w:rPr>
          <w:rFonts w:cs="Arial" w:ascii="Arial" w:hAnsi="Arial"/>
        </w:rPr>
        <w:t xml:space="preserve">Štruktúra spoločníkov Spoločnosti k 31. decembru 2024 a k 31. decembru 2023: </w:t>
      </w:r>
    </w:p>
    <w:p>
      <w:pPr>
        <w:pStyle w:val="Odstavec"/>
        <w:rPr>
          <w:rFonts w:ascii="Arial" w:hAnsi="Arial" w:cs="Arial"/>
        </w:rPr>
      </w:pPr>
      <w:r>
        <w:rPr>
          <w:rFonts w:cs="Arial" w:ascii="Arial" w:hAnsi="Arial"/>
        </w:rPr>
        <w:t xml:space="preserve"> </w:t>
      </w:r>
    </w:p>
    <w:tbl>
      <w:tblPr>
        <w:tblW w:w="9240" w:type="dxa"/>
        <w:jc w:val="left"/>
        <w:tblInd w:w="426" w:type="dxa"/>
        <w:tblBorders/>
        <w:tblCellMar>
          <w:top w:w="0" w:type="dxa"/>
          <w:left w:w="70" w:type="dxa"/>
          <w:bottom w:w="0" w:type="dxa"/>
          <w:right w:w="70" w:type="dxa"/>
        </w:tblCellMar>
        <w:tblLook w:firstRow="1" w:noVBand="1" w:lastRow="0" w:firstColumn="1" w:lastColumn="0" w:noHBand="0" w:val="04a0"/>
      </w:tblPr>
      <w:tblGrid>
        <w:gridCol w:w="2600"/>
        <w:gridCol w:w="1660"/>
        <w:gridCol w:w="1660"/>
        <w:gridCol w:w="1660"/>
        <w:gridCol w:w="2"/>
        <w:gridCol w:w="1658"/>
      </w:tblGrid>
      <w:tr>
        <w:trPr>
          <w:trHeight w:val="240" w:hRule="atLeast"/>
        </w:trPr>
        <w:tc>
          <w:tcPr>
            <w:tcW w:w="2600" w:type="dxa"/>
            <w:vMerge w:val="restart"/>
            <w:tcBorders/>
            <w:shd w:fill="auto" w:val="clear"/>
            <w:vAlign w:val="bottom"/>
          </w:tcPr>
          <w:p>
            <w:pPr>
              <w:pStyle w:val="Normal"/>
              <w:jc w:val="center"/>
              <w:rPr>
                <w:rFonts w:ascii="Arial" w:hAnsi="Arial" w:cs="Arial"/>
                <w:b/>
                <w:b/>
                <w:bCs/>
                <w:sz w:val="18"/>
                <w:szCs w:val="18"/>
              </w:rPr>
            </w:pPr>
            <w:bookmarkStart w:id="15" w:name="RANGE!B5:F16"/>
            <w:bookmarkEnd w:id="15"/>
            <w:r>
              <w:rPr>
                <w:rFonts w:cs="Arial" w:ascii="Arial" w:hAnsi="Arial"/>
                <w:b/>
                <w:bCs/>
                <w:sz w:val="18"/>
                <w:szCs w:val="18"/>
              </w:rPr>
              <w:t>Spoločník, akcionár</w:t>
            </w:r>
          </w:p>
        </w:tc>
        <w:tc>
          <w:tcPr>
            <w:tcW w:w="3320" w:type="dxa"/>
            <w:gridSpan w:val="2"/>
            <w:tcBorders/>
            <w:shd w:fill="auto" w:val="clear"/>
            <w:vAlign w:val="bottom"/>
          </w:tcPr>
          <w:p>
            <w:pPr>
              <w:pStyle w:val="Normal"/>
              <w:jc w:val="center"/>
              <w:rPr>
                <w:rFonts w:ascii="Arial" w:hAnsi="Arial" w:cs="Arial"/>
                <w:b/>
                <w:b/>
                <w:bCs/>
                <w:sz w:val="18"/>
                <w:szCs w:val="18"/>
              </w:rPr>
            </w:pPr>
            <w:r>
              <w:rPr>
                <w:rFonts w:cs="Arial" w:ascii="Arial" w:hAnsi="Arial"/>
                <w:b/>
                <w:bCs/>
                <w:sz w:val="18"/>
                <w:szCs w:val="18"/>
              </w:rPr>
              <w:t>Výška podielu na základnom imaní</w:t>
            </w:r>
          </w:p>
        </w:tc>
        <w:tc>
          <w:tcPr>
            <w:tcW w:w="1660" w:type="dxa"/>
            <w:vMerge w:val="restart"/>
            <w:tcBorders>
              <w:bottom w:val="single" w:sz="4" w:space="0" w:color="00000A"/>
              <w:insideH w:val="single" w:sz="4" w:space="0" w:color="00000A"/>
            </w:tcBorders>
            <w:shd w:fill="auto" w:val="clear"/>
            <w:vAlign w:val="bottom"/>
          </w:tcPr>
          <w:p>
            <w:pPr>
              <w:pStyle w:val="Normal"/>
              <w:jc w:val="center"/>
              <w:rPr>
                <w:rFonts w:ascii="Arial" w:hAnsi="Arial" w:cs="Arial"/>
                <w:b/>
                <w:b/>
                <w:bCs/>
                <w:sz w:val="18"/>
                <w:szCs w:val="18"/>
              </w:rPr>
            </w:pPr>
            <w:r>
              <w:rPr>
                <w:rFonts w:cs="Arial" w:ascii="Arial" w:hAnsi="Arial"/>
                <w:b/>
                <w:bCs/>
                <w:sz w:val="18"/>
                <w:szCs w:val="18"/>
              </w:rPr>
              <w:t>Podiel na hlasovacích právach v %</w:t>
            </w:r>
          </w:p>
        </w:tc>
        <w:tc>
          <w:tcPr>
            <w:tcW w:w="1660" w:type="dxa"/>
            <w:gridSpan w:val="2"/>
            <w:tcBorders>
              <w:bottom w:val="single" w:sz="4" w:space="0" w:color="00000A"/>
              <w:insideH w:val="single" w:sz="4" w:space="0" w:color="00000A"/>
            </w:tcBorders>
            <w:shd w:fill="auto" w:val="clear"/>
            <w:vAlign w:val="bottom"/>
          </w:tcPr>
          <w:p>
            <w:pPr>
              <w:pStyle w:val="Normal"/>
              <w:jc w:val="center"/>
              <w:rPr>
                <w:rFonts w:ascii="Arial" w:hAnsi="Arial" w:cs="Arial"/>
                <w:b/>
                <w:b/>
                <w:bCs/>
                <w:sz w:val="18"/>
                <w:szCs w:val="18"/>
              </w:rPr>
            </w:pPr>
            <w:r>
              <w:rPr>
                <w:rFonts w:cs="Arial" w:ascii="Arial" w:hAnsi="Arial"/>
                <w:b/>
                <w:bCs/>
                <w:sz w:val="18"/>
                <w:szCs w:val="18"/>
              </w:rPr>
              <w:t>Iný podiel na ostatných položkách VI ako na ZI v %</w:t>
            </w:r>
          </w:p>
        </w:tc>
      </w:tr>
      <w:tr>
        <w:trPr>
          <w:trHeight w:val="679" w:hRule="atLeast"/>
        </w:trPr>
        <w:tc>
          <w:tcPr>
            <w:tcW w:w="2600" w:type="dxa"/>
            <w:vMerge w:val="continue"/>
            <w:tcBorders>
              <w:top w:val="single" w:sz="4" w:space="0" w:color="00000A"/>
              <w:bottom w:val="single" w:sz="4" w:space="0" w:color="00000A"/>
              <w:insideH w:val="single" w:sz="4" w:space="0" w:color="00000A"/>
            </w:tcBorders>
            <w:shd w:fill="auto" w:val="clear"/>
            <w:vAlign w:val="center"/>
          </w:tcPr>
          <w:p>
            <w:pPr>
              <w:pStyle w:val="Normal"/>
              <w:rPr>
                <w:rFonts w:ascii="Arial" w:hAnsi="Arial" w:cs="Arial"/>
                <w:b/>
                <w:b/>
                <w:bCs/>
                <w:sz w:val="18"/>
                <w:szCs w:val="18"/>
              </w:rPr>
            </w:pPr>
            <w:r>
              <w:rPr>
                <w:rFonts w:cs="Arial" w:ascii="Arial" w:hAnsi="Arial"/>
                <w:b/>
                <w:bCs/>
                <w:sz w:val="18"/>
                <w:szCs w:val="18"/>
              </w:rPr>
            </w:r>
          </w:p>
        </w:tc>
        <w:tc>
          <w:tcPr>
            <w:tcW w:w="1660" w:type="dxa"/>
            <w:tcBorders>
              <w:top w:val="single" w:sz="4" w:space="0" w:color="00000A"/>
              <w:bottom w:val="single" w:sz="4" w:space="0" w:color="00000A"/>
              <w:insideH w:val="single" w:sz="4" w:space="0" w:color="00000A"/>
            </w:tcBorders>
            <w:shd w:fill="auto" w:val="clear"/>
            <w:vAlign w:val="bottom"/>
          </w:tcPr>
          <w:p>
            <w:pPr>
              <w:pStyle w:val="Normal"/>
              <w:jc w:val="center"/>
              <w:rPr>
                <w:rFonts w:ascii="Arial" w:hAnsi="Arial" w:cs="Arial"/>
                <w:b/>
                <w:b/>
                <w:bCs/>
                <w:sz w:val="18"/>
                <w:szCs w:val="18"/>
              </w:rPr>
            </w:pPr>
            <w:r>
              <w:rPr>
                <w:rFonts w:cs="Arial" w:ascii="Arial" w:hAnsi="Arial"/>
                <w:b/>
                <w:bCs/>
                <w:sz w:val="18"/>
                <w:szCs w:val="18"/>
              </w:rPr>
              <w:t>absolútne</w:t>
            </w:r>
          </w:p>
        </w:tc>
        <w:tc>
          <w:tcPr>
            <w:tcW w:w="1660" w:type="dxa"/>
            <w:tcBorders>
              <w:top w:val="single" w:sz="4" w:space="0" w:color="00000A"/>
              <w:bottom w:val="single" w:sz="4" w:space="0" w:color="00000A"/>
              <w:insideH w:val="single" w:sz="4" w:space="0" w:color="00000A"/>
            </w:tcBorders>
            <w:shd w:fill="auto" w:val="clear"/>
            <w:vAlign w:val="bottom"/>
          </w:tcPr>
          <w:p>
            <w:pPr>
              <w:pStyle w:val="Normal"/>
              <w:jc w:val="center"/>
              <w:rPr>
                <w:rFonts w:ascii="Arial" w:hAnsi="Arial" w:cs="Arial"/>
                <w:b/>
                <w:b/>
                <w:bCs/>
                <w:sz w:val="18"/>
                <w:szCs w:val="18"/>
              </w:rPr>
            </w:pPr>
            <w:r>
              <w:rPr>
                <w:rFonts w:cs="Arial" w:ascii="Arial" w:hAnsi="Arial"/>
                <w:b/>
                <w:bCs/>
                <w:sz w:val="18"/>
                <w:szCs w:val="18"/>
              </w:rPr>
              <w:t>v %</w:t>
            </w:r>
          </w:p>
        </w:tc>
        <w:tc>
          <w:tcPr>
            <w:tcW w:w="1662" w:type="dxa"/>
            <w:gridSpan w:val="2"/>
            <w:vMerge w:val="continue"/>
            <w:tcBorders>
              <w:top w:val="single" w:sz="4" w:space="0" w:color="00000A"/>
              <w:bottom w:val="single" w:sz="4" w:space="0" w:color="00000A"/>
              <w:insideH w:val="single" w:sz="4" w:space="0" w:color="00000A"/>
            </w:tcBorders>
            <w:shd w:fill="auto" w:val="clear"/>
            <w:vAlign w:val="center"/>
          </w:tcPr>
          <w:p>
            <w:pPr>
              <w:pStyle w:val="Normal"/>
              <w:rPr>
                <w:rFonts w:ascii="Arial" w:hAnsi="Arial" w:cs="Arial"/>
                <w:b/>
                <w:b/>
                <w:bCs/>
                <w:sz w:val="18"/>
                <w:szCs w:val="18"/>
              </w:rPr>
            </w:pPr>
            <w:r>
              <w:rPr>
                <w:rFonts w:cs="Arial" w:ascii="Arial" w:hAnsi="Arial"/>
                <w:b/>
                <w:bCs/>
                <w:sz w:val="18"/>
                <w:szCs w:val="18"/>
              </w:rPr>
            </w:r>
          </w:p>
        </w:tc>
        <w:tc>
          <w:tcPr>
            <w:tcW w:w="1658" w:type="dxa"/>
            <w:tcBorders>
              <w:top w:val="single" w:sz="4" w:space="0" w:color="00000A"/>
              <w:bottom w:val="single" w:sz="4" w:space="0" w:color="00000A"/>
              <w:insideH w:val="single" w:sz="4" w:space="0" w:color="00000A"/>
            </w:tcBorders>
            <w:shd w:fill="auto" w:val="clear"/>
            <w:vAlign w:val="center"/>
          </w:tcPr>
          <w:p>
            <w:pPr>
              <w:pStyle w:val="Normal"/>
              <w:rPr>
                <w:rFonts w:ascii="Arial" w:hAnsi="Arial" w:cs="Arial"/>
                <w:b/>
                <w:b/>
                <w:bCs/>
                <w:sz w:val="18"/>
                <w:szCs w:val="18"/>
              </w:rPr>
            </w:pPr>
            <w:r>
              <w:rPr>
                <w:rFonts w:cs="Arial" w:ascii="Arial" w:hAnsi="Arial"/>
                <w:b/>
                <w:bCs/>
                <w:sz w:val="18"/>
                <w:szCs w:val="18"/>
              </w:rPr>
            </w:r>
          </w:p>
        </w:tc>
      </w:tr>
      <w:tr>
        <w:trPr>
          <w:trHeight w:val="240" w:hRule="atLeast"/>
        </w:trPr>
        <w:tc>
          <w:tcPr>
            <w:tcW w:w="2600" w:type="dxa"/>
            <w:tcBorders/>
            <w:shd w:fill="auto" w:val="clear"/>
            <w:vAlign w:val="bottom"/>
          </w:tcPr>
          <w:p>
            <w:pPr>
              <w:pStyle w:val="Normal"/>
              <w:rPr>
                <w:rFonts w:ascii="Arial" w:hAnsi="Arial" w:cs="Arial"/>
                <w:sz w:val="18"/>
                <w:szCs w:val="18"/>
              </w:rPr>
            </w:pPr>
            <w:r>
              <w:rPr>
                <w:rFonts w:cs="Arial" w:ascii="Arial" w:hAnsi="Arial"/>
                <w:sz w:val="18"/>
                <w:szCs w:val="18"/>
              </w:rPr>
              <w:t>Ing. Martina Hrnčiariková</w:t>
            </w:r>
          </w:p>
        </w:tc>
        <w:tc>
          <w:tcPr>
            <w:tcW w:w="1660" w:type="dxa"/>
            <w:tcBorders/>
            <w:shd w:fill="auto" w:val="clear"/>
            <w:vAlign w:val="bottom"/>
          </w:tcPr>
          <w:p>
            <w:pPr>
              <w:pStyle w:val="Normal"/>
              <w:jc w:val="right"/>
              <w:rPr>
                <w:rFonts w:ascii="Arial" w:hAnsi="Arial" w:cs="Arial"/>
                <w:sz w:val="18"/>
                <w:szCs w:val="18"/>
              </w:rPr>
            </w:pPr>
            <w:r>
              <w:rPr>
                <w:rFonts w:cs="Arial" w:ascii="Arial" w:hAnsi="Arial"/>
                <w:sz w:val="18"/>
                <w:szCs w:val="18"/>
                <w:lang w:val="en-US"/>
              </w:rPr>
              <w:t>10</w:t>
            </w:r>
            <w:r>
              <w:rPr>
                <w:rFonts w:cs="Arial" w:ascii="Arial" w:hAnsi="Arial"/>
                <w:sz w:val="18"/>
                <w:szCs w:val="18"/>
              </w:rPr>
              <w:t>0</w:t>
            </w:r>
          </w:p>
        </w:tc>
        <w:tc>
          <w:tcPr>
            <w:tcW w:w="1660" w:type="dxa"/>
            <w:tcBorders/>
            <w:shd w:fill="auto" w:val="clear"/>
            <w:vAlign w:val="bottom"/>
          </w:tcPr>
          <w:p>
            <w:pPr>
              <w:pStyle w:val="Normal"/>
              <w:jc w:val="right"/>
              <w:rPr>
                <w:rFonts w:ascii="Arial" w:hAnsi="Arial" w:cs="Arial"/>
                <w:sz w:val="18"/>
                <w:szCs w:val="18"/>
              </w:rPr>
            </w:pPr>
            <w:r>
              <w:rPr>
                <w:rFonts w:cs="Arial" w:ascii="Arial" w:hAnsi="Arial"/>
                <w:sz w:val="18"/>
                <w:szCs w:val="18"/>
              </w:rPr>
              <w:t>100%</w:t>
            </w:r>
          </w:p>
        </w:tc>
        <w:tc>
          <w:tcPr>
            <w:tcW w:w="1662" w:type="dxa"/>
            <w:gridSpan w:val="2"/>
            <w:tcBorders/>
            <w:shd w:fill="auto" w:val="clear"/>
            <w:vAlign w:val="bottom"/>
          </w:tcPr>
          <w:p>
            <w:pPr>
              <w:pStyle w:val="Normal"/>
              <w:jc w:val="right"/>
              <w:rPr>
                <w:rFonts w:ascii="Arial" w:hAnsi="Arial" w:cs="Arial"/>
                <w:sz w:val="18"/>
                <w:szCs w:val="18"/>
              </w:rPr>
            </w:pPr>
            <w:r>
              <w:rPr>
                <w:rFonts w:cs="Arial" w:ascii="Arial" w:hAnsi="Arial"/>
                <w:sz w:val="18"/>
                <w:szCs w:val="18"/>
              </w:rPr>
              <w:t>100%</w:t>
            </w:r>
          </w:p>
        </w:tc>
        <w:tc>
          <w:tcPr>
            <w:tcW w:w="1658" w:type="dxa"/>
            <w:tcBorders/>
            <w:shd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55" w:hRule="atLeast"/>
        </w:trPr>
        <w:tc>
          <w:tcPr>
            <w:tcW w:w="2600" w:type="dxa"/>
            <w:tcBorders/>
            <w:shd w:fill="auto" w:val="clear"/>
            <w:vAlign w:val="bottom"/>
          </w:tcPr>
          <w:p>
            <w:pPr>
              <w:pStyle w:val="Normal"/>
              <w:rPr>
                <w:rFonts w:ascii="Arial" w:hAnsi="Arial" w:cs="Arial"/>
                <w:b/>
                <w:b/>
                <w:bCs/>
                <w:sz w:val="18"/>
                <w:szCs w:val="18"/>
              </w:rPr>
            </w:pPr>
            <w:r>
              <w:rPr>
                <w:rFonts w:cs="Arial" w:ascii="Arial" w:hAnsi="Arial"/>
                <w:b/>
                <w:bCs/>
                <w:sz w:val="18"/>
                <w:szCs w:val="18"/>
              </w:rPr>
              <w:t>Spolu</w:t>
            </w:r>
          </w:p>
        </w:tc>
        <w:tc>
          <w:tcPr>
            <w:tcW w:w="1660" w:type="dxa"/>
            <w:tcBorders>
              <w:top w:val="single" w:sz="4" w:space="0" w:color="00000A"/>
              <w:bottom w:val="double" w:sz="6" w:space="0" w:color="00000A"/>
              <w:insideH w:val="double" w:sz="6" w:space="0" w:color="00000A"/>
            </w:tcBorders>
            <w:shd w:fill="auto" w:val="clear"/>
            <w:vAlign w:val="bottom"/>
          </w:tcPr>
          <w:p>
            <w:pPr>
              <w:pStyle w:val="Normal"/>
              <w:jc w:val="right"/>
              <w:rPr>
                <w:rFonts w:ascii="Arial" w:hAnsi="Arial" w:cs="Arial"/>
                <w:b/>
                <w:b/>
                <w:bCs/>
                <w:sz w:val="18"/>
                <w:szCs w:val="18"/>
              </w:rPr>
            </w:pPr>
            <w:r>
              <w:rPr>
                <w:rFonts w:cs="Arial" w:ascii="Arial" w:hAnsi="Arial"/>
                <w:b/>
                <w:bCs/>
                <w:sz w:val="18"/>
                <w:szCs w:val="18"/>
              </w:rPr>
              <w:t>100</w:t>
            </w:r>
          </w:p>
        </w:tc>
        <w:tc>
          <w:tcPr>
            <w:tcW w:w="1660" w:type="dxa"/>
            <w:tcBorders>
              <w:top w:val="single" w:sz="4" w:space="0" w:color="00000A"/>
              <w:bottom w:val="double" w:sz="6" w:space="0" w:color="00000A"/>
              <w:insideH w:val="double" w:sz="6" w:space="0" w:color="00000A"/>
            </w:tcBorders>
            <w:shd w:fill="auto" w:val="clear"/>
            <w:vAlign w:val="bottom"/>
          </w:tcPr>
          <w:p>
            <w:pPr>
              <w:pStyle w:val="Normal"/>
              <w:jc w:val="right"/>
              <w:rPr>
                <w:rFonts w:ascii="Arial" w:hAnsi="Arial" w:cs="Arial"/>
                <w:b/>
                <w:b/>
                <w:bCs/>
                <w:sz w:val="18"/>
                <w:szCs w:val="18"/>
              </w:rPr>
            </w:pPr>
            <w:r>
              <w:rPr>
                <w:rFonts w:cs="Arial" w:ascii="Arial" w:hAnsi="Arial"/>
                <w:b/>
                <w:bCs/>
                <w:sz w:val="18"/>
                <w:szCs w:val="18"/>
              </w:rPr>
              <w:t>100%</w:t>
            </w:r>
          </w:p>
        </w:tc>
        <w:tc>
          <w:tcPr>
            <w:tcW w:w="1662" w:type="dxa"/>
            <w:gridSpan w:val="2"/>
            <w:tcBorders>
              <w:top w:val="single" w:sz="4" w:space="0" w:color="00000A"/>
              <w:bottom w:val="double" w:sz="6" w:space="0" w:color="00000A"/>
              <w:insideH w:val="double" w:sz="6" w:space="0" w:color="00000A"/>
            </w:tcBorders>
            <w:shd w:fill="auto" w:val="clear"/>
            <w:vAlign w:val="bottom"/>
          </w:tcPr>
          <w:p>
            <w:pPr>
              <w:pStyle w:val="Normal"/>
              <w:jc w:val="right"/>
              <w:rPr>
                <w:rFonts w:ascii="Arial" w:hAnsi="Arial" w:cs="Arial"/>
                <w:b/>
                <w:b/>
                <w:bCs/>
                <w:sz w:val="18"/>
                <w:szCs w:val="18"/>
              </w:rPr>
            </w:pPr>
            <w:r>
              <w:rPr>
                <w:rFonts w:cs="Arial" w:ascii="Arial" w:hAnsi="Arial"/>
                <w:b/>
                <w:bCs/>
                <w:sz w:val="18"/>
                <w:szCs w:val="18"/>
              </w:rPr>
              <w:t>100%</w:t>
            </w:r>
          </w:p>
        </w:tc>
        <w:tc>
          <w:tcPr>
            <w:tcW w:w="1658" w:type="dxa"/>
            <w:tcBorders>
              <w:top w:val="single" w:sz="4" w:space="0" w:color="00000A"/>
              <w:bottom w:val="double" w:sz="6" w:space="0" w:color="00000A"/>
              <w:insideH w:val="double" w:sz="6" w:space="0" w:color="00000A"/>
            </w:tcBorders>
            <w:shd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r>
    </w:tbl>
    <w:p>
      <w:pPr>
        <w:pStyle w:val="Odstavec"/>
        <w:rPr>
          <w:rFonts w:ascii="Arial" w:hAnsi="Arial" w:cs="Arial"/>
        </w:rPr>
      </w:pPr>
      <w:r>
        <w:rPr>
          <w:rFonts w:cs="Arial" w:ascii="Arial" w:hAnsi="Arial"/>
        </w:rPr>
      </w:r>
    </w:p>
    <w:p>
      <w:pPr>
        <w:pStyle w:val="Normal"/>
        <w:rPr>
          <w:rFonts w:ascii="Arial" w:hAnsi="Arial" w:cs="Arial"/>
          <w:b/>
          <w:b/>
          <w:bCs/>
          <w:sz w:val="20"/>
          <w:szCs w:val="20"/>
        </w:rPr>
      </w:pPr>
      <w:r>
        <w:rPr>
          <w:rFonts w:cs="Arial" w:ascii="Arial" w:hAnsi="Arial"/>
          <w:b/>
          <w:bCs/>
          <w:sz w:val="20"/>
          <w:szCs w:val="20"/>
        </w:rPr>
      </w:r>
    </w:p>
    <w:p>
      <w:pPr>
        <w:pStyle w:val="Nadpis1"/>
        <w:numPr>
          <w:ilvl w:val="0"/>
          <w:numId w:val="4"/>
        </w:numPr>
        <w:ind w:left="426" w:hanging="426"/>
        <w:rPr>
          <w:rFonts w:ascii="Arial" w:hAnsi="Arial"/>
          <w:sz w:val="20"/>
          <w:szCs w:val="20"/>
        </w:rPr>
      </w:pPr>
      <w:r>
        <w:rPr>
          <w:rFonts w:ascii="Arial" w:hAnsi="Arial"/>
          <w:sz w:val="20"/>
          <w:szCs w:val="20"/>
        </w:rPr>
        <w:t>INFORMÁCIE O PRIJATÝCH POSTUPOCH</w:t>
      </w:r>
    </w:p>
    <w:p>
      <w:pPr>
        <w:pStyle w:val="Abc"/>
        <w:numPr>
          <w:ilvl w:val="0"/>
          <w:numId w:val="3"/>
        </w:numPr>
        <w:suppressAutoHyphens w:val="true"/>
        <w:rPr/>
      </w:pPr>
      <w:r>
        <w:rPr/>
        <w:t>Východiská pre zostavenie účtovnej závierky</w:t>
      </w:r>
    </w:p>
    <w:p>
      <w:pPr>
        <w:pStyle w:val="Odstavec"/>
        <w:rPr>
          <w:rFonts w:ascii="Arial" w:hAnsi="Arial" w:cs="Arial"/>
        </w:rPr>
      </w:pPr>
      <w:r>
        <w:rPr>
          <w:rFonts w:cs="Arial" w:ascii="Arial" w:hAnsi="Arial"/>
        </w:rPr>
        <w:t>Účtovná závierka Spoločnosti bola zostavená za predpokladu nepretržitého trvania jej činnosti v súlade so zákonom o účtovníctve platným v Slovenskej republike a nadväzujúcimi postupmi účtovania.</w:t>
      </w:r>
    </w:p>
    <w:p>
      <w:pPr>
        <w:pStyle w:val="Odstavec"/>
        <w:rPr>
          <w:rFonts w:ascii="Arial" w:hAnsi="Arial" w:cs="Arial"/>
        </w:rPr>
      </w:pPr>
      <w:r>
        <w:rPr>
          <w:rFonts w:cs="Arial" w:ascii="Arial" w:hAnsi="Arial"/>
        </w:rPr>
      </w:r>
    </w:p>
    <w:p>
      <w:pPr>
        <w:pStyle w:val="Odstavec"/>
        <w:rPr/>
      </w:pPr>
      <w:r>
        <w:rPr/>
        <w:t>Spoločnosť vyhodnotila vplyv prebiehajúcich zmien v makroekonomickom prostredí ako aj vojenského konfliktu na Ukrajine na účtovnú závierku za rok končiaci sa 31. decembra 2024 a na budúcu schopnosť Spoločnosti inkasovať pohľadávky, splácať záväzky, vytvárať výnosovy a získavať financovanie. Spoločnosť tatiež prehodnotila relevantné úsudky aplikované pri tvorbe účtovných odhadov. Spoločnosť sa domnieva, že uvedené okolnosti nemajú taký významný negatívny vplyv na Spoločnosť, ktorý by materiálnym spôsobom ohrozoval jej schopnosť nepretržite vykonávať svoju činnosť v dohľadnej budúcnosti.</w:t>
      </w:r>
    </w:p>
    <w:p>
      <w:pPr>
        <w:pStyle w:val="Odstavec"/>
        <w:rPr/>
      </w:pPr>
      <w:r>
        <w:rPr/>
      </w:r>
    </w:p>
    <w:p>
      <w:pPr>
        <w:pStyle w:val="Odstavec"/>
        <w:rPr>
          <w:rFonts w:ascii="Arial" w:hAnsi="Arial" w:cs="Arial"/>
        </w:rPr>
      </w:pPr>
      <w:r>
        <w:rPr>
          <w:rFonts w:cs="Arial" w:ascii="Arial" w:hAnsi="Arial"/>
        </w:rPr>
        <w:t>Účtovníctvo vedie Spoločnosť na základe dodržania časovej a vecnej súvislosti nákladov a výnosov. Za základ sa berú všetky náklady a výnosy, ktoré sa vzťahujú na účtovné obdobie bez ohľadu na dátum ich platenia.</w:t>
      </w:r>
    </w:p>
    <w:p>
      <w:pPr>
        <w:pStyle w:val="Odstavec"/>
        <w:rPr>
          <w:rFonts w:ascii="Arial" w:hAnsi="Arial" w:cs="Arial"/>
        </w:rPr>
      </w:pPr>
      <w:r>
        <w:rPr>
          <w:rFonts w:cs="Arial" w:ascii="Arial" w:hAnsi="Arial"/>
        </w:rPr>
      </w:r>
    </w:p>
    <w:p>
      <w:pPr>
        <w:pStyle w:val="Odstavec"/>
        <w:rPr>
          <w:rFonts w:ascii="Arial" w:hAnsi="Arial" w:cs="Arial"/>
        </w:rPr>
      </w:pPr>
      <w:r>
        <w:rPr>
          <w:rFonts w:cs="Arial" w:ascii="Arial" w:hAnsi="Arial"/>
        </w:rPr>
        <w:t>Peňažné údaje v účtovnej závierke sú uvedené v celých EUR, pokiaľ nie je určené inak.</w:t>
      </w:r>
    </w:p>
    <w:p>
      <w:pPr>
        <w:pStyle w:val="Odstavec"/>
        <w:rPr>
          <w:rFonts w:ascii="Arial" w:hAnsi="Arial" w:cs="Arial"/>
        </w:rPr>
      </w:pPr>
      <w:r>
        <w:rPr>
          <w:rFonts w:cs="Arial" w:ascii="Arial" w:hAnsi="Arial"/>
        </w:rPr>
      </w:r>
    </w:p>
    <w:p>
      <w:pPr>
        <w:pStyle w:val="Odstavec"/>
        <w:rPr>
          <w:rFonts w:ascii="Arial" w:hAnsi="Arial" w:cs="Arial"/>
        </w:rPr>
      </w:pPr>
      <w:r>
        <w:rPr>
          <w:rFonts w:cs="Arial" w:ascii="Arial" w:hAnsi="Arial"/>
        </w:rPr>
        <w:t xml:space="preserve">Účtovné metódy a všeobecné účtovné zásady Spoločnosť aplikovala konzistentne s predchádzajúcim účtovným obdobím. </w:t>
      </w:r>
    </w:p>
    <w:p>
      <w:pPr>
        <w:pStyle w:val="Odstavec"/>
        <w:rPr>
          <w:rFonts w:ascii="Arial" w:hAnsi="Arial" w:cs="Arial"/>
          <w:highlight w:val="red"/>
        </w:rPr>
      </w:pPr>
      <w:r>
        <w:rPr>
          <w:rFonts w:cs="Arial" w:ascii="Arial" w:hAnsi="Arial"/>
          <w:highlight w:val="red"/>
        </w:rPr>
      </w:r>
    </w:p>
    <w:p>
      <w:pPr>
        <w:pStyle w:val="Abc"/>
        <w:numPr>
          <w:ilvl w:val="0"/>
          <w:numId w:val="8"/>
        </w:numPr>
        <w:suppressAutoHyphens w:val="true"/>
        <w:rPr/>
      </w:pPr>
      <w:r>
        <w:rPr/>
        <w:t>Dlhodobý nehmotný a dlhodobý hmotný majetok</w:t>
      </w:r>
    </w:p>
    <w:p>
      <w:pPr>
        <w:pStyle w:val="ABCparagrahinNotes"/>
        <w:suppressAutoHyphens w:val="true"/>
        <w:spacing w:before="0" w:after="0"/>
        <w:ind w:left="425" w:hanging="0"/>
        <w:rPr>
          <w:rFonts w:cs="Arial"/>
          <w:sz w:val="20"/>
          <w:lang w:val="sk-SK"/>
        </w:rPr>
      </w:pPr>
      <w:r>
        <w:rPr>
          <w:rFonts w:cs="Arial"/>
          <w:sz w:val="20"/>
          <w:lang w:val="sk-SK"/>
        </w:rPr>
        <w:t>Dlhodobý majetok nakupovaný sa oceňuje obstarávacou cenou, ktorá zahrňuje cenu, za ktorú sa majetok obstaral, a náklady súvisiace s obstaraním (clo, prepravu, montáž, poistné a pod.).</w:t>
      </w:r>
    </w:p>
    <w:p>
      <w:pPr>
        <w:pStyle w:val="Normal"/>
        <w:suppressAutoHyphens w:val="true"/>
        <w:rPr>
          <w:rFonts w:ascii="Arial" w:hAnsi="Arial" w:cs="Arial"/>
          <w:bCs/>
          <w:iCs/>
          <w:sz w:val="20"/>
          <w:szCs w:val="20"/>
        </w:rPr>
      </w:pPr>
      <w:r>
        <w:rPr>
          <w:rFonts w:cs="Arial" w:ascii="Arial" w:hAnsi="Arial"/>
          <w:bCs/>
          <w:iCs/>
          <w:sz w:val="20"/>
          <w:szCs w:val="20"/>
        </w:rPr>
      </w:r>
    </w:p>
    <w:p>
      <w:pPr>
        <w:pStyle w:val="ABCparagrahinNotes"/>
        <w:suppressAutoHyphens w:val="true"/>
        <w:spacing w:before="0" w:after="0"/>
        <w:ind w:left="425" w:hanging="0"/>
        <w:rPr>
          <w:rFonts w:cs="Arial"/>
          <w:sz w:val="20"/>
          <w:lang w:val="sk-SK"/>
        </w:rPr>
      </w:pPr>
      <w:r>
        <w:rPr>
          <w:rFonts w:cs="Arial"/>
          <w:sz w:val="20"/>
          <w:lang w:val="sk-SK"/>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zaraďuje na účty dlhodobého majetku a odpisuje sa jednorazovo pri uvedení do používania.</w:t>
      </w:r>
    </w:p>
    <w:p>
      <w:pPr>
        <w:pStyle w:val="ABCparagrahinNotes"/>
        <w:suppressAutoHyphens w:val="true"/>
        <w:spacing w:before="0" w:after="0"/>
        <w:ind w:left="425" w:hanging="0"/>
        <w:rPr>
          <w:rFonts w:cs="Arial"/>
          <w:sz w:val="20"/>
          <w:lang w:val="sk-SK"/>
        </w:rPr>
      </w:pPr>
      <w:r>
        <w:rPr>
          <w:rFonts w:cs="Arial"/>
          <w:sz w:val="20"/>
          <w:lang w:val="sk-SK"/>
        </w:rPr>
      </w:r>
    </w:p>
    <w:p>
      <w:pPr>
        <w:pStyle w:val="ABCparagrahinNotes"/>
        <w:suppressAutoHyphens w:val="true"/>
        <w:spacing w:before="0" w:after="0"/>
        <w:ind w:left="425" w:hanging="0"/>
        <w:rPr>
          <w:rFonts w:cs="Arial"/>
          <w:sz w:val="20"/>
          <w:lang w:val="sk-SK"/>
        </w:rPr>
      </w:pPr>
      <w:r>
        <w:rPr>
          <w:rFonts w:cs="Arial"/>
          <w:sz w:val="20"/>
          <w:lang w:val="sk-SK"/>
        </w:rPr>
        <w:t xml:space="preserve">Odpisový plán účtovných odpisov dlhodobého hmotného majetku je zostavený v súlade s interným predpisom tak, že za základ sú vzaté metódy používané pri vyčíslovaní daňových odpisov. Odpisové sadzby pre účtovné odpisy a daňové odpisy sa rovnajú. </w:t>
      </w:r>
    </w:p>
    <w:p>
      <w:pPr>
        <w:pStyle w:val="ABCparagrahinNotes"/>
        <w:suppressAutoHyphens w:val="true"/>
        <w:spacing w:before="0" w:after="0"/>
        <w:ind w:left="425" w:hanging="0"/>
        <w:rPr>
          <w:rFonts w:cs="Arial"/>
          <w:sz w:val="20"/>
          <w:lang w:val="sk-SK"/>
        </w:rPr>
      </w:pPr>
      <w:r>
        <w:rPr>
          <w:rFonts w:cs="Arial"/>
          <w:sz w:val="20"/>
          <w:lang w:val="sk-SK"/>
        </w:rPr>
      </w:r>
    </w:p>
    <w:p>
      <w:pPr>
        <w:pStyle w:val="ABCparagrahinNotes"/>
        <w:suppressAutoHyphens w:val="true"/>
        <w:spacing w:before="0" w:after="0"/>
        <w:ind w:left="425" w:hanging="0"/>
        <w:rPr>
          <w:rFonts w:cs="Arial"/>
          <w:sz w:val="20"/>
          <w:lang w:val="sk-SK"/>
        </w:rPr>
      </w:pPr>
      <w:r>
        <w:rPr>
          <w:rFonts w:cs="Arial"/>
          <w:sz w:val="20"/>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pPr>
        <w:pStyle w:val="ABCparagrahinNotes"/>
        <w:suppressAutoHyphens w:val="true"/>
        <w:spacing w:before="0" w:after="0"/>
        <w:ind w:left="425" w:hanging="0"/>
        <w:rPr>
          <w:rFonts w:cs="Arial"/>
        </w:rPr>
      </w:pPr>
      <w:r>
        <w:rPr>
          <w:rFonts w:cs="Arial"/>
        </w:rPr>
      </w:r>
    </w:p>
    <w:p>
      <w:pPr>
        <w:pStyle w:val="Abc"/>
        <w:numPr>
          <w:ilvl w:val="0"/>
          <w:numId w:val="8"/>
        </w:numPr>
        <w:suppressAutoHyphens w:val="true"/>
        <w:rPr/>
      </w:pPr>
      <w:r>
        <w:rPr/>
        <w:t>Zásoby</w:t>
      </w:r>
    </w:p>
    <w:p>
      <w:pPr>
        <w:pStyle w:val="ABCparagrahinNotes"/>
        <w:suppressAutoHyphens w:val="true"/>
        <w:spacing w:before="0" w:after="0"/>
        <w:ind w:left="425" w:hanging="0"/>
        <w:rPr>
          <w:rFonts w:cs="Arial"/>
          <w:sz w:val="20"/>
          <w:lang w:val="sk-SK"/>
        </w:rPr>
      </w:pPr>
      <w:r>
        <w:rPr>
          <w:rFonts w:cs="Arial"/>
          <w:sz w:val="20"/>
          <w:lang w:val="sk-SK"/>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 Náklady súvisiace s obstaraním zásob sa pri príjme na sklad rozpočítavajú s cenou obstarania na technickú jednotku obstaranej zásoby.</w:t>
      </w:r>
    </w:p>
    <w:p>
      <w:pPr>
        <w:pStyle w:val="Odstavec"/>
        <w:rPr>
          <w:rFonts w:ascii="Arial" w:hAnsi="Arial" w:cs="Arial"/>
        </w:rPr>
      </w:pPr>
      <w:r>
        <w:rPr>
          <w:rFonts w:cs="Arial" w:ascii="Arial" w:hAnsi="Arial"/>
        </w:rPr>
      </w:r>
    </w:p>
    <w:p>
      <w:pPr>
        <w:pStyle w:val="ABCparagrahinNotes"/>
        <w:suppressAutoHyphens w:val="true"/>
        <w:spacing w:before="0" w:after="0"/>
        <w:ind w:left="425" w:hanging="0"/>
        <w:rPr>
          <w:rFonts w:cs="Arial"/>
          <w:sz w:val="20"/>
          <w:lang w:val="sk-SK"/>
        </w:rPr>
      </w:pPr>
      <w:r>
        <w:rPr>
          <w:rFonts w:cs="Arial"/>
          <w:sz w:val="20"/>
          <w:lang w:val="sk-SK"/>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pPr>
        <w:pStyle w:val="Odstavec"/>
        <w:rPr>
          <w:rFonts w:ascii="Arial" w:hAnsi="Arial" w:cs="Arial"/>
        </w:rPr>
      </w:pPr>
      <w:r>
        <w:rPr>
          <w:rFonts w:cs="Arial" w:ascii="Arial" w:hAnsi="Arial"/>
        </w:rPr>
      </w:r>
    </w:p>
    <w:p>
      <w:pPr>
        <w:pStyle w:val="Abc"/>
        <w:numPr>
          <w:ilvl w:val="0"/>
          <w:numId w:val="8"/>
        </w:numPr>
        <w:suppressAutoHyphens w:val="true"/>
        <w:rPr/>
      </w:pPr>
      <w:r>
        <w:rPr/>
        <w:t>Pohľadávky</w:t>
      </w:r>
    </w:p>
    <w:p>
      <w:pPr>
        <w:pStyle w:val="Odstavec"/>
        <w:rPr>
          <w:rFonts w:ascii="Arial" w:hAnsi="Arial" w:cs="Arial"/>
        </w:rPr>
      </w:pPr>
      <w:r>
        <w:rPr>
          <w:rFonts w:cs="Arial" w:ascii="Arial" w:hAnsi="Arial"/>
        </w:rPr>
        <w:t>Pohľadávky sa pri ich vzniku oceňujú ich menovitou hodnotou. Opravná položka sa vytvára k pochybným a nedobytným pohľadávkam, kde existuje riziko nevymožiteľnosti pohľadávok.</w:t>
      </w:r>
    </w:p>
    <w:p>
      <w:pPr>
        <w:pStyle w:val="Odstavec"/>
        <w:rPr>
          <w:rFonts w:ascii="Arial" w:hAnsi="Arial" w:cs="Arial"/>
        </w:rPr>
      </w:pPr>
      <w:r>
        <w:rPr>
          <w:rFonts w:cs="Arial" w:ascii="Arial" w:hAnsi="Arial"/>
        </w:rPr>
      </w:r>
    </w:p>
    <w:p>
      <w:pPr>
        <w:pStyle w:val="Abc"/>
        <w:numPr>
          <w:ilvl w:val="0"/>
          <w:numId w:val="8"/>
        </w:numPr>
        <w:suppressAutoHyphens w:val="true"/>
        <w:rPr/>
      </w:pPr>
      <w:r>
        <w:rPr/>
        <w:t>Finančné účty</w:t>
      </w:r>
    </w:p>
    <w:p>
      <w:pPr>
        <w:pStyle w:val="ABCparagrahinNotes"/>
        <w:suppressAutoHyphens w:val="true"/>
        <w:spacing w:before="0" w:after="0"/>
        <w:ind w:left="425" w:hanging="0"/>
        <w:rPr>
          <w:rFonts w:cs="Arial"/>
          <w:sz w:val="20"/>
          <w:lang w:val="sk-SK"/>
        </w:rPr>
      </w:pPr>
      <w:r>
        <w:rPr>
          <w:rFonts w:cs="Arial"/>
          <w:sz w:val="20"/>
          <w:lang w:val="sk-SK"/>
        </w:rPr>
        <w:t xml:space="preserve">Finančné účty tvorí peňažná hotovosť a zostatky na bankových účtoch, pričom riziko zmeny hodnoty tohto majetku je zanedbateľne nízke. </w:t>
      </w:r>
    </w:p>
    <w:p>
      <w:pPr>
        <w:pStyle w:val="Odstavec"/>
        <w:rPr>
          <w:rFonts w:ascii="Arial" w:hAnsi="Arial" w:cs="Arial"/>
        </w:rPr>
      </w:pPr>
      <w:r>
        <w:rPr>
          <w:rFonts w:cs="Arial" w:ascii="Arial" w:hAnsi="Arial"/>
        </w:rPr>
      </w:r>
    </w:p>
    <w:p>
      <w:pPr>
        <w:pStyle w:val="Abc"/>
        <w:numPr>
          <w:ilvl w:val="0"/>
          <w:numId w:val="8"/>
        </w:numPr>
        <w:suppressAutoHyphens w:val="true"/>
        <w:rPr/>
      </w:pPr>
      <w:r>
        <w:rPr/>
        <w:t>Záväzky</w:t>
      </w:r>
    </w:p>
    <w:p>
      <w:pPr>
        <w:pStyle w:val="ABCparagrahinNotes"/>
        <w:suppressAutoHyphens w:val="true"/>
        <w:spacing w:before="0" w:after="0"/>
        <w:ind w:left="425" w:hanging="0"/>
        <w:rPr>
          <w:rFonts w:cs="Arial"/>
          <w:sz w:val="20"/>
          <w:lang w:val="sk-SK"/>
        </w:rPr>
      </w:pPr>
      <w:r>
        <w:rPr>
          <w:rFonts w:cs="Arial"/>
          <w:sz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pPr>
        <w:pStyle w:val="ABCparagrahinNotes"/>
        <w:suppressAutoHyphens w:val="true"/>
        <w:spacing w:before="0" w:after="0"/>
        <w:ind w:left="425" w:hanging="0"/>
        <w:rPr>
          <w:rFonts w:cs="Arial"/>
          <w:sz w:val="20"/>
          <w:lang w:val="sk-SK"/>
        </w:rPr>
      </w:pPr>
      <w:r>
        <w:rPr>
          <w:rFonts w:cs="Arial"/>
          <w:sz w:val="20"/>
          <w:lang w:val="sk-SK"/>
        </w:rPr>
      </w:r>
    </w:p>
    <w:p>
      <w:pPr>
        <w:pStyle w:val="Abc"/>
        <w:numPr>
          <w:ilvl w:val="0"/>
          <w:numId w:val="8"/>
        </w:numPr>
        <w:suppressAutoHyphens w:val="true"/>
        <w:rPr/>
      </w:pPr>
      <w:r>
        <w:rPr/>
        <w:t>Zamestnanecké požitky</w:t>
      </w:r>
    </w:p>
    <w:p>
      <w:pPr>
        <w:pStyle w:val="ABCparagrahinNotes"/>
        <w:suppressAutoHyphens w:val="true"/>
        <w:spacing w:before="0" w:after="0"/>
        <w:ind w:left="425" w:hanging="0"/>
        <w:rPr>
          <w:rFonts w:cs="Arial"/>
          <w:sz w:val="20"/>
          <w:lang w:val="sk-SK"/>
        </w:rPr>
      </w:pPr>
      <w:r>
        <w:rPr>
          <w:rFonts w:cs="Arial"/>
          <w:sz w:val="20"/>
          <w:lang w:val="sk-SK"/>
        </w:rPr>
        <w:t>Platy, mzdy, príspevky do štátnych dôchodkových a poistných fondov, platená ročná dovolenka a platená zdravotná dovolenka sa účtujú v účtovnom období, s ktorým vecne a časovo súvisia.</w:t>
      </w:r>
    </w:p>
    <w:p>
      <w:pPr>
        <w:pStyle w:val="ABCparagrahinNotes"/>
        <w:suppressAutoHyphens w:val="true"/>
        <w:spacing w:before="0" w:after="0"/>
        <w:ind w:left="425" w:hanging="0"/>
        <w:rPr>
          <w:rFonts w:cs="Arial"/>
          <w:sz w:val="20"/>
          <w:lang w:val="sk-SK"/>
        </w:rPr>
      </w:pPr>
      <w:r>
        <w:rPr>
          <w:rFonts w:cs="Arial"/>
          <w:sz w:val="20"/>
          <w:lang w:val="sk-SK"/>
        </w:rPr>
      </w:r>
    </w:p>
    <w:p>
      <w:pPr>
        <w:pStyle w:val="Abc"/>
        <w:numPr>
          <w:ilvl w:val="0"/>
          <w:numId w:val="8"/>
        </w:numPr>
        <w:suppressAutoHyphens w:val="true"/>
        <w:rPr/>
      </w:pPr>
      <w:r>
        <w:rPr/>
        <w:t>Splatná daň z príjmu</w:t>
      </w:r>
    </w:p>
    <w:p>
      <w:pPr>
        <w:pStyle w:val="ABCparagrahinNotes"/>
        <w:suppressAutoHyphens w:val="true"/>
        <w:spacing w:before="0" w:after="0"/>
        <w:ind w:left="425" w:hanging="0"/>
        <w:rPr>
          <w:rFonts w:cs="Arial"/>
          <w:sz w:val="20"/>
          <w:lang w:val="sk-SK"/>
        </w:rPr>
      </w:pPr>
      <w:r>
        <w:rPr>
          <w:rFonts w:cs="Arial"/>
          <w:sz w:val="20"/>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pPr>
        <w:pStyle w:val="ABCparagrahinNotes"/>
        <w:suppressAutoHyphens w:val="true"/>
        <w:spacing w:before="0" w:after="0"/>
        <w:ind w:left="425" w:hanging="0"/>
        <w:rPr>
          <w:rFonts w:cs="Arial"/>
          <w:sz w:val="20"/>
          <w:lang w:val="sk-SK"/>
        </w:rPr>
      </w:pPr>
      <w:r>
        <w:rPr>
          <w:rFonts w:cs="Arial"/>
          <w:sz w:val="20"/>
          <w:lang w:val="sk-SK"/>
        </w:rPr>
      </w:r>
    </w:p>
    <w:p>
      <w:pPr>
        <w:pStyle w:val="Abc"/>
        <w:numPr>
          <w:ilvl w:val="0"/>
          <w:numId w:val="8"/>
        </w:numPr>
        <w:suppressAutoHyphens w:val="true"/>
        <w:rPr/>
      </w:pPr>
      <w:r>
        <w:rPr/>
        <w:t>Vykazovanie výnosov</w:t>
      </w:r>
    </w:p>
    <w:p>
      <w:pPr>
        <w:pStyle w:val="ABCparagrahinNotes"/>
        <w:suppressAutoHyphens w:val="true"/>
        <w:spacing w:before="0" w:after="0"/>
        <w:ind w:left="425" w:hanging="0"/>
        <w:rPr>
          <w:rFonts w:cs="Arial"/>
          <w:sz w:val="20"/>
          <w:lang w:val="sk-SK"/>
        </w:rPr>
      </w:pPr>
      <w:r>
        <w:rPr>
          <w:rFonts w:cs="Arial"/>
          <w:sz w:val="20"/>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pPr>
        <w:pStyle w:val="ABCparagrahinNotes"/>
        <w:suppressAutoHyphens w:val="true"/>
        <w:spacing w:before="0" w:after="0"/>
        <w:ind w:left="425" w:hanging="0"/>
        <w:rPr>
          <w:rFonts w:cs="Arial"/>
          <w:sz w:val="20"/>
          <w:lang w:val="sk-SK"/>
        </w:rPr>
      </w:pPr>
      <w:r>
        <w:rPr>
          <w:rFonts w:cs="Arial"/>
          <w:sz w:val="20"/>
          <w:lang w:val="sk-SK"/>
        </w:rPr>
      </w:r>
    </w:p>
    <w:p>
      <w:pPr>
        <w:pStyle w:val="ABCparagrahinNotes"/>
        <w:suppressAutoHyphens w:val="true"/>
        <w:spacing w:before="0" w:after="0"/>
        <w:ind w:left="425" w:hanging="0"/>
        <w:rPr>
          <w:rFonts w:cs="Arial"/>
          <w:sz w:val="20"/>
          <w:lang w:val="sk-SK"/>
        </w:rPr>
      </w:pPr>
      <w:r>
        <w:rPr>
          <w:rFonts w:cs="Arial"/>
          <w:sz w:val="20"/>
          <w:lang w:val="sk-SK"/>
        </w:rPr>
        <w:t xml:space="preserve">Výnosy sa vykazujú po odpočítaní dane z pridanej hodnoty, zliav a zrážok (rabaty, bonusy, skontá, dobropisy a pod.). Výnosové úroky sa účtujú rovnomerne v účtovných obdobiach, ktorých sa vecne a časovo týkajú.  </w:t>
      </w:r>
    </w:p>
    <w:p>
      <w:pPr>
        <w:pStyle w:val="ABCparagrahinNotes"/>
        <w:suppressAutoHyphens w:val="true"/>
        <w:spacing w:before="0" w:after="0"/>
        <w:ind w:left="425" w:hanging="0"/>
        <w:rPr>
          <w:rFonts w:cs="Arial"/>
          <w:sz w:val="20"/>
          <w:lang w:val="sk-SK"/>
        </w:rPr>
      </w:pPr>
      <w:r>
        <w:rPr>
          <w:rFonts w:cs="Arial"/>
          <w:sz w:val="20"/>
          <w:lang w:val="sk-SK"/>
        </w:rPr>
      </w:r>
    </w:p>
    <w:p>
      <w:pPr>
        <w:pStyle w:val="ABCparagrahinNotes"/>
        <w:suppressAutoHyphens w:val="true"/>
        <w:spacing w:before="0" w:after="0"/>
        <w:ind w:left="425" w:hanging="0"/>
        <w:rPr>
          <w:rFonts w:cs="Arial"/>
          <w:sz w:val="20"/>
          <w:lang w:val="sk-SK"/>
        </w:rPr>
      </w:pPr>
      <w:r>
        <w:rPr>
          <w:rFonts w:cs="Arial"/>
          <w:sz w:val="20"/>
          <w:lang w:val="sk-SK"/>
        </w:rPr>
        <w:t>Výnosy Spoločnosti tvoria najmä tržby z predaja drevených obalov, výrobkov a služieb.</w:t>
      </w:r>
    </w:p>
    <w:p>
      <w:pPr>
        <w:sectPr>
          <w:headerReference w:type="default" r:id="rId6"/>
          <w:type w:val="nextPage"/>
          <w:pgSz w:w="11906" w:h="16838"/>
          <w:pgMar w:left="1134" w:right="1134" w:header="709" w:top="1134" w:footer="0" w:bottom="1134" w:gutter="0"/>
          <w:pgNumType w:fmt="decimal"/>
          <w:formProt w:val="false"/>
          <w:textDirection w:val="lrTb"/>
          <w:docGrid w:type="default" w:linePitch="360" w:charSpace="4294961151"/>
        </w:sectPr>
        <w:pStyle w:val="Default"/>
        <w:ind w:left="426" w:hanging="0"/>
        <w:rPr>
          <w:bCs/>
          <w:i/>
          <w:i/>
          <w:iCs/>
          <w:color w:val="00B050"/>
          <w:sz w:val="20"/>
          <w:szCs w:val="20"/>
        </w:rPr>
      </w:pPr>
      <w:r>
        <w:rPr>
          <w:bCs/>
          <w:i/>
          <w:iCs/>
          <w:color w:val="00B050"/>
          <w:sz w:val="20"/>
          <w:szCs w:val="20"/>
        </w:rPr>
        <w:t xml:space="preserve"> </w:t>
      </w:r>
    </w:p>
    <w:p>
      <w:pPr>
        <w:pStyle w:val="Nadpis1"/>
        <w:numPr>
          <w:ilvl w:val="0"/>
          <w:numId w:val="4"/>
        </w:numPr>
        <w:ind w:left="426" w:hanging="426"/>
        <w:rPr>
          <w:rFonts w:ascii="Arial" w:hAnsi="Arial"/>
          <w:sz w:val="20"/>
          <w:szCs w:val="20"/>
        </w:rPr>
      </w:pPr>
      <w:r>
        <w:rPr>
          <w:rFonts w:ascii="Arial" w:hAnsi="Arial"/>
          <w:sz w:val="20"/>
          <w:szCs w:val="20"/>
        </w:rPr>
        <w:t>INFORMÁCIE, KTORÉ DOPLŇUJÚ A VYSVETĽUJÚ POLOŽKY SÚVAHY</w:t>
      </w:r>
    </w:p>
    <w:p>
      <w:pPr>
        <w:pStyle w:val="Nadpis1"/>
        <w:numPr>
          <w:ilvl w:val="0"/>
          <w:numId w:val="0"/>
        </w:numPr>
        <w:ind w:left="426" w:hanging="0"/>
        <w:rPr>
          <w:rFonts w:ascii="Arial" w:hAnsi="Arial"/>
          <w:sz w:val="20"/>
          <w:szCs w:val="20"/>
        </w:rPr>
      </w:pPr>
      <w:r>
        <w:rPr>
          <w:rFonts w:ascii="Arial" w:hAnsi="Arial"/>
          <w:sz w:val="20"/>
          <w:szCs w:val="20"/>
        </w:rPr>
        <w:t>AKTÍVA</w:t>
      </w:r>
    </w:p>
    <w:p>
      <w:pPr>
        <w:pStyle w:val="Nadpis2"/>
        <w:numPr>
          <w:ilvl w:val="0"/>
          <w:numId w:val="0"/>
        </w:numPr>
        <w:ind w:left="426" w:hanging="0"/>
        <w:rPr/>
      </w:pPr>
      <w:r>
        <w:rPr/>
        <w:t>1.</w:t>
        <w:tab/>
        <w:t>Dlhodobý hmotný majetok</w:t>
      </w:r>
    </w:p>
    <w:p>
      <w:pPr>
        <w:pStyle w:val="Odstavec"/>
        <w:rPr>
          <w:rFonts w:ascii="Arial" w:hAnsi="Arial" w:cs="Arial"/>
          <w:lang w:val="en-US"/>
        </w:rPr>
      </w:pPr>
      <w:r>
        <w:rPr>
          <w:rFonts w:cs="Arial" w:ascii="Arial" w:hAnsi="Arial"/>
        </w:rPr>
        <w:t>Prehľad pohybu dlhodobého hmotného majetku za bežné účtovné obdobie je uvedený nižšie:</w:t>
      </w:r>
    </w:p>
    <w:tbl>
      <w:tblPr>
        <w:tblW w:w="14160" w:type="dxa"/>
        <w:jc w:val="left"/>
        <w:tblInd w:w="482" w:type="dxa"/>
        <w:tblBorders>
          <w:bottom w:val="single" w:sz="4" w:space="0" w:color="00000A"/>
          <w:insideH w:val="single" w:sz="4" w:space="0" w:color="00000A"/>
        </w:tblBorders>
        <w:tblCellMar>
          <w:top w:w="0" w:type="dxa"/>
          <w:left w:w="70" w:type="dxa"/>
          <w:bottom w:w="0" w:type="dxa"/>
          <w:right w:w="70" w:type="dxa"/>
        </w:tblCellMar>
        <w:tblLook w:firstRow="1" w:noVBand="1" w:lastRow="0" w:firstColumn="1" w:lastColumn="0" w:noHBand="0" w:val="04a0"/>
      </w:tblPr>
      <w:tblGrid>
        <w:gridCol w:w="1918"/>
        <w:gridCol w:w="1361"/>
        <w:gridCol w:w="1359"/>
        <w:gridCol w:w="1360"/>
        <w:gridCol w:w="1360"/>
        <w:gridCol w:w="1360"/>
        <w:gridCol w:w="1361"/>
        <w:gridCol w:w="1359"/>
        <w:gridCol w:w="1359"/>
        <w:gridCol w:w="1361"/>
      </w:tblGrid>
      <w:tr>
        <w:trPr>
          <w:trHeight w:val="1200" w:hRule="atLeast"/>
        </w:trPr>
        <w:tc>
          <w:tcPr>
            <w:tcW w:w="1918"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bookmarkStart w:id="20" w:name="RANGE!B3:K24"/>
            <w:bookmarkEnd w:id="20"/>
            <w:r>
              <w:rPr>
                <w:rFonts w:cs="Arial" w:ascii="Arial" w:hAnsi="Arial"/>
                <w:b/>
                <w:bCs/>
                <w:sz w:val="18"/>
                <w:szCs w:val="18"/>
              </w:rPr>
              <w:t>Dlhodobý hmotný majetok</w:t>
            </w:r>
          </w:p>
        </w:tc>
        <w:tc>
          <w:tcPr>
            <w:tcW w:w="1361"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Pozemky</w:t>
            </w:r>
          </w:p>
        </w:tc>
        <w:tc>
          <w:tcPr>
            <w:tcW w:w="135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Stavby</w:t>
            </w:r>
          </w:p>
        </w:tc>
        <w:tc>
          <w:tcPr>
            <w:tcW w:w="136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Samostatné hnuteľné veci a súbory hnuteľných vecí</w:t>
            </w:r>
          </w:p>
        </w:tc>
        <w:tc>
          <w:tcPr>
            <w:tcW w:w="136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Pestovateľské celky trvalých porastov</w:t>
            </w:r>
          </w:p>
        </w:tc>
        <w:tc>
          <w:tcPr>
            <w:tcW w:w="136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Základné stádo a ťažné zvieratá</w:t>
            </w:r>
          </w:p>
        </w:tc>
        <w:tc>
          <w:tcPr>
            <w:tcW w:w="1361"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Ostatný DHM</w:t>
            </w:r>
          </w:p>
        </w:tc>
        <w:tc>
          <w:tcPr>
            <w:tcW w:w="135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Obstarávaný DHM</w:t>
            </w:r>
          </w:p>
        </w:tc>
        <w:tc>
          <w:tcPr>
            <w:tcW w:w="135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Poskytnuté preddavky na DHM</w:t>
            </w:r>
          </w:p>
        </w:tc>
        <w:tc>
          <w:tcPr>
            <w:tcW w:w="1361"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Spolu</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Prvotné ocenenie</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lang w:val="en-US"/>
              </w:rPr>
            </w:pPr>
            <w:r>
              <w:rPr>
                <w:rFonts w:cs="Arial" w:ascii="Arial" w:hAnsi="Arial"/>
                <w:b/>
                <w:bCs/>
                <w:sz w:val="18"/>
                <w:szCs w:val="18"/>
              </w:rPr>
              <w:t>Stav k 1.1.2024</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6 806</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41 364</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152 342</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200 512</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Prírastky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Úbytky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Presuny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31.12.2024</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6 806</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41 364</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152 342</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200 512</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Oprávky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1.1.2024</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32 723</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132 246</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165 969</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Prírastky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1 139</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1 468</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2 576</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Úbytky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Presuny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31.12.2024</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33 862</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134 714</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165 969</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Opravné položky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1.1.2024</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Prírastky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Úbytky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Presuny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31.12.2024</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Zostatková hodnota </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1.1.2024</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6 806</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16 328</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19 096</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42 230</w:t>
            </w:r>
          </w:p>
        </w:tc>
      </w:tr>
      <w:tr>
        <w:trPr>
          <w:trHeight w:val="27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31.12.2024</w:t>
            </w:r>
          </w:p>
        </w:tc>
        <w:tc>
          <w:tcPr>
            <w:tcW w:w="1361"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6 806</w:t>
            </w:r>
          </w:p>
        </w:tc>
        <w:tc>
          <w:tcPr>
            <w:tcW w:w="1359"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15 189</w:t>
            </w:r>
          </w:p>
        </w:tc>
        <w:tc>
          <w:tcPr>
            <w:tcW w:w="1360"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17 628</w:t>
            </w:r>
          </w:p>
        </w:tc>
        <w:tc>
          <w:tcPr>
            <w:tcW w:w="1360"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39 623</w:t>
            </w:r>
          </w:p>
        </w:tc>
      </w:tr>
    </w:tbl>
    <w:p>
      <w:pPr>
        <w:pStyle w:val="Odstavec"/>
        <w:ind w:left="482" w:hanging="0"/>
        <w:rPr>
          <w:rFonts w:ascii="Arial" w:hAnsi="Arial" w:cs="Arial"/>
        </w:rPr>
      </w:pPr>
      <w:r>
        <w:rPr>
          <w:rFonts w:cs="Arial" w:ascii="Arial" w:hAnsi="Arial"/>
        </w:rPr>
      </w:r>
    </w:p>
    <w:p>
      <w:pPr>
        <w:pStyle w:val="Odstavec"/>
        <w:ind w:left="482" w:hanging="0"/>
        <w:rPr>
          <w:rFonts w:ascii="Arial" w:hAnsi="Arial" w:cs="Arial"/>
        </w:rPr>
      </w:pPr>
      <w:bookmarkStart w:id="21" w:name="FWT_T5a"/>
      <w:bookmarkStart w:id="22" w:name="FWT_T5a"/>
      <w:bookmarkEnd w:id="22"/>
      <w:r>
        <w:rPr>
          <w:rFonts w:cs="Arial" w:ascii="Arial" w:hAnsi="Arial"/>
        </w:rPr>
      </w:r>
    </w:p>
    <w:p>
      <w:pPr>
        <w:pStyle w:val="Normal"/>
        <w:rPr>
          <w:rFonts w:ascii="Arial" w:hAnsi="Arial" w:cs="Arial"/>
          <w:bCs/>
          <w:iCs/>
          <w:sz w:val="20"/>
          <w:szCs w:val="20"/>
        </w:rPr>
      </w:pPr>
      <w:r>
        <w:rPr>
          <w:rFonts w:cs="Arial" w:ascii="Arial" w:hAnsi="Arial"/>
          <w:bCs/>
          <w:iCs/>
          <w:sz w:val="20"/>
          <w:szCs w:val="20"/>
        </w:rPr>
      </w:r>
      <w:r>
        <w:br w:type="page"/>
      </w:r>
    </w:p>
    <w:p>
      <w:pPr>
        <w:pStyle w:val="Odstavec"/>
        <w:rPr>
          <w:rFonts w:ascii="Arial" w:hAnsi="Arial" w:cs="Arial"/>
          <w:highlight w:val="yellow"/>
        </w:rPr>
      </w:pPr>
      <w:r>
        <w:rPr>
          <w:rFonts w:cs="Arial" w:ascii="Arial" w:hAnsi="Arial"/>
        </w:rPr>
        <w:t>Informácie za predchádzajúce účtovné obdobie sú uvedené v nasledujúcej tabuľke:</w:t>
      </w:r>
    </w:p>
    <w:tbl>
      <w:tblPr>
        <w:tblW w:w="14160" w:type="dxa"/>
        <w:jc w:val="left"/>
        <w:tblInd w:w="482" w:type="dxa"/>
        <w:tblBorders>
          <w:bottom w:val="single" w:sz="4" w:space="0" w:color="00000A"/>
          <w:insideH w:val="single" w:sz="4" w:space="0" w:color="00000A"/>
        </w:tblBorders>
        <w:tblCellMar>
          <w:top w:w="0" w:type="dxa"/>
          <w:left w:w="70" w:type="dxa"/>
          <w:bottom w:w="0" w:type="dxa"/>
          <w:right w:w="70" w:type="dxa"/>
        </w:tblCellMar>
        <w:tblLook w:firstRow="1" w:noVBand="1" w:lastRow="0" w:firstColumn="1" w:lastColumn="0" w:noHBand="0" w:val="04a0"/>
      </w:tblPr>
      <w:tblGrid>
        <w:gridCol w:w="1918"/>
        <w:gridCol w:w="1361"/>
        <w:gridCol w:w="1359"/>
        <w:gridCol w:w="1360"/>
        <w:gridCol w:w="1360"/>
        <w:gridCol w:w="1360"/>
        <w:gridCol w:w="1361"/>
        <w:gridCol w:w="1359"/>
        <w:gridCol w:w="1359"/>
        <w:gridCol w:w="1361"/>
      </w:tblGrid>
      <w:tr>
        <w:trPr>
          <w:trHeight w:val="1200" w:hRule="atLeast"/>
        </w:trPr>
        <w:tc>
          <w:tcPr>
            <w:tcW w:w="1918"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Dlhodobý hmotný majetok</w:t>
            </w:r>
          </w:p>
        </w:tc>
        <w:tc>
          <w:tcPr>
            <w:tcW w:w="1361"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Pozemky</w:t>
            </w:r>
          </w:p>
        </w:tc>
        <w:tc>
          <w:tcPr>
            <w:tcW w:w="135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Stavby</w:t>
            </w:r>
          </w:p>
        </w:tc>
        <w:tc>
          <w:tcPr>
            <w:tcW w:w="136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Samostatné hnuteľné veci a súbory hnuteľných vecí</w:t>
            </w:r>
          </w:p>
        </w:tc>
        <w:tc>
          <w:tcPr>
            <w:tcW w:w="136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Pestovateľské celky trvalých porastov</w:t>
            </w:r>
          </w:p>
        </w:tc>
        <w:tc>
          <w:tcPr>
            <w:tcW w:w="136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Základné stádo a ťažné zvieratá</w:t>
            </w:r>
          </w:p>
        </w:tc>
        <w:tc>
          <w:tcPr>
            <w:tcW w:w="1361"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Ostatný DHM</w:t>
            </w:r>
          </w:p>
        </w:tc>
        <w:tc>
          <w:tcPr>
            <w:tcW w:w="135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Obstarávaný DHM</w:t>
            </w:r>
          </w:p>
        </w:tc>
        <w:tc>
          <w:tcPr>
            <w:tcW w:w="135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Poskytnuté preddavky na DHM</w:t>
            </w:r>
          </w:p>
        </w:tc>
        <w:tc>
          <w:tcPr>
            <w:tcW w:w="1361"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Spolu</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Prvotné ocenenie</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1.1.2023</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6 806</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41 364</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152 342</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200 512</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Prírastky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Úbytky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Presuny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31.12.2023</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6 806</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41 364</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152 342</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200 512</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Oprávky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1.1.2023</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31 584</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131 778</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163 362</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Prírastky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1 139</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1 468</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2 576</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Úbytky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Presuny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31.12.2023</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32 723</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132 246</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165 969</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Opravné položky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1.1.2023</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
                <w:bCs/>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Prírastky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Úbytky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Presuny</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31.12.2023</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Zostatková hodnota </w:t>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5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c>
          <w:tcPr>
            <w:tcW w:w="1361"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20"/>
                <w:szCs w:val="20"/>
              </w:rPr>
            </w:pPr>
            <w:r>
              <w:rPr>
                <w:rFonts w:cs="Arial" w:ascii="Arial" w:hAnsi="Arial"/>
                <w:sz w:val="20"/>
                <w:szCs w:val="20"/>
              </w:rPr>
            </w:r>
          </w:p>
        </w:tc>
      </w:tr>
      <w:tr>
        <w:trPr>
          <w:trHeight w:val="255"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1.1.2023</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6 806</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17 467</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20 564</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44 837</w:t>
            </w:r>
          </w:p>
        </w:tc>
      </w:tr>
      <w:tr>
        <w:trPr>
          <w:trHeight w:val="270" w:hRule="atLeast"/>
        </w:trPr>
        <w:tc>
          <w:tcPr>
            <w:tcW w:w="19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Stav k 31.12.2023</w:t>
            </w:r>
          </w:p>
        </w:tc>
        <w:tc>
          <w:tcPr>
            <w:tcW w:w="1361"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6 806</w:t>
            </w:r>
          </w:p>
        </w:tc>
        <w:tc>
          <w:tcPr>
            <w:tcW w:w="1359"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16 328</w:t>
            </w:r>
          </w:p>
        </w:tc>
        <w:tc>
          <w:tcPr>
            <w:tcW w:w="1360"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19 096</w:t>
            </w:r>
          </w:p>
        </w:tc>
        <w:tc>
          <w:tcPr>
            <w:tcW w:w="1360"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0"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59"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61"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42 230</w:t>
            </w:r>
          </w:p>
        </w:tc>
      </w:tr>
    </w:tbl>
    <w:p>
      <w:pPr>
        <w:pStyle w:val="Odstavec"/>
        <w:ind w:left="482" w:hanging="0"/>
        <w:rPr>
          <w:rFonts w:ascii="Arial" w:hAnsi="Arial" w:cs="Arial"/>
          <w:highlight w:val="yellow"/>
        </w:rPr>
      </w:pPr>
      <w:bookmarkStart w:id="23" w:name="FWT_T5b"/>
      <w:bookmarkStart w:id="24" w:name="FWT_T5b"/>
      <w:bookmarkEnd w:id="24"/>
      <w:r>
        <w:rPr>
          <w:rFonts w:cs="Arial" w:ascii="Arial" w:hAnsi="Arial"/>
          <w:highlight w:val="yellow"/>
        </w:rPr>
      </w:r>
    </w:p>
    <w:p>
      <w:pPr>
        <w:pStyle w:val="Odstavec"/>
        <w:ind w:left="482" w:hanging="0"/>
        <w:rPr>
          <w:rFonts w:ascii="Arial" w:hAnsi="Arial" w:cs="Arial"/>
          <w:highlight w:val="yellow"/>
        </w:rPr>
      </w:pPr>
      <w:r>
        <w:rPr>
          <w:rFonts w:cs="Arial" w:ascii="Arial" w:hAnsi="Arial"/>
          <w:highlight w:val="yellow"/>
        </w:rPr>
      </w:r>
    </w:p>
    <w:p>
      <w:pPr>
        <w:pStyle w:val="Body"/>
        <w:ind w:left="482" w:hanging="0"/>
        <w:rPr>
          <w:rFonts w:ascii="Arial" w:hAnsi="Arial" w:cs="Arial"/>
        </w:rPr>
      </w:pPr>
      <w:bookmarkStart w:id="25" w:name="FWT_T5b1"/>
      <w:bookmarkStart w:id="26" w:name="FWT_T5b1"/>
      <w:bookmarkEnd w:id="26"/>
      <w:r>
        <w:rPr>
          <w:rFonts w:cs="Arial" w:ascii="Arial" w:hAnsi="Arial"/>
        </w:rPr>
      </w:r>
    </w:p>
    <w:p>
      <w:pPr>
        <w:pStyle w:val="Body"/>
        <w:ind w:left="482" w:hanging="0"/>
        <w:rPr>
          <w:rFonts w:ascii="Arial" w:hAnsi="Arial" w:cs="Arial"/>
        </w:rPr>
      </w:pPr>
      <w:bookmarkStart w:id="27" w:name="FWT_T6"/>
      <w:bookmarkStart w:id="28" w:name="FWT_T6"/>
      <w:bookmarkEnd w:id="28"/>
      <w:r>
        <w:rPr>
          <w:rFonts w:cs="Arial" w:ascii="Arial" w:hAnsi="Arial"/>
        </w:rPr>
      </w:r>
    </w:p>
    <w:p>
      <w:pPr>
        <w:sectPr>
          <w:headerReference w:type="default" r:id="rId7"/>
          <w:type w:val="nextPage"/>
          <w:pgSz w:orient="landscape" w:w="16838" w:h="11906"/>
          <w:pgMar w:left="1134" w:right="1134" w:header="709" w:top="1134" w:footer="0" w:bottom="1134" w:gutter="0"/>
          <w:pgNumType w:fmt="decimal"/>
          <w:formProt w:val="false"/>
          <w:textDirection w:val="lrTb"/>
          <w:docGrid w:type="default" w:linePitch="360" w:charSpace="4294961151"/>
        </w:sectPr>
        <w:pStyle w:val="Body"/>
        <w:spacing w:lineRule="auto" w:line="276"/>
        <w:rPr>
          <w:rFonts w:ascii="Arial" w:hAnsi="Arial" w:cs="Arial"/>
          <w:b/>
          <w:b/>
          <w:i/>
          <w:i/>
        </w:rPr>
      </w:pPr>
      <w:r>
        <w:rPr>
          <w:rFonts w:cs="Arial" w:ascii="Arial" w:hAnsi="Arial"/>
          <w:b/>
          <w:i/>
        </w:rPr>
      </w:r>
    </w:p>
    <w:tbl>
      <w:tblPr>
        <w:tblW w:w="14140" w:type="dxa"/>
        <w:jc w:val="left"/>
        <w:tblInd w:w="482" w:type="dxa"/>
        <w:tblBorders/>
        <w:tblCellMar>
          <w:top w:w="0" w:type="dxa"/>
          <w:left w:w="70" w:type="dxa"/>
          <w:bottom w:w="0" w:type="dxa"/>
          <w:right w:w="70" w:type="dxa"/>
        </w:tblCellMar>
        <w:tblLook w:firstRow="1" w:noVBand="1" w:lastRow="0" w:firstColumn="1" w:lastColumn="0" w:noHBand="0" w:val="04a0"/>
      </w:tblPr>
      <w:tblGrid>
        <w:gridCol w:w="1679"/>
        <w:gridCol w:w="1040"/>
        <w:gridCol w:w="280"/>
        <w:gridCol w:w="739"/>
        <w:gridCol w:w="41"/>
        <w:gridCol w:w="1000"/>
        <w:gridCol w:w="120"/>
        <w:gridCol w:w="922"/>
        <w:gridCol w:w="517"/>
        <w:gridCol w:w="522"/>
        <w:gridCol w:w="918"/>
        <w:gridCol w:w="123"/>
        <w:gridCol w:w="1039"/>
        <w:gridCol w:w="277"/>
        <w:gridCol w:w="761"/>
        <w:gridCol w:w="3"/>
        <w:gridCol w:w="1036"/>
        <w:gridCol w:w="3"/>
        <w:gridCol w:w="1038"/>
        <w:gridCol w:w="2"/>
        <w:gridCol w:w="1037"/>
        <w:gridCol w:w="2"/>
        <w:gridCol w:w="1040"/>
      </w:tblGrid>
      <w:tr>
        <w:trPr>
          <w:trHeight w:val="50" w:hRule="atLeast"/>
        </w:trPr>
        <w:tc>
          <w:tcPr>
            <w:tcW w:w="1679" w:type="dxa"/>
            <w:tcBorders/>
            <w:shd w:color="auto" w:fill="auto" w:val="clear"/>
            <w:vAlign w:val="bottom"/>
          </w:tcPr>
          <w:p>
            <w:pPr>
              <w:pStyle w:val="Normal"/>
              <w:pageBreakBefore/>
              <w:rPr>
                <w:rFonts w:ascii="Arial" w:hAnsi="Arial" w:cs="Arial"/>
                <w:b/>
                <w:b/>
                <w:bCs/>
                <w:vanish/>
                <w:sz w:val="16"/>
                <w:szCs w:val="16"/>
              </w:rPr>
            </w:pPr>
            <w:r>
              <w:rPr>
                <w:rFonts w:cs="Arial" w:ascii="Arial" w:hAnsi="Arial"/>
                <w:b/>
                <w:bCs/>
                <w:vanish/>
                <w:sz w:val="16"/>
                <w:szCs w:val="16"/>
              </w:rPr>
              <w:t>Stav k 1.1.2015</w:t>
            </w:r>
          </w:p>
        </w:tc>
        <w:tc>
          <w:tcPr>
            <w:tcW w:w="104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19"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1"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2"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39"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1"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39"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1"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39"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0"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39"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r>
      <w:tr>
        <w:trPr>
          <w:trHeight w:val="270" w:hRule="atLeast"/>
        </w:trPr>
        <w:tc>
          <w:tcPr>
            <w:tcW w:w="1679" w:type="dxa"/>
            <w:tcBorders/>
            <w:shd w:color="auto" w:fill="auto" w:val="clear"/>
            <w:vAlign w:val="bottom"/>
          </w:tcPr>
          <w:p>
            <w:pPr>
              <w:pStyle w:val="Normal"/>
              <w:rPr>
                <w:rFonts w:ascii="Arial" w:hAnsi="Arial" w:cs="Arial"/>
                <w:b/>
                <w:b/>
                <w:bCs/>
                <w:vanish/>
                <w:sz w:val="16"/>
                <w:szCs w:val="16"/>
              </w:rPr>
            </w:pPr>
            <w:r>
              <w:rPr>
                <w:rFonts w:cs="Arial" w:ascii="Arial" w:hAnsi="Arial"/>
                <w:b/>
                <w:bCs/>
                <w:vanish/>
                <w:sz w:val="16"/>
                <w:szCs w:val="16"/>
              </w:rPr>
              <w:t>Stav k 31.12.2015</w:t>
            </w:r>
          </w:p>
        </w:tc>
        <w:tc>
          <w:tcPr>
            <w:tcW w:w="1040"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19"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1"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2"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39"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1"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39"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1" w:type="dxa"/>
            <w:gridSpan w:val="3"/>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39"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0"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39"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c>
          <w:tcPr>
            <w:tcW w:w="1040" w:type="dxa"/>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vanish/>
                <w:sz w:val="16"/>
                <w:szCs w:val="16"/>
              </w:rPr>
            </w:pPr>
            <w:r>
              <w:rPr>
                <w:rFonts w:cs="Arial" w:ascii="Arial" w:hAnsi="Arial"/>
                <w:b/>
                <w:bCs/>
                <w:vanish/>
                <w:sz w:val="16"/>
                <w:szCs w:val="16"/>
              </w:rPr>
              <w:t>0</w:t>
            </w:r>
          </w:p>
        </w:tc>
      </w:tr>
      <w:tr>
        <w:trPr>
          <w:trHeight w:val="240" w:hRule="atLeast"/>
        </w:trPr>
        <w:tc>
          <w:tcPr>
            <w:tcW w:w="2999" w:type="dxa"/>
            <w:gridSpan w:val="3"/>
            <w:tcBorders/>
            <w:shd w:color="auto" w:fill="auto" w:val="clear"/>
            <w:vAlign w:val="bottom"/>
          </w:tcPr>
          <w:p>
            <w:pPr>
              <w:pStyle w:val="Normal"/>
              <w:rPr>
                <w:rFonts w:ascii="Arial" w:hAnsi="Arial" w:cs="Arial"/>
                <w:vanish/>
                <w:sz w:val="18"/>
                <w:szCs w:val="18"/>
              </w:rPr>
            </w:pPr>
            <w:bookmarkStart w:id="29" w:name="FWT_T7a1"/>
            <w:bookmarkStart w:id="30" w:name="FWT_T7a1"/>
            <w:bookmarkEnd w:id="30"/>
            <w:r>
              <w:rPr>
                <w:rFonts w:cs="Arial" w:ascii="Arial" w:hAnsi="Arial"/>
                <w:vanish/>
                <w:sz w:val="18"/>
                <w:szCs w:val="18"/>
              </w:rPr>
            </w:r>
          </w:p>
        </w:tc>
        <w:tc>
          <w:tcPr>
            <w:tcW w:w="78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12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39"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4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39" w:type="dxa"/>
            <w:gridSpan w:val="3"/>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761" w:type="dxa"/>
            <w:tcBorders/>
            <w:shd w:fill="auto" w:val="clear"/>
          </w:tcPr>
          <w:p>
            <w:pPr>
              <w:pStyle w:val="Normal"/>
              <w:rPr/>
            </w:pPr>
            <w:r>
              <w:rPr/>
            </w:r>
          </w:p>
        </w:tc>
        <w:tc>
          <w:tcPr>
            <w:tcW w:w="1039" w:type="dxa"/>
            <w:gridSpan w:val="2"/>
            <w:tcBorders/>
            <w:shd w:fill="auto" w:val="clear"/>
          </w:tcPr>
          <w:p>
            <w:pPr>
              <w:pStyle w:val="Normal"/>
              <w:rPr/>
            </w:pPr>
            <w:r>
              <w:rPr/>
            </w:r>
          </w:p>
        </w:tc>
        <w:tc>
          <w:tcPr>
            <w:tcW w:w="1041" w:type="dxa"/>
            <w:gridSpan w:val="2"/>
            <w:tcBorders/>
            <w:shd w:fill="auto" w:val="clear"/>
          </w:tcPr>
          <w:p>
            <w:pPr>
              <w:pStyle w:val="Normal"/>
              <w:rPr/>
            </w:pPr>
            <w:r>
              <w:rPr/>
            </w:r>
          </w:p>
        </w:tc>
        <w:tc>
          <w:tcPr>
            <w:tcW w:w="1039" w:type="dxa"/>
            <w:gridSpan w:val="2"/>
            <w:tcBorders/>
            <w:shd w:fill="auto" w:val="clear"/>
          </w:tcPr>
          <w:p>
            <w:pPr>
              <w:pStyle w:val="Normal"/>
              <w:rPr/>
            </w:pPr>
            <w:r>
              <w:rPr/>
            </w:r>
          </w:p>
        </w:tc>
        <w:tc>
          <w:tcPr>
            <w:tcW w:w="1042" w:type="dxa"/>
            <w:gridSpan w:val="2"/>
            <w:tcBorders/>
            <w:shd w:fill="auto" w:val="clear"/>
          </w:tcPr>
          <w:p>
            <w:pPr>
              <w:pStyle w:val="Normal"/>
              <w:rPr/>
            </w:pPr>
            <w:r>
              <w:rPr/>
            </w:r>
          </w:p>
        </w:tc>
      </w:tr>
      <w:tr>
        <w:trPr>
          <w:trHeight w:val="240" w:hRule="atLeast"/>
        </w:trPr>
        <w:tc>
          <w:tcPr>
            <w:tcW w:w="2999" w:type="dxa"/>
            <w:gridSpan w:val="3"/>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r>
          </w:p>
        </w:tc>
        <w:tc>
          <w:tcPr>
            <w:tcW w:w="78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12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39"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4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39" w:type="dxa"/>
            <w:gridSpan w:val="3"/>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761" w:type="dxa"/>
            <w:tcBorders/>
            <w:shd w:fill="auto" w:val="clear"/>
          </w:tcPr>
          <w:p>
            <w:pPr>
              <w:pStyle w:val="Normal"/>
              <w:rPr/>
            </w:pPr>
            <w:r>
              <w:rPr/>
            </w:r>
          </w:p>
        </w:tc>
        <w:tc>
          <w:tcPr>
            <w:tcW w:w="1039" w:type="dxa"/>
            <w:gridSpan w:val="2"/>
            <w:tcBorders/>
            <w:shd w:fill="auto" w:val="clear"/>
          </w:tcPr>
          <w:p>
            <w:pPr>
              <w:pStyle w:val="Normal"/>
              <w:rPr/>
            </w:pPr>
            <w:r>
              <w:rPr/>
            </w:r>
          </w:p>
        </w:tc>
        <w:tc>
          <w:tcPr>
            <w:tcW w:w="1041" w:type="dxa"/>
            <w:gridSpan w:val="2"/>
            <w:tcBorders/>
            <w:shd w:fill="auto" w:val="clear"/>
          </w:tcPr>
          <w:p>
            <w:pPr>
              <w:pStyle w:val="Normal"/>
              <w:rPr/>
            </w:pPr>
            <w:r>
              <w:rPr/>
            </w:r>
          </w:p>
        </w:tc>
        <w:tc>
          <w:tcPr>
            <w:tcW w:w="1039" w:type="dxa"/>
            <w:gridSpan w:val="2"/>
            <w:tcBorders/>
            <w:shd w:fill="auto" w:val="clear"/>
          </w:tcPr>
          <w:p>
            <w:pPr>
              <w:pStyle w:val="Normal"/>
              <w:rPr/>
            </w:pPr>
            <w:r>
              <w:rPr/>
            </w:r>
          </w:p>
        </w:tc>
        <w:tc>
          <w:tcPr>
            <w:tcW w:w="1042" w:type="dxa"/>
            <w:gridSpan w:val="2"/>
            <w:tcBorders/>
            <w:shd w:fill="auto" w:val="clear"/>
          </w:tcPr>
          <w:p>
            <w:pPr>
              <w:pStyle w:val="Normal"/>
              <w:rPr/>
            </w:pPr>
            <w:r>
              <w:rPr/>
            </w:r>
          </w:p>
        </w:tc>
      </w:tr>
      <w:tr>
        <w:trPr>
          <w:trHeight w:val="240" w:hRule="atLeast"/>
        </w:trPr>
        <w:tc>
          <w:tcPr>
            <w:tcW w:w="2999" w:type="dxa"/>
            <w:gridSpan w:val="3"/>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r>
          </w:p>
        </w:tc>
        <w:tc>
          <w:tcPr>
            <w:tcW w:w="78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12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39"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4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39" w:type="dxa"/>
            <w:gridSpan w:val="3"/>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761" w:type="dxa"/>
            <w:tcBorders/>
            <w:shd w:fill="auto" w:val="clear"/>
          </w:tcPr>
          <w:p>
            <w:pPr>
              <w:pStyle w:val="Normal"/>
              <w:rPr/>
            </w:pPr>
            <w:r>
              <w:rPr/>
            </w:r>
          </w:p>
        </w:tc>
        <w:tc>
          <w:tcPr>
            <w:tcW w:w="1039" w:type="dxa"/>
            <w:gridSpan w:val="2"/>
            <w:tcBorders/>
            <w:shd w:fill="auto" w:val="clear"/>
          </w:tcPr>
          <w:p>
            <w:pPr>
              <w:pStyle w:val="Normal"/>
              <w:rPr/>
            </w:pPr>
            <w:r>
              <w:rPr/>
            </w:r>
          </w:p>
        </w:tc>
        <w:tc>
          <w:tcPr>
            <w:tcW w:w="1041" w:type="dxa"/>
            <w:gridSpan w:val="2"/>
            <w:tcBorders/>
            <w:shd w:fill="auto" w:val="clear"/>
          </w:tcPr>
          <w:p>
            <w:pPr>
              <w:pStyle w:val="Normal"/>
              <w:rPr/>
            </w:pPr>
            <w:r>
              <w:rPr/>
            </w:r>
          </w:p>
        </w:tc>
        <w:tc>
          <w:tcPr>
            <w:tcW w:w="1039" w:type="dxa"/>
            <w:gridSpan w:val="2"/>
            <w:tcBorders/>
            <w:shd w:fill="auto" w:val="clear"/>
          </w:tcPr>
          <w:p>
            <w:pPr>
              <w:pStyle w:val="Normal"/>
              <w:rPr/>
            </w:pPr>
            <w:r>
              <w:rPr/>
            </w:r>
          </w:p>
        </w:tc>
        <w:tc>
          <w:tcPr>
            <w:tcW w:w="1042" w:type="dxa"/>
            <w:gridSpan w:val="2"/>
            <w:tcBorders/>
            <w:shd w:fill="auto" w:val="clear"/>
          </w:tcPr>
          <w:p>
            <w:pPr>
              <w:pStyle w:val="Normal"/>
              <w:rPr/>
            </w:pPr>
            <w:r>
              <w:rPr/>
            </w:r>
          </w:p>
        </w:tc>
      </w:tr>
      <w:tr>
        <w:trPr>
          <w:trHeight w:val="240" w:hRule="atLeast"/>
        </w:trPr>
        <w:tc>
          <w:tcPr>
            <w:tcW w:w="2999" w:type="dxa"/>
            <w:gridSpan w:val="3"/>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r>
          </w:p>
        </w:tc>
        <w:tc>
          <w:tcPr>
            <w:tcW w:w="78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12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39"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40" w:type="dxa"/>
            <w:gridSpan w:val="2"/>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39" w:type="dxa"/>
            <w:gridSpan w:val="3"/>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761" w:type="dxa"/>
            <w:tcBorders/>
            <w:shd w:fill="auto" w:val="clear"/>
          </w:tcPr>
          <w:p>
            <w:pPr>
              <w:pStyle w:val="Normal"/>
              <w:rPr/>
            </w:pPr>
            <w:r>
              <w:rPr/>
            </w:r>
          </w:p>
        </w:tc>
        <w:tc>
          <w:tcPr>
            <w:tcW w:w="1039" w:type="dxa"/>
            <w:gridSpan w:val="2"/>
            <w:tcBorders/>
            <w:shd w:fill="auto" w:val="clear"/>
          </w:tcPr>
          <w:p>
            <w:pPr>
              <w:pStyle w:val="Normal"/>
              <w:rPr/>
            </w:pPr>
            <w:r>
              <w:rPr/>
            </w:r>
          </w:p>
        </w:tc>
        <w:tc>
          <w:tcPr>
            <w:tcW w:w="1041" w:type="dxa"/>
            <w:gridSpan w:val="2"/>
            <w:tcBorders/>
            <w:shd w:fill="auto" w:val="clear"/>
          </w:tcPr>
          <w:p>
            <w:pPr>
              <w:pStyle w:val="Normal"/>
              <w:rPr/>
            </w:pPr>
            <w:r>
              <w:rPr/>
            </w:r>
          </w:p>
        </w:tc>
        <w:tc>
          <w:tcPr>
            <w:tcW w:w="1039" w:type="dxa"/>
            <w:gridSpan w:val="2"/>
            <w:tcBorders/>
            <w:shd w:fill="auto" w:val="clear"/>
          </w:tcPr>
          <w:p>
            <w:pPr>
              <w:pStyle w:val="Normal"/>
              <w:rPr/>
            </w:pPr>
            <w:r>
              <w:rPr/>
            </w:r>
          </w:p>
        </w:tc>
        <w:tc>
          <w:tcPr>
            <w:tcW w:w="1042" w:type="dxa"/>
            <w:gridSpan w:val="2"/>
            <w:tcBorders/>
            <w:shd w:fill="auto" w:val="clear"/>
          </w:tcPr>
          <w:p>
            <w:pPr>
              <w:pStyle w:val="Normal"/>
              <w:rPr/>
            </w:pPr>
            <w:bookmarkStart w:id="31" w:name="FWT_T9b"/>
            <w:bookmarkStart w:id="32" w:name="FWT_T9b"/>
            <w:bookmarkEnd w:id="32"/>
            <w:r>
              <w:rPr/>
            </w:r>
          </w:p>
        </w:tc>
      </w:tr>
    </w:tbl>
    <w:p>
      <w:pPr>
        <w:pStyle w:val="Nadpis2"/>
        <w:numPr>
          <w:ilvl w:val="1"/>
          <w:numId w:val="2"/>
        </w:numPr>
        <w:rPr/>
      </w:pPr>
      <w:r>
        <w:rPr/>
        <w:t>Zásoby</w:t>
      </w:r>
    </w:p>
    <w:p>
      <w:pPr>
        <w:pStyle w:val="Odstavec"/>
        <w:rPr>
          <w:rFonts w:ascii="Arial" w:hAnsi="Arial" w:cs="Arial"/>
        </w:rPr>
      </w:pPr>
      <w:r>
        <w:rPr>
          <w:rFonts w:cs="Arial" w:ascii="Arial" w:hAnsi="Arial"/>
        </w:rPr>
        <w:t>Spoločnosť netvorila opravné položky k zásobám v priebehu bežného a predchádzajúceho účtovného obdobia.</w:t>
      </w:r>
    </w:p>
    <w:p>
      <w:pPr>
        <w:pStyle w:val="Odstavec"/>
        <w:rPr>
          <w:rFonts w:ascii="Arial" w:hAnsi="Arial" w:cs="Arial"/>
        </w:rPr>
      </w:pPr>
      <w:r>
        <w:rPr>
          <w:rFonts w:cs="Arial" w:ascii="Arial" w:hAnsi="Arial"/>
        </w:rPr>
      </w:r>
    </w:p>
    <w:p>
      <w:pPr>
        <w:pStyle w:val="Nadpis2"/>
        <w:numPr>
          <w:ilvl w:val="1"/>
          <w:numId w:val="2"/>
        </w:numPr>
        <w:rPr/>
      </w:pPr>
      <w:r>
        <w:rPr/>
        <w:t>Pohľadávky</w:t>
      </w:r>
    </w:p>
    <w:p>
      <w:pPr>
        <w:pStyle w:val="Odstavec"/>
        <w:rPr>
          <w:rFonts w:ascii="Arial" w:hAnsi="Arial" w:cs="Arial"/>
          <w:highlight w:val="yellow"/>
        </w:rPr>
      </w:pPr>
      <w:r>
        <w:rPr>
          <w:rFonts w:cs="Arial" w:ascii="Arial" w:hAnsi="Arial"/>
        </w:rPr>
        <w:t>Dlhodobé pohľadávky Spoločnosti sú v lehote splatnosti. Veková štruktúra krátkodobých pohľadávok Spoločnosti k 31. decembru 2024 je uvedená v nasledujúcej tabuľke:</w:t>
      </w:r>
      <w:r>
        <w:rPr>
          <w:rFonts w:cs="Arial" w:ascii="Arial" w:hAnsi="Arial"/>
          <w:highlight w:val="yellow"/>
        </w:rPr>
        <w:t xml:space="preserve"> </w:t>
      </w:r>
    </w:p>
    <w:p>
      <w:pPr>
        <w:pStyle w:val="Odstavec"/>
        <w:rPr>
          <w:rFonts w:ascii="Arial" w:hAnsi="Arial" w:cs="Arial"/>
          <w:highlight w:val="yellow"/>
        </w:rPr>
      </w:pPr>
      <w:r>
        <w:rPr>
          <w:rFonts w:cs="Arial" w:ascii="Arial" w:hAnsi="Arial"/>
          <w:highlight w:val="yellow"/>
        </w:rPr>
      </w:r>
    </w:p>
    <w:tbl>
      <w:tblPr>
        <w:tblW w:w="9240" w:type="dxa"/>
        <w:jc w:val="left"/>
        <w:tblInd w:w="482" w:type="dxa"/>
        <w:tblBorders>
          <w:bottom w:val="single" w:sz="4" w:space="0" w:color="00000A"/>
          <w:insideH w:val="single" w:sz="4" w:space="0" w:color="00000A"/>
        </w:tblBorders>
        <w:tblCellMar>
          <w:top w:w="0" w:type="dxa"/>
          <w:left w:w="70" w:type="dxa"/>
          <w:bottom w:w="0" w:type="dxa"/>
          <w:right w:w="70" w:type="dxa"/>
        </w:tblCellMar>
        <w:tblLook w:firstRow="1" w:noVBand="1" w:lastRow="0" w:firstColumn="1" w:lastColumn="0" w:noHBand="0" w:val="04a0"/>
      </w:tblPr>
      <w:tblGrid>
        <w:gridCol w:w="5339"/>
        <w:gridCol w:w="1300"/>
        <w:gridCol w:w="1300"/>
        <w:gridCol w:w="1300"/>
      </w:tblGrid>
      <w:tr>
        <w:trPr>
          <w:trHeight w:val="480" w:hRule="atLeast"/>
        </w:trPr>
        <w:tc>
          <w:tcPr>
            <w:tcW w:w="533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bookmarkStart w:id="33" w:name="RANGE!B3:E17"/>
            <w:bookmarkEnd w:id="33"/>
            <w:r>
              <w:rPr>
                <w:rFonts w:cs="Arial" w:ascii="Arial" w:hAnsi="Arial"/>
                <w:b/>
                <w:bCs/>
                <w:sz w:val="18"/>
                <w:szCs w:val="18"/>
              </w:rPr>
              <w:t>Názov položky</w:t>
            </w:r>
          </w:p>
        </w:tc>
        <w:tc>
          <w:tcPr>
            <w:tcW w:w="130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V lehote splatnosti</w:t>
            </w:r>
          </w:p>
        </w:tc>
        <w:tc>
          <w:tcPr>
            <w:tcW w:w="130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Po lehote splatnosti</w:t>
            </w:r>
          </w:p>
        </w:tc>
        <w:tc>
          <w:tcPr>
            <w:tcW w:w="130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Pohľadávky spolu</w:t>
            </w:r>
          </w:p>
        </w:tc>
      </w:tr>
      <w:tr>
        <w:trPr>
          <w:trHeight w:val="240" w:hRule="atLeast"/>
        </w:trPr>
        <w:tc>
          <w:tcPr>
            <w:tcW w:w="5339" w:type="dxa"/>
            <w:tcBorders>
              <w:top w:val="single" w:sz="4" w:space="0" w:color="00000A"/>
              <w:bottom w:val="single" w:sz="4" w:space="0" w:color="00000A"/>
              <w:insideH w:val="single" w:sz="4" w:space="0" w:color="00000A"/>
            </w:tcBorders>
            <w:shd w:color="auto" w:fill="auto" w:val="clear"/>
            <w:vAlign w:val="center"/>
          </w:tcPr>
          <w:p>
            <w:pPr>
              <w:pStyle w:val="Normal"/>
              <w:rPr>
                <w:rFonts w:ascii="Arial" w:hAnsi="Arial" w:cs="Arial"/>
                <w:sz w:val="18"/>
                <w:szCs w:val="18"/>
              </w:rPr>
            </w:pPr>
            <w:r>
              <w:rPr>
                <w:rFonts w:cs="Arial" w:ascii="Arial" w:hAnsi="Arial"/>
                <w:sz w:val="18"/>
                <w:szCs w:val="18"/>
              </w:rPr>
              <w:t>Ostatné pohľadávky z obchodného styku</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11 033</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Cs/>
                <w:sz w:val="18"/>
                <w:szCs w:val="18"/>
              </w:rPr>
              <w:t>0</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11 033</w:t>
            </w:r>
          </w:p>
        </w:tc>
      </w:tr>
      <w:tr>
        <w:trPr>
          <w:trHeight w:val="240" w:hRule="atLeast"/>
        </w:trPr>
        <w:tc>
          <w:tcPr>
            <w:tcW w:w="5339" w:type="dxa"/>
            <w:tcBorders>
              <w:top w:val="single" w:sz="4" w:space="0" w:color="00000A"/>
              <w:bottom w:val="single" w:sz="4" w:space="0" w:color="00000A"/>
              <w:insideH w:val="single" w:sz="4" w:space="0" w:color="00000A"/>
            </w:tcBorders>
            <w:shd w:color="auto" w:fill="auto" w:val="clear"/>
            <w:vAlign w:val="center"/>
          </w:tcPr>
          <w:p>
            <w:pPr>
              <w:pStyle w:val="Normal"/>
              <w:rPr>
                <w:rFonts w:ascii="Arial" w:hAnsi="Arial" w:cs="Arial"/>
                <w:sz w:val="18"/>
                <w:szCs w:val="18"/>
              </w:rPr>
            </w:pPr>
            <w:r>
              <w:rPr>
                <w:rFonts w:cs="Arial" w:ascii="Arial" w:hAnsi="Arial"/>
                <w:sz w:val="18"/>
                <w:szCs w:val="18"/>
              </w:rPr>
              <w:t>Daňové pohľadávky a dotácie</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Cs/>
                <w:sz w:val="18"/>
                <w:szCs w:val="18"/>
              </w:rPr>
            </w:pPr>
            <w:r>
              <w:rPr>
                <w:rFonts w:cs="Arial" w:ascii="Arial" w:hAnsi="Arial"/>
                <w:bCs/>
                <w:sz w:val="18"/>
                <w:szCs w:val="18"/>
              </w:rPr>
              <w:t>0</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Cs/>
                <w:sz w:val="18"/>
                <w:szCs w:val="18"/>
              </w:rPr>
            </w:pPr>
            <w:r>
              <w:rPr>
                <w:rFonts w:cs="Arial" w:ascii="Arial" w:hAnsi="Arial"/>
                <w:bCs/>
                <w:sz w:val="18"/>
                <w:szCs w:val="18"/>
              </w:rPr>
              <w:t>0</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Cs/>
                <w:sz w:val="18"/>
                <w:szCs w:val="18"/>
              </w:rPr>
            </w:pPr>
            <w:r>
              <w:rPr>
                <w:rFonts w:cs="Arial" w:ascii="Arial" w:hAnsi="Arial"/>
                <w:bCs/>
                <w:sz w:val="18"/>
                <w:szCs w:val="18"/>
              </w:rPr>
              <w:t>0</w:t>
            </w:r>
          </w:p>
        </w:tc>
      </w:tr>
      <w:tr>
        <w:trPr>
          <w:trHeight w:val="255" w:hRule="atLeast"/>
        </w:trPr>
        <w:tc>
          <w:tcPr>
            <w:tcW w:w="5339"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Krátkodobé pohľadávky spolu</w:t>
            </w:r>
          </w:p>
        </w:tc>
        <w:tc>
          <w:tcPr>
            <w:tcW w:w="130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11 033</w:t>
            </w:r>
          </w:p>
        </w:tc>
        <w:tc>
          <w:tcPr>
            <w:tcW w:w="130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0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11 033</w:t>
            </w:r>
          </w:p>
        </w:tc>
      </w:tr>
    </w:tbl>
    <w:p>
      <w:pPr>
        <w:pStyle w:val="Odstavec"/>
        <w:ind w:left="482" w:hanging="0"/>
        <w:rPr>
          <w:rFonts w:ascii="Arial" w:hAnsi="Arial" w:cs="Arial"/>
          <w:highlight w:val="yellow"/>
        </w:rPr>
      </w:pPr>
      <w:bookmarkStart w:id="34" w:name="FWT_T15a"/>
      <w:bookmarkStart w:id="35" w:name="FWT_T15a"/>
      <w:bookmarkEnd w:id="35"/>
      <w:r>
        <w:rPr>
          <w:rFonts w:cs="Arial" w:ascii="Arial" w:hAnsi="Arial"/>
          <w:highlight w:val="yellow"/>
        </w:rPr>
      </w:r>
    </w:p>
    <w:p>
      <w:pPr>
        <w:pStyle w:val="Odstavec"/>
        <w:rPr>
          <w:rFonts w:ascii="Arial" w:hAnsi="Arial" w:cs="Arial"/>
        </w:rPr>
      </w:pPr>
      <w:r>
        <w:rPr>
          <w:rFonts w:cs="Arial" w:ascii="Arial" w:hAnsi="Arial"/>
        </w:rPr>
        <w:t>Informácie za predchádzajúce účtovné obdobie sú uvedené v nasledujúcej tabuľke:</w:t>
      </w:r>
    </w:p>
    <w:tbl>
      <w:tblPr>
        <w:tblW w:w="9240" w:type="dxa"/>
        <w:jc w:val="left"/>
        <w:tblInd w:w="482" w:type="dxa"/>
        <w:tblBorders>
          <w:bottom w:val="single" w:sz="4" w:space="0" w:color="00000A"/>
          <w:insideH w:val="single" w:sz="4" w:space="0" w:color="00000A"/>
        </w:tblBorders>
        <w:tblCellMar>
          <w:top w:w="0" w:type="dxa"/>
          <w:left w:w="70" w:type="dxa"/>
          <w:bottom w:w="0" w:type="dxa"/>
          <w:right w:w="70" w:type="dxa"/>
        </w:tblCellMar>
        <w:tblLook w:firstRow="1" w:noVBand="1" w:lastRow="0" w:firstColumn="1" w:lastColumn="0" w:noHBand="0" w:val="04a0"/>
      </w:tblPr>
      <w:tblGrid>
        <w:gridCol w:w="5339"/>
        <w:gridCol w:w="1300"/>
        <w:gridCol w:w="1300"/>
        <w:gridCol w:w="1300"/>
      </w:tblGrid>
      <w:tr>
        <w:trPr>
          <w:trHeight w:val="480" w:hRule="atLeast"/>
        </w:trPr>
        <w:tc>
          <w:tcPr>
            <w:tcW w:w="533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Názov položky</w:t>
            </w:r>
          </w:p>
        </w:tc>
        <w:tc>
          <w:tcPr>
            <w:tcW w:w="130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V lehote splatnosti</w:t>
            </w:r>
          </w:p>
        </w:tc>
        <w:tc>
          <w:tcPr>
            <w:tcW w:w="130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Po lehote splatnosti</w:t>
            </w:r>
          </w:p>
        </w:tc>
        <w:tc>
          <w:tcPr>
            <w:tcW w:w="130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Pohľadávky spolu</w:t>
            </w:r>
          </w:p>
        </w:tc>
      </w:tr>
      <w:tr>
        <w:trPr>
          <w:trHeight w:val="240" w:hRule="atLeast"/>
        </w:trPr>
        <w:tc>
          <w:tcPr>
            <w:tcW w:w="5339" w:type="dxa"/>
            <w:tcBorders>
              <w:top w:val="single" w:sz="4" w:space="0" w:color="00000A"/>
              <w:bottom w:val="single" w:sz="4" w:space="0" w:color="00000A"/>
              <w:insideH w:val="single" w:sz="4" w:space="0" w:color="00000A"/>
            </w:tcBorders>
            <w:shd w:color="auto" w:fill="auto" w:val="clear"/>
            <w:vAlign w:val="center"/>
          </w:tcPr>
          <w:p>
            <w:pPr>
              <w:pStyle w:val="Normal"/>
              <w:rPr>
                <w:rFonts w:ascii="Arial" w:hAnsi="Arial" w:cs="Arial"/>
                <w:sz w:val="18"/>
                <w:szCs w:val="18"/>
              </w:rPr>
            </w:pPr>
            <w:r>
              <w:rPr>
                <w:rFonts w:cs="Arial" w:ascii="Arial" w:hAnsi="Arial"/>
                <w:sz w:val="18"/>
                <w:szCs w:val="18"/>
              </w:rPr>
              <w:t>Ostatné pohľadávky z obchodného styku</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30 762</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bCs/>
                <w:sz w:val="18"/>
                <w:szCs w:val="18"/>
              </w:rPr>
              <w:t>0</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30762</w:t>
            </w:r>
          </w:p>
        </w:tc>
      </w:tr>
      <w:tr>
        <w:trPr>
          <w:trHeight w:val="240" w:hRule="atLeast"/>
        </w:trPr>
        <w:tc>
          <w:tcPr>
            <w:tcW w:w="5339" w:type="dxa"/>
            <w:tcBorders>
              <w:top w:val="single" w:sz="4" w:space="0" w:color="00000A"/>
              <w:bottom w:val="single" w:sz="4" w:space="0" w:color="00000A"/>
              <w:insideH w:val="single" w:sz="4" w:space="0" w:color="00000A"/>
            </w:tcBorders>
            <w:shd w:color="auto" w:fill="auto" w:val="clear"/>
            <w:vAlign w:val="center"/>
          </w:tcPr>
          <w:p>
            <w:pPr>
              <w:pStyle w:val="Normal"/>
              <w:rPr>
                <w:rFonts w:ascii="Arial" w:hAnsi="Arial" w:cs="Arial"/>
                <w:sz w:val="18"/>
                <w:szCs w:val="18"/>
              </w:rPr>
            </w:pPr>
            <w:r>
              <w:rPr>
                <w:rFonts w:cs="Arial" w:ascii="Arial" w:hAnsi="Arial"/>
                <w:sz w:val="18"/>
                <w:szCs w:val="18"/>
              </w:rPr>
              <w:t>Daňové pohľadávky a dotácie</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Cs/>
                <w:sz w:val="18"/>
                <w:szCs w:val="18"/>
              </w:rPr>
            </w:pPr>
            <w:r>
              <w:rPr>
                <w:rFonts w:cs="Arial" w:ascii="Arial" w:hAnsi="Arial"/>
                <w:bCs/>
                <w:sz w:val="18"/>
                <w:szCs w:val="18"/>
              </w:rPr>
              <w:t>0</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Cs/>
                <w:sz w:val="18"/>
                <w:szCs w:val="18"/>
              </w:rPr>
            </w:pPr>
            <w:r>
              <w:rPr>
                <w:rFonts w:cs="Arial" w:ascii="Arial" w:hAnsi="Arial"/>
                <w:bCs/>
                <w:sz w:val="18"/>
                <w:szCs w:val="18"/>
              </w:rPr>
              <w:t>0</w:t>
            </w:r>
          </w:p>
        </w:tc>
        <w:tc>
          <w:tcPr>
            <w:tcW w:w="13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Cs/>
                <w:sz w:val="18"/>
                <w:szCs w:val="18"/>
              </w:rPr>
            </w:pPr>
            <w:r>
              <w:rPr>
                <w:rFonts w:cs="Arial" w:ascii="Arial" w:hAnsi="Arial"/>
                <w:bCs/>
                <w:sz w:val="18"/>
                <w:szCs w:val="18"/>
              </w:rPr>
              <w:t>0</w:t>
            </w:r>
          </w:p>
        </w:tc>
      </w:tr>
      <w:tr>
        <w:trPr>
          <w:trHeight w:val="255" w:hRule="atLeast"/>
        </w:trPr>
        <w:tc>
          <w:tcPr>
            <w:tcW w:w="5339"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Krátkodobé pohľadávky spolu</w:t>
            </w:r>
          </w:p>
        </w:tc>
        <w:tc>
          <w:tcPr>
            <w:tcW w:w="130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30 762</w:t>
            </w:r>
          </w:p>
        </w:tc>
        <w:tc>
          <w:tcPr>
            <w:tcW w:w="130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30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30 762</w:t>
            </w:r>
          </w:p>
        </w:tc>
      </w:tr>
    </w:tbl>
    <w:p>
      <w:pPr>
        <w:pStyle w:val="Odstavec"/>
        <w:rPr>
          <w:rFonts w:ascii="Arial" w:hAnsi="Arial" w:cs="Arial"/>
        </w:rPr>
      </w:pPr>
      <w:r>
        <w:rPr>
          <w:rFonts w:cs="Arial" w:ascii="Arial" w:hAnsi="Arial"/>
        </w:rPr>
      </w:r>
    </w:p>
    <w:p>
      <w:pPr>
        <w:pStyle w:val="Nadpis2"/>
        <w:numPr>
          <w:ilvl w:val="1"/>
          <w:numId w:val="2"/>
        </w:numPr>
        <w:rPr/>
      </w:pPr>
      <w:r>
        <w:rPr/>
        <w:t>Finančné účty</w:t>
      </w:r>
    </w:p>
    <w:p>
      <w:pPr>
        <w:pStyle w:val="Odstavec"/>
        <w:rPr>
          <w:rFonts w:ascii="Arial" w:hAnsi="Arial" w:cs="Arial"/>
        </w:rPr>
      </w:pPr>
      <w:r>
        <w:rPr>
          <w:rFonts w:cs="Arial" w:ascii="Arial" w:hAnsi="Arial"/>
        </w:rPr>
        <w:t>Finančnými účtami  môže Spoločnosť voľne disponovať.</w:t>
      </w:r>
    </w:p>
    <w:p>
      <w:pPr>
        <w:pStyle w:val="Nadpis1"/>
        <w:numPr>
          <w:ilvl w:val="0"/>
          <w:numId w:val="0"/>
        </w:numPr>
        <w:rPr>
          <w:rFonts w:ascii="Arial" w:hAnsi="Arial"/>
          <w:sz w:val="20"/>
          <w:szCs w:val="20"/>
        </w:rPr>
      </w:pPr>
      <w:r>
        <w:rPr>
          <w:rFonts w:ascii="Arial" w:hAnsi="Arial"/>
          <w:sz w:val="20"/>
          <w:szCs w:val="20"/>
        </w:rPr>
      </w:r>
    </w:p>
    <w:p>
      <w:pPr>
        <w:pStyle w:val="Nadpis1"/>
        <w:numPr>
          <w:ilvl w:val="0"/>
          <w:numId w:val="0"/>
        </w:numPr>
        <w:ind w:left="426" w:hanging="0"/>
        <w:rPr>
          <w:rFonts w:ascii="Arial" w:hAnsi="Arial"/>
          <w:sz w:val="20"/>
          <w:szCs w:val="20"/>
        </w:rPr>
      </w:pPr>
      <w:r>
        <w:rPr>
          <w:rFonts w:ascii="Arial" w:hAnsi="Arial"/>
          <w:sz w:val="20"/>
          <w:szCs w:val="20"/>
        </w:rPr>
        <w:t>PASÍVA</w:t>
      </w:r>
    </w:p>
    <w:p>
      <w:pPr>
        <w:pStyle w:val="Nadpis2"/>
        <w:numPr>
          <w:ilvl w:val="1"/>
          <w:numId w:val="7"/>
        </w:numPr>
        <w:rPr/>
      </w:pPr>
      <w:r>
        <w:rPr/>
        <w:t>Vlastné imanie</w:t>
      </w:r>
    </w:p>
    <w:p>
      <w:pPr>
        <w:pStyle w:val="Odstavec"/>
        <w:rPr>
          <w:rFonts w:ascii="Arial" w:hAnsi="Arial" w:cs="Arial"/>
        </w:rPr>
      </w:pPr>
      <w:r>
        <w:rPr>
          <w:rFonts w:cs="Arial" w:ascii="Arial" w:hAnsi="Arial"/>
        </w:rPr>
        <w:t>Prehľad pohybu vlastného imania v priebehu bežného a predchádzajúceho účtovného obdobia je uvedený v nasledujúcich tabuľkách:</w:t>
      </w:r>
    </w:p>
    <w:tbl>
      <w:tblPr>
        <w:tblW w:w="9220" w:type="dxa"/>
        <w:jc w:val="left"/>
        <w:tblInd w:w="482" w:type="dxa"/>
        <w:tblBorders>
          <w:bottom w:val="single" w:sz="4" w:space="0" w:color="00000A"/>
          <w:insideH w:val="single" w:sz="4" w:space="0" w:color="00000A"/>
        </w:tblBorders>
        <w:tblCellMar>
          <w:top w:w="0" w:type="dxa"/>
          <w:left w:w="70" w:type="dxa"/>
          <w:bottom w:w="0" w:type="dxa"/>
          <w:right w:w="70" w:type="dxa"/>
        </w:tblCellMar>
        <w:tblLook w:firstRow="1" w:noVBand="1" w:lastRow="0" w:firstColumn="1" w:lastColumn="0" w:noHBand="0" w:val="04a0"/>
      </w:tblPr>
      <w:tblGrid>
        <w:gridCol w:w="4099"/>
        <w:gridCol w:w="1019"/>
        <w:gridCol w:w="1019"/>
        <w:gridCol w:w="1020"/>
        <w:gridCol w:w="1020"/>
        <w:gridCol w:w="1042"/>
      </w:tblGrid>
      <w:tr>
        <w:trPr>
          <w:trHeight w:val="480" w:hRule="atLeast"/>
        </w:trPr>
        <w:tc>
          <w:tcPr>
            <w:tcW w:w="409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bookmarkStart w:id="36" w:name="RANGE!B3:G19"/>
            <w:bookmarkEnd w:id="36"/>
            <w:r>
              <w:rPr>
                <w:rFonts w:cs="Arial" w:ascii="Arial" w:hAnsi="Arial"/>
                <w:b/>
                <w:bCs/>
                <w:sz w:val="18"/>
                <w:szCs w:val="18"/>
              </w:rPr>
              <w:t>Položka vlastného imania</w:t>
            </w:r>
          </w:p>
        </w:tc>
        <w:tc>
          <w:tcPr>
            <w:tcW w:w="101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Stav k 1.1.2024</w:t>
            </w:r>
          </w:p>
        </w:tc>
        <w:tc>
          <w:tcPr>
            <w:tcW w:w="1019"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 xml:space="preserve">Prírastky </w:t>
            </w:r>
          </w:p>
        </w:tc>
        <w:tc>
          <w:tcPr>
            <w:tcW w:w="102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 xml:space="preserve">Úbytky </w:t>
            </w:r>
          </w:p>
        </w:tc>
        <w:tc>
          <w:tcPr>
            <w:tcW w:w="1020"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Presuny</w:t>
            </w:r>
          </w:p>
        </w:tc>
        <w:tc>
          <w:tcPr>
            <w:tcW w:w="1042"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Stav k 31.12.2024</w:t>
            </w:r>
          </w:p>
        </w:tc>
      </w:tr>
      <w:tr>
        <w:trPr>
          <w:trHeight w:val="255" w:hRule="atLeast"/>
        </w:trPr>
        <w:tc>
          <w:tcPr>
            <w:tcW w:w="4099"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Základné imanie</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6 639</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4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6 639</w:t>
            </w:r>
          </w:p>
        </w:tc>
      </w:tr>
      <w:tr>
        <w:trPr>
          <w:trHeight w:val="240" w:hRule="atLeast"/>
        </w:trPr>
        <w:tc>
          <w:tcPr>
            <w:tcW w:w="4099"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Ostatné kapitálové fondy</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117 900</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4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117 900</w:t>
            </w:r>
          </w:p>
        </w:tc>
      </w:tr>
      <w:tr>
        <w:trPr>
          <w:trHeight w:val="240" w:hRule="atLeast"/>
        </w:trPr>
        <w:tc>
          <w:tcPr>
            <w:tcW w:w="4099"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Zákonný rezervný fond a nedeliteľný fond</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664</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4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664</w:t>
            </w:r>
          </w:p>
        </w:tc>
      </w:tr>
      <w:tr>
        <w:trPr>
          <w:trHeight w:val="240" w:hRule="atLeast"/>
        </w:trPr>
        <w:tc>
          <w:tcPr>
            <w:tcW w:w="4099"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Nerozdelený zisk minulých rokov</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7 833</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899</w:t>
            </w:r>
          </w:p>
        </w:tc>
        <w:tc>
          <w:tcPr>
            <w:tcW w:w="104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8 732</w:t>
            </w:r>
          </w:p>
        </w:tc>
      </w:tr>
      <w:tr>
        <w:trPr>
          <w:trHeight w:val="240" w:hRule="atLeast"/>
        </w:trPr>
        <w:tc>
          <w:tcPr>
            <w:tcW w:w="4099"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Neuhradená strata minulých rokov</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-102 052</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4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-102 052</w:t>
            </w:r>
          </w:p>
        </w:tc>
      </w:tr>
      <w:tr>
        <w:trPr>
          <w:trHeight w:val="480" w:hRule="atLeast"/>
        </w:trPr>
        <w:tc>
          <w:tcPr>
            <w:tcW w:w="4099"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Výsledok hospodárenia bežného účtovného obdobia</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899</w:t>
            </w:r>
          </w:p>
        </w:tc>
        <w:tc>
          <w:tcPr>
            <w:tcW w:w="1019"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62</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2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-899</w:t>
            </w:r>
          </w:p>
        </w:tc>
        <w:tc>
          <w:tcPr>
            <w:tcW w:w="104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62</w:t>
            </w:r>
          </w:p>
        </w:tc>
      </w:tr>
    </w:tbl>
    <w:p>
      <w:pPr>
        <w:pStyle w:val="Odstavec"/>
        <w:ind w:left="0" w:hanging="0"/>
        <w:jc w:val="left"/>
        <w:rPr>
          <w:rFonts w:ascii="Arial" w:hAnsi="Arial" w:cs="Arial"/>
          <w:highlight w:val="yellow"/>
        </w:rPr>
      </w:pPr>
      <w:bookmarkStart w:id="37" w:name="FWT_T48a"/>
      <w:bookmarkStart w:id="38" w:name="FWT_T48a"/>
      <w:bookmarkEnd w:id="38"/>
      <w:r>
        <w:rPr>
          <w:rFonts w:cs="Arial" w:ascii="Arial" w:hAnsi="Arial"/>
          <w:highlight w:val="yellow"/>
        </w:rPr>
      </w:r>
    </w:p>
    <w:p>
      <w:pPr>
        <w:pStyle w:val="Odstavec"/>
        <w:rPr>
          <w:rFonts w:ascii="Arial" w:hAnsi="Arial" w:cs="Arial"/>
        </w:rPr>
      </w:pPr>
      <w:r>
        <w:rPr>
          <w:rFonts w:cs="Arial" w:ascii="Arial" w:hAnsi="Arial"/>
        </w:rPr>
      </w:r>
    </w:p>
    <w:p>
      <w:pPr>
        <w:pStyle w:val="Odstavec"/>
        <w:rPr>
          <w:rFonts w:ascii="Arial" w:hAnsi="Arial" w:cs="Arial"/>
        </w:rPr>
      </w:pPr>
      <w:r>
        <w:rPr>
          <w:rFonts w:cs="Arial" w:ascii="Arial" w:hAnsi="Arial"/>
        </w:rPr>
        <w:t>Účtovný zisk za rok 2023 vo výške 899</w:t>
      </w:r>
      <w:r>
        <w:rPr>
          <w:rFonts w:cs="Arial" w:ascii="Arial" w:hAnsi="Arial"/>
          <w:lang w:val="en-US"/>
        </w:rPr>
        <w:t xml:space="preserve"> </w:t>
      </w:r>
      <w:r>
        <w:rPr>
          <w:rFonts w:cs="Arial" w:ascii="Arial" w:hAnsi="Arial"/>
        </w:rPr>
        <w:t>EUR bol preúčtovaný na účet nerozdelených ziskov minulých rokov.</w:t>
      </w:r>
    </w:p>
    <w:p>
      <w:pPr>
        <w:pStyle w:val="Odstavec"/>
        <w:rPr>
          <w:rFonts w:ascii="Arial" w:hAnsi="Arial" w:cs="Arial"/>
        </w:rPr>
      </w:pPr>
      <w:r>
        <w:rPr>
          <w:rFonts w:cs="Arial" w:ascii="Arial" w:hAnsi="Arial"/>
        </w:rPr>
      </w:r>
    </w:p>
    <w:p>
      <w:pPr>
        <w:pStyle w:val="Odstavec"/>
        <w:rPr>
          <w:rFonts w:ascii="Arial" w:hAnsi="Arial" w:cs="Arial"/>
        </w:rPr>
      </w:pPr>
      <w:r>
        <w:rPr>
          <w:rFonts w:cs="Arial" w:ascii="Arial" w:hAnsi="Arial"/>
        </w:rPr>
        <w:t>Štatutárny orgán navrhuje preúčtovať hospodársky výsledok za rok 2024 na účet nerozdelené zisky minulých rokov.</w:t>
      </w:r>
    </w:p>
    <w:p>
      <w:pPr>
        <w:pStyle w:val="Odstavec"/>
        <w:rPr>
          <w:rFonts w:ascii="Arial" w:hAnsi="Arial" w:cs="Arial"/>
          <w:i/>
          <w:i/>
          <w:color w:val="00B050"/>
        </w:rPr>
      </w:pPr>
      <w:r>
        <w:rPr>
          <w:rFonts w:cs="Arial" w:ascii="Arial" w:hAnsi="Arial"/>
          <w:i/>
          <w:color w:val="00B050"/>
        </w:rPr>
      </w:r>
    </w:p>
    <w:p>
      <w:pPr>
        <w:pStyle w:val="Odstavec"/>
        <w:rPr>
          <w:rFonts w:ascii="Arial" w:hAnsi="Arial" w:cs="Arial"/>
          <w:i/>
          <w:i/>
          <w:color w:val="00B050"/>
        </w:rPr>
      </w:pPr>
      <w:r>
        <w:rPr>
          <w:rFonts w:cs="Arial" w:ascii="Arial" w:hAnsi="Arial"/>
          <w:i/>
          <w:color w:val="00B050"/>
        </w:rPr>
      </w:r>
    </w:p>
    <w:p>
      <w:pPr>
        <w:pStyle w:val="Odstavec"/>
        <w:rPr>
          <w:rFonts w:ascii="Arial" w:hAnsi="Arial" w:cs="Arial"/>
          <w:i/>
          <w:i/>
          <w:color w:val="00B050"/>
        </w:rPr>
      </w:pPr>
      <w:r>
        <w:rPr>
          <w:rFonts w:cs="Arial" w:ascii="Arial" w:hAnsi="Arial"/>
          <w:i/>
          <w:color w:val="00B050"/>
        </w:rPr>
      </w:r>
    </w:p>
    <w:p>
      <w:pPr>
        <w:pStyle w:val="Odstavec"/>
        <w:rPr>
          <w:rFonts w:ascii="Arial" w:hAnsi="Arial" w:cs="Arial"/>
          <w:i/>
          <w:i/>
          <w:color w:val="00B050"/>
        </w:rPr>
      </w:pPr>
      <w:r>
        <w:rPr>
          <w:rFonts w:cs="Arial" w:ascii="Arial" w:hAnsi="Arial"/>
          <w:i/>
          <w:color w:val="00B050"/>
        </w:rPr>
      </w:r>
    </w:p>
    <w:p>
      <w:pPr>
        <w:pStyle w:val="Odstavec"/>
        <w:rPr>
          <w:rFonts w:ascii="Arial" w:hAnsi="Arial" w:cs="Arial"/>
          <w:i/>
          <w:i/>
          <w:color w:val="00B050"/>
        </w:rPr>
      </w:pPr>
      <w:r>
        <w:rPr>
          <w:rFonts w:cs="Arial" w:ascii="Arial" w:hAnsi="Arial"/>
          <w:i/>
          <w:color w:val="00B050"/>
        </w:rPr>
      </w:r>
    </w:p>
    <w:p>
      <w:pPr>
        <w:pStyle w:val="Odstavec"/>
        <w:rPr>
          <w:rFonts w:ascii="Arial" w:hAnsi="Arial" w:cs="Arial"/>
          <w:i/>
          <w:i/>
          <w:color w:val="00B050"/>
        </w:rPr>
      </w:pPr>
      <w:r>
        <w:rPr>
          <w:rFonts w:cs="Arial" w:ascii="Arial" w:hAnsi="Arial"/>
          <w:i/>
          <w:color w:val="00B050"/>
        </w:rPr>
      </w:r>
    </w:p>
    <w:p>
      <w:pPr>
        <w:pStyle w:val="Odstavec"/>
        <w:rPr>
          <w:rFonts w:ascii="Arial" w:hAnsi="Arial" w:cs="Arial"/>
          <w:i/>
          <w:i/>
          <w:color w:val="00B050"/>
        </w:rPr>
      </w:pPr>
      <w:r>
        <w:rPr>
          <w:rFonts w:cs="Arial" w:ascii="Arial" w:hAnsi="Arial"/>
          <w:i/>
          <w:color w:val="00B050"/>
        </w:rPr>
      </w:r>
    </w:p>
    <w:p>
      <w:pPr>
        <w:pStyle w:val="Odstavec"/>
        <w:rPr>
          <w:rFonts w:ascii="Arial" w:hAnsi="Arial" w:cs="Arial"/>
          <w:i/>
          <w:i/>
          <w:color w:val="00B050"/>
        </w:rPr>
      </w:pPr>
      <w:r>
        <w:rPr>
          <w:rFonts w:cs="Arial" w:ascii="Arial" w:hAnsi="Arial"/>
          <w:i/>
          <w:color w:val="00B050"/>
        </w:rPr>
      </w:r>
    </w:p>
    <w:p>
      <w:pPr>
        <w:pStyle w:val="Odstavec"/>
        <w:rPr>
          <w:rFonts w:ascii="Arial" w:hAnsi="Arial" w:cs="Arial"/>
          <w:i/>
          <w:i/>
          <w:color w:val="00B050"/>
        </w:rPr>
      </w:pPr>
      <w:r>
        <w:rPr>
          <w:rFonts w:cs="Arial" w:ascii="Arial" w:hAnsi="Arial"/>
          <w:i/>
          <w:color w:val="00B050"/>
        </w:rPr>
      </w:r>
    </w:p>
    <w:p>
      <w:pPr>
        <w:pStyle w:val="Nadpis2"/>
        <w:numPr>
          <w:ilvl w:val="1"/>
          <w:numId w:val="7"/>
        </w:numPr>
        <w:rPr/>
      </w:pPr>
      <w:r>
        <w:rPr/>
        <w:t>Záväzky</w:t>
      </w:r>
    </w:p>
    <w:p>
      <w:pPr>
        <w:pStyle w:val="Odstavec"/>
        <w:rPr>
          <w:rFonts w:ascii="Arial" w:hAnsi="Arial" w:cs="Arial"/>
        </w:rPr>
      </w:pPr>
      <w:r>
        <w:rPr>
          <w:rFonts w:cs="Arial" w:ascii="Arial" w:hAnsi="Arial"/>
        </w:rPr>
        <w:t>Štruktúra záväzkov podľa zostatkovej doby splatnosti k 31. decembru 2024:</w:t>
      </w:r>
    </w:p>
    <w:p>
      <w:pPr>
        <w:pStyle w:val="Odstavec"/>
        <w:rPr>
          <w:rFonts w:ascii="Arial" w:hAnsi="Arial" w:cs="Arial"/>
        </w:rPr>
      </w:pPr>
      <w:r>
        <w:rPr>
          <w:rFonts w:cs="Arial" w:ascii="Arial" w:hAnsi="Arial"/>
        </w:rPr>
      </w:r>
    </w:p>
    <w:tbl>
      <w:tblPr>
        <w:tblW w:w="9240" w:type="dxa"/>
        <w:jc w:val="left"/>
        <w:tblInd w:w="482" w:type="dxa"/>
        <w:tblBorders>
          <w:bottom w:val="single" w:sz="4" w:space="0" w:color="000001"/>
          <w:insideH w:val="single" w:sz="4" w:space="0" w:color="000001"/>
        </w:tblBorders>
        <w:tblCellMar>
          <w:top w:w="0" w:type="dxa"/>
          <w:left w:w="70" w:type="dxa"/>
          <w:bottom w:w="0" w:type="dxa"/>
          <w:right w:w="70" w:type="dxa"/>
        </w:tblCellMar>
        <w:tblLook w:firstRow="1" w:noVBand="1" w:lastRow="0" w:firstColumn="1" w:lastColumn="0" w:noHBand="0" w:val="04a0"/>
      </w:tblPr>
      <w:tblGrid>
        <w:gridCol w:w="3659"/>
        <w:gridCol w:w="81"/>
        <w:gridCol w:w="1036"/>
        <w:gridCol w:w="62"/>
        <w:gridCol w:w="1054"/>
        <w:gridCol w:w="48"/>
        <w:gridCol w:w="1068"/>
        <w:gridCol w:w="31"/>
        <w:gridCol w:w="1"/>
        <w:gridCol w:w="1084"/>
        <w:gridCol w:w="15"/>
        <w:gridCol w:w="1"/>
        <w:gridCol w:w="1099"/>
      </w:tblGrid>
      <w:tr>
        <w:trPr>
          <w:trHeight w:val="255" w:hRule="atLeast"/>
        </w:trPr>
        <w:tc>
          <w:tcPr>
            <w:tcW w:w="3740" w:type="dxa"/>
            <w:gridSpan w:val="2"/>
            <w:vMerge w:val="restart"/>
            <w:tcBorders>
              <w:bottom w:val="single" w:sz="4" w:space="0" w:color="000001"/>
              <w:insideH w:val="single" w:sz="4" w:space="0" w:color="000001"/>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Názov položky</w:t>
            </w:r>
          </w:p>
        </w:tc>
        <w:tc>
          <w:tcPr>
            <w:tcW w:w="3300" w:type="dxa"/>
            <w:gridSpan w:val="7"/>
            <w:tcBorders>
              <w:bottom w:val="single" w:sz="4" w:space="0" w:color="000001"/>
              <w:insideH w:val="single" w:sz="4" w:space="0" w:color="000001"/>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Záväzky so zostatkovou dobou splatnosti</w:t>
            </w:r>
          </w:p>
        </w:tc>
        <w:tc>
          <w:tcPr>
            <w:tcW w:w="1100" w:type="dxa"/>
            <w:gridSpan w:val="3"/>
            <w:vMerge w:val="restart"/>
            <w:tcBorders>
              <w:bottom w:val="single" w:sz="4" w:space="0" w:color="000001"/>
              <w:insideH w:val="single" w:sz="4" w:space="0" w:color="000001"/>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Záväzky po lehote splatnosti</w:t>
            </w:r>
          </w:p>
        </w:tc>
        <w:tc>
          <w:tcPr>
            <w:tcW w:w="1099" w:type="dxa"/>
            <w:vMerge w:val="restart"/>
            <w:tcBorders>
              <w:bottom w:val="single" w:sz="4" w:space="0" w:color="000001"/>
              <w:insideH w:val="single" w:sz="4" w:space="0" w:color="000001"/>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Spolu záväzky</w:t>
            </w:r>
          </w:p>
        </w:tc>
      </w:tr>
      <w:tr>
        <w:trPr>
          <w:trHeight w:val="505" w:hRule="atLeast"/>
        </w:trPr>
        <w:tc>
          <w:tcPr>
            <w:tcW w:w="3740" w:type="dxa"/>
            <w:gridSpan w:val="2"/>
            <w:vMerge w:val="continue"/>
            <w:tcBorders>
              <w:top w:val="single" w:sz="4" w:space="0" w:color="000001"/>
              <w:bottom w:val="single" w:sz="4" w:space="0" w:color="000001"/>
              <w:insideH w:val="single" w:sz="4" w:space="0" w:color="000001"/>
            </w:tcBorders>
            <w:shd w:fill="auto" w:val="clear"/>
            <w:vAlign w:val="center"/>
          </w:tcPr>
          <w:p>
            <w:pPr>
              <w:pStyle w:val="Normal"/>
              <w:rPr>
                <w:rFonts w:ascii="Arial" w:hAnsi="Arial" w:cs="Arial"/>
                <w:b/>
                <w:b/>
                <w:bCs/>
                <w:sz w:val="18"/>
                <w:szCs w:val="18"/>
              </w:rPr>
            </w:pPr>
            <w:r>
              <w:rPr>
                <w:rFonts w:cs="Arial" w:ascii="Arial" w:hAnsi="Arial"/>
                <w:b/>
                <w:bCs/>
                <w:sz w:val="18"/>
                <w:szCs w:val="18"/>
              </w:rPr>
            </w:r>
          </w:p>
        </w:tc>
        <w:tc>
          <w:tcPr>
            <w:tcW w:w="1098" w:type="dxa"/>
            <w:gridSpan w:val="2"/>
            <w:tcBorders>
              <w:top w:val="single" w:sz="4" w:space="0" w:color="00000A"/>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viac ako päť rokov</w:t>
            </w:r>
          </w:p>
        </w:tc>
        <w:tc>
          <w:tcPr>
            <w:tcW w:w="1102" w:type="dxa"/>
            <w:gridSpan w:val="2"/>
            <w:tcBorders>
              <w:top w:val="single" w:sz="4" w:space="0" w:color="00000A"/>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jeden rok až päž rokov</w:t>
            </w:r>
          </w:p>
        </w:tc>
        <w:tc>
          <w:tcPr>
            <w:tcW w:w="1099" w:type="dxa"/>
            <w:gridSpan w:val="2"/>
            <w:tcBorders>
              <w:top w:val="single" w:sz="4" w:space="0" w:color="00000A"/>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do jedného roka</w:t>
            </w:r>
          </w:p>
        </w:tc>
        <w:tc>
          <w:tcPr>
            <w:tcW w:w="1100" w:type="dxa"/>
            <w:gridSpan w:val="3"/>
            <w:vMerge w:val="continue"/>
            <w:tcBorders>
              <w:top w:val="single" w:sz="4" w:space="0" w:color="000001"/>
              <w:bottom w:val="single" w:sz="4" w:space="0" w:color="000001"/>
              <w:insideH w:val="single" w:sz="4" w:space="0" w:color="000001"/>
            </w:tcBorders>
            <w:shd w:fill="auto" w:val="clear"/>
            <w:vAlign w:val="center"/>
          </w:tcPr>
          <w:p>
            <w:pPr>
              <w:pStyle w:val="Normal"/>
              <w:rPr>
                <w:rFonts w:ascii="Arial" w:hAnsi="Arial" w:cs="Arial"/>
                <w:b/>
                <w:b/>
                <w:bCs/>
                <w:sz w:val="18"/>
                <w:szCs w:val="18"/>
              </w:rPr>
            </w:pPr>
            <w:r>
              <w:rPr>
                <w:rFonts w:cs="Arial" w:ascii="Arial" w:hAnsi="Arial"/>
                <w:b/>
                <w:bCs/>
                <w:sz w:val="18"/>
                <w:szCs w:val="18"/>
              </w:rPr>
            </w:r>
          </w:p>
        </w:tc>
        <w:tc>
          <w:tcPr>
            <w:tcW w:w="1100" w:type="dxa"/>
            <w:gridSpan w:val="2"/>
            <w:vMerge w:val="continue"/>
            <w:tcBorders>
              <w:top w:val="single" w:sz="4" w:space="0" w:color="000001"/>
              <w:bottom w:val="single" w:sz="4" w:space="0" w:color="000001"/>
              <w:insideH w:val="single" w:sz="4" w:space="0" w:color="000001"/>
            </w:tcBorders>
            <w:shd w:fill="auto" w:val="clear"/>
            <w:vAlign w:val="center"/>
          </w:tcPr>
          <w:p>
            <w:pPr>
              <w:pStyle w:val="Normal"/>
              <w:rPr>
                <w:rFonts w:ascii="Arial" w:hAnsi="Arial" w:cs="Arial"/>
                <w:b/>
                <w:b/>
                <w:bCs/>
                <w:sz w:val="18"/>
                <w:szCs w:val="18"/>
              </w:rPr>
            </w:pPr>
            <w:r>
              <w:rPr>
                <w:rFonts w:cs="Arial" w:ascii="Arial" w:hAnsi="Arial"/>
                <w:b/>
                <w:bCs/>
                <w:sz w:val="18"/>
                <w:szCs w:val="18"/>
              </w:rPr>
            </w:r>
          </w:p>
        </w:tc>
      </w:tr>
      <w:tr>
        <w:trPr>
          <w:trHeight w:val="255" w:hRule="atLeast"/>
        </w:trPr>
        <w:tc>
          <w:tcPr>
            <w:tcW w:w="3740" w:type="dxa"/>
            <w:gridSpan w:val="2"/>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r>
              <w:rPr>
                <w:rFonts w:cs="Arial" w:ascii="Arial" w:hAnsi="Arial"/>
                <w:b/>
                <w:bCs/>
                <w:sz w:val="18"/>
                <w:szCs w:val="18"/>
              </w:rPr>
              <w:t>Ostatné dlhodobé záväzky, z toho:</w:t>
            </w:r>
          </w:p>
        </w:tc>
        <w:tc>
          <w:tcPr>
            <w:tcW w:w="1098"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2"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362</w:t>
            </w:r>
          </w:p>
        </w:tc>
        <w:tc>
          <w:tcPr>
            <w:tcW w:w="1099"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0"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0"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362</w:t>
            </w:r>
          </w:p>
        </w:tc>
      </w:tr>
      <w:tr>
        <w:trPr>
          <w:trHeight w:val="240" w:hRule="atLeast"/>
        </w:trPr>
        <w:tc>
          <w:tcPr>
            <w:tcW w:w="3740" w:type="dxa"/>
            <w:gridSpan w:val="2"/>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Záväzky zo sociálneho fondu </w:t>
            </w:r>
          </w:p>
        </w:tc>
        <w:tc>
          <w:tcPr>
            <w:tcW w:w="1098"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2"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362</w:t>
            </w:r>
          </w:p>
        </w:tc>
        <w:tc>
          <w:tcPr>
            <w:tcW w:w="1099"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0"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0"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362</w:t>
            </w:r>
          </w:p>
        </w:tc>
      </w:tr>
      <w:tr>
        <w:trPr>
          <w:trHeight w:val="255" w:hRule="atLeast"/>
        </w:trPr>
        <w:tc>
          <w:tcPr>
            <w:tcW w:w="3740" w:type="dxa"/>
            <w:gridSpan w:val="2"/>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r>
              <w:rPr>
                <w:rFonts w:cs="Arial" w:ascii="Arial" w:hAnsi="Arial"/>
                <w:b/>
                <w:bCs/>
                <w:sz w:val="18"/>
                <w:szCs w:val="18"/>
              </w:rPr>
              <w:t>Dlhodobé záväzky spolu</w:t>
            </w:r>
          </w:p>
        </w:tc>
        <w:tc>
          <w:tcPr>
            <w:tcW w:w="1098"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2"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362</w:t>
            </w:r>
          </w:p>
        </w:tc>
        <w:tc>
          <w:tcPr>
            <w:tcW w:w="1099"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0"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0"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362</w:t>
            </w:r>
          </w:p>
        </w:tc>
      </w:tr>
      <w:tr>
        <w:trPr>
          <w:trHeight w:val="436" w:hRule="atLeast"/>
        </w:trPr>
        <w:tc>
          <w:tcPr>
            <w:tcW w:w="3659" w:type="dxa"/>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r>
              <w:rPr>
                <w:rFonts w:cs="Arial" w:ascii="Arial" w:hAnsi="Arial"/>
                <w:b/>
                <w:bCs/>
                <w:sz w:val="18"/>
                <w:szCs w:val="18"/>
              </w:rPr>
              <w:t>Krátkodobé záväzky z obchodného styku, z toho:</w:t>
            </w:r>
          </w:p>
        </w:tc>
        <w:tc>
          <w:tcPr>
            <w:tcW w:w="1117"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6"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6" w:type="dxa"/>
            <w:gridSpan w:val="2"/>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14 858</w:t>
            </w:r>
          </w:p>
        </w:tc>
        <w:tc>
          <w:tcPr>
            <w:tcW w:w="1116" w:type="dxa"/>
            <w:gridSpan w:val="3"/>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5" w:type="dxa"/>
            <w:gridSpan w:val="3"/>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14 858</w:t>
            </w:r>
          </w:p>
        </w:tc>
      </w:tr>
      <w:tr>
        <w:trPr>
          <w:trHeight w:val="240" w:hRule="atLeast"/>
        </w:trPr>
        <w:tc>
          <w:tcPr>
            <w:tcW w:w="3659" w:type="dxa"/>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Ostatné záväzky z obchodného styku </w:t>
            </w:r>
          </w:p>
        </w:tc>
        <w:tc>
          <w:tcPr>
            <w:tcW w:w="1117"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lang w:val="en-US"/>
              </w:rPr>
            </w:pPr>
            <w:r>
              <w:rPr>
                <w:rFonts w:cs="Arial" w:ascii="Arial" w:hAnsi="Arial"/>
                <w:sz w:val="18"/>
                <w:szCs w:val="18"/>
                <w:lang w:val="en-US"/>
              </w:rPr>
              <w:t>14 858</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5"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lang w:val="en-US"/>
              </w:rPr>
              <w:t>14 858</w:t>
            </w:r>
          </w:p>
        </w:tc>
      </w:tr>
      <w:tr>
        <w:trPr>
          <w:trHeight w:val="255" w:hRule="atLeast"/>
        </w:trPr>
        <w:tc>
          <w:tcPr>
            <w:tcW w:w="3659" w:type="dxa"/>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r>
              <w:rPr>
                <w:rFonts w:cs="Arial" w:ascii="Arial" w:hAnsi="Arial"/>
                <w:b/>
                <w:bCs/>
                <w:sz w:val="18"/>
                <w:szCs w:val="18"/>
              </w:rPr>
              <w:t>Ostatné krátkodobé záväzky, z toho:</w:t>
            </w:r>
          </w:p>
        </w:tc>
        <w:tc>
          <w:tcPr>
            <w:tcW w:w="1117"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6"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6"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10 041</w:t>
            </w:r>
          </w:p>
        </w:tc>
        <w:tc>
          <w:tcPr>
            <w:tcW w:w="1116"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5"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10 041</w:t>
            </w:r>
          </w:p>
        </w:tc>
      </w:tr>
      <w:tr>
        <w:trPr>
          <w:trHeight w:val="240" w:hRule="atLeast"/>
        </w:trPr>
        <w:tc>
          <w:tcPr>
            <w:tcW w:w="3659" w:type="dxa"/>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Záväzky voči spoločníkom a združeniu  </w:t>
            </w:r>
          </w:p>
        </w:tc>
        <w:tc>
          <w:tcPr>
            <w:tcW w:w="1117"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3 000</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5"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3 000</w:t>
            </w:r>
          </w:p>
        </w:tc>
      </w:tr>
      <w:tr>
        <w:trPr>
          <w:trHeight w:val="240" w:hRule="atLeast"/>
        </w:trPr>
        <w:tc>
          <w:tcPr>
            <w:tcW w:w="3659" w:type="dxa"/>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Záväzky voči zamestnancom </w:t>
            </w:r>
          </w:p>
        </w:tc>
        <w:tc>
          <w:tcPr>
            <w:tcW w:w="1117"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1 186</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5"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1 186</w:t>
            </w:r>
          </w:p>
        </w:tc>
      </w:tr>
      <w:tr>
        <w:trPr>
          <w:trHeight w:val="240" w:hRule="atLeast"/>
        </w:trPr>
        <w:tc>
          <w:tcPr>
            <w:tcW w:w="3659" w:type="dxa"/>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Záväzky zo sociálneho poistenia </w:t>
            </w:r>
          </w:p>
        </w:tc>
        <w:tc>
          <w:tcPr>
            <w:tcW w:w="1117"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2 565</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5"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2 565</w:t>
            </w:r>
          </w:p>
        </w:tc>
      </w:tr>
      <w:tr>
        <w:trPr>
          <w:trHeight w:val="240" w:hRule="atLeast"/>
        </w:trPr>
        <w:tc>
          <w:tcPr>
            <w:tcW w:w="3659" w:type="dxa"/>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Daňové záväzky a dotácie  </w:t>
            </w:r>
          </w:p>
        </w:tc>
        <w:tc>
          <w:tcPr>
            <w:tcW w:w="1117"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2"/>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3 290</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5"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3 290</w:t>
            </w:r>
          </w:p>
        </w:tc>
      </w:tr>
      <w:tr>
        <w:trPr>
          <w:trHeight w:val="255" w:hRule="atLeast"/>
        </w:trPr>
        <w:tc>
          <w:tcPr>
            <w:tcW w:w="3659" w:type="dxa"/>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r>
              <w:rPr>
                <w:rFonts w:cs="Arial" w:ascii="Arial" w:hAnsi="Arial"/>
                <w:b/>
                <w:bCs/>
                <w:sz w:val="18"/>
                <w:szCs w:val="18"/>
              </w:rPr>
              <w:t>Krátkodobé záväzky spolu</w:t>
            </w:r>
          </w:p>
        </w:tc>
        <w:tc>
          <w:tcPr>
            <w:tcW w:w="1117"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6"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6" w:type="dxa"/>
            <w:gridSpan w:val="2"/>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24 899</w:t>
            </w:r>
          </w:p>
        </w:tc>
        <w:tc>
          <w:tcPr>
            <w:tcW w:w="1116"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5"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24 899</w:t>
            </w:r>
          </w:p>
        </w:tc>
      </w:tr>
    </w:tbl>
    <w:p>
      <w:pPr>
        <w:pStyle w:val="Odstavec"/>
        <w:rPr>
          <w:rFonts w:ascii="Arial" w:hAnsi="Arial" w:cs="Arial"/>
        </w:rPr>
      </w:pPr>
      <w:r>
        <w:rPr>
          <w:rFonts w:cs="Arial" w:ascii="Arial" w:hAnsi="Arial"/>
        </w:rPr>
      </w:r>
    </w:p>
    <w:p>
      <w:pPr>
        <w:pStyle w:val="Odstavec"/>
        <w:rPr>
          <w:rFonts w:ascii="Arial" w:hAnsi="Arial" w:cs="Arial"/>
          <w:iCs w:val="false"/>
        </w:rPr>
      </w:pPr>
      <w:r>
        <w:rPr>
          <w:rFonts w:cs="Arial" w:ascii="Arial" w:hAnsi="Arial"/>
          <w:iCs w:val="false"/>
        </w:rPr>
      </w:r>
    </w:p>
    <w:p>
      <w:pPr>
        <w:pStyle w:val="Odstavec"/>
        <w:rPr>
          <w:rFonts w:ascii="Arial" w:hAnsi="Arial" w:cs="Arial"/>
          <w:iCs w:val="false"/>
        </w:rPr>
      </w:pPr>
      <w:r>
        <w:rPr>
          <w:rFonts w:cs="Arial" w:ascii="Arial" w:hAnsi="Arial"/>
          <w:iCs w:val="false"/>
        </w:rPr>
        <w:t>Informácie za predchádzajúce účtovné obdobie sú uvedené v nasledujúcej tabuľke:</w:t>
      </w:r>
    </w:p>
    <w:p>
      <w:pPr>
        <w:pStyle w:val="Odstavec"/>
        <w:ind w:left="482" w:hanging="0"/>
        <w:rPr>
          <w:rFonts w:ascii="Arial" w:hAnsi="Arial" w:cs="Arial"/>
        </w:rPr>
      </w:pPr>
      <w:r>
        <w:rPr>
          <w:rFonts w:cs="Arial" w:ascii="Arial" w:hAnsi="Arial"/>
        </w:rPr>
        <w:t xml:space="preserve"> </w:t>
      </w:r>
    </w:p>
    <w:tbl>
      <w:tblPr>
        <w:tblW w:w="9232" w:type="dxa"/>
        <w:jc w:val="left"/>
        <w:tblInd w:w="482" w:type="dxa"/>
        <w:tblBorders>
          <w:bottom w:val="single" w:sz="4" w:space="0" w:color="000001"/>
          <w:insideH w:val="single" w:sz="4" w:space="0" w:color="000001"/>
        </w:tblBorders>
        <w:tblCellMar>
          <w:top w:w="0" w:type="dxa"/>
          <w:left w:w="70" w:type="dxa"/>
          <w:bottom w:w="0" w:type="dxa"/>
          <w:right w:w="70" w:type="dxa"/>
        </w:tblCellMar>
        <w:tblLook w:firstRow="1" w:noVBand="1" w:lastRow="0" w:firstColumn="1" w:lastColumn="0" w:noHBand="0" w:val="04a0"/>
      </w:tblPr>
      <w:tblGrid>
        <w:gridCol w:w="3629"/>
        <w:gridCol w:w="30"/>
        <w:gridCol w:w="80"/>
        <w:gridCol w:w="1023"/>
        <w:gridCol w:w="13"/>
        <w:gridCol w:w="65"/>
        <w:gridCol w:w="1023"/>
        <w:gridCol w:w="28"/>
        <w:gridCol w:w="48"/>
        <w:gridCol w:w="1023"/>
        <w:gridCol w:w="46"/>
        <w:gridCol w:w="32"/>
        <w:gridCol w:w="1"/>
        <w:gridCol w:w="1022"/>
        <w:gridCol w:w="62"/>
        <w:gridCol w:w="14"/>
        <w:gridCol w:w="1"/>
        <w:gridCol w:w="1017"/>
        <w:gridCol w:w="74"/>
      </w:tblGrid>
      <w:tr>
        <w:trPr>
          <w:trHeight w:val="255" w:hRule="atLeast"/>
        </w:trPr>
        <w:tc>
          <w:tcPr>
            <w:tcW w:w="3739" w:type="dxa"/>
            <w:gridSpan w:val="3"/>
            <w:vMerge w:val="restart"/>
            <w:tcBorders>
              <w:bottom w:val="single" w:sz="4" w:space="0" w:color="000001"/>
              <w:insideH w:val="single" w:sz="4" w:space="0" w:color="000001"/>
            </w:tcBorders>
            <w:shd w:color="auto" w:fill="auto" w:val="clear"/>
            <w:vAlign w:val="bottom"/>
          </w:tcPr>
          <w:p>
            <w:pPr>
              <w:pStyle w:val="Normal"/>
              <w:jc w:val="center"/>
              <w:rPr>
                <w:rFonts w:ascii="Arial" w:hAnsi="Arial" w:cs="Arial"/>
                <w:b/>
                <w:b/>
                <w:bCs/>
                <w:sz w:val="18"/>
                <w:szCs w:val="18"/>
              </w:rPr>
            </w:pPr>
            <w:bookmarkStart w:id="39" w:name="RANGE!B3:G21"/>
            <w:bookmarkEnd w:id="39"/>
            <w:r>
              <w:rPr>
                <w:rFonts w:cs="Arial" w:ascii="Arial" w:hAnsi="Arial"/>
                <w:b/>
                <w:bCs/>
                <w:sz w:val="18"/>
                <w:szCs w:val="18"/>
              </w:rPr>
              <w:t>Názov položky</w:t>
            </w:r>
          </w:p>
        </w:tc>
        <w:tc>
          <w:tcPr>
            <w:tcW w:w="3302" w:type="dxa"/>
            <w:gridSpan w:val="10"/>
            <w:tcBorders>
              <w:bottom w:val="single" w:sz="4" w:space="0" w:color="000001"/>
              <w:insideH w:val="single" w:sz="4" w:space="0" w:color="000001"/>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Záväzky so zostatkovou dobou splatnosti</w:t>
            </w:r>
          </w:p>
        </w:tc>
        <w:tc>
          <w:tcPr>
            <w:tcW w:w="1099" w:type="dxa"/>
            <w:gridSpan w:val="4"/>
            <w:vMerge w:val="restart"/>
            <w:tcBorders>
              <w:bottom w:val="single" w:sz="4" w:space="0" w:color="000001"/>
              <w:insideH w:val="single" w:sz="4" w:space="0" w:color="000001"/>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Záväzky po lehote splatnosti</w:t>
            </w:r>
          </w:p>
        </w:tc>
        <w:tc>
          <w:tcPr>
            <w:tcW w:w="1091" w:type="dxa"/>
            <w:gridSpan w:val="2"/>
            <w:vMerge w:val="restart"/>
            <w:tcBorders>
              <w:bottom w:val="single" w:sz="4" w:space="0" w:color="000001"/>
              <w:insideH w:val="single" w:sz="4" w:space="0" w:color="000001"/>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Spolu záväzky</w:t>
            </w:r>
          </w:p>
        </w:tc>
      </w:tr>
      <w:tr>
        <w:trPr>
          <w:trHeight w:val="505" w:hRule="atLeast"/>
        </w:trPr>
        <w:tc>
          <w:tcPr>
            <w:tcW w:w="3739" w:type="dxa"/>
            <w:gridSpan w:val="3"/>
            <w:vMerge w:val="continue"/>
            <w:tcBorders>
              <w:top w:val="single" w:sz="4" w:space="0" w:color="000001"/>
              <w:bottom w:val="single" w:sz="4" w:space="0" w:color="000001"/>
              <w:insideH w:val="single" w:sz="4" w:space="0" w:color="000001"/>
            </w:tcBorders>
            <w:shd w:fill="auto" w:val="clear"/>
            <w:vAlign w:val="center"/>
          </w:tcPr>
          <w:p>
            <w:pPr>
              <w:pStyle w:val="Normal"/>
              <w:rPr>
                <w:rFonts w:ascii="Arial" w:hAnsi="Arial" w:cs="Arial"/>
                <w:b/>
                <w:b/>
                <w:bCs/>
                <w:sz w:val="18"/>
                <w:szCs w:val="18"/>
              </w:rPr>
            </w:pPr>
            <w:r>
              <w:rPr>
                <w:rFonts w:cs="Arial" w:ascii="Arial" w:hAnsi="Arial"/>
                <w:b/>
                <w:bCs/>
                <w:sz w:val="18"/>
                <w:szCs w:val="18"/>
              </w:rPr>
            </w:r>
          </w:p>
        </w:tc>
        <w:tc>
          <w:tcPr>
            <w:tcW w:w="1101" w:type="dxa"/>
            <w:gridSpan w:val="3"/>
            <w:tcBorders>
              <w:top w:val="single" w:sz="4" w:space="0" w:color="00000A"/>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viac ako päť rokov</w:t>
            </w:r>
          </w:p>
        </w:tc>
        <w:tc>
          <w:tcPr>
            <w:tcW w:w="1099" w:type="dxa"/>
            <w:gridSpan w:val="3"/>
            <w:tcBorders>
              <w:top w:val="single" w:sz="4" w:space="0" w:color="00000A"/>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jeden rok až päž rokov</w:t>
            </w:r>
          </w:p>
        </w:tc>
        <w:tc>
          <w:tcPr>
            <w:tcW w:w="1101" w:type="dxa"/>
            <w:gridSpan w:val="3"/>
            <w:tcBorders>
              <w:top w:val="single" w:sz="4" w:space="0" w:color="00000A"/>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r>
              <w:rPr>
                <w:rFonts w:cs="Arial" w:ascii="Arial" w:hAnsi="Arial"/>
                <w:b/>
                <w:bCs/>
                <w:sz w:val="18"/>
                <w:szCs w:val="18"/>
              </w:rPr>
              <w:t>do jedného roka</w:t>
            </w:r>
          </w:p>
        </w:tc>
        <w:tc>
          <w:tcPr>
            <w:tcW w:w="1099" w:type="dxa"/>
            <w:gridSpan w:val="4"/>
            <w:vMerge w:val="continue"/>
            <w:tcBorders>
              <w:top w:val="single" w:sz="4" w:space="0" w:color="000001"/>
              <w:bottom w:val="single" w:sz="4" w:space="0" w:color="000001"/>
              <w:insideH w:val="single" w:sz="4" w:space="0" w:color="000001"/>
            </w:tcBorders>
            <w:shd w:fill="auto" w:val="clear"/>
            <w:vAlign w:val="center"/>
          </w:tcPr>
          <w:p>
            <w:pPr>
              <w:pStyle w:val="Normal"/>
              <w:rPr>
                <w:rFonts w:ascii="Arial" w:hAnsi="Arial" w:cs="Arial"/>
                <w:b/>
                <w:b/>
                <w:bCs/>
                <w:sz w:val="18"/>
                <w:szCs w:val="18"/>
              </w:rPr>
            </w:pPr>
            <w:r>
              <w:rPr>
                <w:rFonts w:cs="Arial" w:ascii="Arial" w:hAnsi="Arial"/>
                <w:b/>
                <w:bCs/>
                <w:sz w:val="18"/>
                <w:szCs w:val="18"/>
              </w:rPr>
            </w:r>
          </w:p>
        </w:tc>
        <w:tc>
          <w:tcPr>
            <w:tcW w:w="1092" w:type="dxa"/>
            <w:gridSpan w:val="3"/>
            <w:vMerge w:val="continue"/>
            <w:tcBorders>
              <w:top w:val="single" w:sz="4" w:space="0" w:color="000001"/>
              <w:bottom w:val="single" w:sz="4" w:space="0" w:color="000001"/>
              <w:insideH w:val="single" w:sz="4" w:space="0" w:color="000001"/>
            </w:tcBorders>
            <w:shd w:fill="auto" w:val="clear"/>
            <w:vAlign w:val="center"/>
          </w:tcPr>
          <w:p>
            <w:pPr>
              <w:pStyle w:val="Normal"/>
              <w:rPr>
                <w:rFonts w:ascii="Arial" w:hAnsi="Arial" w:cs="Arial"/>
                <w:b/>
                <w:b/>
                <w:bCs/>
                <w:sz w:val="18"/>
                <w:szCs w:val="18"/>
              </w:rPr>
            </w:pPr>
            <w:bookmarkStart w:id="40" w:name="FWT_T26a"/>
            <w:bookmarkStart w:id="41" w:name="FWT_T26a"/>
            <w:bookmarkEnd w:id="41"/>
            <w:r>
              <w:rPr>
                <w:rFonts w:cs="Arial" w:ascii="Arial" w:hAnsi="Arial"/>
                <w:b/>
                <w:bCs/>
                <w:sz w:val="18"/>
                <w:szCs w:val="18"/>
              </w:rPr>
            </w:r>
          </w:p>
        </w:tc>
      </w:tr>
      <w:tr>
        <w:trPr>
          <w:trHeight w:val="255" w:hRule="atLeast"/>
        </w:trPr>
        <w:tc>
          <w:tcPr>
            <w:tcW w:w="3629" w:type="dxa"/>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r>
              <w:rPr>
                <w:rFonts w:cs="Arial" w:ascii="Arial" w:hAnsi="Arial"/>
                <w:b/>
                <w:bCs/>
                <w:sz w:val="18"/>
                <w:szCs w:val="18"/>
              </w:rPr>
              <w:t>Ostatné dlhodobé záväzky, z toho:</w:t>
            </w:r>
          </w:p>
        </w:tc>
        <w:tc>
          <w:tcPr>
            <w:tcW w:w="1133"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1"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362</w:t>
            </w:r>
          </w:p>
        </w:tc>
        <w:tc>
          <w:tcPr>
            <w:tcW w:w="1099"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1" w:type="dxa"/>
            <w:gridSpan w:val="4"/>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094" w:type="dxa"/>
            <w:gridSpan w:val="4"/>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362</w:t>
            </w:r>
          </w:p>
        </w:tc>
        <w:tc>
          <w:tcPr>
            <w:tcW w:w="74" w:type="dxa"/>
            <w:tcBorders>
              <w:top w:val="single" w:sz="4" w:space="0" w:color="000001"/>
              <w:bottom w:val="single" w:sz="4" w:space="0" w:color="000001"/>
              <w:insideH w:val="single" w:sz="4" w:space="0" w:color="000001"/>
            </w:tcBorders>
            <w:shd w:fill="auto" w:val="clear"/>
          </w:tcPr>
          <w:p>
            <w:pPr>
              <w:pStyle w:val="Normal"/>
              <w:rPr/>
            </w:pPr>
            <w:r>
              <w:rPr/>
            </w:r>
          </w:p>
        </w:tc>
      </w:tr>
      <w:tr>
        <w:trPr>
          <w:trHeight w:val="240" w:hRule="atLeast"/>
        </w:trPr>
        <w:tc>
          <w:tcPr>
            <w:tcW w:w="3629" w:type="dxa"/>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Záväzky zo sociálneho fondu </w:t>
            </w:r>
          </w:p>
        </w:tc>
        <w:tc>
          <w:tcPr>
            <w:tcW w:w="1133"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1"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362</w:t>
            </w:r>
          </w:p>
        </w:tc>
        <w:tc>
          <w:tcPr>
            <w:tcW w:w="1099"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1"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094"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362</w:t>
            </w:r>
          </w:p>
        </w:tc>
        <w:tc>
          <w:tcPr>
            <w:tcW w:w="74" w:type="dxa"/>
            <w:tcBorders>
              <w:top w:val="single" w:sz="4" w:space="0" w:color="000001"/>
              <w:bottom w:val="single" w:sz="4" w:space="0" w:color="000001"/>
              <w:insideH w:val="single" w:sz="4" w:space="0" w:color="000001"/>
            </w:tcBorders>
            <w:shd w:fill="auto" w:val="clear"/>
          </w:tcPr>
          <w:p>
            <w:pPr>
              <w:pStyle w:val="Normal"/>
              <w:rPr/>
            </w:pPr>
            <w:r>
              <w:rPr/>
            </w:r>
          </w:p>
        </w:tc>
      </w:tr>
      <w:tr>
        <w:trPr>
          <w:trHeight w:val="255" w:hRule="atLeast"/>
        </w:trPr>
        <w:tc>
          <w:tcPr>
            <w:tcW w:w="3629" w:type="dxa"/>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r>
              <w:rPr>
                <w:rFonts w:cs="Arial" w:ascii="Arial" w:hAnsi="Arial"/>
                <w:b/>
                <w:bCs/>
                <w:sz w:val="18"/>
                <w:szCs w:val="18"/>
              </w:rPr>
              <w:t>Dlhodobé záväzky spolu</w:t>
            </w:r>
          </w:p>
        </w:tc>
        <w:tc>
          <w:tcPr>
            <w:tcW w:w="1133"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1"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362</w:t>
            </w:r>
          </w:p>
        </w:tc>
        <w:tc>
          <w:tcPr>
            <w:tcW w:w="1099"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1" w:type="dxa"/>
            <w:gridSpan w:val="4"/>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094" w:type="dxa"/>
            <w:gridSpan w:val="4"/>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362</w:t>
            </w:r>
          </w:p>
        </w:tc>
        <w:tc>
          <w:tcPr>
            <w:tcW w:w="74" w:type="dxa"/>
            <w:tcBorders>
              <w:top w:val="single" w:sz="4" w:space="0" w:color="000001"/>
              <w:bottom w:val="single" w:sz="4" w:space="0" w:color="000001"/>
              <w:insideH w:val="single" w:sz="4" w:space="0" w:color="000001"/>
            </w:tcBorders>
            <w:shd w:fill="auto" w:val="clear"/>
          </w:tcPr>
          <w:p>
            <w:pPr>
              <w:pStyle w:val="Normal"/>
              <w:rPr/>
            </w:pPr>
            <w:r>
              <w:rPr/>
            </w:r>
          </w:p>
        </w:tc>
      </w:tr>
      <w:tr>
        <w:trPr>
          <w:trHeight w:val="315" w:hRule="atLeast"/>
        </w:trPr>
        <w:tc>
          <w:tcPr>
            <w:tcW w:w="3659" w:type="dxa"/>
            <w:gridSpan w:val="2"/>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bookmarkStart w:id="42" w:name="RANGE!B23:G37"/>
            <w:bookmarkEnd w:id="42"/>
            <w:r>
              <w:rPr>
                <w:rFonts w:cs="Arial" w:ascii="Arial" w:hAnsi="Arial"/>
                <w:b/>
                <w:bCs/>
                <w:sz w:val="18"/>
                <w:szCs w:val="18"/>
              </w:rPr>
              <w:t>Krátkodobé záväzky z obchodného styku, z toho:</w:t>
            </w:r>
          </w:p>
        </w:tc>
        <w:tc>
          <w:tcPr>
            <w:tcW w:w="1116" w:type="dxa"/>
            <w:gridSpan w:val="3"/>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6" w:type="dxa"/>
            <w:gridSpan w:val="3"/>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7" w:type="dxa"/>
            <w:gridSpan w:val="3"/>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15 640</w:t>
            </w:r>
          </w:p>
        </w:tc>
        <w:tc>
          <w:tcPr>
            <w:tcW w:w="1117" w:type="dxa"/>
            <w:gridSpan w:val="4"/>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6" w:type="dxa"/>
            <w:gridSpan w:val="4"/>
            <w:tcBorders>
              <w:top w:val="double" w:sz="6"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15 640</w:t>
            </w:r>
          </w:p>
        </w:tc>
      </w:tr>
      <w:tr>
        <w:trPr>
          <w:trHeight w:val="240" w:hRule="atLeast"/>
        </w:trPr>
        <w:tc>
          <w:tcPr>
            <w:tcW w:w="3659" w:type="dxa"/>
            <w:gridSpan w:val="2"/>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Ostatné záväzky z obchodného styku </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7"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lang w:val="en-US"/>
              </w:rPr>
              <w:t>15 640</w:t>
            </w:r>
          </w:p>
        </w:tc>
        <w:tc>
          <w:tcPr>
            <w:tcW w:w="1117"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6"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lang w:val="en-US"/>
              </w:rPr>
              <w:t>15 640</w:t>
            </w:r>
          </w:p>
        </w:tc>
      </w:tr>
      <w:tr>
        <w:trPr>
          <w:trHeight w:val="255" w:hRule="atLeast"/>
        </w:trPr>
        <w:tc>
          <w:tcPr>
            <w:tcW w:w="3659" w:type="dxa"/>
            <w:gridSpan w:val="2"/>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r>
              <w:rPr>
                <w:rFonts w:cs="Arial" w:ascii="Arial" w:hAnsi="Arial"/>
                <w:b/>
                <w:bCs/>
                <w:sz w:val="18"/>
                <w:szCs w:val="18"/>
              </w:rPr>
              <w:t>Ostatné krátkodobé záväzky, z toho:</w:t>
            </w:r>
          </w:p>
        </w:tc>
        <w:tc>
          <w:tcPr>
            <w:tcW w:w="1116"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6"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7"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30 538</w:t>
            </w:r>
          </w:p>
        </w:tc>
        <w:tc>
          <w:tcPr>
            <w:tcW w:w="1117" w:type="dxa"/>
            <w:gridSpan w:val="4"/>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6" w:type="dxa"/>
            <w:gridSpan w:val="4"/>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30 538</w:t>
            </w:r>
          </w:p>
        </w:tc>
      </w:tr>
      <w:tr>
        <w:trPr>
          <w:trHeight w:val="240" w:hRule="atLeast"/>
        </w:trPr>
        <w:tc>
          <w:tcPr>
            <w:tcW w:w="3659" w:type="dxa"/>
            <w:gridSpan w:val="2"/>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Záväzky voči zamestnancom </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7"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lang w:val="en-US"/>
              </w:rPr>
            </w:pPr>
            <w:r>
              <w:rPr>
                <w:rFonts w:cs="Arial" w:ascii="Arial" w:hAnsi="Arial"/>
                <w:sz w:val="18"/>
                <w:szCs w:val="18"/>
              </w:rPr>
              <w:t>23 100</w:t>
            </w:r>
          </w:p>
        </w:tc>
        <w:tc>
          <w:tcPr>
            <w:tcW w:w="1117"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6"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23 100</w:t>
            </w:r>
          </w:p>
        </w:tc>
      </w:tr>
      <w:tr>
        <w:trPr>
          <w:trHeight w:val="240" w:hRule="atLeast"/>
        </w:trPr>
        <w:tc>
          <w:tcPr>
            <w:tcW w:w="3659" w:type="dxa"/>
            <w:gridSpan w:val="2"/>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Záväzky zo sociálneho poistenia </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7"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1 017</w:t>
            </w:r>
          </w:p>
        </w:tc>
        <w:tc>
          <w:tcPr>
            <w:tcW w:w="1117"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6"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1 017</w:t>
            </w:r>
          </w:p>
        </w:tc>
      </w:tr>
      <w:tr>
        <w:trPr>
          <w:trHeight w:val="240" w:hRule="atLeast"/>
        </w:trPr>
        <w:tc>
          <w:tcPr>
            <w:tcW w:w="3659" w:type="dxa"/>
            <w:gridSpan w:val="2"/>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Daňové záväzky a dotácie  </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7"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1 012</w:t>
            </w:r>
          </w:p>
        </w:tc>
        <w:tc>
          <w:tcPr>
            <w:tcW w:w="1117"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6"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1 012</w:t>
            </w:r>
          </w:p>
        </w:tc>
      </w:tr>
      <w:tr>
        <w:trPr>
          <w:trHeight w:val="240" w:hRule="atLeast"/>
        </w:trPr>
        <w:tc>
          <w:tcPr>
            <w:tcW w:w="3659" w:type="dxa"/>
            <w:gridSpan w:val="2"/>
            <w:tcBorders>
              <w:top w:val="single" w:sz="4" w:space="0" w:color="000001"/>
              <w:bottom w:val="single" w:sz="4" w:space="0" w:color="000001"/>
              <w:insideH w:val="single" w:sz="4" w:space="0" w:color="000001"/>
            </w:tcBorders>
            <w:shd w:color="auto" w:fill="auto" w:val="clear"/>
            <w:vAlign w:val="center"/>
          </w:tcPr>
          <w:p>
            <w:pPr>
              <w:pStyle w:val="Normal"/>
              <w:rPr>
                <w:rFonts w:ascii="Arial" w:hAnsi="Arial" w:cs="Arial"/>
                <w:sz w:val="18"/>
                <w:szCs w:val="18"/>
              </w:rPr>
            </w:pPr>
            <w:r>
              <w:rPr>
                <w:rFonts w:cs="Arial" w:ascii="Arial" w:hAnsi="Arial"/>
                <w:sz w:val="18"/>
                <w:szCs w:val="18"/>
              </w:rPr>
              <w:t xml:space="preserve">Iné záväzky </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6"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17" w:type="dxa"/>
            <w:gridSpan w:val="3"/>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5 409</w:t>
            </w:r>
          </w:p>
        </w:tc>
        <w:tc>
          <w:tcPr>
            <w:tcW w:w="1117"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106" w:type="dxa"/>
            <w:gridSpan w:val="4"/>
            <w:tcBorders>
              <w:top w:val="single" w:sz="4" w:space="0" w:color="000001"/>
              <w:bottom w:val="single" w:sz="4" w:space="0" w:color="000001"/>
              <w:insideH w:val="single" w:sz="4" w:space="0" w:color="000001"/>
            </w:tcBorders>
            <w:shd w:color="auto" w:fill="auto" w:val="clear"/>
            <w:vAlign w:val="bottom"/>
          </w:tcPr>
          <w:p>
            <w:pPr>
              <w:pStyle w:val="Normal"/>
              <w:jc w:val="right"/>
              <w:rPr>
                <w:rFonts w:ascii="Arial" w:hAnsi="Arial" w:cs="Arial"/>
                <w:sz w:val="18"/>
                <w:szCs w:val="18"/>
              </w:rPr>
            </w:pPr>
            <w:r>
              <w:rPr>
                <w:rFonts w:cs="Arial" w:ascii="Arial" w:hAnsi="Arial"/>
                <w:sz w:val="18"/>
                <w:szCs w:val="18"/>
              </w:rPr>
              <w:t>5 409</w:t>
            </w:r>
          </w:p>
        </w:tc>
      </w:tr>
      <w:tr>
        <w:trPr>
          <w:trHeight w:val="255" w:hRule="atLeast"/>
        </w:trPr>
        <w:tc>
          <w:tcPr>
            <w:tcW w:w="3659" w:type="dxa"/>
            <w:gridSpan w:val="2"/>
            <w:tcBorders>
              <w:top w:val="single" w:sz="4" w:space="0" w:color="000001"/>
              <w:bottom w:val="single" w:sz="4" w:space="0" w:color="000001"/>
              <w:insideH w:val="single" w:sz="4" w:space="0" w:color="000001"/>
            </w:tcBorders>
            <w:shd w:color="auto" w:fill="auto" w:val="clear"/>
            <w:vAlign w:val="bottom"/>
          </w:tcPr>
          <w:p>
            <w:pPr>
              <w:pStyle w:val="Normal"/>
              <w:rPr>
                <w:rFonts w:ascii="Arial" w:hAnsi="Arial" w:cs="Arial"/>
                <w:b/>
                <w:b/>
                <w:bCs/>
                <w:sz w:val="18"/>
                <w:szCs w:val="18"/>
              </w:rPr>
            </w:pPr>
            <w:r>
              <w:rPr>
                <w:rFonts w:cs="Arial" w:ascii="Arial" w:hAnsi="Arial"/>
                <w:b/>
                <w:bCs/>
                <w:sz w:val="18"/>
                <w:szCs w:val="18"/>
              </w:rPr>
              <w:t>Krátkodobé záväzky spolu</w:t>
            </w:r>
          </w:p>
        </w:tc>
        <w:tc>
          <w:tcPr>
            <w:tcW w:w="1116"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6"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17" w:type="dxa"/>
            <w:gridSpan w:val="3"/>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46 178</w:t>
            </w:r>
          </w:p>
        </w:tc>
        <w:tc>
          <w:tcPr>
            <w:tcW w:w="1117" w:type="dxa"/>
            <w:gridSpan w:val="4"/>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0</w:t>
            </w:r>
          </w:p>
        </w:tc>
        <w:tc>
          <w:tcPr>
            <w:tcW w:w="1106" w:type="dxa"/>
            <w:gridSpan w:val="4"/>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46 178</w:t>
            </w:r>
          </w:p>
        </w:tc>
      </w:tr>
    </w:tbl>
    <w:p>
      <w:pPr>
        <w:pStyle w:val="Odstavec"/>
        <w:ind w:left="482" w:hanging="0"/>
        <w:rPr>
          <w:rFonts w:ascii="Arial" w:hAnsi="Arial" w:cs="Arial"/>
          <w:iCs w:val="false"/>
        </w:rPr>
      </w:pPr>
      <w:r>
        <w:rPr>
          <w:rFonts w:cs="Arial" w:ascii="Arial" w:hAnsi="Arial"/>
          <w:iCs w:val="false"/>
        </w:rPr>
      </w:r>
    </w:p>
    <w:p>
      <w:pPr>
        <w:pStyle w:val="Odstavec"/>
        <w:ind w:left="482" w:hanging="0"/>
        <w:rPr>
          <w:rFonts w:ascii="Arial" w:hAnsi="Arial" w:cs="Arial"/>
          <w:iCs w:val="false"/>
        </w:rPr>
      </w:pPr>
      <w:r>
        <w:rPr>
          <w:rFonts w:cs="Arial" w:ascii="Arial" w:hAnsi="Arial"/>
          <w:iCs w:val="false"/>
        </w:rPr>
      </w:r>
    </w:p>
    <w:p>
      <w:pPr>
        <w:pStyle w:val="Normal"/>
        <w:rPr>
          <w:rFonts w:ascii="Arial" w:hAnsi="Arial" w:cs="Arial"/>
          <w:b/>
          <w:b/>
          <w:bCs/>
          <w:sz w:val="20"/>
          <w:szCs w:val="20"/>
        </w:rPr>
      </w:pPr>
      <w:r>
        <w:rPr>
          <w:rFonts w:cs="Arial" w:ascii="Arial" w:hAnsi="Arial"/>
          <w:b/>
          <w:bCs/>
          <w:sz w:val="20"/>
          <w:szCs w:val="20"/>
        </w:rPr>
      </w:r>
      <w:r>
        <w:br w:type="page"/>
      </w:r>
    </w:p>
    <w:p>
      <w:pPr>
        <w:pStyle w:val="Nadpis1"/>
        <w:numPr>
          <w:ilvl w:val="0"/>
          <w:numId w:val="4"/>
        </w:numPr>
        <w:ind w:left="426" w:hanging="426"/>
        <w:rPr>
          <w:rFonts w:ascii="Arial" w:hAnsi="Arial"/>
          <w:sz w:val="20"/>
          <w:szCs w:val="20"/>
        </w:rPr>
      </w:pPr>
      <w:r>
        <w:rPr>
          <w:rFonts w:ascii="Arial" w:hAnsi="Arial"/>
          <w:sz w:val="20"/>
          <w:szCs w:val="20"/>
        </w:rPr>
        <w:t>INFORMÁCIE, KTORÉ DOPLŇUJÚ A VYSVETĽUJÚ POLOŽKY VÝKAZU ZISKOV A STRÁT</w:t>
      </w:r>
    </w:p>
    <w:p>
      <w:pPr>
        <w:pStyle w:val="Nadpis1"/>
        <w:numPr>
          <w:ilvl w:val="0"/>
          <w:numId w:val="0"/>
        </w:numPr>
        <w:ind w:left="426" w:hanging="0"/>
        <w:rPr>
          <w:rFonts w:ascii="Arial" w:hAnsi="Arial"/>
          <w:sz w:val="20"/>
          <w:szCs w:val="20"/>
        </w:rPr>
      </w:pPr>
      <w:r>
        <w:rPr>
          <w:rFonts w:ascii="Arial" w:hAnsi="Arial"/>
          <w:sz w:val="20"/>
          <w:szCs w:val="20"/>
        </w:rPr>
        <w:t>VÝNOSY</w:t>
      </w:r>
    </w:p>
    <w:p>
      <w:pPr>
        <w:pStyle w:val="Nadpis2"/>
        <w:numPr>
          <w:ilvl w:val="1"/>
          <w:numId w:val="5"/>
        </w:numPr>
        <w:rPr/>
      </w:pPr>
      <w:r>
        <w:rPr/>
        <w:t>Čistý obrat</w:t>
      </w:r>
    </w:p>
    <w:p>
      <w:pPr>
        <w:pStyle w:val="Odstavec"/>
        <w:rPr>
          <w:rFonts w:ascii="Arial" w:hAnsi="Arial" w:cs="Arial"/>
        </w:rPr>
      </w:pPr>
      <w:r>
        <w:rPr>
          <w:rFonts w:cs="Arial" w:ascii="Arial" w:hAnsi="Arial"/>
        </w:rPr>
        <w:t>Infomácie o štruktúre čistého obratu Spoločnosti sú uvedené v nasledujúce tabuľke:</w:t>
      </w:r>
    </w:p>
    <w:p>
      <w:pPr>
        <w:pStyle w:val="Odstavec"/>
        <w:ind w:left="482" w:hanging="0"/>
        <w:rPr>
          <w:rFonts w:ascii="Arial" w:hAnsi="Arial" w:cs="Arial"/>
        </w:rPr>
      </w:pPr>
      <w:r>
        <w:rPr>
          <w:rFonts w:cs="Arial" w:ascii="Arial" w:hAnsi="Arial"/>
        </w:rPr>
        <w:t xml:space="preserve"> </w:t>
      </w:r>
    </w:p>
    <w:tbl>
      <w:tblPr>
        <w:tblW w:w="9220" w:type="dxa"/>
        <w:jc w:val="left"/>
        <w:tblInd w:w="482" w:type="dxa"/>
        <w:tblBorders>
          <w:bottom w:val="single" w:sz="4" w:space="0" w:color="00000A"/>
          <w:insideH w:val="single" w:sz="4" w:space="0" w:color="00000A"/>
        </w:tblBorders>
        <w:tblCellMar>
          <w:top w:w="0" w:type="dxa"/>
          <w:left w:w="70" w:type="dxa"/>
          <w:bottom w:w="0" w:type="dxa"/>
          <w:right w:w="70" w:type="dxa"/>
        </w:tblCellMar>
        <w:tblLook w:firstRow="1" w:noVBand="1" w:lastRow="0" w:firstColumn="1" w:lastColumn="0" w:noHBand="0" w:val="04a0"/>
      </w:tblPr>
      <w:tblGrid>
        <w:gridCol w:w="6418"/>
        <w:gridCol w:w="1400"/>
        <w:gridCol w:w="1402"/>
      </w:tblGrid>
      <w:tr>
        <w:trPr>
          <w:trHeight w:val="240" w:hRule="atLeast"/>
        </w:trPr>
        <w:tc>
          <w:tcPr>
            <w:tcW w:w="6418"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bookmarkStart w:id="43" w:name="RANGE!B4:D12"/>
            <w:bookmarkEnd w:id="43"/>
            <w:r>
              <w:rPr>
                <w:rFonts w:cs="Arial" w:ascii="Arial" w:hAnsi="Arial"/>
                <w:b/>
                <w:bCs/>
                <w:sz w:val="18"/>
                <w:szCs w:val="18"/>
              </w:rPr>
              <w:t>Názov položky</w:t>
            </w:r>
          </w:p>
        </w:tc>
        <w:tc>
          <w:tcPr>
            <w:tcW w:w="1400" w:type="dxa"/>
            <w:tcBorders>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2024</w:t>
            </w:r>
          </w:p>
        </w:tc>
        <w:tc>
          <w:tcPr>
            <w:tcW w:w="1402" w:type="dxa"/>
            <w:tcBorders>
              <w:bottom w:val="single" w:sz="4" w:space="0" w:color="00000A"/>
              <w:insideH w:val="single" w:sz="4" w:space="0" w:color="00000A"/>
            </w:tcBorders>
            <w:shd w:fill="auto" w:val="clear"/>
            <w:vAlign w:val="bottom"/>
          </w:tcPr>
          <w:p>
            <w:pPr>
              <w:pStyle w:val="Normal"/>
              <w:jc w:val="right"/>
              <w:rPr>
                <w:rFonts w:ascii="Arial" w:hAnsi="Arial" w:cs="Arial"/>
                <w:b/>
                <w:b/>
                <w:bCs/>
                <w:sz w:val="18"/>
                <w:szCs w:val="18"/>
              </w:rPr>
            </w:pPr>
            <w:r>
              <w:rPr>
                <w:rFonts w:cs="Arial" w:ascii="Arial" w:hAnsi="Arial"/>
                <w:b/>
                <w:bCs/>
                <w:sz w:val="18"/>
                <w:szCs w:val="18"/>
              </w:rPr>
              <w:t>2023</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lang w:val="en-US"/>
              </w:rPr>
            </w:pPr>
            <w:r>
              <w:rPr>
                <w:rFonts w:cs="Arial" w:ascii="Arial" w:hAnsi="Arial"/>
                <w:sz w:val="18"/>
                <w:szCs w:val="18"/>
              </w:rPr>
              <w:t>Tržby z predaja výrobkov a služieb</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lang w:val="en-US"/>
              </w:rPr>
            </w:pPr>
            <w:r>
              <w:rPr>
                <w:rFonts w:cs="Arial" w:ascii="Arial" w:hAnsi="Arial"/>
                <w:sz w:val="18"/>
                <w:szCs w:val="18"/>
                <w:lang w:val="en-US"/>
              </w:rPr>
              <w:t>163 846</w:t>
            </w:r>
          </w:p>
        </w:tc>
        <w:tc>
          <w:tcPr>
            <w:tcW w:w="1402" w:type="dxa"/>
            <w:tcBorders>
              <w:top w:val="single" w:sz="4" w:space="0" w:color="00000A"/>
              <w:bottom w:val="single" w:sz="4" w:space="0" w:color="00000A"/>
              <w:insideH w:val="single" w:sz="4" w:space="0" w:color="00000A"/>
            </w:tcBorders>
            <w:shd w:fill="auto" w:val="clear"/>
            <w:vAlign w:val="bottom"/>
          </w:tcPr>
          <w:p>
            <w:pPr>
              <w:pStyle w:val="Normal"/>
              <w:jc w:val="right"/>
              <w:rPr>
                <w:rFonts w:ascii="Arial" w:hAnsi="Arial" w:cs="Arial"/>
                <w:sz w:val="18"/>
                <w:szCs w:val="18"/>
              </w:rPr>
            </w:pPr>
            <w:r>
              <w:rPr>
                <w:rFonts w:cs="Arial" w:ascii="Arial" w:hAnsi="Arial"/>
                <w:sz w:val="18"/>
                <w:szCs w:val="18"/>
                <w:lang w:val="en-US"/>
              </w:rPr>
              <w:t>175 118</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Cs/>
                <w:sz w:val="18"/>
                <w:szCs w:val="18"/>
              </w:rPr>
            </w:pPr>
            <w:r>
              <w:rPr>
                <w:rFonts w:cs="Arial" w:ascii="Arial" w:hAnsi="Arial"/>
                <w:bCs/>
                <w:sz w:val="18"/>
                <w:szCs w:val="18"/>
              </w:rPr>
              <w:t>Iné výnosy súvisiace s bežnou činnosťou</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3 566</w:t>
            </w:r>
          </w:p>
        </w:tc>
        <w:tc>
          <w:tcPr>
            <w:tcW w:w="1402" w:type="dxa"/>
            <w:tcBorders>
              <w:top w:val="single" w:sz="4" w:space="0" w:color="00000A"/>
              <w:bottom w:val="single" w:sz="4" w:space="0" w:color="00000A"/>
              <w:insideH w:val="single" w:sz="4" w:space="0" w:color="00000A"/>
            </w:tcBorders>
            <w:shd w:fill="auto" w:val="clear"/>
            <w:vAlign w:val="bottom"/>
          </w:tcPr>
          <w:p>
            <w:pPr>
              <w:pStyle w:val="Normal"/>
              <w:jc w:val="right"/>
              <w:rPr>
                <w:rFonts w:ascii="Arial" w:hAnsi="Arial" w:cs="Arial"/>
                <w:sz w:val="18"/>
                <w:szCs w:val="18"/>
              </w:rPr>
            </w:pPr>
            <w:r>
              <w:rPr>
                <w:rFonts w:cs="Arial" w:ascii="Arial" w:hAnsi="Arial"/>
                <w:sz w:val="18"/>
                <w:szCs w:val="18"/>
              </w:rPr>
              <w:t>2 056</w:t>
            </w:r>
          </w:p>
        </w:tc>
      </w:tr>
      <w:tr>
        <w:trPr>
          <w:trHeight w:val="255"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Čistý obrat celkom</w:t>
            </w:r>
          </w:p>
        </w:tc>
        <w:tc>
          <w:tcPr>
            <w:tcW w:w="140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167 412</w:t>
            </w:r>
          </w:p>
        </w:tc>
        <w:tc>
          <w:tcPr>
            <w:tcW w:w="1402" w:type="dxa"/>
            <w:tcBorders>
              <w:top w:val="single" w:sz="4" w:space="0" w:color="00000A"/>
              <w:bottom w:val="double" w:sz="6" w:space="0" w:color="00000A"/>
              <w:insideH w:val="double" w:sz="6" w:space="0" w:color="00000A"/>
            </w:tcBorders>
            <w:shd w:fill="auto" w:val="clear"/>
            <w:vAlign w:val="bottom"/>
          </w:tcPr>
          <w:p>
            <w:pPr>
              <w:pStyle w:val="Normal"/>
              <w:jc w:val="right"/>
              <w:rPr>
                <w:rFonts w:ascii="Arial" w:hAnsi="Arial" w:cs="Arial"/>
                <w:b/>
                <w:b/>
                <w:bCs/>
                <w:sz w:val="18"/>
                <w:szCs w:val="18"/>
              </w:rPr>
            </w:pPr>
            <w:r>
              <w:rPr>
                <w:rFonts w:cs="Arial" w:ascii="Arial" w:hAnsi="Arial"/>
                <w:b/>
                <w:bCs/>
                <w:sz w:val="18"/>
                <w:szCs w:val="18"/>
              </w:rPr>
              <w:t>177 574</w:t>
            </w:r>
          </w:p>
        </w:tc>
      </w:tr>
    </w:tbl>
    <w:p>
      <w:pPr>
        <w:pStyle w:val="Odstavec"/>
        <w:ind w:left="482" w:hanging="0"/>
        <w:rPr>
          <w:rFonts w:ascii="Arial" w:hAnsi="Arial" w:cs="Arial"/>
        </w:rPr>
      </w:pPr>
      <w:r>
        <w:rPr>
          <w:rFonts w:cs="Arial" w:ascii="Arial" w:hAnsi="Arial"/>
        </w:rPr>
      </w:r>
    </w:p>
    <w:p>
      <w:pPr>
        <w:pStyle w:val="Odstavec"/>
        <w:ind w:left="482" w:hanging="0"/>
        <w:rPr>
          <w:rFonts w:ascii="Arial" w:hAnsi="Arial" w:cs="Arial"/>
        </w:rPr>
      </w:pPr>
      <w:bookmarkStart w:id="44" w:name="FWT_T37"/>
      <w:bookmarkStart w:id="45" w:name="FWT_T37"/>
      <w:bookmarkEnd w:id="45"/>
      <w:r>
        <w:rPr>
          <w:rFonts w:cs="Arial" w:ascii="Arial" w:hAnsi="Arial"/>
        </w:rPr>
      </w:r>
    </w:p>
    <w:p>
      <w:pPr>
        <w:pStyle w:val="Nadpis1"/>
        <w:numPr>
          <w:ilvl w:val="0"/>
          <w:numId w:val="0"/>
        </w:numPr>
        <w:ind w:left="426" w:hanging="0"/>
        <w:rPr>
          <w:rFonts w:ascii="Arial" w:hAnsi="Arial"/>
          <w:sz w:val="20"/>
          <w:szCs w:val="20"/>
        </w:rPr>
      </w:pPr>
      <w:r>
        <w:rPr>
          <w:rFonts w:ascii="Arial" w:hAnsi="Arial"/>
          <w:sz w:val="20"/>
          <w:szCs w:val="20"/>
        </w:rPr>
        <w:t>NÁKLADY</w:t>
      </w:r>
    </w:p>
    <w:p>
      <w:pPr>
        <w:pStyle w:val="Nadpis2"/>
        <w:numPr>
          <w:ilvl w:val="6"/>
          <w:numId w:val="2"/>
        </w:numPr>
        <w:rPr/>
      </w:pPr>
      <w:r>
        <w:rPr/>
        <w:t>Náklady z hospodárskej a finančnej činnosti</w:t>
      </w:r>
    </w:p>
    <w:p>
      <w:pPr>
        <w:pStyle w:val="Odstavec"/>
        <w:rPr>
          <w:rFonts w:ascii="Arial" w:hAnsi="Arial" w:cs="Arial"/>
        </w:rPr>
      </w:pPr>
      <w:r>
        <w:rPr>
          <w:rFonts w:cs="Arial" w:ascii="Arial" w:hAnsi="Arial"/>
        </w:rPr>
        <w:t>Prehľad nákladov Spoločnosti z hospodárskej a finančnej činnosti okrem osobným nákladov je uvedený v nasledujúcej tabuľke:</w:t>
      </w:r>
    </w:p>
    <w:p>
      <w:pPr>
        <w:pStyle w:val="Odstavec"/>
        <w:ind w:left="482" w:hanging="0"/>
        <w:rPr>
          <w:rFonts w:ascii="Arial" w:hAnsi="Arial" w:cs="Arial"/>
        </w:rPr>
      </w:pPr>
      <w:r>
        <w:rPr>
          <w:rFonts w:cs="Arial" w:ascii="Arial" w:hAnsi="Arial"/>
        </w:rPr>
      </w:r>
    </w:p>
    <w:tbl>
      <w:tblPr>
        <w:tblW w:w="9220" w:type="dxa"/>
        <w:jc w:val="left"/>
        <w:tblInd w:w="482" w:type="dxa"/>
        <w:tblBorders>
          <w:bottom w:val="single" w:sz="4" w:space="0" w:color="00000A"/>
          <w:insideH w:val="single" w:sz="4" w:space="0" w:color="00000A"/>
        </w:tblBorders>
        <w:tblCellMar>
          <w:top w:w="0" w:type="dxa"/>
          <w:left w:w="70" w:type="dxa"/>
          <w:bottom w:w="0" w:type="dxa"/>
          <w:right w:w="70" w:type="dxa"/>
        </w:tblCellMar>
        <w:tblLook w:firstRow="1" w:noVBand="1" w:lastRow="0" w:firstColumn="1" w:lastColumn="0" w:noHBand="0" w:val="04a0"/>
      </w:tblPr>
      <w:tblGrid>
        <w:gridCol w:w="6418"/>
        <w:gridCol w:w="1400"/>
        <w:gridCol w:w="1402"/>
      </w:tblGrid>
      <w:tr>
        <w:trPr>
          <w:trHeight w:val="240" w:hRule="atLeast"/>
        </w:trPr>
        <w:tc>
          <w:tcPr>
            <w:tcW w:w="6418" w:type="dxa"/>
            <w:tcBorders>
              <w:bottom w:val="single" w:sz="4" w:space="0" w:color="00000A"/>
              <w:insideH w:val="single" w:sz="4" w:space="0" w:color="00000A"/>
            </w:tcBorders>
            <w:shd w:color="auto" w:fill="auto" w:val="clear"/>
            <w:vAlign w:val="bottom"/>
          </w:tcPr>
          <w:p>
            <w:pPr>
              <w:pStyle w:val="Normal"/>
              <w:jc w:val="center"/>
              <w:rPr>
                <w:rFonts w:ascii="Arial" w:hAnsi="Arial" w:cs="Arial"/>
                <w:b/>
                <w:b/>
                <w:bCs/>
                <w:sz w:val="18"/>
                <w:szCs w:val="18"/>
              </w:rPr>
            </w:pPr>
            <w:bookmarkStart w:id="46" w:name="RANGE!B3:D29"/>
            <w:bookmarkEnd w:id="46"/>
            <w:r>
              <w:rPr>
                <w:rFonts w:cs="Arial" w:ascii="Arial" w:hAnsi="Arial"/>
                <w:b/>
                <w:bCs/>
                <w:sz w:val="18"/>
                <w:szCs w:val="18"/>
              </w:rPr>
              <w:t>Názov položky</w:t>
            </w:r>
          </w:p>
        </w:tc>
        <w:tc>
          <w:tcPr>
            <w:tcW w:w="1400" w:type="dxa"/>
            <w:tcBorders>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2024</w:t>
            </w:r>
          </w:p>
        </w:tc>
        <w:tc>
          <w:tcPr>
            <w:tcW w:w="1402" w:type="dxa"/>
            <w:tcBorders>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2023</w:t>
            </w:r>
          </w:p>
        </w:tc>
      </w:tr>
      <w:tr>
        <w:trPr>
          <w:trHeight w:val="255"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Náklady za poskytnuté služby, z toho:</w:t>
            </w:r>
          </w:p>
        </w:tc>
        <w:tc>
          <w:tcPr>
            <w:tcW w:w="1400"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14 341</w:t>
            </w:r>
          </w:p>
        </w:tc>
        <w:tc>
          <w:tcPr>
            <w:tcW w:w="1402" w:type="dxa"/>
            <w:tcBorders>
              <w:top w:val="single" w:sz="4" w:space="0" w:color="00000A"/>
              <w:bottom w:val="double" w:sz="6" w:space="0" w:color="00000A"/>
              <w:insideH w:val="double" w:sz="6"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22 979</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Náklady za služby</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lang w:val="en-US"/>
              </w:rPr>
            </w:pPr>
            <w:r>
              <w:rPr>
                <w:rFonts w:cs="Arial" w:ascii="Arial" w:hAnsi="Arial"/>
                <w:sz w:val="18"/>
                <w:szCs w:val="18"/>
                <w:lang w:val="en-US"/>
              </w:rPr>
              <w:t>10 528</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lang w:val="en-US"/>
              </w:rPr>
              <w:t>16 875</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Opravy a udržiavanie</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lang w:val="en-US"/>
              </w:rPr>
              <w:t>3 811</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6 104</w:t>
            </w:r>
          </w:p>
        </w:tc>
      </w:tr>
      <w:tr>
        <w:trPr>
          <w:trHeight w:val="255"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Ostatné významné položky nákladov z hospodárskej činnosti, z toho:</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24 620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25 546</w:t>
            </w:r>
          </w:p>
        </w:tc>
      </w:tr>
      <w:tr>
        <w:trPr>
          <w:trHeight w:val="255"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Osobné náklady</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21 357</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19 894</w:t>
            </w:r>
          </w:p>
        </w:tc>
      </w:tr>
      <w:tr>
        <w:trPr>
          <w:trHeight w:val="255"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Odpisy</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2 607</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2 607</w:t>
            </w:r>
          </w:p>
        </w:tc>
      </w:tr>
      <w:tr>
        <w:trPr>
          <w:trHeight w:val="255"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Dane a poplatky</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9 331</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2 366</w:t>
            </w:r>
          </w:p>
        </w:tc>
      </w:tr>
      <w:tr>
        <w:trPr>
          <w:trHeight w:val="255"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Ostatné</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656</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679</w:t>
            </w:r>
          </w:p>
        </w:tc>
      </w:tr>
      <w:tr>
        <w:trPr>
          <w:trHeight w:val="255"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b/>
                <w:b/>
                <w:bCs/>
                <w:sz w:val="18"/>
                <w:szCs w:val="18"/>
              </w:rPr>
            </w:pPr>
            <w:r>
              <w:rPr>
                <w:rFonts w:cs="Arial" w:ascii="Arial" w:hAnsi="Arial"/>
                <w:b/>
                <w:bCs/>
                <w:sz w:val="18"/>
                <w:szCs w:val="18"/>
              </w:rPr>
              <w:t>Finančné náklady, z toho:</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5 339</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b/>
                <w:b/>
                <w:bCs/>
                <w:sz w:val="18"/>
                <w:szCs w:val="18"/>
              </w:rPr>
            </w:pPr>
            <w:r>
              <w:rPr>
                <w:rFonts w:cs="Arial" w:ascii="Arial" w:hAnsi="Arial"/>
                <w:b/>
                <w:bCs/>
                <w:sz w:val="18"/>
                <w:szCs w:val="18"/>
              </w:rPr>
              <w:t>1 044</w:t>
            </w:r>
          </w:p>
        </w:tc>
      </w:tr>
      <w:tr>
        <w:trPr>
          <w:trHeight w:val="255"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i/>
                <w:i/>
                <w:iCs/>
                <w:sz w:val="18"/>
                <w:szCs w:val="18"/>
              </w:rPr>
            </w:pPr>
            <w:r>
              <w:rPr>
                <w:rFonts w:cs="Arial" w:ascii="Arial" w:hAnsi="Arial"/>
                <w:i/>
                <w:iCs/>
                <w:sz w:val="18"/>
                <w:szCs w:val="18"/>
              </w:rPr>
              <w:t>Kurzové straty, z toho:</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kurzové straty ku dňu, ku ktorému sa zostavuje účtovná závierka</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i/>
                <w:i/>
                <w:iCs/>
                <w:sz w:val="18"/>
                <w:szCs w:val="18"/>
              </w:rPr>
            </w:pPr>
            <w:r>
              <w:rPr>
                <w:rFonts w:cs="Arial" w:ascii="Arial" w:hAnsi="Arial"/>
                <w:i/>
                <w:iCs/>
                <w:sz w:val="18"/>
                <w:szCs w:val="18"/>
              </w:rPr>
              <w:t>Ostatné významné položky finančných nákladov, z toho:</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i/>
                <w:i/>
                <w:iCs/>
                <w:sz w:val="18"/>
                <w:szCs w:val="18"/>
              </w:rPr>
            </w:pPr>
            <w:r>
              <w:rPr>
                <w:rFonts w:cs="Arial" w:ascii="Arial" w:hAnsi="Arial"/>
                <w:i/>
                <w:iCs/>
                <w:sz w:val="18"/>
                <w:szCs w:val="18"/>
              </w:rPr>
              <w:t>5 339</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i/>
                <w:i/>
                <w:iCs/>
                <w:sz w:val="18"/>
                <w:szCs w:val="18"/>
              </w:rPr>
            </w:pPr>
            <w:r>
              <w:rPr>
                <w:rFonts w:cs="Arial" w:ascii="Arial" w:hAnsi="Arial"/>
                <w:i/>
                <w:iCs/>
                <w:sz w:val="18"/>
                <w:szCs w:val="18"/>
              </w:rPr>
              <w:t>1 044</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Nákladové úroky</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5 031</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695</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sz w:val="18"/>
                <w:szCs w:val="18"/>
              </w:rPr>
            </w:pPr>
            <w:r>
              <w:rPr>
                <w:rFonts w:cs="Arial" w:ascii="Arial" w:hAnsi="Arial"/>
                <w:sz w:val="18"/>
                <w:szCs w:val="18"/>
              </w:rPr>
              <w:t>Ostatné</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308</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sz w:val="18"/>
                <w:szCs w:val="18"/>
              </w:rPr>
            </w:pPr>
            <w:r>
              <w:rPr>
                <w:rFonts w:cs="Arial" w:ascii="Arial" w:hAnsi="Arial"/>
                <w:sz w:val="18"/>
                <w:szCs w:val="18"/>
              </w:rPr>
              <w:t>349</w:t>
            </w:r>
          </w:p>
        </w:tc>
      </w:tr>
    </w:tbl>
    <w:p>
      <w:pPr>
        <w:pStyle w:val="Odstavec"/>
        <w:ind w:left="482" w:hanging="0"/>
        <w:rPr>
          <w:rFonts w:ascii="Arial" w:hAnsi="Arial" w:cs="Arial"/>
        </w:rPr>
      </w:pPr>
      <w:bookmarkStart w:id="47" w:name="FWT_T40"/>
      <w:bookmarkStart w:id="48" w:name="FWT_T40"/>
      <w:bookmarkEnd w:id="48"/>
      <w:r>
        <w:rPr>
          <w:rFonts w:cs="Arial" w:ascii="Arial" w:hAnsi="Arial"/>
        </w:rPr>
      </w:r>
    </w:p>
    <w:p>
      <w:pPr>
        <w:pStyle w:val="Nadpis2"/>
        <w:numPr>
          <w:ilvl w:val="0"/>
          <w:numId w:val="0"/>
        </w:numPr>
        <w:ind w:left="425" w:hanging="0"/>
        <w:rPr/>
      </w:pPr>
      <w:r>
        <w:rPr/>
        <w:t>Príjmy a výhody členov štatutárneho orgánu a iného orgánu</w:t>
      </w:r>
    </w:p>
    <w:p>
      <w:pPr>
        <w:pStyle w:val="Odstavec"/>
        <w:ind w:left="425" w:hanging="0"/>
        <w:rPr>
          <w:rFonts w:ascii="Arial" w:hAnsi="Arial" w:cs="Arial"/>
        </w:rPr>
      </w:pPr>
      <w:r>
        <w:rPr>
          <w:rFonts w:cs="Arial" w:ascii="Arial" w:hAnsi="Arial"/>
        </w:rPr>
        <w:t>Členovia štatutárneho a iného orgánu spoločnosti nepoberali žiadne príjmy za výkon svojej funkcie člena tohto orgánu ani im neboli poskytnuté žiadne pôžicky alebo záruky.</w:t>
      </w:r>
    </w:p>
    <w:p>
      <w:pPr>
        <w:pStyle w:val="Normal"/>
        <w:rPr>
          <w:rFonts w:ascii="Arial" w:hAnsi="Arial" w:cs="Arial"/>
          <w:b/>
          <w:b/>
          <w:bCs/>
          <w:sz w:val="20"/>
          <w:szCs w:val="20"/>
          <w:lang w:val="en-US"/>
        </w:rPr>
      </w:pPr>
      <w:r>
        <w:rPr>
          <w:rFonts w:cs="Arial" w:ascii="Arial" w:hAnsi="Arial"/>
          <w:b/>
          <w:bCs/>
          <w:sz w:val="20"/>
          <w:szCs w:val="20"/>
          <w:lang w:val="en-US"/>
        </w:rPr>
      </w:r>
    </w:p>
    <w:p>
      <w:pPr>
        <w:pStyle w:val="Nadpis1"/>
        <w:numPr>
          <w:ilvl w:val="0"/>
          <w:numId w:val="4"/>
        </w:numPr>
        <w:ind w:left="426" w:hanging="426"/>
        <w:rPr>
          <w:rFonts w:ascii="Arial" w:hAnsi="Arial"/>
          <w:sz w:val="20"/>
          <w:szCs w:val="20"/>
        </w:rPr>
      </w:pPr>
      <w:r>
        <w:rPr>
          <w:rFonts w:ascii="Arial" w:hAnsi="Arial"/>
          <w:sz w:val="20"/>
          <w:szCs w:val="20"/>
          <w:lang w:val="en-US"/>
        </w:rPr>
        <w:t>INFORM</w:t>
      </w:r>
      <w:r>
        <w:rPr>
          <w:rFonts w:ascii="Arial" w:hAnsi="Arial"/>
          <w:sz w:val="20"/>
          <w:szCs w:val="20"/>
        </w:rPr>
        <w:t>ÁCIE O INÝCH AKTÍVACH A INÝCH PASÍVACH</w:t>
      </w:r>
    </w:p>
    <w:p>
      <w:pPr>
        <w:pStyle w:val="Nadpis2"/>
        <w:numPr>
          <w:ilvl w:val="1"/>
          <w:numId w:val="6"/>
        </w:numPr>
        <w:rPr/>
      </w:pPr>
      <w:r>
        <w:rPr/>
        <w:t>Podmienený majetok a záväzky</w:t>
      </w:r>
    </w:p>
    <w:p>
      <w:pPr>
        <w:pStyle w:val="Nadpis2"/>
        <w:numPr>
          <w:ilvl w:val="0"/>
          <w:numId w:val="0"/>
        </w:numPr>
        <w:ind w:left="425" w:hanging="0"/>
        <w:rPr/>
      </w:pPr>
      <w:r>
        <w:rPr>
          <w:b w:val="false"/>
        </w:rPr>
        <w:t>Spoločnosť neeviduje žiadne podmienené záväzky a majetok</w:t>
      </w:r>
      <w:r>
        <w:rPr/>
        <w:t>.</w:t>
      </w:r>
    </w:p>
    <w:p>
      <w:pPr>
        <w:pStyle w:val="Nadpis2"/>
        <w:numPr>
          <w:ilvl w:val="1"/>
          <w:numId w:val="6"/>
        </w:numPr>
        <w:rPr/>
      </w:pPr>
      <w:r>
        <w:rPr/>
        <w:t>Skutočnosti sledované na podsúvahových účtoch</w:t>
      </w:r>
    </w:p>
    <w:p>
      <w:pPr>
        <w:pStyle w:val="Nadpis2"/>
        <w:numPr>
          <w:ilvl w:val="0"/>
          <w:numId w:val="0"/>
        </w:numPr>
        <w:ind w:left="425" w:hanging="0"/>
        <w:rPr/>
      </w:pPr>
      <w:r>
        <w:rPr/>
        <w:t xml:space="preserve"> </w:t>
      </w:r>
      <w:bookmarkStart w:id="49" w:name="FWT_balance_sheet_items"/>
      <w:r>
        <w:rPr>
          <w:b w:val="false"/>
        </w:rPr>
        <w:t>Spoločnosť neeviduje žiadne podsúvahové účty</w:t>
      </w:r>
      <w:bookmarkEnd w:id="49"/>
      <w:r>
        <w:rPr/>
        <w:t xml:space="preserve">. </w:t>
      </w:r>
    </w:p>
    <w:p>
      <w:pPr>
        <w:pStyle w:val="Normal"/>
        <w:rPr/>
      </w:pPr>
      <w:r>
        <w:rPr/>
      </w:r>
    </w:p>
    <w:tbl>
      <w:tblPr>
        <w:tblW w:w="9220" w:type="dxa"/>
        <w:jc w:val="left"/>
        <w:tblInd w:w="482" w:type="dxa"/>
        <w:tblBorders>
          <w:bottom w:val="single" w:sz="4" w:space="0" w:color="00000A"/>
          <w:insideH w:val="single" w:sz="4" w:space="0" w:color="00000A"/>
        </w:tblBorders>
        <w:tblCellMar>
          <w:top w:w="0" w:type="dxa"/>
          <w:left w:w="70" w:type="dxa"/>
          <w:bottom w:w="0" w:type="dxa"/>
          <w:right w:w="70" w:type="dxa"/>
        </w:tblCellMar>
        <w:tblLook w:firstRow="1" w:noVBand="1" w:lastRow="0" w:firstColumn="1" w:lastColumn="0" w:noHBand="0" w:val="04a0"/>
      </w:tblPr>
      <w:tblGrid>
        <w:gridCol w:w="6418"/>
        <w:gridCol w:w="1400"/>
        <w:gridCol w:w="1402"/>
      </w:tblGrid>
      <w:tr>
        <w:trPr>
          <w:trHeight w:val="480" w:hRule="atLeast"/>
        </w:trPr>
        <w:tc>
          <w:tcPr>
            <w:tcW w:w="6418" w:type="dxa"/>
            <w:tcBorders>
              <w:bottom w:val="single" w:sz="4" w:space="0" w:color="00000A"/>
              <w:insideH w:val="single" w:sz="4" w:space="0" w:color="00000A"/>
            </w:tcBorders>
            <w:shd w:color="auto" w:fill="auto" w:val="clear"/>
            <w:vAlign w:val="center"/>
          </w:tcPr>
          <w:p>
            <w:pPr>
              <w:pStyle w:val="Normal"/>
              <w:jc w:val="center"/>
              <w:rPr>
                <w:rFonts w:ascii="Arial" w:hAnsi="Arial" w:cs="Arial"/>
                <w:b/>
                <w:b/>
                <w:bCs/>
                <w:vanish/>
                <w:sz w:val="18"/>
                <w:szCs w:val="18"/>
              </w:rPr>
            </w:pPr>
            <w:bookmarkStart w:id="50" w:name="RANGE!B4:D13"/>
            <w:bookmarkEnd w:id="50"/>
            <w:r>
              <w:rPr>
                <w:rFonts w:cs="Arial" w:ascii="Arial" w:hAnsi="Arial"/>
                <w:b/>
                <w:bCs/>
                <w:vanish/>
                <w:sz w:val="18"/>
                <w:szCs w:val="18"/>
              </w:rPr>
              <w:t>Názov položky</w:t>
            </w:r>
          </w:p>
        </w:tc>
        <w:tc>
          <w:tcPr>
            <w:tcW w:w="1400" w:type="dxa"/>
            <w:tcBorders>
              <w:bottom w:val="single" w:sz="4" w:space="0" w:color="00000A"/>
              <w:insideH w:val="single" w:sz="4" w:space="0" w:color="00000A"/>
            </w:tcBorders>
            <w:shd w:color="auto" w:fill="auto" w:val="clear"/>
            <w:vAlign w:val="center"/>
          </w:tcPr>
          <w:p>
            <w:pPr>
              <w:pStyle w:val="Normal"/>
              <w:jc w:val="center"/>
              <w:rPr>
                <w:rFonts w:ascii="Arial" w:hAnsi="Arial" w:cs="Arial"/>
                <w:b/>
                <w:b/>
                <w:bCs/>
                <w:vanish/>
                <w:sz w:val="18"/>
                <w:szCs w:val="18"/>
              </w:rPr>
            </w:pPr>
            <w:r>
              <w:rPr>
                <w:rFonts w:cs="Arial" w:ascii="Arial" w:hAnsi="Arial"/>
                <w:b/>
                <w:bCs/>
                <w:vanish/>
                <w:sz w:val="18"/>
                <w:szCs w:val="18"/>
              </w:rPr>
              <w:t>Stav k 31.12.2015</w:t>
            </w:r>
          </w:p>
        </w:tc>
        <w:tc>
          <w:tcPr>
            <w:tcW w:w="1402" w:type="dxa"/>
            <w:tcBorders>
              <w:bottom w:val="single" w:sz="4" w:space="0" w:color="00000A"/>
              <w:insideH w:val="single" w:sz="4" w:space="0" w:color="00000A"/>
            </w:tcBorders>
            <w:shd w:color="auto" w:fill="auto" w:val="clear"/>
            <w:vAlign w:val="center"/>
          </w:tcPr>
          <w:p>
            <w:pPr>
              <w:pStyle w:val="Normal"/>
              <w:jc w:val="center"/>
              <w:rPr>
                <w:rFonts w:ascii="Arial" w:hAnsi="Arial" w:cs="Arial"/>
                <w:b/>
                <w:b/>
                <w:bCs/>
                <w:vanish/>
                <w:sz w:val="18"/>
                <w:szCs w:val="18"/>
              </w:rPr>
            </w:pPr>
            <w:r>
              <w:rPr>
                <w:rFonts w:cs="Arial" w:ascii="Arial" w:hAnsi="Arial"/>
                <w:b/>
                <w:bCs/>
                <w:vanish/>
                <w:sz w:val="18"/>
                <w:szCs w:val="18"/>
              </w:rPr>
              <w:t>Stav k 31.12.2014</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vanish/>
                <w:sz w:val="18"/>
                <w:szCs w:val="18"/>
              </w:rPr>
            </w:pPr>
            <w:r>
              <w:rPr>
                <w:rFonts w:cs="Arial" w:ascii="Arial" w:hAnsi="Arial"/>
                <w:vanish/>
                <w:sz w:val="18"/>
                <w:szCs w:val="18"/>
              </w:rPr>
              <w:t>Prenajatý majetok</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vanish/>
                <w:sz w:val="18"/>
                <w:szCs w:val="18"/>
              </w:rPr>
            </w:pPr>
            <w:r>
              <w:rPr>
                <w:rFonts w:cs="Arial" w:ascii="Arial" w:hAnsi="Arial"/>
                <w:vanish/>
                <w:sz w:val="18"/>
                <w:szCs w:val="18"/>
              </w:rPr>
              <w:t>Majetok v nájme (operatívny prenájom)</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vanish/>
                <w:sz w:val="18"/>
                <w:szCs w:val="18"/>
              </w:rPr>
            </w:pPr>
            <w:r>
              <w:rPr>
                <w:rFonts w:cs="Arial" w:ascii="Arial" w:hAnsi="Arial"/>
                <w:vanish/>
                <w:sz w:val="18"/>
                <w:szCs w:val="18"/>
              </w:rPr>
              <w:t>Majetok prijatý do úschovy</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vanish/>
                <w:sz w:val="18"/>
                <w:szCs w:val="18"/>
              </w:rPr>
            </w:pPr>
            <w:r>
              <w:rPr>
                <w:rFonts w:cs="Arial" w:ascii="Arial" w:hAnsi="Arial"/>
                <w:vanish/>
                <w:sz w:val="18"/>
                <w:szCs w:val="18"/>
              </w:rPr>
              <w:t>Pohľadávky z derivátov</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vanish/>
                <w:sz w:val="18"/>
                <w:szCs w:val="18"/>
              </w:rPr>
            </w:pPr>
            <w:r>
              <w:rPr>
                <w:rFonts w:cs="Arial" w:ascii="Arial" w:hAnsi="Arial"/>
                <w:vanish/>
                <w:sz w:val="18"/>
                <w:szCs w:val="18"/>
              </w:rPr>
              <w:t>Záväzky z opcií derivátov</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vanish/>
                <w:sz w:val="18"/>
                <w:szCs w:val="18"/>
              </w:rPr>
            </w:pPr>
            <w:r>
              <w:rPr>
                <w:rFonts w:cs="Arial" w:ascii="Arial" w:hAnsi="Arial"/>
                <w:vanish/>
                <w:sz w:val="18"/>
                <w:szCs w:val="18"/>
              </w:rPr>
              <w:t>Odpísané pohľadávky</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vanish/>
                <w:sz w:val="18"/>
                <w:szCs w:val="18"/>
              </w:rPr>
            </w:pPr>
            <w:r>
              <w:rPr>
                <w:rFonts w:cs="Arial" w:ascii="Arial" w:hAnsi="Arial"/>
                <w:vanish/>
                <w:sz w:val="18"/>
                <w:szCs w:val="18"/>
              </w:rPr>
              <w:t>Pohľadávky z leasingu</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vanish/>
                <w:sz w:val="18"/>
                <w:szCs w:val="18"/>
              </w:rPr>
            </w:pPr>
            <w:r>
              <w:rPr>
                <w:rFonts w:cs="Arial" w:ascii="Arial" w:hAnsi="Arial"/>
                <w:vanish/>
                <w:sz w:val="18"/>
                <w:szCs w:val="18"/>
              </w:rPr>
              <w:t>Záväzky z leasingu</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r>
      <w:tr>
        <w:trPr>
          <w:trHeight w:val="240" w:hRule="atLeast"/>
        </w:trPr>
        <w:tc>
          <w:tcPr>
            <w:tcW w:w="6418" w:type="dxa"/>
            <w:tcBorders>
              <w:top w:val="single" w:sz="4" w:space="0" w:color="00000A"/>
              <w:bottom w:val="single" w:sz="4" w:space="0" w:color="00000A"/>
              <w:insideH w:val="single" w:sz="4" w:space="0" w:color="00000A"/>
            </w:tcBorders>
            <w:shd w:color="auto" w:fill="auto" w:val="clear"/>
            <w:vAlign w:val="bottom"/>
          </w:tcPr>
          <w:p>
            <w:pPr>
              <w:pStyle w:val="Normal"/>
              <w:rPr>
                <w:rFonts w:ascii="Arial" w:hAnsi="Arial" w:cs="Arial"/>
                <w:vanish/>
                <w:sz w:val="18"/>
                <w:szCs w:val="18"/>
              </w:rPr>
            </w:pPr>
            <w:r>
              <w:rPr>
                <w:rFonts w:cs="Arial" w:ascii="Arial" w:hAnsi="Arial"/>
                <w:vanish/>
                <w:sz w:val="18"/>
                <w:szCs w:val="18"/>
              </w:rPr>
              <w:t>Iné položky</w:t>
            </w:r>
          </w:p>
        </w:tc>
        <w:tc>
          <w:tcPr>
            <w:tcW w:w="1400"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r>
              <w:rPr>
                <w:rFonts w:cs="Arial" w:ascii="Arial" w:hAnsi="Arial"/>
                <w:vanish/>
                <w:sz w:val="18"/>
                <w:szCs w:val="18"/>
              </w:rPr>
              <w:t>0</w:t>
            </w:r>
          </w:p>
        </w:tc>
        <w:tc>
          <w:tcPr>
            <w:tcW w:w="1402" w:type="dxa"/>
            <w:tcBorders>
              <w:top w:val="single" w:sz="4" w:space="0" w:color="00000A"/>
              <w:bottom w:val="single" w:sz="4" w:space="0" w:color="00000A"/>
              <w:insideH w:val="single" w:sz="4" w:space="0" w:color="00000A"/>
            </w:tcBorders>
            <w:shd w:color="auto" w:fill="auto" w:val="clear"/>
            <w:vAlign w:val="bottom"/>
          </w:tcPr>
          <w:p>
            <w:pPr>
              <w:pStyle w:val="Normal"/>
              <w:jc w:val="right"/>
              <w:rPr>
                <w:rFonts w:ascii="Arial" w:hAnsi="Arial" w:cs="Arial"/>
                <w:vanish/>
                <w:sz w:val="18"/>
                <w:szCs w:val="18"/>
              </w:rPr>
            </w:pPr>
            <w:bookmarkStart w:id="51" w:name="FWT_T43"/>
            <w:bookmarkEnd w:id="51"/>
            <w:r>
              <w:rPr>
                <w:rFonts w:cs="Arial" w:ascii="Arial" w:hAnsi="Arial"/>
                <w:vanish/>
                <w:sz w:val="18"/>
                <w:szCs w:val="18"/>
              </w:rPr>
              <w:t>0</w:t>
            </w:r>
          </w:p>
        </w:tc>
      </w:tr>
    </w:tbl>
    <w:p>
      <w:pPr>
        <w:pStyle w:val="Nadpis1"/>
        <w:numPr>
          <w:ilvl w:val="0"/>
          <w:numId w:val="4"/>
        </w:numPr>
        <w:ind w:left="426" w:hanging="426"/>
        <w:rPr>
          <w:rFonts w:ascii="Arial" w:hAnsi="Arial"/>
          <w:sz w:val="20"/>
          <w:szCs w:val="20"/>
          <w:lang w:val="en-US"/>
        </w:rPr>
      </w:pPr>
      <w:r>
        <w:rPr>
          <w:rFonts w:ascii="Arial" w:hAnsi="Arial"/>
          <w:sz w:val="20"/>
          <w:szCs w:val="20"/>
          <w:lang w:val="en-US"/>
        </w:rPr>
        <w:t>UDALOSTI, KTORÉ NASTALI PO DNI, KU KTORÉMU SA ZOSTAVUJE ÚČTOVNÁ ZÁVIERKA</w:t>
      </w:r>
    </w:p>
    <w:p>
      <w:pPr>
        <w:pStyle w:val="NormalWeb"/>
        <w:spacing w:beforeAutospacing="0" w:before="0" w:afterAutospacing="0" w:after="0"/>
        <w:ind w:left="426" w:hanging="0"/>
        <w:jc w:val="both"/>
        <w:rPr/>
      </w:pPr>
      <w:r>
        <w:rPr>
          <w:rFonts w:cs="Arial" w:ascii="Arial" w:hAnsi="Arial"/>
          <w:sz w:val="20"/>
          <w:szCs w:val="20"/>
        </w:rPr>
        <w:t>Po 31. decembri 2024 a do dňa zostavenia účtovnej závierky nenastali žiadne také udalosti, ktoré by významným spôsobom ovplyvnili aktíva a pasíva spoločnosti, okrem tých, ktoré sú uvedené vyššie a ktoré sú výsledkom bežnej činnosti.</w:t>
      </w:r>
    </w:p>
    <w:sectPr>
      <w:headerReference w:type="default" r:id="rId8"/>
      <w:type w:val="nextPage"/>
      <w:pgSz w:w="11906" w:h="16838"/>
      <w:pgMar w:left="1134" w:right="1134" w:header="709" w:top="1134" w:footer="0" w:bottom="1134"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Arial">
    <w:charset w:val="ee"/>
    <w:family w:val="roman"/>
    <w:pitch w:val="variable"/>
  </w:font>
  <w:font w:name="Helv">
    <w:altName w:val="Arial"/>
    <w:charset w:val="ee"/>
    <w:family w:val="roman"/>
    <w:pitch w:val="variable"/>
  </w:font>
  <w:font w:name="Tahoma">
    <w:charset w:val="ee"/>
    <w:family w:val="roman"/>
    <w:pitch w:val="variable"/>
  </w:font>
  <w:font w:name="Georgia">
    <w:charset w:val="ee"/>
    <w:family w:val="roman"/>
    <w:pitch w:val="variable"/>
  </w:font>
  <w:font w:name="Liberation Sans">
    <w:altName w:val="Arial"/>
    <w:charset w:val="ee"/>
    <w:family w:val="roman"/>
    <w:pitch w:val="variable"/>
  </w:font>
  <w:font w:name="Arial">
    <w:altName w:val="Bold"/>
    <w:charset w:val="ee"/>
    <w:family w:val="roman"/>
    <w:pitch w:val="variable"/>
  </w:font>
  <w:font w:name="Univers">
    <w:charset w:val="ee"/>
    <w:family w:val="roman"/>
    <w:pitch w:val="variable"/>
  </w:font>
  <w:font w:name="Courier New">
    <w:charset w:val="ee"/>
    <w:family w:val="roman"/>
    <w:pitch w:val="variable"/>
  </w:font>
  <w:font w:name="Arial Narrow">
    <w:charset w:val="ee"/>
    <w:family w:val="roman"/>
    <w:pitch w:val="variable"/>
  </w:font>
  <w:font w:name="Calibri">
    <w:charset w:val="ee"/>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Style w:val="TableGrid"/>
      <w:tblW w:w="9638" w:type="dxa"/>
      <w:jc w:val="left"/>
      <w:tblInd w:w="0" w:type="dxa"/>
      <w:tblCellMar>
        <w:top w:w="0" w:type="dxa"/>
        <w:left w:w="113" w:type="dxa"/>
        <w:bottom w:w="0" w:type="dxa"/>
        <w:right w:w="108" w:type="dxa"/>
      </w:tblCellMar>
      <w:tblLook w:firstRow="1" w:noVBand="1" w:lastRow="0" w:firstColumn="1" w:lastColumn="0" w:noHBand="0" w:val="04a0"/>
    </w:tblPr>
    <w:tblGrid>
      <w:gridCol w:w="3213"/>
      <w:gridCol w:w="3202"/>
      <w:gridCol w:w="3223"/>
    </w:tblGrid>
    <w:tr>
      <w:trPr/>
      <w:tc>
        <w:tcPr>
          <w:tcW w:w="3213" w:type="dxa"/>
          <w:tcBorders>
            <w:top w:val="nil"/>
            <w:left w:val="nil"/>
            <w:bottom w:val="nil"/>
            <w:right w:val="nil"/>
            <w:insideH w:val="nil"/>
            <w:insideV w:val="nil"/>
          </w:tcBorders>
          <w:shd w:fill="auto" w:val="clear"/>
        </w:tcPr>
        <w:p>
          <w:pPr>
            <w:pStyle w:val="Hlavika"/>
            <w:tabs>
              <w:tab w:val="center" w:pos="4536" w:leader="none"/>
              <w:tab w:val="right" w:pos="9072" w:leader="none"/>
              <w:tab w:val="right" w:pos="9639" w:leader="none"/>
            </w:tabs>
            <w:ind w:right="-82" w:hanging="0"/>
            <w:rPr>
              <w:rFonts w:ascii="Arial" w:hAnsi="Arial" w:cs="Arial"/>
              <w:sz w:val="20"/>
              <w:szCs w:val="20"/>
            </w:rPr>
          </w:pPr>
          <w:bookmarkStart w:id="16" w:name="NotesHeading"/>
          <w:bookmarkEnd w:id="16"/>
          <w:r>
            <w:rPr>
              <w:rFonts w:cs="Arial" w:ascii="Arial" w:hAnsi="Arial"/>
              <w:sz w:val="20"/>
              <w:szCs w:val="20"/>
            </w:rPr>
            <w:t>Poznámky Úč POD 3-01</w:t>
          </w:r>
        </w:p>
      </w:tc>
      <w:tc>
        <w:tcPr>
          <w:tcW w:w="3202" w:type="dxa"/>
          <w:tcBorders>
            <w:top w:val="nil"/>
            <w:left w:val="nil"/>
            <w:bottom w:val="nil"/>
            <w:right w:val="nil"/>
            <w:insideH w:val="nil"/>
            <w:insideV w:val="nil"/>
          </w:tcBorders>
          <w:shd w:fill="auto" w:val="clear"/>
        </w:tcPr>
        <w:p>
          <w:pPr>
            <w:pStyle w:val="Hlavika"/>
            <w:tabs>
              <w:tab w:val="center" w:pos="4536" w:leader="none"/>
              <w:tab w:val="right" w:pos="9072" w:leader="none"/>
              <w:tab w:val="right" w:pos="9639" w:leader="none"/>
            </w:tabs>
            <w:ind w:right="-82" w:hanging="0"/>
            <w:rPr>
              <w:rFonts w:ascii="Arial" w:hAnsi="Arial" w:cs="Arial"/>
              <w:sz w:val="20"/>
              <w:szCs w:val="20"/>
            </w:rPr>
          </w:pPr>
          <w:r>
            <w:rPr>
              <w:rFonts w:cs="Arial" w:ascii="Arial" w:hAnsi="Arial"/>
              <w:sz w:val="20"/>
              <w:szCs w:val="20"/>
            </w:rPr>
          </w:r>
        </w:p>
      </w:tc>
      <w:tc>
        <w:tcPr>
          <w:tcW w:w="3223" w:type="dxa"/>
          <w:tcBorders>
            <w:top w:val="nil"/>
            <w:left w:val="nil"/>
            <w:bottom w:val="nil"/>
            <w:right w:val="nil"/>
            <w:insideH w:val="nil"/>
            <w:insideV w:val="nil"/>
          </w:tcBorders>
          <w:shd w:fill="auto" w:val="clear"/>
        </w:tcPr>
        <w:p>
          <w:pPr>
            <w:pStyle w:val="Hlavika"/>
            <w:tabs>
              <w:tab w:val="center" w:pos="4536" w:leader="none"/>
              <w:tab w:val="right" w:pos="9072" w:leader="none"/>
              <w:tab w:val="right" w:pos="9639" w:leader="none"/>
            </w:tabs>
            <w:ind w:right="-82" w:hanging="0"/>
            <w:jc w:val="right"/>
            <w:rPr>
              <w:rFonts w:ascii="Arial" w:hAnsi="Arial" w:cs="Arial"/>
              <w:sz w:val="20"/>
              <w:szCs w:val="20"/>
            </w:rPr>
          </w:pPr>
          <w:r>
            <w:rPr>
              <w:rFonts w:cs="Arial" w:ascii="Arial" w:hAnsi="Arial"/>
              <w:sz w:val="20"/>
              <w:szCs w:val="20"/>
            </w:rPr>
            <w:t xml:space="preserve">IČO: </w:t>
          </w:r>
          <w:bookmarkStart w:id="17" w:name="EntityICO"/>
          <w:bookmarkEnd w:id="17"/>
          <w:r>
            <w:rPr>
              <w:rFonts w:cs="Arial" w:ascii="Arial" w:hAnsi="Arial"/>
              <w:sz w:val="20"/>
              <w:szCs w:val="20"/>
            </w:rPr>
            <w:t>36025330</w:t>
          </w:r>
        </w:p>
      </w:tc>
    </w:tr>
    <w:tr>
      <w:trPr/>
      <w:tc>
        <w:tcPr>
          <w:tcW w:w="3213" w:type="dxa"/>
          <w:tcBorders>
            <w:top w:val="nil"/>
            <w:left w:val="nil"/>
            <w:right w:val="nil"/>
            <w:insideV w:val="nil"/>
          </w:tcBorders>
          <w:shd w:fill="auto" w:val="clear"/>
        </w:tcPr>
        <w:p>
          <w:pPr>
            <w:pStyle w:val="Hlavika"/>
            <w:tabs>
              <w:tab w:val="center" w:pos="1562" w:leader="none"/>
              <w:tab w:val="center" w:pos="4536" w:leader="none"/>
              <w:tab w:val="right" w:pos="9072" w:leader="none"/>
            </w:tabs>
            <w:ind w:right="-82" w:hanging="0"/>
            <w:rPr>
              <w:rFonts w:ascii="Arial" w:hAnsi="Arial" w:cs="Arial"/>
              <w:sz w:val="20"/>
              <w:szCs w:val="20"/>
            </w:rPr>
          </w:pPr>
          <w:bookmarkStart w:id="18" w:name="EntityName"/>
          <w:r>
            <w:rPr>
              <w:rFonts w:cs="Arial" w:ascii="Arial" w:hAnsi="Arial"/>
              <w:sz w:val="20"/>
              <w:szCs w:val="20"/>
            </w:rPr>
            <w:t>M&amp;M, s.r.o.</w:t>
          </w:r>
          <w:bookmarkEnd w:id="18"/>
          <w:r>
            <w:rPr>
              <w:rFonts w:cs="Arial" w:ascii="Arial" w:hAnsi="Arial"/>
              <w:sz w:val="20"/>
              <w:szCs w:val="20"/>
            </w:rPr>
            <w:tab/>
          </w:r>
        </w:p>
      </w:tc>
      <w:tc>
        <w:tcPr>
          <w:tcW w:w="3202" w:type="dxa"/>
          <w:tcBorders>
            <w:top w:val="nil"/>
            <w:left w:val="nil"/>
            <w:right w:val="nil"/>
            <w:insideV w:val="nil"/>
          </w:tcBorders>
          <w:shd w:fill="auto" w:val="clear"/>
        </w:tcPr>
        <w:p>
          <w:pPr>
            <w:pStyle w:val="Hlavika"/>
            <w:tabs>
              <w:tab w:val="center" w:pos="4536" w:leader="none"/>
              <w:tab w:val="right" w:pos="9072" w:leader="none"/>
              <w:tab w:val="right" w:pos="9639" w:leader="none"/>
            </w:tabs>
            <w:ind w:right="-82" w:hanging="0"/>
            <w:jc w:val="center"/>
            <w:rPr/>
          </w:pPr>
          <w:r>
            <w:rPr/>
            <w:fldChar w:fldCharType="begin"/>
          </w:r>
          <w:r>
            <w:instrText> PAGE </w:instrText>
          </w:r>
          <w:r>
            <w:fldChar w:fldCharType="separate"/>
          </w:r>
          <w:r>
            <w:t>1</w:t>
          </w:r>
          <w:r>
            <w:fldChar w:fldCharType="end"/>
          </w:r>
        </w:p>
      </w:tc>
      <w:tc>
        <w:tcPr>
          <w:tcW w:w="3223" w:type="dxa"/>
          <w:tcBorders>
            <w:top w:val="nil"/>
            <w:left w:val="nil"/>
            <w:right w:val="nil"/>
            <w:insideV w:val="nil"/>
          </w:tcBorders>
          <w:shd w:fill="auto" w:val="clear"/>
        </w:tcPr>
        <w:p>
          <w:pPr>
            <w:pStyle w:val="Hlavika"/>
            <w:tabs>
              <w:tab w:val="center" w:pos="4536" w:leader="none"/>
              <w:tab w:val="right" w:pos="9072" w:leader="none"/>
              <w:tab w:val="right" w:pos="9639" w:leader="none"/>
            </w:tabs>
            <w:ind w:right="-82" w:hanging="0"/>
            <w:jc w:val="right"/>
            <w:rPr>
              <w:rFonts w:ascii="Arial" w:hAnsi="Arial" w:cs="Arial"/>
              <w:sz w:val="20"/>
              <w:szCs w:val="20"/>
            </w:rPr>
          </w:pPr>
          <w:r>
            <w:rPr>
              <w:rFonts w:cs="Arial" w:ascii="Arial" w:hAnsi="Arial"/>
              <w:sz w:val="20"/>
              <w:szCs w:val="20"/>
            </w:rPr>
            <w:t xml:space="preserve">DIČ: </w:t>
          </w:r>
          <w:bookmarkStart w:id="19" w:name="EntityDIC"/>
          <w:bookmarkEnd w:id="19"/>
          <w:r>
            <w:rPr>
              <w:rFonts w:cs="Arial" w:ascii="Arial" w:hAnsi="Arial"/>
              <w:sz w:val="20"/>
              <w:szCs w:val="20"/>
            </w:rPr>
            <w:t>2021083901</w:t>
          </w:r>
        </w:p>
      </w:tc>
    </w:tr>
  </w:tbl>
  <w:p>
    <w:pPr>
      <w:pStyle w:val="Hlavika"/>
      <w:tabs>
        <w:tab w:val="center" w:pos="4536" w:leader="none"/>
        <w:tab w:val="right" w:pos="9072" w:leader="none"/>
        <w:tab w:val="right" w:pos="9639" w:leader="none"/>
      </w:tabs>
      <w:ind w:right="-82" w:hanging="0"/>
      <w:rPr>
        <w:rFonts w:ascii="Georgia" w:hAnsi="Georgia" w:cs="Arial"/>
        <w:sz w:val="20"/>
        <w:szCs w:val="20"/>
      </w:rPr>
    </w:pPr>
    <w:r>
      <w:rPr>
        <w:rFonts w:cs="Arial" w:ascii="Georgia" w:hAnsi="Georgia"/>
        <w:sz w:val="20"/>
        <w:szCs w:val="20"/>
      </w:rPr>
      <w:tab/>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Style w:val="TableGrid"/>
      <w:tblW w:w="9638" w:type="dxa"/>
      <w:jc w:val="left"/>
      <w:tblInd w:w="0" w:type="dxa"/>
      <w:tblCellMar>
        <w:top w:w="0" w:type="dxa"/>
        <w:left w:w="113" w:type="dxa"/>
        <w:bottom w:w="0" w:type="dxa"/>
        <w:right w:w="108" w:type="dxa"/>
      </w:tblCellMar>
      <w:tblLook w:firstRow="1" w:noVBand="1" w:lastRow="0" w:firstColumn="1" w:lastColumn="0" w:noHBand="0" w:val="04a0"/>
    </w:tblPr>
    <w:tblGrid>
      <w:gridCol w:w="3233"/>
      <w:gridCol w:w="2993"/>
      <w:gridCol w:w="3412"/>
    </w:tblGrid>
    <w:tr>
      <w:trPr/>
      <w:tc>
        <w:tcPr>
          <w:tcW w:w="3233" w:type="dxa"/>
          <w:tcBorders>
            <w:top w:val="nil"/>
            <w:left w:val="nil"/>
            <w:bottom w:val="nil"/>
            <w:right w:val="nil"/>
            <w:insideH w:val="nil"/>
            <w:insideV w:val="nil"/>
          </w:tcBorders>
          <w:shd w:fill="auto" w:val="clear"/>
        </w:tcPr>
        <w:p>
          <w:pPr>
            <w:pStyle w:val="Hlavika"/>
            <w:rPr/>
          </w:pPr>
          <w:r>
            <w:rPr/>
            <w:fldChar w:fldCharType="begin"/>
          </w:r>
          <w:r>
            <w:instrText> REF NotesHeading \h </w:instrText>
          </w:r>
          <w:r>
            <w:fldChar w:fldCharType="separate"/>
          </w:r>
          <w:r/>
          <w:r>
            <w:fldChar w:fldCharType="end"/>
          </w:r>
        </w:p>
      </w:tc>
      <w:tc>
        <w:tcPr>
          <w:tcW w:w="2993" w:type="dxa"/>
          <w:tcBorders>
            <w:top w:val="nil"/>
            <w:left w:val="nil"/>
            <w:bottom w:val="nil"/>
            <w:right w:val="nil"/>
            <w:insideH w:val="nil"/>
            <w:insideV w:val="nil"/>
          </w:tcBorders>
          <w:shd w:fill="auto" w:val="clear"/>
        </w:tcPr>
        <w:p>
          <w:pPr>
            <w:pStyle w:val="Hlavika"/>
            <w:rPr>
              <w:rFonts w:ascii="Arial" w:hAnsi="Arial" w:cs="Arial"/>
              <w:sz w:val="20"/>
              <w:szCs w:val="20"/>
            </w:rPr>
          </w:pPr>
          <w:r>
            <w:rPr>
              <w:rFonts w:cs="Arial" w:ascii="Arial" w:hAnsi="Arial"/>
              <w:sz w:val="20"/>
              <w:szCs w:val="20"/>
            </w:rPr>
          </w:r>
        </w:p>
      </w:tc>
      <w:tc>
        <w:tcPr>
          <w:tcW w:w="3412" w:type="dxa"/>
          <w:tcBorders>
            <w:top w:val="nil"/>
            <w:left w:val="nil"/>
            <w:bottom w:val="nil"/>
            <w:right w:val="nil"/>
            <w:insideH w:val="nil"/>
            <w:insideV w:val="nil"/>
          </w:tcBorders>
          <w:shd w:fill="auto" w:val="clear"/>
        </w:tcPr>
        <w:p>
          <w:pPr>
            <w:pStyle w:val="Hlavika"/>
            <w:jc w:val="right"/>
            <w:rPr/>
          </w:pPr>
          <w:r>
            <w:rPr>
              <w:rFonts w:cs="Arial" w:ascii="Arial" w:hAnsi="Arial"/>
              <w:sz w:val="20"/>
              <w:szCs w:val="20"/>
            </w:rPr>
            <w:t xml:space="preserve">IČO: </w:t>
          </w:r>
          <w:r>
            <w:rPr>
              <w:rFonts w:cs="Arial" w:ascii="Arial" w:hAnsi="Arial"/>
              <w:sz w:val="20"/>
              <w:szCs w:val="20"/>
            </w:rPr>
            <w:fldChar w:fldCharType="begin"/>
          </w:r>
          <w:r>
            <w:instrText> REF EntityICO \h </w:instrText>
          </w:r>
          <w:r>
            <w:fldChar w:fldCharType="separate"/>
          </w:r>
          <w:r/>
          <w:r>
            <w:fldChar w:fldCharType="end"/>
          </w:r>
        </w:p>
      </w:tc>
    </w:tr>
    <w:tr>
      <w:trPr/>
      <w:tc>
        <w:tcPr>
          <w:tcW w:w="3233" w:type="dxa"/>
          <w:tcBorders>
            <w:top w:val="nil"/>
            <w:left w:val="nil"/>
            <w:right w:val="nil"/>
            <w:insideV w:val="nil"/>
          </w:tcBorders>
          <w:shd w:fill="auto" w:val="clear"/>
        </w:tcPr>
        <w:p>
          <w:pPr>
            <w:pStyle w:val="Hlavika"/>
            <w:rPr/>
          </w:pPr>
          <w:r>
            <w:rPr/>
            <w:fldChar w:fldCharType="begin"/>
          </w:r>
          <w:r>
            <w:instrText> REF EntityName \h </w:instrText>
          </w:r>
          <w:r>
            <w:fldChar w:fldCharType="separate"/>
          </w:r>
          <w:r>
            <w:t>M&amp;M, s.r.o.</w:t>
          </w:r>
          <w:r>
            <w:fldChar w:fldCharType="end"/>
          </w:r>
        </w:p>
      </w:tc>
      <w:tc>
        <w:tcPr>
          <w:tcW w:w="2993" w:type="dxa"/>
          <w:tcBorders>
            <w:top w:val="nil"/>
            <w:left w:val="nil"/>
            <w:right w:val="nil"/>
            <w:insideV w:val="nil"/>
          </w:tcBorders>
          <w:shd w:fill="auto" w:val="clear"/>
        </w:tcPr>
        <w:p>
          <w:pPr>
            <w:pStyle w:val="Hlavika"/>
            <w:jc w:val="center"/>
            <w:rPr/>
          </w:pPr>
          <w:r>
            <w:rPr/>
            <w:fldChar w:fldCharType="begin"/>
          </w:r>
          <w:r>
            <w:instrText> PAGE </w:instrText>
          </w:r>
          <w:r>
            <w:fldChar w:fldCharType="separate"/>
          </w:r>
          <w:r>
            <w:t>5</w:t>
          </w:r>
          <w:r>
            <w:fldChar w:fldCharType="end"/>
          </w:r>
        </w:p>
      </w:tc>
      <w:tc>
        <w:tcPr>
          <w:tcW w:w="3412" w:type="dxa"/>
          <w:tcBorders>
            <w:top w:val="nil"/>
            <w:left w:val="nil"/>
            <w:right w:val="nil"/>
            <w:insideV w:val="nil"/>
          </w:tcBorders>
          <w:shd w:fill="auto" w:val="clear"/>
        </w:tcPr>
        <w:p>
          <w:pPr>
            <w:pStyle w:val="Hlavika"/>
            <w:jc w:val="right"/>
            <w:rPr/>
          </w:pPr>
          <w:r>
            <w:rPr>
              <w:rFonts w:cs="Arial" w:ascii="Arial" w:hAnsi="Arial"/>
              <w:sz w:val="20"/>
              <w:szCs w:val="20"/>
            </w:rPr>
            <w:t>DIČ</w:t>
          </w:r>
          <w:r>
            <w:rPr>
              <w:rFonts w:cs="Arial" w:ascii="Arial" w:hAnsi="Arial"/>
              <w:sz w:val="20"/>
              <w:szCs w:val="20"/>
              <w:lang w:val="en-US"/>
            </w:rPr>
            <w:t xml:space="preserve">: </w:t>
          </w:r>
          <w:r>
            <w:rPr>
              <w:rFonts w:cs="Arial" w:ascii="Arial" w:hAnsi="Arial"/>
              <w:sz w:val="20"/>
              <w:szCs w:val="20"/>
              <w:lang w:val="en-US"/>
            </w:rPr>
            <w:fldChar w:fldCharType="begin"/>
          </w:r>
          <w:r>
            <w:instrText> REF EntityDIC \h </w:instrText>
          </w:r>
          <w:r>
            <w:fldChar w:fldCharType="separate"/>
          </w:r>
          <w:r/>
          <w:r>
            <w:fldChar w:fldCharType="end"/>
          </w:r>
        </w:p>
      </w:tc>
    </w:tr>
  </w:tbl>
  <w:p>
    <w:pPr>
      <w:pStyle w:val="Hlavika"/>
      <w:rPr>
        <w:rFonts w:ascii="Arial" w:hAnsi="Arial" w:cs="Arial"/>
        <w:sz w:val="20"/>
        <w:szCs w:val="20"/>
      </w:rPr>
    </w:pPr>
    <w:r>
      <w:rPr>
        <w:rFonts w:cs="Arial" w:ascii="Arial" w:hAnsi="Arial"/>
        <w:sz w:val="20"/>
        <w:szCs w:val="20"/>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Style w:val="TableGrid"/>
      <w:tblW w:w="9747" w:type="dxa"/>
      <w:jc w:val="left"/>
      <w:tblInd w:w="0" w:type="dxa"/>
      <w:tblCellMar>
        <w:top w:w="0" w:type="dxa"/>
        <w:left w:w="113" w:type="dxa"/>
        <w:bottom w:w="0" w:type="dxa"/>
        <w:right w:w="108" w:type="dxa"/>
      </w:tblCellMar>
      <w:tblLook w:firstRow="1" w:noVBand="1" w:lastRow="0" w:firstColumn="1" w:lastColumn="0" w:noHBand="0" w:val="04a0"/>
    </w:tblPr>
    <w:tblGrid>
      <w:gridCol w:w="2802"/>
      <w:gridCol w:w="3685"/>
      <w:gridCol w:w="3260"/>
    </w:tblGrid>
    <w:tr>
      <w:trPr/>
      <w:tc>
        <w:tcPr>
          <w:tcW w:w="2802" w:type="dxa"/>
          <w:tcBorders>
            <w:top w:val="nil"/>
            <w:left w:val="nil"/>
            <w:bottom w:val="nil"/>
            <w:right w:val="nil"/>
            <w:insideH w:val="nil"/>
            <w:insideV w:val="nil"/>
          </w:tcBorders>
          <w:shd w:fill="auto" w:val="clear"/>
        </w:tcPr>
        <w:p>
          <w:pPr>
            <w:pStyle w:val="Hlavika"/>
            <w:rPr/>
          </w:pPr>
          <w:r>
            <w:rPr/>
            <w:fldChar w:fldCharType="begin"/>
          </w:r>
          <w:r>
            <w:instrText> REF NotesHeading \h </w:instrText>
          </w:r>
          <w:r>
            <w:fldChar w:fldCharType="separate"/>
          </w:r>
          <w:r/>
          <w:r>
            <w:fldChar w:fldCharType="end"/>
          </w:r>
        </w:p>
      </w:tc>
      <w:tc>
        <w:tcPr>
          <w:tcW w:w="3685" w:type="dxa"/>
          <w:tcBorders>
            <w:top w:val="nil"/>
            <w:left w:val="nil"/>
            <w:bottom w:val="nil"/>
            <w:right w:val="nil"/>
            <w:insideH w:val="nil"/>
            <w:insideV w:val="nil"/>
          </w:tcBorders>
          <w:shd w:fill="auto" w:val="clear"/>
        </w:tcPr>
        <w:p>
          <w:pPr>
            <w:pStyle w:val="Hlavika"/>
            <w:rPr>
              <w:rFonts w:ascii="Arial" w:hAnsi="Arial" w:cs="Arial"/>
              <w:sz w:val="20"/>
              <w:szCs w:val="20"/>
            </w:rPr>
          </w:pPr>
          <w:r>
            <w:rPr>
              <w:rFonts w:cs="Arial" w:ascii="Arial" w:hAnsi="Arial"/>
              <w:sz w:val="20"/>
              <w:szCs w:val="20"/>
            </w:rPr>
          </w:r>
        </w:p>
      </w:tc>
      <w:tc>
        <w:tcPr>
          <w:tcW w:w="3260" w:type="dxa"/>
          <w:tcBorders>
            <w:top w:val="nil"/>
            <w:left w:val="nil"/>
            <w:bottom w:val="nil"/>
            <w:right w:val="nil"/>
            <w:insideH w:val="nil"/>
            <w:insideV w:val="nil"/>
          </w:tcBorders>
          <w:shd w:fill="auto" w:val="clear"/>
        </w:tcPr>
        <w:p>
          <w:pPr>
            <w:pStyle w:val="Hlavika"/>
            <w:tabs>
              <w:tab w:val="center" w:pos="4536" w:leader="none"/>
              <w:tab w:val="right" w:pos="9072" w:leader="none"/>
            </w:tabs>
            <w:jc w:val="right"/>
            <w:rPr/>
          </w:pPr>
          <w:r>
            <w:rPr>
              <w:rFonts w:cs="Arial" w:ascii="Arial" w:hAnsi="Arial"/>
              <w:sz w:val="20"/>
              <w:szCs w:val="20"/>
            </w:rPr>
            <w:t>IČO</w:t>
          </w:r>
          <w:r>
            <w:rPr>
              <w:rFonts w:cs="Arial" w:ascii="Arial" w:hAnsi="Arial"/>
              <w:sz w:val="20"/>
              <w:szCs w:val="20"/>
              <w:lang w:val="en-US"/>
            </w:rPr>
            <w:t xml:space="preserve">: </w:t>
          </w:r>
          <w:r>
            <w:rPr>
              <w:rFonts w:cs="Arial" w:ascii="Arial" w:hAnsi="Arial"/>
              <w:sz w:val="20"/>
              <w:szCs w:val="20"/>
              <w:lang w:val="en-US"/>
            </w:rPr>
            <w:fldChar w:fldCharType="begin"/>
          </w:r>
          <w:r>
            <w:instrText> REF EntityICO \h </w:instrText>
          </w:r>
          <w:r>
            <w:fldChar w:fldCharType="separate"/>
          </w:r>
          <w:r/>
          <w:r>
            <w:fldChar w:fldCharType="end"/>
          </w:r>
        </w:p>
      </w:tc>
    </w:tr>
    <w:tr>
      <w:trPr/>
      <w:tc>
        <w:tcPr>
          <w:tcW w:w="2802" w:type="dxa"/>
          <w:tcBorders>
            <w:top w:val="nil"/>
            <w:left w:val="nil"/>
            <w:right w:val="nil"/>
            <w:insideV w:val="nil"/>
          </w:tcBorders>
          <w:shd w:fill="auto" w:val="clear"/>
        </w:tcPr>
        <w:p>
          <w:pPr>
            <w:pStyle w:val="Hlavika"/>
            <w:rPr/>
          </w:pPr>
          <w:r>
            <w:rPr/>
            <w:fldChar w:fldCharType="begin"/>
          </w:r>
          <w:r>
            <w:instrText> REF EntityName \h </w:instrText>
          </w:r>
          <w:r>
            <w:fldChar w:fldCharType="separate"/>
          </w:r>
          <w:r>
            <w:t>M&amp;M, s.r.o.</w:t>
          </w:r>
          <w:r>
            <w:fldChar w:fldCharType="end"/>
          </w:r>
        </w:p>
      </w:tc>
      <w:tc>
        <w:tcPr>
          <w:tcW w:w="3685" w:type="dxa"/>
          <w:tcBorders>
            <w:top w:val="nil"/>
            <w:left w:val="nil"/>
            <w:right w:val="nil"/>
            <w:insideV w:val="nil"/>
          </w:tcBorders>
          <w:shd w:fill="auto" w:val="clear"/>
        </w:tcPr>
        <w:p>
          <w:pPr>
            <w:pStyle w:val="Hlavika"/>
            <w:jc w:val="center"/>
            <w:rPr/>
          </w:pPr>
          <w:r>
            <w:rPr/>
            <w:fldChar w:fldCharType="begin"/>
          </w:r>
          <w:r>
            <w:instrText> PAGE </w:instrText>
          </w:r>
          <w:r>
            <w:fldChar w:fldCharType="separate"/>
          </w:r>
          <w:r>
            <w:t>9</w:t>
          </w:r>
          <w:r>
            <w:fldChar w:fldCharType="end"/>
          </w:r>
        </w:p>
      </w:tc>
      <w:tc>
        <w:tcPr>
          <w:tcW w:w="3260" w:type="dxa"/>
          <w:tcBorders>
            <w:top w:val="nil"/>
            <w:left w:val="nil"/>
            <w:right w:val="nil"/>
            <w:insideV w:val="nil"/>
          </w:tcBorders>
          <w:shd w:fill="auto" w:val="clear"/>
        </w:tcPr>
        <w:p>
          <w:pPr>
            <w:pStyle w:val="Hlavika"/>
            <w:jc w:val="right"/>
            <w:rPr/>
          </w:pPr>
          <w:r>
            <w:rPr>
              <w:rFonts w:cs="Arial" w:ascii="Arial" w:hAnsi="Arial"/>
              <w:sz w:val="20"/>
              <w:szCs w:val="20"/>
            </w:rPr>
            <w:t>DIC</w:t>
          </w:r>
          <w:r>
            <w:rPr>
              <w:rFonts w:cs="Arial" w:ascii="Arial" w:hAnsi="Arial"/>
              <w:sz w:val="20"/>
              <w:szCs w:val="20"/>
              <w:lang w:val="en-US"/>
            </w:rPr>
            <w:t xml:space="preserve">: </w:t>
          </w:r>
          <w:r>
            <w:rPr>
              <w:rFonts w:cs="Arial" w:ascii="Arial" w:hAnsi="Arial"/>
              <w:sz w:val="20"/>
              <w:szCs w:val="20"/>
              <w:lang w:val="en-US"/>
            </w:rPr>
            <w:fldChar w:fldCharType="begin"/>
          </w:r>
          <w:r>
            <w:instrText> REF EntityDIC \h </w:instrText>
          </w:r>
          <w:r>
            <w:fldChar w:fldCharType="separate"/>
          </w:r>
          <w:r/>
          <w:r>
            <w:fldChar w:fldCharType="end"/>
          </w:r>
        </w:p>
      </w:tc>
    </w:tr>
  </w:tbl>
  <w:p>
    <w:pPr>
      <w:pStyle w:val="Hlavika"/>
      <w:rPr>
        <w:rFonts w:ascii="Georgia" w:hAnsi="Georgia" w:cs="Arial"/>
        <w:sz w:val="20"/>
        <w:szCs w:val="20"/>
      </w:rPr>
    </w:pPr>
    <w:r>
      <w:rPr>
        <w:rFonts w:cs="Arial" w:ascii="Georgia" w:hAnsi="Georgia"/>
        <w:sz w:val="20"/>
        <w:szCs w:val="20"/>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Nadpis1"/>
      <w:numFmt w:val="upperRoman"/>
      <w:lvlText w:val="%1."/>
      <w:lvlJc w:val="left"/>
      <w:pPr>
        <w:ind w:left="1080" w:hanging="72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pStyle w:val="Nadpis2"/>
      <w:numFmt w:val="decimal"/>
      <w:lvlText w:val="%7."/>
      <w:lvlJc w:val="left"/>
      <w:pPr>
        <w:tabs>
          <w:tab w:val="num" w:pos="2517"/>
        </w:tabs>
        <w:ind w:left="2517" w:hanging="36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upperLetter"/>
      <w:lvlText w:val="%1."/>
      <w:lvlJc w:val="left"/>
      <w:pPr>
        <w:tabs>
          <w:tab w:val="num" w:pos="422"/>
        </w:tabs>
        <w:ind w:left="422" w:hanging="425"/>
      </w:pPr>
    </w:lvl>
    <w:lvl w:ilvl="1">
      <w:start w:val="1"/>
      <w:numFmt w:val="decimal"/>
      <w:lvlText w:val="%2."/>
      <w:lvlJc w:val="left"/>
      <w:pPr>
        <w:tabs>
          <w:tab w:val="num" w:pos="425"/>
        </w:tabs>
        <w:ind w:left="425" w:hanging="425"/>
      </w:pPr>
    </w:lvl>
    <w:lvl w:ilvl="2">
      <w:start w:val="1"/>
      <w:numFmt w:val="lowerRoman"/>
      <w:lvlText w:val="%3)"/>
      <w:lvlJc w:val="left"/>
      <w:pPr>
        <w:tabs>
          <w:tab w:val="num" w:pos="1077"/>
        </w:tabs>
        <w:ind w:left="1077" w:hanging="360"/>
      </w:pPr>
    </w:lvl>
    <w:lvl w:ilvl="3">
      <w:start w:val="1"/>
      <w:numFmt w:val="decimal"/>
      <w:lvlText w:val="(%4)"/>
      <w:lvlJc w:val="left"/>
      <w:pPr>
        <w:tabs>
          <w:tab w:val="num" w:pos="1437"/>
        </w:tabs>
        <w:ind w:left="1437" w:hanging="360"/>
      </w:pPr>
    </w:lvl>
    <w:lvl w:ilvl="4">
      <w:start w:val="1"/>
      <w:numFmt w:val="lowerLetter"/>
      <w:lvlText w:val="(%5)"/>
      <w:lvlJc w:val="left"/>
      <w:pPr>
        <w:tabs>
          <w:tab w:val="num" w:pos="1797"/>
        </w:tabs>
        <w:ind w:left="1797" w:hanging="360"/>
      </w:pPr>
    </w:lvl>
    <w:lvl w:ilvl="5">
      <w:start w:val="1"/>
      <w:numFmt w:val="lowerRoman"/>
      <w:lvlText w:val="(%6)"/>
      <w:lvlJc w:val="left"/>
      <w:pPr>
        <w:tabs>
          <w:tab w:val="num" w:pos="2157"/>
        </w:tabs>
        <w:ind w:left="2157" w:hanging="360"/>
      </w:pPr>
    </w:lvl>
    <w:lvl w:ilvl="6">
      <w:start w:val="1"/>
      <w:numFmt w:val="decimal"/>
      <w:lvlText w:val="%7."/>
      <w:lvlJc w:val="left"/>
      <w:pPr>
        <w:tabs>
          <w:tab w:val="num" w:pos="2517"/>
        </w:tabs>
        <w:ind w:left="2517" w:hanging="360"/>
      </w:pPr>
    </w:lvl>
    <w:lvl w:ilvl="7">
      <w:start w:val="1"/>
      <w:numFmt w:val="lowerLetter"/>
      <w:lvlText w:val="%8."/>
      <w:lvlJc w:val="left"/>
      <w:pPr>
        <w:tabs>
          <w:tab w:val="num" w:pos="2877"/>
        </w:tabs>
        <w:ind w:left="2877" w:hanging="360"/>
      </w:pPr>
    </w:lvl>
    <w:lvl w:ilvl="8">
      <w:start w:val="1"/>
      <w:numFmt w:val="lowerRoman"/>
      <w:lvlText w:val="%9."/>
      <w:lvlJc w:val="left"/>
      <w:pPr>
        <w:tabs>
          <w:tab w:val="num" w:pos="3237"/>
        </w:tabs>
        <w:ind w:left="3237" w:hanging="360"/>
      </w:pPr>
    </w:lvl>
  </w:abstractNum>
  <w:abstractNum w:abstractNumId="3">
    <w:lvl w:ilvl="0">
      <w:start w:val="1"/>
      <w:numFmt w:val="lowerLetter"/>
      <w:lvlText w:val="%1)"/>
      <w:lvlJc w:val="left"/>
      <w:pPr>
        <w:tabs>
          <w:tab w:val="num" w:pos="425"/>
        </w:tabs>
        <w:ind w:left="425" w:hanging="425"/>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upperLetter"/>
      <w:lvlText w:val="%1."/>
      <w:lvlJc w:val="left"/>
      <w:pPr>
        <w:ind w:left="422" w:hanging="425"/>
      </w:pPr>
    </w:lvl>
    <w:lvl w:ilvl="1">
      <w:start w:val="1"/>
      <w:numFmt w:val="decimal"/>
      <w:lvlText w:val="%2."/>
      <w:lvlJc w:val="left"/>
      <w:pPr>
        <w:ind w:left="425" w:hanging="425"/>
      </w:pPr>
    </w:lvl>
    <w:lvl w:ilvl="2">
      <w:start w:val="1"/>
      <w:numFmt w:val="lowerRoman"/>
      <w:lvlText w:val="%3)"/>
      <w:lvlJc w:val="left"/>
      <w:pPr>
        <w:ind w:left="1077" w:hanging="360"/>
      </w:pPr>
    </w:lvl>
    <w:lvl w:ilvl="3">
      <w:start w:val="1"/>
      <w:numFmt w:val="decimal"/>
      <w:lvlText w:val="(%4)"/>
      <w:lvlJc w:val="left"/>
      <w:pPr>
        <w:ind w:left="1437" w:hanging="360"/>
      </w:pPr>
    </w:lvl>
    <w:lvl w:ilvl="4">
      <w:start w:val="1"/>
      <w:numFmt w:val="lowerLetter"/>
      <w:lvlText w:val="(%5)"/>
      <w:lvlJc w:val="left"/>
      <w:pPr>
        <w:ind w:left="1797" w:hanging="360"/>
      </w:pPr>
    </w:lvl>
    <w:lvl w:ilvl="5">
      <w:start w:val="1"/>
      <w:numFmt w:val="lowerRoman"/>
      <w:lvlText w:val="(%6)"/>
      <w:lvlJc w:val="left"/>
      <w:pPr>
        <w:ind w:left="2157" w:hanging="360"/>
      </w:pPr>
    </w:lvl>
    <w:lvl w:ilvl="6">
      <w:start w:val="1"/>
      <w:numFmt w:val="decimal"/>
      <w:lvlText w:val="%7."/>
      <w:lvlJc w:val="left"/>
      <w:pPr>
        <w:ind w:left="2517" w:hanging="360"/>
      </w:pPr>
    </w:lvl>
    <w:lvl w:ilvl="7">
      <w:start w:val="1"/>
      <w:numFmt w:val="lowerLetter"/>
      <w:lvlText w:val="%8."/>
      <w:lvlJc w:val="left"/>
      <w:pPr>
        <w:ind w:left="2877" w:hanging="360"/>
      </w:pPr>
    </w:lvl>
    <w:lvl w:ilvl="8">
      <w:start w:val="1"/>
      <w:numFmt w:val="lowerRoman"/>
      <w:lvlText w:val="%9."/>
      <w:lvlJc w:val="left"/>
      <w:pPr>
        <w:ind w:left="3237" w:hanging="360"/>
      </w:pPr>
    </w:lvl>
  </w:abstractNum>
  <w:abstractNum w:abstractNumId="6">
    <w:lvl w:ilvl="0">
      <w:start w:val="1"/>
      <w:numFmt w:val="upperLetter"/>
      <w:lvlText w:val="%1."/>
      <w:lvlJc w:val="left"/>
      <w:pPr>
        <w:ind w:left="422" w:hanging="425"/>
      </w:pPr>
    </w:lvl>
    <w:lvl w:ilvl="1">
      <w:start w:val="1"/>
      <w:numFmt w:val="decimal"/>
      <w:lvlText w:val="%2."/>
      <w:lvlJc w:val="left"/>
      <w:pPr>
        <w:ind w:left="425" w:hanging="425"/>
      </w:pPr>
    </w:lvl>
    <w:lvl w:ilvl="2">
      <w:start w:val="1"/>
      <w:numFmt w:val="lowerRoman"/>
      <w:lvlText w:val="%3)"/>
      <w:lvlJc w:val="left"/>
      <w:pPr>
        <w:ind w:left="1077" w:hanging="360"/>
      </w:pPr>
    </w:lvl>
    <w:lvl w:ilvl="3">
      <w:start w:val="1"/>
      <w:numFmt w:val="decimal"/>
      <w:lvlText w:val="(%4)"/>
      <w:lvlJc w:val="left"/>
      <w:pPr>
        <w:ind w:left="1437" w:hanging="360"/>
      </w:pPr>
    </w:lvl>
    <w:lvl w:ilvl="4">
      <w:start w:val="1"/>
      <w:numFmt w:val="lowerLetter"/>
      <w:lvlText w:val="(%5)"/>
      <w:lvlJc w:val="left"/>
      <w:pPr>
        <w:ind w:left="1797" w:hanging="360"/>
      </w:pPr>
    </w:lvl>
    <w:lvl w:ilvl="5">
      <w:start w:val="1"/>
      <w:numFmt w:val="lowerRoman"/>
      <w:lvlText w:val="(%6)"/>
      <w:lvlJc w:val="left"/>
      <w:pPr>
        <w:ind w:left="2157" w:hanging="360"/>
      </w:pPr>
    </w:lvl>
    <w:lvl w:ilvl="6">
      <w:start w:val="1"/>
      <w:numFmt w:val="decimal"/>
      <w:lvlText w:val="%7."/>
      <w:lvlJc w:val="left"/>
      <w:pPr>
        <w:ind w:left="2517" w:hanging="360"/>
      </w:pPr>
    </w:lvl>
    <w:lvl w:ilvl="7">
      <w:start w:val="1"/>
      <w:numFmt w:val="lowerLetter"/>
      <w:lvlText w:val="%8."/>
      <w:lvlJc w:val="left"/>
      <w:pPr>
        <w:ind w:left="2877" w:hanging="360"/>
      </w:pPr>
    </w:lvl>
    <w:lvl w:ilvl="8">
      <w:start w:val="1"/>
      <w:numFmt w:val="lowerRoman"/>
      <w:lvlText w:val="%9."/>
      <w:lvlJc w:val="left"/>
      <w:pPr>
        <w:ind w:left="3237" w:hanging="360"/>
      </w:pPr>
    </w:lvl>
  </w:abstractNum>
  <w:abstractNum w:abstractNumId="7">
    <w:lvl w:ilvl="0">
      <w:start w:val="1"/>
      <w:numFmt w:val="upperLetter"/>
      <w:lvlText w:val="%1."/>
      <w:lvlJc w:val="left"/>
      <w:pPr>
        <w:ind w:left="422" w:hanging="425"/>
      </w:pPr>
    </w:lvl>
    <w:lvl w:ilvl="1">
      <w:start w:val="1"/>
      <w:numFmt w:val="decimal"/>
      <w:lvlText w:val="%2."/>
      <w:lvlJc w:val="left"/>
      <w:pPr>
        <w:ind w:left="425" w:hanging="425"/>
      </w:pPr>
    </w:lvl>
    <w:lvl w:ilvl="2">
      <w:start w:val="1"/>
      <w:numFmt w:val="lowerRoman"/>
      <w:lvlText w:val="%3)"/>
      <w:lvlJc w:val="left"/>
      <w:pPr>
        <w:ind w:left="1077" w:hanging="360"/>
      </w:pPr>
    </w:lvl>
    <w:lvl w:ilvl="3">
      <w:start w:val="1"/>
      <w:numFmt w:val="decimal"/>
      <w:lvlText w:val="(%4)"/>
      <w:lvlJc w:val="left"/>
      <w:pPr>
        <w:ind w:left="1437" w:hanging="360"/>
      </w:pPr>
    </w:lvl>
    <w:lvl w:ilvl="4">
      <w:start w:val="1"/>
      <w:numFmt w:val="lowerLetter"/>
      <w:lvlText w:val="(%5)"/>
      <w:lvlJc w:val="left"/>
      <w:pPr>
        <w:ind w:left="1797" w:hanging="360"/>
      </w:pPr>
    </w:lvl>
    <w:lvl w:ilvl="5">
      <w:start w:val="1"/>
      <w:numFmt w:val="lowerRoman"/>
      <w:lvlText w:val="(%6)"/>
      <w:lvlJc w:val="left"/>
      <w:pPr>
        <w:ind w:left="2157" w:hanging="360"/>
      </w:pPr>
    </w:lvl>
    <w:lvl w:ilvl="6">
      <w:start w:val="1"/>
      <w:numFmt w:val="decimal"/>
      <w:lvlText w:val="%7."/>
      <w:lvlJc w:val="left"/>
      <w:pPr>
        <w:ind w:left="2517" w:hanging="360"/>
      </w:pPr>
    </w:lvl>
    <w:lvl w:ilvl="7">
      <w:start w:val="1"/>
      <w:numFmt w:val="lowerLetter"/>
      <w:lvlText w:val="%8."/>
      <w:lvlJc w:val="left"/>
      <w:pPr>
        <w:ind w:left="2877" w:hanging="360"/>
      </w:pPr>
    </w:lvl>
    <w:lvl w:ilvl="8">
      <w:start w:val="1"/>
      <w:numFmt w:val="lowerRoman"/>
      <w:lvlText w:val="%9."/>
      <w:lvlJc w:val="left"/>
      <w:pPr>
        <w:ind w:left="3237" w:hanging="360"/>
      </w:pPr>
    </w:lvl>
  </w:abstractNum>
  <w:abstractNum w:abstractNumId="8">
    <w:lvl w:ilvl="0">
      <w:start w:val="1"/>
      <w:numFmt w:val="lowerLetter"/>
      <w:lvlText w:val="%1)"/>
      <w:lvlJc w:val="left"/>
      <w:pPr>
        <w:ind w:left="425" w:hanging="425"/>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w="http://schemas.openxmlformats.org/wordprocessingml/2006/main">
  <w:zoom w:percent="12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n-U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166acb"/>
    <w:pPr>
      <w:widowControl/>
      <w:suppressAutoHyphens w:val="false"/>
      <w:bidi w:val="0"/>
      <w:jc w:val="left"/>
    </w:pPr>
    <w:rPr>
      <w:rFonts w:ascii="Times New Roman" w:hAnsi="Times New Roman" w:eastAsia="Times New Roman" w:cs="Times New Roman"/>
      <w:color w:val="00000A"/>
      <w:sz w:val="24"/>
      <w:szCs w:val="24"/>
      <w:lang w:val="sk-SK" w:eastAsia="sk-SK" w:bidi="ar-SA"/>
    </w:rPr>
  </w:style>
  <w:style w:type="paragraph" w:styleId="Nadpis1">
    <w:name w:val="Heading 1"/>
    <w:basedOn w:val="Normal"/>
    <w:next w:val="Normal"/>
    <w:link w:val="Heading1Char"/>
    <w:autoRedefine/>
    <w:qFormat/>
    <w:rsid w:val="00046f2d"/>
    <w:pPr>
      <w:numPr>
        <w:ilvl w:val="0"/>
        <w:numId w:val="1"/>
      </w:numPr>
      <w:suppressAutoHyphens w:val="true"/>
      <w:spacing w:before="60" w:after="240"/>
      <w:jc w:val="both"/>
      <w:outlineLvl w:val="0"/>
      <w:outlineLvl w:val="0"/>
    </w:pPr>
    <w:rPr>
      <w:rFonts w:cs="Arial"/>
      <w:b/>
      <w:bCs/>
      <w:sz w:val="22"/>
      <w:szCs w:val="22"/>
    </w:rPr>
  </w:style>
  <w:style w:type="paragraph" w:styleId="Nadpis2">
    <w:name w:val="Heading 2"/>
    <w:basedOn w:val="Normal"/>
    <w:next w:val="Normal"/>
    <w:link w:val="Heading2Char"/>
    <w:autoRedefine/>
    <w:qFormat/>
    <w:rsid w:val="00e36356"/>
    <w:pPr>
      <w:numPr>
        <w:ilvl w:val="6"/>
        <w:numId w:val="1"/>
      </w:numPr>
      <w:suppressAutoHyphens w:val="true"/>
      <w:spacing w:before="60" w:after="240"/>
      <w:ind w:left="426" w:hanging="0"/>
      <w:jc w:val="both"/>
      <w:outlineLvl w:val="6"/>
      <w:outlineLvl w:val="6"/>
    </w:pPr>
    <w:rPr>
      <w:rFonts w:ascii="Arial" w:hAnsi="Arial" w:cs="Arial"/>
      <w:b/>
      <w:bCs/>
      <w:iCs/>
      <w:sz w:val="20"/>
      <w:szCs w:val="20"/>
    </w:rPr>
  </w:style>
  <w:style w:type="paragraph" w:styleId="Nadpis3">
    <w:name w:val="Heading 3"/>
    <w:basedOn w:val="Normal"/>
    <w:next w:val="Normal"/>
    <w:qFormat/>
    <w:rsid w:val="00316173"/>
    <w:pPr>
      <w:keepNext/>
      <w:tabs>
        <w:tab w:val="left" w:pos="426" w:leader="none"/>
      </w:tabs>
      <w:spacing w:lineRule="auto" w:line="360" w:before="0" w:after="300"/>
      <w:jc w:val="both"/>
      <w:outlineLvl w:val="2"/>
    </w:pPr>
    <w:rPr>
      <w:b/>
      <w:sz w:val="20"/>
      <w:szCs w:val="20"/>
      <w:lang w:val="de-DE"/>
    </w:rPr>
  </w:style>
  <w:style w:type="paragraph" w:styleId="Nadpis4">
    <w:name w:val="Heading 4"/>
    <w:basedOn w:val="Normal"/>
    <w:next w:val="Normal"/>
    <w:qFormat/>
    <w:rsid w:val="00316173"/>
    <w:pPr>
      <w:keepNext/>
      <w:spacing w:before="240" w:after="60"/>
      <w:outlineLvl w:val="3"/>
    </w:pPr>
    <w:rPr>
      <w:b/>
      <w:i/>
      <w:sz w:val="22"/>
    </w:rPr>
  </w:style>
  <w:style w:type="paragraph" w:styleId="Nadpis5">
    <w:name w:val="Heading 5"/>
    <w:basedOn w:val="Normal"/>
    <w:next w:val="Normal"/>
    <w:qFormat/>
    <w:rsid w:val="00316173"/>
    <w:pPr>
      <w:spacing w:before="240" w:after="60"/>
      <w:outlineLvl w:val="4"/>
    </w:pPr>
    <w:rPr>
      <w:sz w:val="22"/>
    </w:rPr>
  </w:style>
  <w:style w:type="paragraph" w:styleId="Nadpis6">
    <w:name w:val="Heading 6"/>
    <w:basedOn w:val="Normal"/>
    <w:next w:val="Normal"/>
    <w:qFormat/>
    <w:rsid w:val="00316173"/>
    <w:pPr>
      <w:keepNext/>
      <w:jc w:val="center"/>
      <w:outlineLvl w:val="5"/>
    </w:pPr>
    <w:rPr>
      <w:sz w:val="28"/>
    </w:rPr>
  </w:style>
  <w:style w:type="paragraph" w:styleId="Nadpis7">
    <w:name w:val="Heading 7"/>
    <w:basedOn w:val="Normal"/>
    <w:next w:val="Normal"/>
    <w:qFormat/>
    <w:rsid w:val="00316173"/>
    <w:pPr>
      <w:keepNext/>
      <w:ind w:left="426" w:hanging="0"/>
      <w:outlineLvl w:val="6"/>
    </w:pPr>
    <w:rPr>
      <w:b/>
      <w:sz w:val="20"/>
    </w:rPr>
  </w:style>
  <w:style w:type="paragraph" w:styleId="Nadpis8">
    <w:name w:val="Heading 8"/>
    <w:basedOn w:val="Normal"/>
    <w:next w:val="Normal"/>
    <w:qFormat/>
    <w:rsid w:val="00316173"/>
    <w:pPr>
      <w:keepNext/>
      <w:tabs>
        <w:tab w:val="left" w:pos="426" w:leader="none"/>
      </w:tabs>
      <w:spacing w:before="0" w:after="240"/>
      <w:ind w:left="426" w:hanging="426"/>
    </w:pPr>
    <w:rPr>
      <w:b/>
      <w:sz w:val="20"/>
    </w:rPr>
  </w:style>
  <w:style w:type="paragraph" w:styleId="Nadpis9" w:customStyle="1">
    <w:name w:val="Heading 9"/>
    <w:basedOn w:val="Nadpis8"/>
    <w:next w:val="Normal"/>
    <w:autoRedefine/>
    <w:qFormat/>
    <w:rsid w:val="00316173"/>
    <w:pPr>
      <w:tabs>
        <w:tab w:val="left" w:pos="426" w:leader="none"/>
      </w:tabs>
      <w:ind w:left="426" w:hanging="426"/>
    </w:pPr>
    <w:rPr/>
  </w:style>
  <w:style w:type="character" w:styleId="DefaultParagraphFont" w:default="1">
    <w:name w:val="Default Paragraph Font"/>
    <w:uiPriority w:val="1"/>
    <w:semiHidden/>
    <w:unhideWhenUsed/>
    <w:qFormat/>
    <w:rPr/>
  </w:style>
  <w:style w:type="character" w:styleId="Pagenumber">
    <w:name w:val="page number"/>
    <w:basedOn w:val="DefaultParagraphFont"/>
    <w:qFormat/>
    <w:rsid w:val="00bb76bc"/>
    <w:rPr/>
  </w:style>
  <w:style w:type="character" w:styleId="Zvraznntun" w:customStyle="1">
    <w:name w:val="Zvýraznění tučné"/>
    <w:qFormat/>
    <w:rsid w:val="00316173"/>
    <w:rPr>
      <w:b/>
      <w:i/>
    </w:rPr>
  </w:style>
  <w:style w:type="character" w:styleId="OdstavecChar" w:customStyle="1">
    <w:name w:val="odstavec Char"/>
    <w:basedOn w:val="DefaultParagraphFont"/>
    <w:link w:val="odstavec"/>
    <w:qFormat/>
    <w:rsid w:val="00a154f1"/>
    <w:rPr>
      <w:rFonts w:ascii="Helv" w:hAnsi="Helv" w:cs="Helv"/>
      <w:bCs/>
      <w:iCs/>
    </w:rPr>
  </w:style>
  <w:style w:type="character" w:styleId="ABCparagrahinNotesChar" w:customStyle="1">
    <w:name w:val="ABC - paragrah in Notes Char"/>
    <w:basedOn w:val="DefaultParagraphFont"/>
    <w:link w:val="ABC-paragrahinNotes"/>
    <w:qFormat/>
    <w:rsid w:val="00b0184f"/>
    <w:rPr>
      <w:rFonts w:ascii="Arial" w:hAnsi="Arial"/>
      <w:sz w:val="18"/>
      <w:lang w:val="en-GB" w:eastAsia="en-US" w:bidi="ar-SA"/>
    </w:rPr>
  </w:style>
  <w:style w:type="character" w:styleId="Internetovodkaz">
    <w:name w:val="Internetový odkaz"/>
    <w:basedOn w:val="DefaultParagraphFont"/>
    <w:rsid w:val="00fb6e9b"/>
    <w:rPr>
      <w:strike w:val="false"/>
      <w:dstrike w:val="false"/>
      <w:color w:val="F37421"/>
      <w:sz w:val="18"/>
      <w:szCs w:val="18"/>
      <w:u w:val="none"/>
      <w:effect w:val="none"/>
    </w:rPr>
  </w:style>
  <w:style w:type="character" w:styleId="Annotationreference">
    <w:name w:val="annotation reference"/>
    <w:basedOn w:val="DefaultParagraphFont"/>
    <w:qFormat/>
    <w:rsid w:val="00c10476"/>
    <w:rPr>
      <w:sz w:val="16"/>
      <w:szCs w:val="16"/>
    </w:rPr>
  </w:style>
  <w:style w:type="character" w:styleId="CommentTextChar" w:customStyle="1">
    <w:name w:val="Comment Text Char"/>
    <w:basedOn w:val="DefaultParagraphFont"/>
    <w:link w:val="CommentText"/>
    <w:qFormat/>
    <w:rsid w:val="00c10476"/>
    <w:rPr/>
  </w:style>
  <w:style w:type="character" w:styleId="CommentSubjectChar" w:customStyle="1">
    <w:name w:val="Comment Subject Char"/>
    <w:basedOn w:val="CommentTextChar"/>
    <w:link w:val="CommentSubject"/>
    <w:qFormat/>
    <w:rsid w:val="00c10476"/>
    <w:rPr>
      <w:b/>
      <w:bCs/>
    </w:rPr>
  </w:style>
  <w:style w:type="character" w:styleId="TitleChar" w:customStyle="1">
    <w:name w:val="Title Char"/>
    <w:basedOn w:val="DefaultParagraphFont"/>
    <w:link w:val="Title"/>
    <w:uiPriority w:val="99"/>
    <w:qFormat/>
    <w:locked/>
    <w:rsid w:val="00c10476"/>
    <w:rPr>
      <w:rFonts w:cs="Arial"/>
      <w:b/>
      <w:bCs/>
      <w:sz w:val="24"/>
      <w:szCs w:val="32"/>
    </w:rPr>
  </w:style>
  <w:style w:type="character" w:styleId="DocumentMapChar" w:customStyle="1">
    <w:name w:val="Document Map Char"/>
    <w:basedOn w:val="DefaultParagraphFont"/>
    <w:link w:val="DocumentMap"/>
    <w:qFormat/>
    <w:rsid w:val="00a314c9"/>
    <w:rPr>
      <w:rFonts w:ascii="Tahoma" w:hAnsi="Tahoma" w:cs="Tahoma"/>
      <w:sz w:val="16"/>
      <w:szCs w:val="16"/>
    </w:rPr>
  </w:style>
  <w:style w:type="character" w:styleId="BodyChar" w:customStyle="1">
    <w:name w:val="body Char"/>
    <w:basedOn w:val="OdstavecChar"/>
    <w:link w:val="body"/>
    <w:qFormat/>
    <w:rsid w:val="00d949df"/>
    <w:rPr>
      <w:rFonts w:ascii="Georgia" w:hAnsi="Georgia" w:cs="Helv"/>
      <w:bCs/>
      <w:iCs/>
    </w:rPr>
  </w:style>
  <w:style w:type="character" w:styleId="Heading2Char" w:customStyle="1">
    <w:name w:val="Heading 2 Char"/>
    <w:basedOn w:val="DefaultParagraphFont"/>
    <w:link w:val="Heading2"/>
    <w:qFormat/>
    <w:rsid w:val="00e36356"/>
    <w:rPr>
      <w:rFonts w:ascii="Arial" w:hAnsi="Arial" w:cs="Arial"/>
      <w:b/>
      <w:bCs/>
      <w:iCs/>
    </w:rPr>
  </w:style>
  <w:style w:type="character" w:styleId="Ra" w:customStyle="1">
    <w:name w:val="ra"/>
    <w:basedOn w:val="DefaultParagraphFont"/>
    <w:qFormat/>
    <w:rsid w:val="008e5843"/>
    <w:rPr/>
  </w:style>
  <w:style w:type="character" w:styleId="Heading1Char" w:customStyle="1">
    <w:name w:val="Heading 1 Char"/>
    <w:basedOn w:val="DefaultParagraphFont"/>
    <w:link w:val="Heading1"/>
    <w:qFormat/>
    <w:rsid w:val="007b45ab"/>
    <w:rPr>
      <w:rFonts w:cs="Arial"/>
      <w:b/>
      <w:bCs/>
      <w:sz w:val="22"/>
      <w:szCs w:val="22"/>
    </w:rPr>
  </w:style>
  <w:style w:type="character" w:styleId="ListLabel1">
    <w:name w:val="ListLabel 1"/>
    <w:qFormat/>
    <w:rPr>
      <w:rFonts w:eastAsia="Times New Roman" w:cs="Helv"/>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eastAsia="Times New Roman" w:cs="Arial"/>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eastAsia="Times New Roman" w:cs="Arial"/>
    </w:rPr>
  </w:style>
  <w:style w:type="character" w:styleId="ListLabel13">
    <w:name w:val="ListLabel 13"/>
    <w:qFormat/>
    <w:rPr>
      <w:rFonts w:cs="Courier New"/>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Times New Roman"/>
    </w:rPr>
  </w:style>
  <w:style w:type="paragraph" w:styleId="Nadpis">
    <w:name w:val="Nadpis"/>
    <w:basedOn w:val="Normal"/>
    <w:next w:val="Telotextu"/>
    <w:qFormat/>
    <w:pPr>
      <w:keepNext/>
      <w:spacing w:before="240" w:after="120"/>
    </w:pPr>
    <w:rPr>
      <w:rFonts w:ascii="Liberation Sans" w:hAnsi="Liberation Sans" w:eastAsia="Microsoft YaHei" w:cs="Arial"/>
      <w:sz w:val="28"/>
      <w:szCs w:val="28"/>
    </w:rPr>
  </w:style>
  <w:style w:type="paragraph" w:styleId="Telotextu">
    <w:name w:val="Body Text"/>
    <w:basedOn w:val="Normal"/>
    <w:rsid w:val="00316173"/>
    <w:pPr>
      <w:spacing w:before="0" w:after="120"/>
    </w:pPr>
    <w:rPr/>
  </w:style>
  <w:style w:type="paragraph" w:styleId="Zoznam">
    <w:name w:val="List"/>
    <w:basedOn w:val="Normal"/>
    <w:rsid w:val="00316173"/>
    <w:pPr>
      <w:ind w:left="283" w:hanging="283"/>
    </w:pPr>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Hlavika">
    <w:name w:val="Header"/>
    <w:basedOn w:val="Normal"/>
    <w:rsid w:val="00bb76bc"/>
    <w:pPr>
      <w:tabs>
        <w:tab w:val="center" w:pos="4536" w:leader="none"/>
        <w:tab w:val="right" w:pos="9072" w:leader="none"/>
      </w:tabs>
    </w:pPr>
    <w:rPr/>
  </w:style>
  <w:style w:type="paragraph" w:styleId="Pta">
    <w:name w:val="Footer"/>
    <w:basedOn w:val="Normal"/>
    <w:rsid w:val="00bb76bc"/>
    <w:pPr>
      <w:tabs>
        <w:tab w:val="center" w:pos="4536" w:leader="none"/>
        <w:tab w:val="right" w:pos="9072" w:leader="none"/>
      </w:tabs>
    </w:pPr>
    <w:rPr/>
  </w:style>
  <w:style w:type="paragraph" w:styleId="1Heading" w:customStyle="1">
    <w:name w:val="1 Heading"/>
    <w:basedOn w:val="Normal"/>
    <w:autoRedefine/>
    <w:qFormat/>
    <w:rsid w:val="00bb76bc"/>
    <w:pPr>
      <w:spacing w:before="120" w:after="120"/>
    </w:pPr>
    <w:rPr>
      <w:rFonts w:ascii="Arial,Bold" w:hAnsi="Arial,Bold"/>
      <w:b/>
      <w:bCs/>
      <w:sz w:val="15"/>
      <w:szCs w:val="15"/>
      <w:lang w:val="en-US"/>
    </w:rPr>
  </w:style>
  <w:style w:type="paragraph" w:styleId="Odst" w:customStyle="1">
    <w:name w:val="odst"/>
    <w:basedOn w:val="Normal"/>
    <w:qFormat/>
    <w:rsid w:val="001a02bf"/>
    <w:pPr/>
    <w:rPr>
      <w:lang w:val="en-GB"/>
    </w:rPr>
  </w:style>
  <w:style w:type="paragraph" w:styleId="Odstavec" w:customStyle="1">
    <w:name w:val="odstavec"/>
    <w:basedOn w:val="Normal"/>
    <w:link w:val="odstavecChar"/>
    <w:autoRedefine/>
    <w:qFormat/>
    <w:rsid w:val="00a154f1"/>
    <w:pPr>
      <w:suppressAutoHyphens w:val="true"/>
      <w:ind w:left="426" w:hanging="0"/>
      <w:jc w:val="both"/>
    </w:pPr>
    <w:rPr>
      <w:rFonts w:ascii="Helv" w:hAnsi="Helv" w:cs="Helv"/>
      <w:bCs/>
      <w:iCs/>
      <w:sz w:val="20"/>
      <w:szCs w:val="20"/>
    </w:rPr>
  </w:style>
  <w:style w:type="paragraph" w:styleId="Lines" w:customStyle="1">
    <w:name w:val="line s"/>
    <w:basedOn w:val="Normal"/>
    <w:autoRedefine/>
    <w:qFormat/>
    <w:rsid w:val="00dd1079"/>
    <w:pPr>
      <w:pBdr>
        <w:bottom w:val="single" w:sz="4" w:space="1" w:color="00000A"/>
      </w:pBdr>
      <w:ind w:left="113" w:right="57" w:hanging="0"/>
      <w:jc w:val="right"/>
    </w:pPr>
    <w:rPr>
      <w:bCs/>
      <w:sz w:val="20"/>
      <w:szCs w:val="20"/>
    </w:rPr>
  </w:style>
  <w:style w:type="paragraph" w:styleId="Lined" w:customStyle="1">
    <w:name w:val="line d"/>
    <w:basedOn w:val="Normal"/>
    <w:autoRedefine/>
    <w:qFormat/>
    <w:rsid w:val="00dd1079"/>
    <w:pPr>
      <w:pBdr>
        <w:bottom w:val="double" w:sz="4" w:space="1" w:color="00000A"/>
      </w:pBdr>
      <w:ind w:left="113" w:right="57" w:hanging="0"/>
      <w:jc w:val="right"/>
    </w:pPr>
    <w:rPr>
      <w:b/>
      <w:sz w:val="20"/>
      <w:szCs w:val="20"/>
    </w:rPr>
  </w:style>
  <w:style w:type="paragraph" w:styleId="Abc" w:customStyle="1">
    <w:name w:val="abc"/>
    <w:basedOn w:val="Normal"/>
    <w:autoRedefine/>
    <w:qFormat/>
    <w:rsid w:val="00117013"/>
    <w:pPr>
      <w:spacing w:before="60" w:after="120"/>
      <w:jc w:val="both"/>
    </w:pPr>
    <w:rPr>
      <w:rFonts w:ascii="Arial" w:hAnsi="Arial" w:cs="Arial"/>
      <w:b/>
      <w:sz w:val="20"/>
      <w:szCs w:val="20"/>
    </w:rPr>
  </w:style>
  <w:style w:type="paragraph" w:styleId="ListBullet3">
    <w:name w:val="List Bullet 3"/>
    <w:basedOn w:val="Normal"/>
    <w:qFormat/>
    <w:rsid w:val="00316173"/>
    <w:pPr>
      <w:ind w:left="849" w:hanging="283"/>
    </w:pPr>
    <w:rPr/>
  </w:style>
  <w:style w:type="paragraph" w:styleId="Clanok" w:customStyle="1">
    <w:name w:val="Clanok"/>
    <w:basedOn w:val="Normal"/>
    <w:qFormat/>
    <w:rsid w:val="00316173"/>
    <w:pPr>
      <w:suppressAutoHyphens w:val="true"/>
      <w:spacing w:lineRule="atLeast" w:line="240" w:before="120" w:after="0"/>
      <w:jc w:val="center"/>
    </w:pPr>
    <w:rPr>
      <w:b/>
      <w:i/>
    </w:rPr>
  </w:style>
  <w:style w:type="paragraph" w:styleId="Anonie" w:customStyle="1">
    <w:name w:val="Ano_nie"/>
    <w:basedOn w:val="Normal"/>
    <w:qFormat/>
    <w:rsid w:val="00316173"/>
    <w:pPr>
      <w:widowControl w:val="false"/>
      <w:shd w:val="pct10" w:color="auto" w:fill="auto"/>
      <w:spacing w:lineRule="auto" w:line="360" w:before="120" w:after="120"/>
      <w:jc w:val="right"/>
    </w:pPr>
    <w:rPr>
      <w:b/>
      <w:color w:val="000000"/>
    </w:rPr>
  </w:style>
  <w:style w:type="paragraph" w:styleId="ListBullet4">
    <w:name w:val="List Bullet 4"/>
    <w:basedOn w:val="Normal"/>
    <w:qFormat/>
    <w:rsid w:val="00316173"/>
    <w:pPr>
      <w:ind w:left="1132" w:hanging="283"/>
    </w:pPr>
    <w:rPr/>
  </w:style>
  <w:style w:type="paragraph" w:styleId="ListBullet5">
    <w:name w:val="List Bullet 5"/>
    <w:basedOn w:val="Normal"/>
    <w:qFormat/>
    <w:rsid w:val="00316173"/>
    <w:pPr>
      <w:ind w:left="1132" w:hanging="283"/>
    </w:pPr>
    <w:rPr/>
  </w:style>
  <w:style w:type="paragraph" w:styleId="ListNumber">
    <w:name w:val="List Number"/>
    <w:basedOn w:val="Normal"/>
    <w:qFormat/>
    <w:rsid w:val="00316173"/>
    <w:pPr>
      <w:ind w:left="1415" w:hanging="283"/>
    </w:pPr>
    <w:rPr/>
  </w:style>
  <w:style w:type="paragraph" w:styleId="ListBullet2">
    <w:name w:val="List Bullet 2"/>
    <w:basedOn w:val="Normal"/>
    <w:qFormat/>
    <w:rsid w:val="00316173"/>
    <w:pPr>
      <w:ind w:left="454" w:hanging="170"/>
    </w:pPr>
    <w:rPr/>
  </w:style>
  <w:style w:type="paragraph" w:styleId="Dotabulky" w:customStyle="1">
    <w:name w:val="do tabulky"/>
    <w:basedOn w:val="Telotextu"/>
    <w:qFormat/>
    <w:rsid w:val="00316173"/>
    <w:pPr>
      <w:spacing w:before="40" w:after="0"/>
    </w:pPr>
    <w:rPr/>
  </w:style>
  <w:style w:type="paragraph" w:styleId="Tunstred" w:customStyle="1">
    <w:name w:val="Tučný stred"/>
    <w:basedOn w:val="Normal"/>
    <w:qFormat/>
    <w:rsid w:val="00316173"/>
    <w:pPr>
      <w:spacing w:before="60" w:after="0"/>
      <w:jc w:val="center"/>
    </w:pPr>
    <w:rPr>
      <w:b/>
      <w:sz w:val="20"/>
    </w:rPr>
  </w:style>
  <w:style w:type="paragraph" w:styleId="Odsadenietelatextu">
    <w:name w:val="Body Text Indent"/>
    <w:basedOn w:val="Normal"/>
    <w:rsid w:val="00316173"/>
    <w:pPr>
      <w:spacing w:before="0" w:after="120"/>
      <w:ind w:left="283" w:hanging="0"/>
    </w:pPr>
    <w:rPr/>
  </w:style>
  <w:style w:type="paragraph" w:styleId="Dotabulky2" w:customStyle="1">
    <w:name w:val="do tabulky 2"/>
    <w:basedOn w:val="Dotabulky"/>
    <w:qFormat/>
    <w:rsid w:val="00316173"/>
    <w:pPr/>
    <w:rPr>
      <w:b/>
      <w:sz w:val="22"/>
    </w:rPr>
  </w:style>
  <w:style w:type="paragraph" w:styleId="BodyTextIndent2">
    <w:name w:val="Body Text Indent 2"/>
    <w:basedOn w:val="Normal"/>
    <w:qFormat/>
    <w:rsid w:val="00316173"/>
    <w:pPr>
      <w:spacing w:before="60" w:after="0"/>
      <w:ind w:firstLine="720"/>
    </w:pPr>
    <w:rPr/>
  </w:style>
  <w:style w:type="paragraph" w:styleId="BodyText2">
    <w:name w:val="Body Text 2"/>
    <w:basedOn w:val="Normal"/>
    <w:qFormat/>
    <w:rsid w:val="00316173"/>
    <w:pPr/>
    <w:rPr>
      <w:b/>
      <w:sz w:val="28"/>
    </w:rPr>
  </w:style>
  <w:style w:type="paragraph" w:styleId="BodyTextIndent3">
    <w:name w:val="Body Text Indent 3"/>
    <w:basedOn w:val="Normal"/>
    <w:qFormat/>
    <w:rsid w:val="00316173"/>
    <w:pPr>
      <w:ind w:firstLine="720"/>
      <w:jc w:val="both"/>
    </w:pPr>
    <w:rPr/>
  </w:style>
  <w:style w:type="paragraph" w:styleId="BodyText3">
    <w:name w:val="Body Text 3"/>
    <w:basedOn w:val="Normal"/>
    <w:qFormat/>
    <w:rsid w:val="00316173"/>
    <w:pPr>
      <w:spacing w:before="0" w:after="120"/>
    </w:pPr>
    <w:rPr>
      <w:sz w:val="16"/>
      <w:szCs w:val="16"/>
    </w:rPr>
  </w:style>
  <w:style w:type="paragraph" w:styleId="Lines1" w:customStyle="1">
    <w:name w:val="line_s"/>
    <w:basedOn w:val="Normal"/>
    <w:autoRedefine/>
    <w:qFormat/>
    <w:rsid w:val="00316173"/>
    <w:pPr>
      <w:pBdr>
        <w:bottom w:val="single" w:sz="4" w:space="1" w:color="00000A"/>
      </w:pBdr>
      <w:spacing w:before="0" w:after="60"/>
      <w:jc w:val="center"/>
    </w:pPr>
    <w:rPr>
      <w:sz w:val="20"/>
    </w:rPr>
  </w:style>
  <w:style w:type="paragraph" w:styleId="Lined1" w:customStyle="1">
    <w:name w:val="line_d"/>
    <w:basedOn w:val="Normal"/>
    <w:autoRedefine/>
    <w:qFormat/>
    <w:rsid w:val="00316173"/>
    <w:pPr>
      <w:pBdr>
        <w:bottom w:val="double" w:sz="4" w:space="1" w:color="00000A"/>
      </w:pBdr>
      <w:spacing w:before="0" w:after="60"/>
      <w:jc w:val="center"/>
    </w:pPr>
    <w:rPr>
      <w:b/>
      <w:sz w:val="20"/>
    </w:rPr>
  </w:style>
  <w:style w:type="paragraph" w:styleId="2Heading" w:customStyle="1">
    <w:name w:val="2 Heading"/>
    <w:basedOn w:val="Normal"/>
    <w:autoRedefine/>
    <w:qFormat/>
    <w:rsid w:val="00316173"/>
    <w:pPr>
      <w:tabs>
        <w:tab w:val="left" w:pos="414" w:leader="none"/>
      </w:tabs>
      <w:spacing w:before="120" w:after="120"/>
      <w:ind w:left="414" w:hanging="414"/>
      <w:jc w:val="both"/>
    </w:pPr>
    <w:rPr>
      <w:rFonts w:ascii="Arial" w:hAnsi="Arial" w:cs="Arial"/>
      <w:sz w:val="15"/>
      <w:szCs w:val="15"/>
      <w:lang w:val="en-US"/>
    </w:rPr>
  </w:style>
  <w:style w:type="paragraph" w:styleId="3Heading" w:customStyle="1">
    <w:name w:val="3 Heading"/>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I" w:customStyle="1">
    <w:name w:val="i"/>
    <w:basedOn w:val="Normal"/>
    <w:autoRedefine/>
    <w:qFormat/>
    <w:rsid w:val="00316173"/>
    <w:pPr>
      <w:tabs>
        <w:tab w:val="left" w:pos="567" w:leader="none"/>
      </w:tabs>
      <w:ind w:left="567" w:hanging="567"/>
      <w:jc w:val="both"/>
    </w:pPr>
    <w:rPr>
      <w:rFonts w:ascii="Arial" w:hAnsi="Arial" w:cs="Arial"/>
      <w:sz w:val="15"/>
      <w:szCs w:val="15"/>
      <w:lang w:val="en-US"/>
    </w:rPr>
  </w:style>
  <w:style w:type="paragraph" w:styleId="31" w:customStyle="1">
    <w:name w:val="3.1"/>
    <w:basedOn w:val="Normal"/>
    <w:autoRedefine/>
    <w:qFormat/>
    <w:rsid w:val="00316173"/>
    <w:pPr>
      <w:tabs>
        <w:tab w:val="left" w:pos="567" w:leader="none"/>
      </w:tabs>
      <w:spacing w:before="120" w:after="120"/>
      <w:ind w:left="567" w:hanging="567"/>
      <w:jc w:val="both"/>
    </w:pPr>
    <w:rPr>
      <w:rFonts w:ascii="Arial,Bold" w:hAnsi="Arial,Bold"/>
      <w:b/>
      <w:bCs/>
      <w:sz w:val="15"/>
      <w:szCs w:val="15"/>
      <w:lang w:val="en-US"/>
    </w:rPr>
  </w:style>
  <w:style w:type="paragraph" w:styleId="311" w:customStyle="1">
    <w:name w:val="3.1.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321" w:customStyle="1">
    <w:name w:val="3.2.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41" w:customStyle="1">
    <w:name w:val="4.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51" w:customStyle="1">
    <w:name w:val="5.1"/>
    <w:basedOn w:val="Normal"/>
    <w:autoRedefine/>
    <w:qFormat/>
    <w:rsid w:val="00316173"/>
    <w:pPr>
      <w:tabs>
        <w:tab w:val="left" w:pos="567" w:leader="none"/>
      </w:tabs>
      <w:ind w:left="567" w:hanging="567"/>
    </w:pPr>
    <w:rPr>
      <w:rFonts w:ascii="Arial" w:hAnsi="Arial" w:cs="Arial"/>
      <w:sz w:val="15"/>
      <w:szCs w:val="15"/>
      <w:lang w:val="en-US"/>
    </w:rPr>
  </w:style>
  <w:style w:type="paragraph" w:styleId="61" w:customStyle="1">
    <w:name w:val="6.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71" w:customStyle="1">
    <w:name w:val="7.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Newi" w:customStyle="1">
    <w:name w:val="new i"/>
    <w:basedOn w:val="Normal"/>
    <w:autoRedefine/>
    <w:qFormat/>
    <w:rsid w:val="00316173"/>
    <w:pPr>
      <w:tabs>
        <w:tab w:val="left" w:pos="1287" w:leader="none"/>
      </w:tabs>
      <w:ind w:left="794" w:hanging="227"/>
      <w:jc w:val="both"/>
    </w:pPr>
    <w:rPr>
      <w:rFonts w:ascii="Arial" w:hAnsi="Arial" w:cs="Arial"/>
      <w:sz w:val="15"/>
      <w:szCs w:val="15"/>
      <w:lang w:val="en-US"/>
    </w:rPr>
  </w:style>
  <w:style w:type="paragraph" w:styleId="731" w:customStyle="1">
    <w:name w:val="73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741" w:customStyle="1">
    <w:name w:val="741"/>
    <w:basedOn w:val="Normal"/>
    <w:autoRedefine/>
    <w:qFormat/>
    <w:rsid w:val="00316173"/>
    <w:pPr>
      <w:tabs>
        <w:tab w:val="left" w:pos="720" w:leader="none"/>
      </w:tabs>
      <w:spacing w:before="120" w:after="120"/>
      <w:ind w:left="567" w:hanging="567"/>
      <w:jc w:val="both"/>
    </w:pPr>
    <w:rPr>
      <w:rFonts w:ascii="Arial" w:hAnsi="Arial" w:cs="Arial"/>
      <w:sz w:val="15"/>
      <w:szCs w:val="15"/>
      <w:lang w:val="en-US"/>
    </w:rPr>
  </w:style>
  <w:style w:type="paragraph" w:styleId="Thirdi" w:customStyle="1">
    <w:name w:val="thirdi"/>
    <w:basedOn w:val="Normal"/>
    <w:autoRedefine/>
    <w:qFormat/>
    <w:rsid w:val="00316173"/>
    <w:pPr>
      <w:tabs>
        <w:tab w:val="left" w:pos="1287" w:leader="none"/>
      </w:tabs>
      <w:ind w:left="794" w:hanging="227"/>
      <w:jc w:val="both"/>
    </w:pPr>
    <w:rPr>
      <w:rFonts w:ascii="Arial" w:hAnsi="Arial" w:cs="Arial"/>
      <w:sz w:val="15"/>
      <w:szCs w:val="15"/>
      <w:lang w:val="en-US"/>
    </w:rPr>
  </w:style>
  <w:style w:type="paragraph" w:styleId="75" w:customStyle="1">
    <w:name w:val="75"/>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81" w:customStyle="1">
    <w:name w:val="8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821" w:customStyle="1">
    <w:name w:val="82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831" w:customStyle="1">
    <w:name w:val="83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841" w:customStyle="1">
    <w:name w:val="84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91" w:customStyle="1">
    <w:name w:val="91"/>
    <w:basedOn w:val="Normal"/>
    <w:autoRedefine/>
    <w:qFormat/>
    <w:rsid w:val="00316173"/>
    <w:pPr>
      <w:tabs>
        <w:tab w:val="left" w:pos="567" w:leader="none"/>
      </w:tabs>
      <w:ind w:left="567" w:hanging="567"/>
    </w:pPr>
    <w:rPr>
      <w:rFonts w:ascii="Arial" w:hAnsi="Arial" w:cs="Arial"/>
      <w:sz w:val="15"/>
      <w:szCs w:val="15"/>
      <w:lang w:val="en-US"/>
    </w:rPr>
  </w:style>
  <w:style w:type="paragraph" w:styleId="921" w:customStyle="1">
    <w:name w:val="92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93" w:customStyle="1">
    <w:name w:val="93"/>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101" w:customStyle="1">
    <w:name w:val="10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111" w:customStyle="1">
    <w:name w:val="111"/>
    <w:basedOn w:val="Normal"/>
    <w:autoRedefine/>
    <w:qFormat/>
    <w:rsid w:val="00316173"/>
    <w:pPr>
      <w:tabs>
        <w:tab w:val="left" w:pos="567" w:leader="none"/>
      </w:tabs>
      <w:spacing w:before="120" w:after="120"/>
      <w:ind w:left="567" w:hanging="567"/>
      <w:jc w:val="both"/>
    </w:pPr>
    <w:rPr>
      <w:rFonts w:ascii="Arial" w:hAnsi="Arial" w:cs="Arial"/>
      <w:sz w:val="15"/>
      <w:szCs w:val="15"/>
      <w:lang w:val="en-US"/>
    </w:rPr>
  </w:style>
  <w:style w:type="paragraph" w:styleId="Fori" w:customStyle="1">
    <w:name w:val="fori"/>
    <w:basedOn w:val="Normal"/>
    <w:autoRedefine/>
    <w:qFormat/>
    <w:rsid w:val="00316173"/>
    <w:pPr>
      <w:tabs>
        <w:tab w:val="left" w:pos="1287" w:leader="none"/>
      </w:tabs>
      <w:ind w:left="794" w:hanging="227"/>
      <w:jc w:val="both"/>
    </w:pPr>
    <w:rPr>
      <w:rFonts w:ascii="Arial" w:hAnsi="Arial" w:cs="Arial"/>
      <w:sz w:val="14"/>
      <w:szCs w:val="14"/>
      <w:lang w:val="en-US"/>
    </w:rPr>
  </w:style>
  <w:style w:type="paragraph" w:styleId="51n" w:customStyle="1">
    <w:name w:val="51n"/>
    <w:basedOn w:val="Normal"/>
    <w:autoRedefine/>
    <w:qFormat/>
    <w:rsid w:val="00316173"/>
    <w:pPr>
      <w:tabs>
        <w:tab w:val="left" w:pos="567" w:leader="none"/>
      </w:tabs>
      <w:spacing w:before="120" w:after="120"/>
      <w:ind w:left="567" w:hanging="567"/>
      <w:jc w:val="both"/>
    </w:pPr>
    <w:rPr/>
  </w:style>
  <w:style w:type="paragraph" w:styleId="TextmTz" w:customStyle="1">
    <w:name w:val="Text m. Tz."/>
    <w:autoRedefine/>
    <w:qFormat/>
    <w:rsid w:val="00316173"/>
    <w:pPr>
      <w:widowControl w:val="false"/>
      <w:tabs>
        <w:tab w:val="left" w:pos="567" w:leader="none"/>
      </w:tabs>
      <w:bidi w:val="0"/>
      <w:spacing w:lineRule="auto" w:line="312" w:before="240" w:after="120"/>
      <w:ind w:left="567" w:hanging="397"/>
      <w:jc w:val="both"/>
    </w:pPr>
    <w:rPr>
      <w:rFonts w:ascii="Univers" w:hAnsi="Univers" w:eastAsia="Times New Roman" w:cs="Times New Roman"/>
      <w:color w:val="00000A"/>
      <w:sz w:val="22"/>
      <w:szCs w:val="20"/>
      <w:lang w:val="de-DE" w:eastAsia="sk-SK" w:bidi="ar-SA"/>
    </w:rPr>
  </w:style>
  <w:style w:type="paragraph" w:styleId="PlainText">
    <w:name w:val="Plain Text"/>
    <w:basedOn w:val="Normal"/>
    <w:qFormat/>
    <w:rsid w:val="00316173"/>
    <w:pPr/>
    <w:rPr>
      <w:rFonts w:ascii="Courier New" w:hAnsi="Courier New" w:cs="Courier New"/>
      <w:sz w:val="20"/>
      <w:szCs w:val="20"/>
    </w:rPr>
  </w:style>
  <w:style w:type="paragraph" w:styleId="Heading3B" w:customStyle="1">
    <w:name w:val="Heading3B"/>
    <w:basedOn w:val="Nadpis3"/>
    <w:autoRedefine/>
    <w:qFormat/>
    <w:rsid w:val="00316173"/>
    <w:pPr>
      <w:tabs>
        <w:tab w:val="left" w:pos="964" w:leader="none"/>
      </w:tabs>
      <w:ind w:left="964" w:hanging="397"/>
    </w:pPr>
    <w:rPr/>
  </w:style>
  <w:style w:type="paragraph" w:styleId="Heading3E" w:customStyle="1">
    <w:name w:val="Heading3E"/>
    <w:basedOn w:val="Nadpis3"/>
    <w:autoRedefine/>
    <w:qFormat/>
    <w:rsid w:val="00316173"/>
    <w:pPr>
      <w:tabs>
        <w:tab w:val="left" w:pos="964" w:leader="none"/>
      </w:tabs>
      <w:ind w:left="964" w:hanging="397"/>
    </w:pPr>
    <w:rPr/>
  </w:style>
  <w:style w:type="paragraph" w:styleId="Aparagraf" w:customStyle="1">
    <w:name w:val="aparagraf"/>
    <w:basedOn w:val="Normal"/>
    <w:autoRedefine/>
    <w:qFormat/>
    <w:rsid w:val="00316173"/>
    <w:pPr>
      <w:tabs>
        <w:tab w:val="left" w:pos="567" w:leader="none"/>
      </w:tabs>
      <w:spacing w:lineRule="auto" w:line="360" w:before="200" w:after="120"/>
      <w:ind w:left="567" w:hanging="567"/>
      <w:jc w:val="both"/>
    </w:pPr>
    <w:rPr>
      <w:rFonts w:ascii="Arial" w:hAnsi="Arial"/>
      <w:sz w:val="20"/>
      <w:szCs w:val="20"/>
      <w:lang w:val="de-DE"/>
    </w:rPr>
  </w:style>
  <w:style w:type="paragraph" w:styleId="Borders" w:customStyle="1">
    <w:name w:val="Border s"/>
    <w:basedOn w:val="Normal"/>
    <w:autoRedefine/>
    <w:qFormat/>
    <w:rsid w:val="00316173"/>
    <w:pPr>
      <w:widowControl w:val="false"/>
      <w:pBdr>
        <w:bottom w:val="single" w:sz="6" w:space="1" w:color="00000A"/>
      </w:pBdr>
      <w:ind w:left="142" w:hanging="0"/>
      <w:jc w:val="center"/>
    </w:pPr>
    <w:rPr>
      <w:color w:val="000000"/>
      <w:sz w:val="20"/>
      <w:szCs w:val="20"/>
    </w:rPr>
  </w:style>
  <w:style w:type="paragraph" w:styleId="Borderd" w:customStyle="1">
    <w:name w:val="Border d"/>
    <w:basedOn w:val="Borders"/>
    <w:qFormat/>
    <w:rsid w:val="00316173"/>
    <w:pPr>
      <w:pBdr>
        <w:bottom w:val="double" w:sz="6" w:space="1" w:color="00000A"/>
      </w:pBdr>
      <w:spacing w:before="40" w:after="120"/>
    </w:pPr>
    <w:rPr>
      <w:b/>
    </w:rPr>
  </w:style>
  <w:style w:type="paragraph" w:styleId="Style11" w:customStyle="1">
    <w:name w:val="Style1"/>
    <w:basedOn w:val="Borders"/>
    <w:autoRedefine/>
    <w:qFormat/>
    <w:rsid w:val="00316173"/>
    <w:pPr>
      <w:pBdr>
        <w:bottom w:val="double" w:sz="4" w:space="1" w:color="00000A"/>
      </w:pBdr>
      <w:spacing w:before="40" w:after="120"/>
      <w:ind w:left="142" w:right="57" w:hanging="0"/>
      <w:jc w:val="right"/>
    </w:pPr>
    <w:rPr/>
  </w:style>
  <w:style w:type="paragraph" w:styleId="Odstavecabc" w:customStyle="1">
    <w:name w:val="odstavecabc"/>
    <w:basedOn w:val="Normal"/>
    <w:autoRedefine/>
    <w:qFormat/>
    <w:rsid w:val="00316173"/>
    <w:pPr>
      <w:tabs>
        <w:tab w:val="left" w:pos="426" w:leader="none"/>
      </w:tabs>
      <w:spacing w:before="120" w:after="120"/>
      <w:ind w:left="426" w:hanging="426"/>
      <w:jc w:val="both"/>
    </w:pPr>
    <w:rPr>
      <w:b/>
      <w:sz w:val="20"/>
    </w:rPr>
  </w:style>
  <w:style w:type="paragraph" w:styleId="Odstavecbezcisla" w:customStyle="1">
    <w:name w:val="odstavecbezcisla"/>
    <w:basedOn w:val="BodyText3"/>
    <w:qFormat/>
    <w:rsid w:val="00316173"/>
    <w:pPr>
      <w:spacing w:before="0" w:after="0"/>
      <w:ind w:left="426" w:hanging="0"/>
      <w:jc w:val="both"/>
    </w:pPr>
    <w:rPr>
      <w:iCs/>
      <w:sz w:val="20"/>
      <w:szCs w:val="24"/>
    </w:rPr>
  </w:style>
  <w:style w:type="paragraph" w:styleId="Odstavecislo" w:customStyle="1">
    <w:name w:val="odstavecislo"/>
    <w:basedOn w:val="Normal"/>
    <w:qFormat/>
    <w:rsid w:val="00316173"/>
    <w:pPr>
      <w:tabs>
        <w:tab w:val="left" w:pos="426" w:leader="none"/>
      </w:tabs>
      <w:spacing w:before="0" w:after="120"/>
      <w:ind w:left="426" w:hanging="426"/>
      <w:jc w:val="both"/>
    </w:pPr>
    <w:rPr>
      <w:b/>
      <w:bCs/>
      <w:sz w:val="20"/>
    </w:rPr>
  </w:style>
  <w:style w:type="paragraph" w:styleId="Doubleright" w:customStyle="1">
    <w:name w:val="doubleright"/>
    <w:basedOn w:val="Borders"/>
    <w:autoRedefine/>
    <w:qFormat/>
    <w:rsid w:val="00316173"/>
    <w:pPr>
      <w:pBdr>
        <w:bottom w:val="double" w:sz="4" w:space="1" w:color="00000A"/>
      </w:pBdr>
      <w:ind w:left="284" w:right="57" w:hanging="0"/>
      <w:jc w:val="right"/>
    </w:pPr>
    <w:rPr>
      <w:b/>
      <w:bCs/>
      <w:sz w:val="18"/>
    </w:rPr>
  </w:style>
  <w:style w:type="paragraph" w:styleId="Singleright" w:customStyle="1">
    <w:name w:val="singleright"/>
    <w:basedOn w:val="Normal"/>
    <w:qFormat/>
    <w:rsid w:val="00316173"/>
    <w:pPr>
      <w:widowControl w:val="false"/>
      <w:pBdr>
        <w:bottom w:val="single" w:sz="4" w:space="1" w:color="00000A"/>
      </w:pBdr>
      <w:tabs>
        <w:tab w:val="left" w:pos="1701" w:leader="none"/>
      </w:tabs>
      <w:ind w:left="293" w:right="57" w:hanging="0"/>
      <w:jc w:val="right"/>
    </w:pPr>
    <w:rPr>
      <w:sz w:val="20"/>
      <w:szCs w:val="20"/>
      <w:lang w:val="en-GB"/>
    </w:rPr>
  </w:style>
  <w:style w:type="paragraph" w:styleId="Nzov">
    <w:name w:val="Title"/>
    <w:basedOn w:val="Normal"/>
    <w:link w:val="TitleChar"/>
    <w:autoRedefine/>
    <w:uiPriority w:val="99"/>
    <w:qFormat/>
    <w:rsid w:val="00316173"/>
    <w:pPr>
      <w:spacing w:before="240" w:after="60"/>
      <w:jc w:val="center"/>
      <w:outlineLvl w:val="0"/>
    </w:pPr>
    <w:rPr>
      <w:rFonts w:cs="Arial"/>
      <w:b/>
      <w:bCs/>
      <w:szCs w:val="32"/>
    </w:rPr>
  </w:style>
  <w:style w:type="paragraph" w:styleId="SinglerightLeft0" w:customStyle="1">
    <w:name w:val="singleright + Left:  0"/>
    <w:basedOn w:val="Singleright"/>
    <w:qFormat/>
    <w:rsid w:val="00316173"/>
    <w:pPr>
      <w:ind w:left="257" w:right="57" w:hanging="0"/>
    </w:pPr>
    <w:rPr>
      <w:b/>
      <w:bCs/>
    </w:rPr>
  </w:style>
  <w:style w:type="paragraph" w:styleId="Doublerightbold" w:customStyle="1">
    <w:name w:val="doubleright bold"/>
    <w:basedOn w:val="Doubleright"/>
    <w:qFormat/>
    <w:rsid w:val="00316173"/>
    <w:pPr/>
    <w:rPr/>
  </w:style>
  <w:style w:type="paragraph" w:styleId="Headinga" w:customStyle="1">
    <w:name w:val="Heading a"/>
    <w:basedOn w:val="Normal"/>
    <w:autoRedefine/>
    <w:qFormat/>
    <w:rsid w:val="00316173"/>
    <w:pPr>
      <w:tabs>
        <w:tab w:val="left" w:pos="414" w:leader="none"/>
      </w:tabs>
      <w:ind w:left="414" w:hanging="414"/>
    </w:pPr>
    <w:rPr>
      <w:b/>
      <w:sz w:val="20"/>
      <w:szCs w:val="20"/>
    </w:rPr>
  </w:style>
  <w:style w:type="paragraph" w:styleId="Headingb" w:customStyle="1">
    <w:name w:val="Heading b"/>
    <w:basedOn w:val="Normal"/>
    <w:autoRedefine/>
    <w:qFormat/>
    <w:rsid w:val="00316173"/>
    <w:pPr>
      <w:tabs>
        <w:tab w:val="left" w:pos="414" w:leader="none"/>
      </w:tabs>
      <w:ind w:left="414" w:hanging="414"/>
    </w:pPr>
    <w:rPr>
      <w:b/>
      <w:sz w:val="20"/>
      <w:szCs w:val="20"/>
    </w:rPr>
  </w:style>
  <w:style w:type="paragraph" w:styleId="Head1" w:customStyle="1">
    <w:name w:val="Head 1"/>
    <w:basedOn w:val="Normal"/>
    <w:autoRedefine/>
    <w:qFormat/>
    <w:rsid w:val="00316173"/>
    <w:pPr>
      <w:tabs>
        <w:tab w:val="left" w:pos="414" w:leader="none"/>
      </w:tabs>
      <w:ind w:left="414" w:hanging="414"/>
    </w:pPr>
    <w:rPr>
      <w:b/>
      <w:sz w:val="20"/>
      <w:szCs w:val="20"/>
    </w:rPr>
  </w:style>
  <w:style w:type="paragraph" w:styleId="Footnotetext">
    <w:name w:val="footnote text"/>
    <w:basedOn w:val="Normal"/>
    <w:semiHidden/>
    <w:qFormat/>
    <w:rsid w:val="00316173"/>
    <w:pPr/>
    <w:rPr>
      <w:sz w:val="20"/>
    </w:rPr>
  </w:style>
  <w:style w:type="paragraph" w:styleId="BalloonText">
    <w:name w:val="Balloon Text"/>
    <w:basedOn w:val="Normal"/>
    <w:semiHidden/>
    <w:qFormat/>
    <w:rsid w:val="00316173"/>
    <w:pPr/>
    <w:rPr>
      <w:rFonts w:ascii="Tahoma" w:hAnsi="Tahoma" w:cs="Tahoma"/>
      <w:sz w:val="16"/>
      <w:szCs w:val="16"/>
    </w:rPr>
  </w:style>
  <w:style w:type="paragraph" w:styleId="Lettertext" w:customStyle="1">
    <w:name w:val="Letter text"/>
    <w:basedOn w:val="Normal"/>
    <w:qFormat/>
    <w:rsid w:val="0090780e"/>
    <w:pPr>
      <w:widowControl w:val="false"/>
      <w:tabs>
        <w:tab w:val="left" w:pos="567" w:leader="none"/>
      </w:tabs>
      <w:spacing w:lineRule="exact" w:line="240" w:before="0" w:after="240"/>
      <w:ind w:left="454" w:hanging="0"/>
      <w:jc w:val="both"/>
    </w:pPr>
    <w:rPr>
      <w:rFonts w:ascii="Arial" w:hAnsi="Arial"/>
      <w:sz w:val="18"/>
      <w:szCs w:val="20"/>
      <w:lang w:eastAsia="en-US"/>
    </w:rPr>
  </w:style>
  <w:style w:type="paragraph" w:styleId="ABCparagrahinNotes" w:customStyle="1">
    <w:name w:val="ABC - paragrah in Notes"/>
    <w:link w:val="ABC-paragrahinNotesChar"/>
    <w:qFormat/>
    <w:rsid w:val="00b0184f"/>
    <w:pPr>
      <w:widowControl/>
      <w:bidi w:val="0"/>
      <w:spacing w:before="0" w:after="240"/>
      <w:jc w:val="both"/>
    </w:pPr>
    <w:rPr>
      <w:rFonts w:ascii="Arial" w:hAnsi="Arial" w:eastAsia="Times New Roman" w:cs="Times New Roman"/>
      <w:color w:val="00000A"/>
      <w:sz w:val="18"/>
      <w:szCs w:val="20"/>
      <w:lang w:val="en-GB" w:eastAsia="en-US" w:bidi="ar-SA"/>
    </w:rPr>
  </w:style>
  <w:style w:type="paragraph" w:styleId="Pismenka" w:customStyle="1">
    <w:name w:val="Pismenka"/>
    <w:basedOn w:val="Telotextu"/>
    <w:qFormat/>
    <w:rsid w:val="001574df"/>
    <w:pPr>
      <w:tabs>
        <w:tab w:val="left" w:pos="426" w:leader="none"/>
      </w:tabs>
      <w:spacing w:before="0" w:after="0"/>
      <w:ind w:left="426" w:hanging="426"/>
      <w:jc w:val="both"/>
    </w:pPr>
    <w:rPr>
      <w:b/>
      <w:sz w:val="18"/>
      <w:szCs w:val="20"/>
      <w:lang w:eastAsia="en-US"/>
    </w:rPr>
  </w:style>
  <w:style w:type="paragraph" w:styleId="TopHeader" w:customStyle="1">
    <w:name w:val="Top Header"/>
    <w:basedOn w:val="Normal"/>
    <w:qFormat/>
    <w:rsid w:val="00583369"/>
    <w:pPr>
      <w:jc w:val="center"/>
    </w:pPr>
    <w:rPr>
      <w:rFonts w:ascii="Arial Narrow" w:hAnsi="Arial Narrow"/>
      <w:b/>
      <w:bCs/>
      <w:sz w:val="22"/>
      <w:szCs w:val="22"/>
      <w:lang w:eastAsia="en-US"/>
    </w:rPr>
  </w:style>
  <w:style w:type="paragraph" w:styleId="Annotationtext">
    <w:name w:val="annotation text"/>
    <w:basedOn w:val="Normal"/>
    <w:link w:val="CommentTextChar"/>
    <w:qFormat/>
    <w:rsid w:val="00c10476"/>
    <w:pPr/>
    <w:rPr>
      <w:sz w:val="20"/>
      <w:szCs w:val="20"/>
    </w:rPr>
  </w:style>
  <w:style w:type="paragraph" w:styleId="Annotationsubject">
    <w:name w:val="annotation subject"/>
    <w:basedOn w:val="Annotationtext"/>
    <w:link w:val="CommentSubjectChar"/>
    <w:qFormat/>
    <w:rsid w:val="00c10476"/>
    <w:pPr/>
    <w:rPr>
      <w:b/>
      <w:bCs/>
    </w:rPr>
  </w:style>
  <w:style w:type="paragraph" w:styleId="DocumentMap">
    <w:name w:val="Document Map"/>
    <w:basedOn w:val="Normal"/>
    <w:link w:val="DocumentMapChar"/>
    <w:qFormat/>
    <w:rsid w:val="00a314c9"/>
    <w:pPr/>
    <w:rPr>
      <w:rFonts w:ascii="Tahoma" w:hAnsi="Tahoma" w:cs="Tahoma"/>
      <w:sz w:val="16"/>
      <w:szCs w:val="16"/>
    </w:rPr>
  </w:style>
  <w:style w:type="paragraph" w:styleId="ListParagraph">
    <w:name w:val="List Paragraph"/>
    <w:basedOn w:val="Normal"/>
    <w:uiPriority w:val="34"/>
    <w:qFormat/>
    <w:rsid w:val="00c062d6"/>
    <w:pPr>
      <w:spacing w:before="0" w:after="0"/>
      <w:ind w:left="720" w:hanging="0"/>
      <w:contextualSpacing/>
    </w:pPr>
    <w:rPr/>
  </w:style>
  <w:style w:type="paragraph" w:styleId="Body" w:customStyle="1">
    <w:name w:val="body"/>
    <w:basedOn w:val="Odstavec"/>
    <w:qFormat/>
    <w:rsid w:val="00a154f1"/>
    <w:pPr/>
    <w:rPr/>
  </w:style>
  <w:style w:type="paragraph" w:styleId="Default" w:customStyle="1">
    <w:name w:val="Default"/>
    <w:qFormat/>
    <w:rsid w:val="00403f61"/>
    <w:pPr>
      <w:widowControl/>
      <w:bidi w:val="0"/>
      <w:jc w:val="left"/>
    </w:pPr>
    <w:rPr>
      <w:rFonts w:ascii="Arial" w:hAnsi="Arial" w:eastAsia="Times New Roman" w:cs="Arial"/>
      <w:color w:val="000000"/>
      <w:sz w:val="24"/>
      <w:szCs w:val="24"/>
      <w:lang w:val="sk-SK" w:eastAsia="sk-SK" w:bidi="ar-SA"/>
    </w:rPr>
  </w:style>
  <w:style w:type="paragraph" w:styleId="NormalWeb">
    <w:name w:val="Normal (Web)"/>
    <w:basedOn w:val="Normal"/>
    <w:uiPriority w:val="99"/>
    <w:unhideWhenUsed/>
    <w:qFormat/>
    <w:rsid w:val="00d9530b"/>
    <w:pPr>
      <w:spacing w:beforeAutospacing="1" w:afterAutospacing="1"/>
    </w:pPr>
    <w:rPr>
      <w:rFonts w:ascii="Calibri" w:hAnsi="Calibri" w:eastAsia="Calibri" w:cs="Calibri" w:eastAsiaTheme="minorHAnsi"/>
      <w:sz w:val="22"/>
      <w:szCs w:val="22"/>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rsid w:val="001574df"/>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orsr.sk/hladaj_osoba.asp?PR=Hrn&#269;iarikov&#225;&amp;MENO=Martina&amp;SID=0&amp;T=f0&amp;R=0" TargetMode="External"/><Relationship Id="rId3" Type="http://schemas.openxmlformats.org/officeDocument/2006/relationships/hyperlink" Target="http://www.orsr.sk/hladaj_osoba.asp?PR=Hrn&#269;iarikov&#225;&amp;MENO=Martina&amp;SID=0&amp;T=f0&amp;R=0" TargetMode="External"/><Relationship Id="rId4" Type="http://schemas.openxmlformats.org/officeDocument/2006/relationships/hyperlink" Target="http://www.orsr.sk/hladaj_osoba.asp?PR=Kno&#353;ko&amp;MENO=Anton&amp;SID=0&amp;T=f0&amp;R=0" TargetMode="External"/><Relationship Id="rId5" Type="http://schemas.openxmlformats.org/officeDocument/2006/relationships/hyperlink" Target="http://www.orsr.sk/hladaj_osoba.asp?PR=Kno&#353;ko&amp;MENO=Anton&amp;SID=0&amp;T=f0&amp;R=0"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Relationship Id="rId13"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12049E-9D38-4DC9-86C4-B6962D063B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Application>LibreOffice/5.2.3.3$Windows_x86 LibreOffice_project/d54a8868f08a7b39642414cf2c8ef2f228f780cf</Application>
  <Pages>14</Pages>
  <Words>2497</Words>
  <Characters>12194</Characters>
  <CharactersWithSpaces>13924</CharactersWithSpaces>
  <Paragraphs>789</Paragraphs>
  <Company>PwC Slovakia</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2025-06-21T13:53:00Z</dcterms:created>
  <dc:creator>birok</dc:creator>
  <dc:description/>
  <dc:language>sk-SK</dc:language>
  <cp:lastModifiedBy>Belesova, Zuzana @ Global Finance</cp:lastModifiedBy>
  <cp:lastPrinted>2025-06-21T14:07:00Z</cp:lastPrinted>
  <dcterms:modified xsi:type="dcterms:W3CDTF">2025-06-21T14:07:00Z</dcterms:modified>
  <cp:revision>22</cp:revision>
  <dc:subject/>
  <dc:title>A)</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PwC Slovakia</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