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1DFD73">
      <w:pPr>
        <w:pStyle w:val="14"/>
      </w:pPr>
    </w:p>
    <w:p w14:paraId="41910BA7">
      <w:pPr>
        <w:pStyle w:val="14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                IČO: 46337466                          DIČ:2023335039 </w:t>
      </w:r>
    </w:p>
    <w:p w14:paraId="7478EE91">
      <w:pPr>
        <w:pStyle w:val="14"/>
        <w:rPr>
          <w:color w:val="auto"/>
        </w:rPr>
      </w:pPr>
    </w:p>
    <w:p w14:paraId="5E6515E7">
      <w:pPr>
        <w:pStyle w:val="14"/>
        <w:rPr>
          <w:color w:val="auto"/>
        </w:rPr>
      </w:pPr>
      <w:r>
        <w:rPr>
          <w:color w:val="auto"/>
        </w:rPr>
        <w:t xml:space="preserve"> </w:t>
      </w:r>
    </w:p>
    <w:p w14:paraId="6706280A">
      <w:pPr>
        <w:pStyle w:val="14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23B01C3">
      <w:pPr>
        <w:pStyle w:val="14"/>
        <w:rPr>
          <w:color w:val="auto"/>
          <w:sz w:val="23"/>
          <w:szCs w:val="23"/>
        </w:rPr>
      </w:pPr>
    </w:p>
    <w:p w14:paraId="5CBF98E3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>
        <w:rPr>
          <w:b/>
          <w:color w:val="auto"/>
          <w:sz w:val="23"/>
          <w:szCs w:val="23"/>
        </w:rPr>
        <w:t>MaZ Group s.r.o.</w:t>
      </w:r>
    </w:p>
    <w:p w14:paraId="3D5930D4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114385/B,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 dňa 30.09.2016</w:t>
      </w:r>
    </w:p>
    <w:p w14:paraId="21B3123B">
      <w:pPr>
        <w:pStyle w:val="14"/>
        <w:rPr>
          <w:color w:val="auto"/>
          <w:sz w:val="23"/>
          <w:szCs w:val="23"/>
        </w:rPr>
      </w:pPr>
    </w:p>
    <w:p w14:paraId="6DCF1369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Zuzana Guštafíková, vznik funkcie od 16.11.2016</w:t>
      </w:r>
    </w:p>
    <w:p w14:paraId="3C2882E7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 Mário Németh vznik funkcie od 16.11.2016</w:t>
      </w:r>
    </w:p>
    <w:p w14:paraId="7932B726">
      <w:pPr>
        <w:pStyle w:val="14"/>
        <w:rPr>
          <w:color w:val="auto"/>
          <w:sz w:val="23"/>
          <w:szCs w:val="23"/>
        </w:rPr>
      </w:pPr>
    </w:p>
    <w:p w14:paraId="29A927D7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Spoločníci: Zuzana Guštafíková, od 16.11.2016  - 100% podiel</w:t>
      </w:r>
    </w:p>
    <w:p w14:paraId="596A2078">
      <w:pPr>
        <w:pStyle w:val="14"/>
        <w:rPr>
          <w:color w:val="auto"/>
          <w:sz w:val="23"/>
          <w:szCs w:val="23"/>
        </w:rPr>
      </w:pPr>
    </w:p>
    <w:p w14:paraId="576C92BB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7B45E26D">
      <w:pPr>
        <w:pStyle w:val="14"/>
        <w:rPr>
          <w:color w:val="auto"/>
          <w:sz w:val="23"/>
          <w:szCs w:val="23"/>
        </w:rPr>
      </w:pPr>
    </w:p>
    <w:p w14:paraId="430C6F47">
      <w:pPr>
        <w:pStyle w:val="14"/>
        <w:rPr>
          <w:color w:val="auto"/>
          <w:sz w:val="23"/>
          <w:szCs w:val="23"/>
        </w:rPr>
      </w:pPr>
    </w:p>
    <w:p w14:paraId="4F15BE0D">
      <w:pPr>
        <w:pStyle w:val="14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028C899">
      <w:pPr>
        <w:pStyle w:val="14"/>
        <w:rPr>
          <w:color w:val="auto"/>
          <w:sz w:val="23"/>
          <w:szCs w:val="23"/>
        </w:rPr>
      </w:pPr>
    </w:p>
    <w:p w14:paraId="07A46130">
      <w:pPr>
        <w:pStyle w:val="5"/>
        <w:ind w:hanging="426"/>
        <w:rPr>
          <w:sz w:val="23"/>
          <w:szCs w:val="23"/>
        </w:rPr>
      </w:pPr>
      <w:r>
        <w:rPr>
          <w:sz w:val="23"/>
          <w:szCs w:val="23"/>
        </w:rPr>
        <w:t>Účtovná závierka Spoločnosti k 31. decembru 202</w:t>
      </w:r>
      <w:r>
        <w:rPr>
          <w:rFonts w:hint="default"/>
          <w:sz w:val="23"/>
          <w:szCs w:val="23"/>
          <w:lang w:val="sk-SK"/>
        </w:rPr>
        <w:t>4</w:t>
      </w:r>
      <w:r>
        <w:rPr>
          <w:sz w:val="23"/>
          <w:szCs w:val="23"/>
        </w:rPr>
        <w:t xml:space="preserve"> je zostavená ako riadna účtovná závierka podľa § 17</w:t>
      </w:r>
    </w:p>
    <w:p w14:paraId="48B96041">
      <w:pPr>
        <w:pStyle w:val="5"/>
        <w:ind w:hanging="426"/>
        <w:rPr>
          <w:rFonts w:hint="default"/>
          <w:sz w:val="23"/>
          <w:szCs w:val="23"/>
          <w:lang w:val="sk-SK"/>
        </w:rPr>
      </w:pPr>
      <w:r>
        <w:rPr>
          <w:sz w:val="23"/>
          <w:szCs w:val="23"/>
        </w:rPr>
        <w:t>ods. 6 zákona NR SR č. 431/2002 Z. z. o účtovníctve za účtovné obdobie od 1. januára 202</w:t>
      </w:r>
      <w:r>
        <w:rPr>
          <w:rFonts w:hint="default"/>
          <w:sz w:val="23"/>
          <w:szCs w:val="23"/>
          <w:lang w:val="sk-SK"/>
        </w:rPr>
        <w:t>4</w:t>
      </w:r>
    </w:p>
    <w:p w14:paraId="21842D72">
      <w:pPr>
        <w:pStyle w:val="5"/>
        <w:ind w:hanging="426"/>
        <w:rPr>
          <w:sz w:val="23"/>
          <w:szCs w:val="23"/>
        </w:rPr>
      </w:pPr>
      <w:r>
        <w:rPr>
          <w:sz w:val="23"/>
          <w:szCs w:val="23"/>
        </w:rPr>
        <w:t>do 31. decembra 202</w:t>
      </w:r>
      <w:r>
        <w:rPr>
          <w:rFonts w:hint="default"/>
          <w:sz w:val="23"/>
          <w:szCs w:val="23"/>
          <w:lang w:val="sk-SK"/>
        </w:rPr>
        <w:t>4</w:t>
      </w:r>
      <w:r>
        <w:rPr>
          <w:sz w:val="23"/>
          <w:szCs w:val="23"/>
        </w:rPr>
        <w:t>.</w:t>
      </w:r>
    </w:p>
    <w:p w14:paraId="66D0422F">
      <w:pPr>
        <w:pStyle w:val="5"/>
        <w:ind w:left="0"/>
        <w:rPr>
          <w:sz w:val="23"/>
          <w:szCs w:val="23"/>
        </w:rPr>
      </w:pPr>
    </w:p>
    <w:p w14:paraId="5E87E1C2">
      <w:pPr>
        <w:pStyle w:val="5"/>
        <w:ind w:left="0"/>
        <w:rPr>
          <w:sz w:val="23"/>
          <w:szCs w:val="23"/>
        </w:rPr>
      </w:pPr>
      <w:r>
        <w:rPr>
          <w:sz w:val="23"/>
          <w:szCs w:val="23"/>
        </w:rPr>
        <w:t>Spoločnosť neeviduje dlhodobý nehmotný majetok.</w:t>
      </w:r>
    </w:p>
    <w:p w14:paraId="1DECC3C5">
      <w:pPr>
        <w:pStyle w:val="5"/>
        <w:rPr>
          <w:sz w:val="23"/>
          <w:szCs w:val="23"/>
        </w:rPr>
      </w:pPr>
    </w:p>
    <w:p w14:paraId="1F1F0C73">
      <w:pPr>
        <w:pStyle w:val="5"/>
        <w:ind w:left="0"/>
        <w:rPr>
          <w:sz w:val="23"/>
          <w:szCs w:val="23"/>
        </w:rPr>
      </w:pPr>
      <w:r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14:paraId="052D4DE1">
      <w:pPr>
        <w:pStyle w:val="5"/>
        <w:ind w:left="0"/>
        <w:rPr>
          <w:sz w:val="23"/>
          <w:szCs w:val="23"/>
        </w:rPr>
      </w:pPr>
      <w:r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61169C2">
      <w:pPr>
        <w:pStyle w:val="5"/>
        <w:ind w:left="0"/>
        <w:rPr>
          <w:sz w:val="23"/>
          <w:szCs w:val="23"/>
        </w:rPr>
      </w:pPr>
      <w:r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14:paraId="55131A15">
      <w:pPr>
        <w:pStyle w:val="5"/>
        <w:ind w:left="0"/>
        <w:rPr>
          <w:sz w:val="23"/>
          <w:szCs w:val="23"/>
        </w:rPr>
      </w:pPr>
      <w:r>
        <w:rPr>
          <w:sz w:val="23"/>
          <w:szCs w:val="23"/>
        </w:rPr>
        <w:t>Predpokladaná doba používania, metóda odpisovania a odpisová sadzba sú uvedené v nasledujúcej tabuľke:</w:t>
      </w:r>
    </w:p>
    <w:p w14:paraId="58DC72F7">
      <w:pPr>
        <w:pStyle w:val="5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1C3357AE">
      <w:pPr>
        <w:pStyle w:val="5"/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 xml:space="preserve"> Odpisova skupina           Počet rokov odpisovania         Metoda odpisovania</w:t>
      </w:r>
    </w:p>
    <w:tbl>
      <w:tblPr>
        <w:tblStyle w:val="3"/>
        <w:tblW w:w="0" w:type="auto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3118"/>
        <w:gridCol w:w="1985"/>
        <w:gridCol w:w="141"/>
        <w:gridCol w:w="1701"/>
        <w:gridCol w:w="142"/>
        <w:gridCol w:w="1701"/>
      </w:tblGrid>
      <w:tr w14:paraId="326554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50" w:hRule="atLeast"/>
        </w:trPr>
        <w:tc>
          <w:tcPr>
            <w:tcW w:w="3118" w:type="dxa"/>
            <w:tcBorders>
              <w:top w:val="single" w:color="auto" w:sz="4" w:space="0"/>
            </w:tcBorders>
          </w:tcPr>
          <w:p w14:paraId="78B781E7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color="auto" w:sz="4" w:space="0"/>
            </w:tcBorders>
          </w:tcPr>
          <w:p w14:paraId="32FF7700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color="auto" w:sz="4" w:space="0"/>
            </w:tcBorders>
          </w:tcPr>
          <w:p w14:paraId="0D850D0D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color="auto" w:sz="4" w:space="0"/>
            </w:tcBorders>
          </w:tcPr>
          <w:p w14:paraId="44525B3A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color="auto" w:sz="4" w:space="0"/>
            </w:tcBorders>
          </w:tcPr>
          <w:p w14:paraId="2682A00E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color="auto" w:sz="4" w:space="0"/>
            </w:tcBorders>
          </w:tcPr>
          <w:p w14:paraId="7C4306B5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</w:tc>
      </w:tr>
      <w:tr w14:paraId="0E8498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50" w:hRule="atLeast"/>
        </w:trPr>
        <w:tc>
          <w:tcPr>
            <w:tcW w:w="3118" w:type="dxa"/>
          </w:tcPr>
          <w:p w14:paraId="7474F5DA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Stroje, prístroje a zariadenia</w:t>
            </w:r>
          </w:p>
          <w:p w14:paraId="4608910C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Elektrické motory</w:t>
            </w:r>
          </w:p>
          <w:p w14:paraId="51B16614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14:paraId="1DA5FC9D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</w:p>
          <w:p w14:paraId="03D8C35E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  <w:p w14:paraId="2DCBA6B2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14:paraId="78C6C151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BF34BA4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</w:p>
          <w:p w14:paraId="3FA9BF4D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8</w:t>
            </w:r>
          </w:p>
          <w:p w14:paraId="6E1CB606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14:paraId="5E800834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C78ED3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  <w:p w14:paraId="32BF2FFC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  <w:p w14:paraId="6BA0AFC9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</w:tc>
      </w:tr>
      <w:tr w14:paraId="359A8C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50" w:hRule="atLeast"/>
        </w:trPr>
        <w:tc>
          <w:tcPr>
            <w:tcW w:w="3118" w:type="dxa"/>
          </w:tcPr>
          <w:p w14:paraId="0FE1D2A2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14:paraId="655A43A7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14:paraId="52E23D5A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4C587DD0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14:paraId="79DF5F6A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095C50F5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</w:tc>
      </w:tr>
      <w:tr w14:paraId="552249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50" w:hRule="atLeast"/>
        </w:trPr>
        <w:tc>
          <w:tcPr>
            <w:tcW w:w="3118" w:type="dxa"/>
          </w:tcPr>
          <w:p w14:paraId="0516F2CE">
            <w:pPr>
              <w:pStyle w:val="16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14:paraId="5C6D73C5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14:paraId="6DFF297A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E71026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14:paraId="6B63721F">
            <w:pPr>
              <w:pStyle w:val="16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611DF3E4">
            <w:pPr>
              <w:pStyle w:val="16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Lineárna</w:t>
            </w:r>
          </w:p>
        </w:tc>
      </w:tr>
    </w:tbl>
    <w:p w14:paraId="1F6D346B">
      <w:pPr>
        <w:pStyle w:val="14"/>
        <w:rPr>
          <w:color w:val="auto"/>
          <w:sz w:val="23"/>
          <w:szCs w:val="23"/>
        </w:rPr>
      </w:pPr>
    </w:p>
    <w:p w14:paraId="3B80A033">
      <w:pPr>
        <w:pStyle w:val="14"/>
        <w:spacing w:after="27"/>
        <w:rPr>
          <w:color w:val="auto"/>
          <w:sz w:val="23"/>
          <w:szCs w:val="23"/>
        </w:rPr>
      </w:pPr>
    </w:p>
    <w:p w14:paraId="508E8843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pohľadávok a záväzkov, a to </w:t>
      </w:r>
    </w:p>
    <w:p w14:paraId="070E53FA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pohľadávok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pohľadávky oceňujú menovitou hodnotou</w:t>
      </w:r>
    </w:p>
    <w:p w14:paraId="4BB844EF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záväzkov vrátane rezerv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3626BD99">
      <w:pPr>
        <w:pStyle w:val="14"/>
        <w:spacing w:after="27"/>
        <w:rPr>
          <w:color w:val="auto"/>
          <w:sz w:val="23"/>
          <w:szCs w:val="23"/>
        </w:rPr>
      </w:pPr>
    </w:p>
    <w:p w14:paraId="7739579E">
      <w:pPr>
        <w:pStyle w:val="14"/>
        <w:spacing w:after="27"/>
        <w:rPr>
          <w:color w:val="auto"/>
          <w:sz w:val="23"/>
          <w:szCs w:val="23"/>
        </w:rPr>
      </w:pPr>
    </w:p>
    <w:p w14:paraId="6DE33D95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neúčtovala o významných opravách chýb minulých účtovných období v bežnom účtovnom období, nakoľko nenastala dôvodná skutočnosť pre ich účtovanie.</w:t>
      </w:r>
    </w:p>
    <w:p w14:paraId="3BCE0BA5">
      <w:pPr>
        <w:pStyle w:val="14"/>
        <w:rPr>
          <w:color w:val="auto"/>
          <w:sz w:val="23"/>
          <w:szCs w:val="23"/>
        </w:rPr>
      </w:pPr>
    </w:p>
    <w:p w14:paraId="41BE80A1">
      <w:pPr>
        <w:pStyle w:val="1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202</w:t>
      </w:r>
      <w:r>
        <w:rPr>
          <w:rFonts w:hint="default"/>
          <w:color w:val="auto"/>
          <w:sz w:val="23"/>
          <w:szCs w:val="23"/>
          <w:lang w:val="sk-SK"/>
        </w:rPr>
        <w:t>3</w:t>
      </w:r>
      <w:r>
        <w:rPr>
          <w:color w:val="auto"/>
          <w:sz w:val="23"/>
          <w:szCs w:val="23"/>
        </w:rPr>
        <w:t xml:space="preserve"> bol zaúčtovaný v prospech účtu </w:t>
      </w:r>
      <w:r>
        <w:rPr>
          <w:rFonts w:hint="default"/>
          <w:color w:val="auto"/>
          <w:sz w:val="23"/>
          <w:szCs w:val="23"/>
          <w:lang w:val="sk-SK"/>
        </w:rPr>
        <w:t xml:space="preserve">straty minulych </w:t>
      </w:r>
      <w:r>
        <w:rPr>
          <w:color w:val="auto"/>
          <w:sz w:val="23"/>
          <w:szCs w:val="23"/>
        </w:rPr>
        <w:t xml:space="preserve">minulých rokov. </w:t>
      </w:r>
    </w:p>
    <w:p w14:paraId="445971EF">
      <w:pPr>
        <w:pStyle w:val="14"/>
        <w:rPr>
          <w:color w:val="auto"/>
          <w:sz w:val="23"/>
          <w:szCs w:val="23"/>
        </w:rPr>
      </w:pPr>
    </w:p>
    <w:p w14:paraId="3674C8AC">
      <w:pPr>
        <w:pStyle w:val="14"/>
        <w:rPr>
          <w:color w:val="auto"/>
          <w:sz w:val="23"/>
          <w:szCs w:val="23"/>
        </w:rPr>
      </w:pPr>
    </w:p>
    <w:p w14:paraId="04BF568C">
      <w:pPr>
        <w:pStyle w:val="14"/>
        <w:rPr>
          <w:color w:val="auto"/>
          <w:sz w:val="23"/>
          <w:szCs w:val="23"/>
        </w:rPr>
      </w:pPr>
    </w:p>
    <w:p w14:paraId="2E10CDCF">
      <w:pPr>
        <w:pStyle w:val="14"/>
        <w:rPr>
          <w:color w:val="auto"/>
          <w:sz w:val="23"/>
          <w:szCs w:val="23"/>
        </w:rPr>
      </w:pPr>
    </w:p>
    <w:p w14:paraId="1C7255F6">
      <w:pPr>
        <w:pStyle w:val="14"/>
        <w:rPr>
          <w:color w:val="auto"/>
          <w:sz w:val="23"/>
          <w:szCs w:val="23"/>
        </w:rPr>
      </w:pPr>
    </w:p>
    <w:p w14:paraId="0219D160">
      <w:pPr>
        <w:pStyle w:val="14"/>
        <w:rPr>
          <w:color w:val="auto"/>
          <w:sz w:val="23"/>
          <w:szCs w:val="23"/>
        </w:rPr>
      </w:pPr>
    </w:p>
    <w:p w14:paraId="39434913">
      <w:pPr>
        <w:pStyle w:val="14"/>
        <w:rPr>
          <w:color w:val="auto"/>
          <w:sz w:val="23"/>
          <w:szCs w:val="23"/>
        </w:rPr>
      </w:pPr>
    </w:p>
    <w:p w14:paraId="32E37A72">
      <w:pPr>
        <w:pStyle w:val="14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DD42C0">
      <w:pPr>
        <w:pStyle w:val="14"/>
        <w:rPr>
          <w:color w:val="auto"/>
          <w:sz w:val="23"/>
          <w:szCs w:val="23"/>
        </w:rPr>
      </w:pPr>
    </w:p>
    <w:p w14:paraId="5256A9B3">
      <w:pPr>
        <w:pStyle w:val="14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14:paraId="26716897">
      <w:pPr>
        <w:pStyle w:val="14"/>
        <w:rPr>
          <w:color w:val="auto"/>
          <w:sz w:val="23"/>
          <w:szCs w:val="23"/>
        </w:rPr>
      </w:pPr>
    </w:p>
    <w:p w14:paraId="20D7BC19">
      <w:pPr>
        <w:pStyle w:val="14"/>
        <w:spacing w:after="27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>Účtovná jednotka v r.202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účtovala o </w:t>
      </w:r>
      <w:r>
        <w:rPr>
          <w:rFonts w:hint="default"/>
          <w:color w:val="auto"/>
          <w:sz w:val="23"/>
          <w:szCs w:val="23"/>
          <w:lang w:val="sk-SK"/>
        </w:rPr>
        <w:t xml:space="preserve">odpisoch </w:t>
      </w:r>
      <w:r>
        <w:rPr>
          <w:color w:val="auto"/>
          <w:sz w:val="23"/>
          <w:szCs w:val="23"/>
        </w:rPr>
        <w:t xml:space="preserve">hmotného majetku </w:t>
      </w:r>
      <w:r>
        <w:rPr>
          <w:rFonts w:hint="default"/>
          <w:color w:val="auto"/>
          <w:sz w:val="23"/>
          <w:szCs w:val="23"/>
          <w:lang w:val="sk-SK"/>
        </w:rPr>
        <w:t xml:space="preserve">- </w:t>
      </w:r>
      <w:r>
        <w:rPr>
          <w:color w:val="auto"/>
          <w:sz w:val="23"/>
          <w:szCs w:val="23"/>
        </w:rPr>
        <w:t>osobné automobil</w:t>
      </w:r>
      <w:r>
        <w:rPr>
          <w:rFonts w:hint="default"/>
          <w:color w:val="auto"/>
          <w:sz w:val="23"/>
          <w:szCs w:val="23"/>
          <w:lang w:val="sk-SK"/>
        </w:rPr>
        <w:t>y</w:t>
      </w:r>
      <w:r>
        <w:rPr>
          <w:color w:val="auto"/>
          <w:sz w:val="23"/>
          <w:szCs w:val="23"/>
        </w:rPr>
        <w:t>. Osobný automobil</w:t>
      </w:r>
      <w:r>
        <w:rPr>
          <w:rFonts w:hint="default"/>
          <w:color w:val="auto"/>
          <w:sz w:val="23"/>
          <w:szCs w:val="23"/>
          <w:lang w:val="sk-SK"/>
        </w:rPr>
        <w:t>y sú zaradené do skupiny Dopravné prostriedky s dobou odpisovania 4 roky.</w:t>
      </w:r>
    </w:p>
    <w:p w14:paraId="4B444B83">
      <w:pPr>
        <w:pStyle w:val="14"/>
        <w:spacing w:after="27"/>
        <w:rPr>
          <w:rFonts w:hint="default"/>
          <w:color w:val="auto"/>
          <w:sz w:val="23"/>
          <w:szCs w:val="23"/>
          <w:lang w:val="sk-SK"/>
        </w:rPr>
      </w:pPr>
    </w:p>
    <w:p w14:paraId="53CE4A34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Odpisy hmotného majetku k 31.12.202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boli celkom v sume </w:t>
      </w:r>
      <w:r>
        <w:rPr>
          <w:rFonts w:hint="default"/>
          <w:color w:val="auto"/>
          <w:sz w:val="23"/>
          <w:szCs w:val="23"/>
          <w:lang w:val="sk-SK"/>
        </w:rPr>
        <w:t>10816,29 eur</w:t>
      </w:r>
    </w:p>
    <w:p w14:paraId="3A6FAA0E">
      <w:pPr>
        <w:pStyle w:val="14"/>
        <w:rPr>
          <w:color w:val="auto"/>
          <w:sz w:val="23"/>
          <w:szCs w:val="23"/>
        </w:rPr>
      </w:pPr>
    </w:p>
    <w:p w14:paraId="13038DEE">
      <w:pPr>
        <w:pStyle w:val="14"/>
        <w:rPr>
          <w:color w:val="auto"/>
          <w:sz w:val="23"/>
          <w:szCs w:val="23"/>
          <w:u w:val="single"/>
        </w:rPr>
      </w:pPr>
    </w:p>
    <w:p w14:paraId="0A688F26">
      <w:pPr>
        <w:pStyle w:val="14"/>
        <w:rPr>
          <w:color w:val="auto"/>
          <w:sz w:val="23"/>
          <w:szCs w:val="23"/>
          <w:u w:val="single"/>
        </w:rPr>
      </w:pPr>
    </w:p>
    <w:p w14:paraId="6848544F">
      <w:pPr>
        <w:pStyle w:val="14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peňažných prostriedkoch:</w:t>
      </w:r>
    </w:p>
    <w:p w14:paraId="39D73AAF">
      <w:pPr>
        <w:pStyle w:val="14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pokladne – </w:t>
      </w:r>
      <w:r>
        <w:rPr>
          <w:rFonts w:hint="default"/>
          <w:color w:val="auto"/>
          <w:sz w:val="23"/>
          <w:szCs w:val="23"/>
          <w:lang w:val="sk-SK"/>
        </w:rPr>
        <w:t>119,45</w:t>
      </w:r>
      <w:r>
        <w:rPr>
          <w:color w:val="auto"/>
          <w:sz w:val="23"/>
          <w:szCs w:val="23"/>
        </w:rPr>
        <w:t xml:space="preserve"> eur</w:t>
      </w:r>
    </w:p>
    <w:p w14:paraId="10F31934">
      <w:pPr>
        <w:pStyle w:val="14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bankový účet Tatra banka – </w:t>
      </w:r>
      <w:r>
        <w:rPr>
          <w:rFonts w:hint="default"/>
          <w:color w:val="auto"/>
          <w:sz w:val="23"/>
          <w:szCs w:val="23"/>
          <w:lang w:val="sk-SK"/>
        </w:rPr>
        <w:t>947,79</w:t>
      </w:r>
      <w:r>
        <w:rPr>
          <w:color w:val="auto"/>
          <w:sz w:val="23"/>
          <w:szCs w:val="23"/>
        </w:rPr>
        <w:t xml:space="preserve"> eur</w:t>
      </w:r>
    </w:p>
    <w:p w14:paraId="591A9A42">
      <w:pPr>
        <w:pStyle w:val="14"/>
        <w:rPr>
          <w:color w:val="auto"/>
          <w:sz w:val="23"/>
          <w:szCs w:val="23"/>
        </w:rPr>
      </w:pPr>
    </w:p>
    <w:p w14:paraId="6C9CC2EB">
      <w:pPr>
        <w:pStyle w:val="14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 záväzkoch, a to </w:t>
      </w:r>
    </w:p>
    <w:p w14:paraId="54EEB59E">
      <w:pPr>
        <w:pStyle w:val="14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z obchodného styku so zostatkovou dobou splatnosti kratšou ako 1 rok – </w:t>
      </w:r>
      <w:r>
        <w:rPr>
          <w:rFonts w:hint="default"/>
          <w:color w:val="auto"/>
          <w:sz w:val="23"/>
          <w:szCs w:val="23"/>
          <w:lang w:val="sk-SK"/>
        </w:rPr>
        <w:t>10122,84</w:t>
      </w:r>
      <w:r>
        <w:rPr>
          <w:color w:val="auto"/>
          <w:sz w:val="23"/>
          <w:szCs w:val="23"/>
        </w:rPr>
        <w:t xml:space="preserve"> eur</w:t>
      </w:r>
    </w:p>
    <w:p w14:paraId="5CE1B642">
      <w:pPr>
        <w:pStyle w:val="14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ostatných záväzkov voči spoločníkovi – </w:t>
      </w:r>
      <w:r>
        <w:rPr>
          <w:rFonts w:hint="default"/>
          <w:color w:val="auto"/>
          <w:sz w:val="23"/>
          <w:szCs w:val="23"/>
          <w:lang w:val="sk-SK"/>
        </w:rPr>
        <w:t>54600,00</w:t>
      </w:r>
      <w:r>
        <w:rPr>
          <w:color w:val="auto"/>
          <w:sz w:val="23"/>
          <w:szCs w:val="23"/>
        </w:rPr>
        <w:t xml:space="preserve"> eur</w:t>
      </w:r>
    </w:p>
    <w:p w14:paraId="59CA12DD">
      <w:pPr>
        <w:pStyle w:val="14"/>
        <w:numPr>
          <w:ilvl w:val="0"/>
          <w:numId w:val="2"/>
        </w:numPr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z obchodného styku so zostatkovou dobou splatnosti viac ako</w:t>
      </w:r>
      <w:r>
        <w:rPr>
          <w:rFonts w:hint="default"/>
          <w:color w:val="auto"/>
          <w:sz w:val="23"/>
          <w:szCs w:val="23"/>
          <w:lang w:val="sk-SK"/>
        </w:rPr>
        <w:t xml:space="preserve">                         </w:t>
      </w:r>
      <w:r>
        <w:rPr>
          <w:color w:val="auto"/>
          <w:sz w:val="23"/>
          <w:szCs w:val="23"/>
        </w:rPr>
        <w:t xml:space="preserve"> 1 rok –</w:t>
      </w:r>
      <w:r>
        <w:rPr>
          <w:rFonts w:hint="default"/>
          <w:color w:val="auto"/>
          <w:sz w:val="23"/>
          <w:szCs w:val="23"/>
          <w:lang w:val="sk-SK"/>
        </w:rPr>
        <w:t xml:space="preserve">4767,21 </w:t>
      </w:r>
      <w:r>
        <w:rPr>
          <w:color w:val="auto"/>
          <w:sz w:val="23"/>
          <w:szCs w:val="23"/>
        </w:rPr>
        <w:t>eur – autokredit Volkswagen finančné služby – financovanie - Skoda Kodiaq</w:t>
      </w:r>
    </w:p>
    <w:p w14:paraId="05710226">
      <w:pPr>
        <w:pStyle w:val="14"/>
        <w:numPr>
          <w:numId w:val="0"/>
        </w:numPr>
        <w:spacing w:after="27"/>
        <w:ind w:left="348" w:leftChars="0"/>
        <w:rPr>
          <w:color w:val="auto"/>
          <w:sz w:val="23"/>
          <w:szCs w:val="23"/>
        </w:rPr>
      </w:pPr>
    </w:p>
    <w:p w14:paraId="0721243E">
      <w:pPr>
        <w:pStyle w:val="14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účtuje o bankovom úvere v Tatra banke – záväzok k 31.12.202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predstavuje </w:t>
      </w:r>
      <w:r>
        <w:rPr>
          <w:rFonts w:hint="default"/>
          <w:color w:val="auto"/>
          <w:sz w:val="23"/>
          <w:szCs w:val="23"/>
          <w:lang w:val="sk-SK"/>
        </w:rPr>
        <w:t>8578,00eur</w:t>
      </w:r>
      <w:r>
        <w:rPr>
          <w:color w:val="auto"/>
          <w:sz w:val="23"/>
          <w:szCs w:val="23"/>
        </w:rPr>
        <w:t xml:space="preserve"> </w:t>
      </w:r>
    </w:p>
    <w:p w14:paraId="56C23526">
      <w:pPr>
        <w:pStyle w:val="14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daňových </w:t>
      </w:r>
      <w:r>
        <w:rPr>
          <w:rFonts w:hint="default"/>
          <w:color w:val="auto"/>
          <w:sz w:val="23"/>
          <w:szCs w:val="23"/>
          <w:lang w:val="sk-SK"/>
        </w:rPr>
        <w:t>záväzkov</w:t>
      </w:r>
      <w:r>
        <w:rPr>
          <w:color w:val="auto"/>
          <w:sz w:val="23"/>
          <w:szCs w:val="23"/>
        </w:rPr>
        <w:t xml:space="preserve"> je </w:t>
      </w:r>
      <w:r>
        <w:rPr>
          <w:rFonts w:hint="default"/>
          <w:color w:val="auto"/>
          <w:sz w:val="23"/>
          <w:szCs w:val="23"/>
          <w:lang w:val="sk-SK"/>
        </w:rPr>
        <w:t>1510,91e</w:t>
      </w:r>
      <w:r>
        <w:rPr>
          <w:color w:val="auto"/>
          <w:sz w:val="23"/>
          <w:szCs w:val="23"/>
        </w:rPr>
        <w:t>u</w:t>
      </w:r>
      <w:r>
        <w:rPr>
          <w:rFonts w:hint="default"/>
          <w:color w:val="auto"/>
          <w:sz w:val="23"/>
          <w:szCs w:val="23"/>
          <w:lang w:val="sk-SK"/>
        </w:rPr>
        <w:t>r</w:t>
      </w:r>
    </w:p>
    <w:p w14:paraId="19DB426A">
      <w:pPr>
        <w:pStyle w:val="14"/>
        <w:spacing w:after="27"/>
        <w:rPr>
          <w:color w:val="auto"/>
          <w:sz w:val="23"/>
          <w:szCs w:val="23"/>
        </w:rPr>
      </w:pPr>
    </w:p>
    <w:p w14:paraId="0B8F9ADA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>Informácie o základnom ímaní</w:t>
      </w:r>
      <w:r>
        <w:rPr>
          <w:color w:val="auto"/>
          <w:sz w:val="23"/>
          <w:szCs w:val="23"/>
        </w:rPr>
        <w:t>: Vklad: 5000 eur</w:t>
      </w:r>
    </w:p>
    <w:p w14:paraId="1F345578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Splatené: 5000 eur </w:t>
      </w:r>
    </w:p>
    <w:p w14:paraId="35BF9FE1">
      <w:pPr>
        <w:pStyle w:val="14"/>
        <w:spacing w:after="27"/>
        <w:rPr>
          <w:color w:val="auto"/>
          <w:sz w:val="23"/>
          <w:szCs w:val="23"/>
        </w:rPr>
      </w:pPr>
    </w:p>
    <w:p w14:paraId="136558ED">
      <w:pPr>
        <w:pStyle w:val="14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5127F6DD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2016 – 43,91eur</w:t>
      </w:r>
    </w:p>
    <w:p w14:paraId="0CCF0790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2017 – 1433,96 eur</w:t>
      </w:r>
    </w:p>
    <w:p w14:paraId="04379779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Nerozdelená strata minulých rokov 2018 – 5826,20 eur</w:t>
      </w:r>
    </w:p>
    <w:p w14:paraId="0DFDA2D6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Nerozdelená strata minulých rokov 2019 – 16754,78 eur</w:t>
      </w:r>
    </w:p>
    <w:p w14:paraId="1C5BD7A5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Nerozdelená strata minulých rokov 2020 – 26620,90 eur</w:t>
      </w:r>
    </w:p>
    <w:p w14:paraId="5F2B3930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2021 – 1373,49 eur</w:t>
      </w:r>
    </w:p>
    <w:p w14:paraId="657F1136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Nerozdelená strata minulých rokov 202</w:t>
      </w:r>
      <w:r>
        <w:rPr>
          <w:rFonts w:hint="default"/>
          <w:color w:val="auto"/>
          <w:sz w:val="23"/>
          <w:szCs w:val="23"/>
          <w:lang w:val="sk-SK"/>
        </w:rPr>
        <w:t>2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 xml:space="preserve">9287,49 </w:t>
      </w:r>
      <w:r>
        <w:rPr>
          <w:color w:val="auto"/>
          <w:sz w:val="23"/>
          <w:szCs w:val="23"/>
        </w:rPr>
        <w:t>eur</w:t>
      </w:r>
    </w:p>
    <w:p w14:paraId="75F572B7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Nerozdelená strata minulých rokov 202</w:t>
      </w:r>
      <w:r>
        <w:rPr>
          <w:rFonts w:hint="default"/>
          <w:color w:val="auto"/>
          <w:sz w:val="23"/>
          <w:szCs w:val="23"/>
          <w:lang w:val="sk-SK"/>
        </w:rPr>
        <w:t>3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8086,17</w:t>
      </w:r>
      <w:r>
        <w:rPr>
          <w:color w:val="auto"/>
          <w:sz w:val="23"/>
          <w:szCs w:val="23"/>
        </w:rPr>
        <w:t xml:space="preserve"> eur</w:t>
      </w:r>
    </w:p>
    <w:p w14:paraId="0610E0E3">
      <w:pPr>
        <w:pStyle w:val="14"/>
        <w:spacing w:after="27"/>
        <w:ind w:firstLine="708"/>
        <w:rPr>
          <w:color w:val="auto"/>
          <w:sz w:val="23"/>
          <w:szCs w:val="23"/>
        </w:rPr>
      </w:pPr>
    </w:p>
    <w:p w14:paraId="32113BF0">
      <w:pPr>
        <w:pStyle w:val="14"/>
        <w:spacing w:after="27"/>
        <w:rPr>
          <w:color w:val="auto"/>
          <w:sz w:val="23"/>
          <w:szCs w:val="23"/>
        </w:rPr>
      </w:pPr>
    </w:p>
    <w:p w14:paraId="5A3536BC">
      <w:pPr>
        <w:pStyle w:val="14"/>
        <w:spacing w:after="27"/>
        <w:rPr>
          <w:color w:val="auto"/>
          <w:sz w:val="23"/>
          <w:szCs w:val="23"/>
        </w:rPr>
      </w:pPr>
    </w:p>
    <w:p w14:paraId="4681AE40">
      <w:pPr>
        <w:pStyle w:val="14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 pohľadávkach, a to </w:t>
      </w:r>
    </w:p>
    <w:p w14:paraId="7806B2ED">
      <w:pPr>
        <w:pStyle w:val="14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pohľadávok z obchodného styku so zostatkovou dobou splatnosti kratšou ako 1 rok – </w:t>
      </w:r>
      <w:r>
        <w:rPr>
          <w:rFonts w:hint="default"/>
          <w:color w:val="auto"/>
          <w:sz w:val="23"/>
          <w:szCs w:val="23"/>
          <w:lang w:val="sk-SK"/>
        </w:rPr>
        <w:t>3997,52</w:t>
      </w:r>
      <w:r>
        <w:rPr>
          <w:color w:val="auto"/>
          <w:sz w:val="23"/>
          <w:szCs w:val="23"/>
        </w:rPr>
        <w:t xml:space="preserve"> eur</w:t>
      </w:r>
    </w:p>
    <w:p w14:paraId="340B1A98">
      <w:pPr>
        <w:pStyle w:val="14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nákladov budúcich období </w:t>
      </w:r>
      <w:r>
        <w:rPr>
          <w:rFonts w:hint="default"/>
          <w:color w:val="auto"/>
          <w:sz w:val="23"/>
          <w:szCs w:val="23"/>
          <w:lang w:val="sk-SK"/>
        </w:rPr>
        <w:t>254,75</w:t>
      </w:r>
      <w:r>
        <w:rPr>
          <w:color w:val="auto"/>
          <w:sz w:val="23"/>
          <w:szCs w:val="23"/>
        </w:rPr>
        <w:t xml:space="preserve"> eur</w:t>
      </w:r>
    </w:p>
    <w:p w14:paraId="4CD4D823">
      <w:pPr>
        <w:pStyle w:val="14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daňových pohľadávok je </w:t>
      </w:r>
      <w:r>
        <w:rPr>
          <w:rFonts w:hint="default"/>
          <w:color w:val="auto"/>
          <w:sz w:val="23"/>
          <w:szCs w:val="23"/>
          <w:lang w:val="sk-SK"/>
        </w:rPr>
        <w:t>199,32</w:t>
      </w:r>
      <w:r>
        <w:rPr>
          <w:color w:val="auto"/>
          <w:sz w:val="23"/>
          <w:szCs w:val="23"/>
        </w:rPr>
        <w:t xml:space="preserve"> eur</w:t>
      </w:r>
    </w:p>
    <w:p w14:paraId="290813A9">
      <w:pPr>
        <w:pStyle w:val="14"/>
        <w:spacing w:after="27"/>
        <w:rPr>
          <w:color w:val="auto"/>
          <w:sz w:val="23"/>
          <w:szCs w:val="23"/>
        </w:rPr>
      </w:pPr>
    </w:p>
    <w:p w14:paraId="18F526B5">
      <w:pPr>
        <w:pStyle w:val="14"/>
        <w:spacing w:after="27"/>
        <w:rPr>
          <w:color w:val="auto"/>
          <w:sz w:val="23"/>
          <w:szCs w:val="23"/>
        </w:rPr>
      </w:pPr>
    </w:p>
    <w:p w14:paraId="75F8D483">
      <w:pPr>
        <w:pStyle w:val="14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 o nákladoch:</w:t>
      </w:r>
    </w:p>
    <w:p w14:paraId="4E38B538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Najvýznamnejšie položky: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Spotreba PHM – </w:t>
      </w:r>
      <w:r>
        <w:rPr>
          <w:rFonts w:hint="default"/>
          <w:color w:val="auto"/>
          <w:sz w:val="23"/>
          <w:szCs w:val="23"/>
          <w:lang w:val="sk-SK"/>
        </w:rPr>
        <w:t>1687</w:t>
      </w:r>
      <w:bookmarkStart w:id="0" w:name="_GoBack"/>
      <w:bookmarkEnd w:id="0"/>
      <w:r>
        <w:rPr>
          <w:rFonts w:hint="default"/>
          <w:color w:val="auto"/>
          <w:sz w:val="23"/>
          <w:szCs w:val="23"/>
          <w:lang w:val="sk-SK"/>
        </w:rPr>
        <w:t>2,59</w:t>
      </w:r>
      <w:r>
        <w:rPr>
          <w:color w:val="auto"/>
          <w:sz w:val="23"/>
          <w:szCs w:val="23"/>
        </w:rPr>
        <w:t xml:space="preserve"> eur</w:t>
      </w:r>
    </w:p>
    <w:p w14:paraId="0B89CB94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Spotreba DMIM – </w:t>
      </w:r>
      <w:r>
        <w:rPr>
          <w:rFonts w:hint="default"/>
          <w:color w:val="auto"/>
          <w:sz w:val="23"/>
          <w:szCs w:val="23"/>
          <w:lang w:val="sk-SK"/>
        </w:rPr>
        <w:t>233,58</w:t>
      </w:r>
      <w:r>
        <w:rPr>
          <w:color w:val="auto"/>
          <w:sz w:val="23"/>
          <w:szCs w:val="23"/>
        </w:rPr>
        <w:t xml:space="preserve"> eur</w:t>
      </w:r>
    </w:p>
    <w:p w14:paraId="708CF5D0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Spotreba materialu – auta </w:t>
      </w:r>
      <w:r>
        <w:rPr>
          <w:rFonts w:hint="default"/>
          <w:color w:val="auto"/>
          <w:sz w:val="23"/>
          <w:szCs w:val="23"/>
          <w:lang w:val="sk-SK"/>
        </w:rPr>
        <w:t>3588,97</w:t>
      </w:r>
      <w:r>
        <w:rPr>
          <w:color w:val="auto"/>
          <w:sz w:val="23"/>
          <w:szCs w:val="23"/>
        </w:rPr>
        <w:t xml:space="preserve"> eur</w:t>
      </w:r>
    </w:p>
    <w:p w14:paraId="181FC137">
      <w:pPr>
        <w:pStyle w:val="14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Spotreba </w:t>
      </w:r>
      <w:r>
        <w:rPr>
          <w:rFonts w:hint="default"/>
          <w:color w:val="auto"/>
          <w:sz w:val="23"/>
          <w:szCs w:val="23"/>
          <w:lang w:val="sk-SK"/>
        </w:rPr>
        <w:t>kancelárske potreby</w:t>
      </w:r>
      <w:r>
        <w:rPr>
          <w:color w:val="auto"/>
          <w:sz w:val="23"/>
          <w:szCs w:val="23"/>
        </w:rPr>
        <w:t xml:space="preserve"> –  </w:t>
      </w:r>
      <w:r>
        <w:rPr>
          <w:rFonts w:hint="default"/>
          <w:color w:val="auto"/>
          <w:sz w:val="23"/>
          <w:szCs w:val="23"/>
          <w:lang w:val="sk-SK"/>
        </w:rPr>
        <w:t>137,70</w:t>
      </w:r>
      <w:r>
        <w:rPr>
          <w:color w:val="auto"/>
          <w:sz w:val="23"/>
          <w:szCs w:val="23"/>
        </w:rPr>
        <w:t xml:space="preserve"> eur</w:t>
      </w:r>
    </w:p>
    <w:p w14:paraId="38B8AAE5">
      <w:pPr>
        <w:pStyle w:val="14"/>
        <w:spacing w:after="27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ab/>
        <w:t/>
      </w:r>
      <w:r>
        <w:rPr>
          <w:rFonts w:hint="default"/>
          <w:color w:val="auto"/>
          <w:sz w:val="23"/>
          <w:szCs w:val="23"/>
          <w:lang w:val="sk-SK"/>
        </w:rPr>
        <w:tab/>
        <w:t/>
      </w:r>
      <w:r>
        <w:rPr>
          <w:rFonts w:hint="default"/>
          <w:color w:val="auto"/>
          <w:sz w:val="23"/>
          <w:szCs w:val="23"/>
          <w:lang w:val="sk-SK"/>
        </w:rPr>
        <w:tab/>
        <w:t/>
      </w:r>
      <w:r>
        <w:rPr>
          <w:rFonts w:hint="default"/>
          <w:color w:val="auto"/>
          <w:sz w:val="23"/>
          <w:szCs w:val="23"/>
          <w:lang w:val="sk-SK"/>
        </w:rPr>
        <w:tab/>
        <w:t/>
      </w:r>
      <w:r>
        <w:rPr>
          <w:rFonts w:hint="default"/>
          <w:color w:val="auto"/>
          <w:sz w:val="23"/>
          <w:szCs w:val="23"/>
          <w:lang w:val="sk-SK"/>
        </w:rPr>
        <w:tab/>
        <w:t>Náklady na predaný tovar - 3499,69 eur</w:t>
      </w:r>
      <w:r>
        <w:rPr>
          <w:rFonts w:hint="default"/>
          <w:color w:val="auto"/>
          <w:sz w:val="23"/>
          <w:szCs w:val="23"/>
          <w:lang w:val="sk-SK"/>
        </w:rPr>
        <w:tab/>
        <w:t/>
      </w:r>
      <w:r>
        <w:rPr>
          <w:rFonts w:hint="default"/>
          <w:color w:val="auto"/>
          <w:sz w:val="23"/>
          <w:szCs w:val="23"/>
          <w:lang w:val="sk-SK"/>
        </w:rPr>
        <w:tab/>
      </w:r>
    </w:p>
    <w:p w14:paraId="439DE785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doprava externa </w:t>
      </w:r>
      <w:r>
        <w:rPr>
          <w:rFonts w:hint="default"/>
          <w:color w:val="auto"/>
          <w:sz w:val="23"/>
          <w:szCs w:val="23"/>
          <w:lang w:val="sk-SK"/>
        </w:rPr>
        <w:t>51008,75</w:t>
      </w:r>
      <w:r>
        <w:rPr>
          <w:color w:val="auto"/>
          <w:sz w:val="23"/>
          <w:szCs w:val="23"/>
        </w:rPr>
        <w:t xml:space="preserve"> eur</w:t>
      </w:r>
    </w:p>
    <w:p w14:paraId="3ED54227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opravu aút – </w:t>
      </w:r>
      <w:r>
        <w:rPr>
          <w:rFonts w:hint="default"/>
          <w:color w:val="auto"/>
          <w:sz w:val="23"/>
          <w:szCs w:val="23"/>
          <w:lang w:val="sk-SK"/>
        </w:rPr>
        <w:t>1831,96</w:t>
      </w:r>
      <w:r>
        <w:rPr>
          <w:color w:val="auto"/>
          <w:sz w:val="23"/>
          <w:szCs w:val="23"/>
        </w:rPr>
        <w:t xml:space="preserve"> eur</w:t>
      </w:r>
    </w:p>
    <w:p w14:paraId="507A157D">
      <w:pPr>
        <w:pStyle w:val="14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Ostatné služby - 4274,84 eur</w:t>
      </w:r>
    </w:p>
    <w:p w14:paraId="3609802F">
      <w:pPr>
        <w:pStyle w:val="14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Náklady na reprezentáciu - 2346,39 eur</w:t>
      </w:r>
    </w:p>
    <w:p w14:paraId="34679E7E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mobil – </w:t>
      </w:r>
      <w:r>
        <w:rPr>
          <w:rFonts w:hint="default"/>
          <w:color w:val="auto"/>
          <w:sz w:val="23"/>
          <w:szCs w:val="23"/>
          <w:lang w:val="sk-SK"/>
        </w:rPr>
        <w:t>1224,12</w:t>
      </w:r>
      <w:r>
        <w:rPr>
          <w:color w:val="auto"/>
          <w:sz w:val="23"/>
          <w:szCs w:val="23"/>
        </w:rPr>
        <w:t xml:space="preserve"> eur</w:t>
      </w:r>
    </w:p>
    <w:p w14:paraId="56203F67">
      <w:pPr>
        <w:pStyle w:val="14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Náklady na parkovné - 2323,50 eur</w:t>
      </w:r>
    </w:p>
    <w:p w14:paraId="6297412A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Úroky  z leasingu – </w:t>
      </w:r>
      <w:r>
        <w:rPr>
          <w:rFonts w:hint="default"/>
          <w:color w:val="auto"/>
          <w:sz w:val="23"/>
          <w:szCs w:val="23"/>
          <w:lang w:val="sk-SK"/>
        </w:rPr>
        <w:t>462,50</w:t>
      </w:r>
      <w:r>
        <w:rPr>
          <w:color w:val="auto"/>
          <w:sz w:val="23"/>
          <w:szCs w:val="23"/>
        </w:rPr>
        <w:t xml:space="preserve"> eur</w:t>
      </w:r>
    </w:p>
    <w:p w14:paraId="34AFAFEE">
      <w:pPr>
        <w:pStyle w:val="14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>Úroky  z </w:t>
      </w:r>
      <w:r>
        <w:rPr>
          <w:rFonts w:hint="default"/>
          <w:color w:val="auto"/>
          <w:sz w:val="23"/>
          <w:szCs w:val="23"/>
          <w:lang w:val="sk-SK"/>
        </w:rPr>
        <w:t>bankového úver - 730,47</w:t>
      </w:r>
      <w:r>
        <w:rPr>
          <w:color w:val="auto"/>
          <w:sz w:val="23"/>
          <w:szCs w:val="23"/>
        </w:rPr>
        <w:t xml:space="preserve"> eur</w:t>
      </w:r>
    </w:p>
    <w:p w14:paraId="28B55410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Bankové poplatky – </w:t>
      </w:r>
      <w:r>
        <w:rPr>
          <w:rFonts w:hint="default"/>
          <w:color w:val="auto"/>
          <w:sz w:val="23"/>
          <w:szCs w:val="23"/>
          <w:lang w:val="sk-SK"/>
        </w:rPr>
        <w:t>549,74</w:t>
      </w:r>
      <w:r>
        <w:rPr>
          <w:color w:val="auto"/>
          <w:sz w:val="23"/>
          <w:szCs w:val="23"/>
        </w:rPr>
        <w:t xml:space="preserve"> eur</w:t>
      </w:r>
    </w:p>
    <w:p w14:paraId="420E5700">
      <w:pPr>
        <w:pStyle w:val="14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Poistenie majetku – </w:t>
      </w:r>
      <w:r>
        <w:rPr>
          <w:rFonts w:hint="default"/>
          <w:color w:val="auto"/>
          <w:sz w:val="23"/>
          <w:szCs w:val="23"/>
          <w:lang w:val="sk-SK"/>
        </w:rPr>
        <w:t>731,86</w:t>
      </w:r>
      <w:r>
        <w:rPr>
          <w:color w:val="auto"/>
          <w:sz w:val="23"/>
          <w:szCs w:val="23"/>
        </w:rPr>
        <w:t xml:space="preserve"> eur</w:t>
      </w:r>
    </w:p>
    <w:p w14:paraId="1F833DCA">
      <w:pPr>
        <w:pStyle w:val="14"/>
        <w:spacing w:after="27"/>
        <w:ind w:left="2832" w:firstLine="708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DPH z nakladov k sluzbam bez DPH - 4372,51 eur</w:t>
      </w:r>
    </w:p>
    <w:p w14:paraId="4D806364">
      <w:pPr>
        <w:pStyle w:val="14"/>
        <w:spacing w:after="27"/>
        <w:ind w:left="2832" w:firstLine="708"/>
        <w:rPr>
          <w:color w:val="auto"/>
          <w:sz w:val="23"/>
          <w:szCs w:val="23"/>
        </w:rPr>
      </w:pPr>
    </w:p>
    <w:p w14:paraId="268151C9">
      <w:pPr>
        <w:pStyle w:val="14"/>
        <w:spacing w:after="27"/>
        <w:ind w:left="2832" w:firstLine="708"/>
        <w:rPr>
          <w:color w:val="auto"/>
          <w:sz w:val="23"/>
          <w:szCs w:val="23"/>
        </w:rPr>
      </w:pPr>
    </w:p>
    <w:p w14:paraId="7BA2351A">
      <w:pPr>
        <w:pStyle w:val="14"/>
        <w:spacing w:after="27"/>
        <w:ind w:left="2832" w:firstLine="708"/>
        <w:rPr>
          <w:color w:val="auto"/>
          <w:sz w:val="23"/>
          <w:szCs w:val="23"/>
        </w:rPr>
      </w:pPr>
    </w:p>
    <w:p w14:paraId="50D1DF54">
      <w:pPr>
        <w:pStyle w:val="14"/>
        <w:spacing w:after="27"/>
        <w:ind w:left="2832" w:firstLine="708"/>
        <w:rPr>
          <w:color w:val="auto"/>
          <w:sz w:val="23"/>
          <w:szCs w:val="23"/>
        </w:rPr>
      </w:pPr>
    </w:p>
    <w:p w14:paraId="259A5C6A">
      <w:pPr>
        <w:pStyle w:val="14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výnosoch:</w:t>
      </w:r>
    </w:p>
    <w:p w14:paraId="2DD827E6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 tovaru – </w:t>
      </w:r>
      <w:r>
        <w:rPr>
          <w:rFonts w:hint="default"/>
          <w:color w:val="auto"/>
          <w:sz w:val="23"/>
          <w:szCs w:val="23"/>
          <w:lang w:val="sk-SK"/>
        </w:rPr>
        <w:t>4105,19</w:t>
      </w:r>
      <w:r>
        <w:rPr>
          <w:color w:val="auto"/>
          <w:sz w:val="23"/>
          <w:szCs w:val="23"/>
        </w:rPr>
        <w:t xml:space="preserve"> eur</w:t>
      </w:r>
    </w:p>
    <w:p w14:paraId="587F70C7">
      <w:pPr>
        <w:pStyle w:val="14"/>
        <w:spacing w:after="27"/>
        <w:ind w:firstLine="708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T</w:t>
      </w:r>
      <w:r>
        <w:rPr>
          <w:color w:val="auto"/>
          <w:sz w:val="23"/>
          <w:szCs w:val="23"/>
        </w:rPr>
        <w:t xml:space="preserve">ržby z predaja služieb – </w:t>
      </w:r>
      <w:r>
        <w:rPr>
          <w:rFonts w:hint="default"/>
          <w:color w:val="auto"/>
          <w:sz w:val="23"/>
          <w:szCs w:val="23"/>
          <w:lang w:val="sk-SK"/>
        </w:rPr>
        <w:t>103898,00 eur</w:t>
      </w:r>
    </w:p>
    <w:p w14:paraId="03FB3DDC">
      <w:pPr>
        <w:pStyle w:val="14"/>
        <w:spacing w:after="27"/>
        <w:rPr>
          <w:color w:val="auto"/>
          <w:sz w:val="23"/>
          <w:szCs w:val="23"/>
        </w:rPr>
      </w:pPr>
    </w:p>
    <w:p w14:paraId="343AF3A4">
      <w:pPr>
        <w:pStyle w:val="14"/>
        <w:spacing w:after="27"/>
        <w:rPr>
          <w:color w:val="auto"/>
          <w:sz w:val="23"/>
          <w:szCs w:val="23"/>
        </w:rPr>
      </w:pP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3858C7"/>
    <w:multiLevelType w:val="multilevel"/>
    <w:tmpl w:val="233858C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7693D"/>
    <w:rsid w:val="000B0E0A"/>
    <w:rsid w:val="00192E71"/>
    <w:rsid w:val="001A51E6"/>
    <w:rsid w:val="00296F3B"/>
    <w:rsid w:val="002A44D5"/>
    <w:rsid w:val="004049B8"/>
    <w:rsid w:val="0042515D"/>
    <w:rsid w:val="00440F25"/>
    <w:rsid w:val="004447E8"/>
    <w:rsid w:val="00490E79"/>
    <w:rsid w:val="004A214E"/>
    <w:rsid w:val="004A277A"/>
    <w:rsid w:val="004B6DF1"/>
    <w:rsid w:val="004E358E"/>
    <w:rsid w:val="004F6018"/>
    <w:rsid w:val="00524A9C"/>
    <w:rsid w:val="00595149"/>
    <w:rsid w:val="005F0C9E"/>
    <w:rsid w:val="006052E3"/>
    <w:rsid w:val="0063337D"/>
    <w:rsid w:val="0070475C"/>
    <w:rsid w:val="00851CCE"/>
    <w:rsid w:val="008846E2"/>
    <w:rsid w:val="00896480"/>
    <w:rsid w:val="008C4C66"/>
    <w:rsid w:val="00900034"/>
    <w:rsid w:val="00930047"/>
    <w:rsid w:val="009D0A1D"/>
    <w:rsid w:val="009F1607"/>
    <w:rsid w:val="00A25A77"/>
    <w:rsid w:val="00A25DD3"/>
    <w:rsid w:val="00A35832"/>
    <w:rsid w:val="00A82D74"/>
    <w:rsid w:val="00BB3D6F"/>
    <w:rsid w:val="00BB61B2"/>
    <w:rsid w:val="00CB74B5"/>
    <w:rsid w:val="00CF73C9"/>
    <w:rsid w:val="00D01967"/>
    <w:rsid w:val="00D4437B"/>
    <w:rsid w:val="00DC6D6B"/>
    <w:rsid w:val="00E031C7"/>
    <w:rsid w:val="00E717C3"/>
    <w:rsid w:val="00E8104F"/>
    <w:rsid w:val="00FD015C"/>
    <w:rsid w:val="6997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3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Body Text"/>
    <w:basedOn w:val="1"/>
    <w:link w:val="15"/>
    <w:qFormat/>
    <w:uiPriority w:val="0"/>
    <w:pPr>
      <w:spacing w:after="0" w:line="240" w:lineRule="auto"/>
      <w:ind w:left="426"/>
      <w:jc w:val="both"/>
    </w:pPr>
    <w:rPr>
      <w:rFonts w:ascii="Times New Roman" w:hAnsi="Times New Roman" w:eastAsia="Times New Roman" w:cs="Times New Roman"/>
      <w:sz w:val="18"/>
      <w:szCs w:val="20"/>
      <w:lang w:eastAsia="en-US"/>
    </w:rPr>
  </w:style>
  <w:style w:type="character" w:styleId="6">
    <w:name w:val="annotation reference"/>
    <w:basedOn w:val="2"/>
    <w:semiHidden/>
    <w:unhideWhenUsed/>
    <w:uiPriority w:val="99"/>
    <w:rPr>
      <w:sz w:val="16"/>
      <w:szCs w:val="16"/>
    </w:rPr>
  </w:style>
  <w:style w:type="paragraph" w:styleId="7">
    <w:name w:val="annotation text"/>
    <w:basedOn w:val="1"/>
    <w:link w:val="11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8">
    <w:name w:val="annotation subject"/>
    <w:basedOn w:val="7"/>
    <w:next w:val="7"/>
    <w:link w:val="12"/>
    <w:semiHidden/>
    <w:unhideWhenUsed/>
    <w:uiPriority w:val="99"/>
    <w:rPr>
      <w:b/>
      <w:bCs/>
    </w:rPr>
  </w:style>
  <w:style w:type="paragraph" w:styleId="9">
    <w:name w:val="Plain Text"/>
    <w:basedOn w:val="1"/>
    <w:link w:val="10"/>
    <w:semiHidden/>
    <w:unhideWhenUsed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10">
    <w:name w:val="Obyčajný text Char"/>
    <w:basedOn w:val="2"/>
    <w:link w:val="9"/>
    <w:semiHidden/>
    <w:uiPriority w:val="99"/>
    <w:rPr>
      <w:rFonts w:ascii="Consolas" w:hAnsi="Consolas"/>
      <w:sz w:val="21"/>
      <w:szCs w:val="21"/>
    </w:rPr>
  </w:style>
  <w:style w:type="character" w:customStyle="1" w:styleId="11">
    <w:name w:val="Text komentára Char"/>
    <w:basedOn w:val="2"/>
    <w:link w:val="7"/>
    <w:semiHidden/>
    <w:uiPriority w:val="99"/>
    <w:rPr>
      <w:sz w:val="20"/>
      <w:szCs w:val="20"/>
    </w:rPr>
  </w:style>
  <w:style w:type="character" w:customStyle="1" w:styleId="12">
    <w:name w:val="Predmet komentára Char"/>
    <w:basedOn w:val="11"/>
    <w:link w:val="8"/>
    <w:semiHidden/>
    <w:uiPriority w:val="99"/>
    <w:rPr>
      <w:b/>
      <w:bCs/>
      <w:sz w:val="20"/>
      <w:szCs w:val="20"/>
    </w:rPr>
  </w:style>
  <w:style w:type="character" w:customStyle="1" w:styleId="13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4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  <w:style w:type="character" w:customStyle="1" w:styleId="15">
    <w:name w:val="Základný text Char"/>
    <w:basedOn w:val="2"/>
    <w:link w:val="5"/>
    <w:qFormat/>
    <w:uiPriority w:val="0"/>
    <w:rPr>
      <w:rFonts w:ascii="Times New Roman" w:hAnsi="Times New Roman" w:eastAsia="Times New Roman" w:cs="Times New Roman"/>
      <w:sz w:val="18"/>
      <w:szCs w:val="20"/>
      <w:lang w:eastAsia="en-US"/>
    </w:rPr>
  </w:style>
  <w:style w:type="paragraph" w:customStyle="1" w:styleId="16">
    <w:name w:val="Tabulka"/>
    <w:basedOn w:val="1"/>
    <w:uiPriority w:val="0"/>
    <w:pPr>
      <w:spacing w:after="0" w:line="240" w:lineRule="auto"/>
    </w:pPr>
    <w:rPr>
      <w:rFonts w:ascii="Times New Roman" w:hAnsi="Times New Roman" w:eastAsia="Times New Roman" w:cs="Times New Roman"/>
      <w:color w:val="000000"/>
      <w:sz w:val="18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703</Words>
  <Characters>4013</Characters>
  <Lines>33</Lines>
  <Paragraphs>9</Paragraphs>
  <TotalTime>174</TotalTime>
  <ScaleCrop>false</ScaleCrop>
  <LinksUpToDate>false</LinksUpToDate>
  <CharactersWithSpaces>4707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2023-06-29T22:52:00Z</dcterms:created>
  <dc:creator>cechova</dc:creator>
  <cp:lastModifiedBy>mfols</cp:lastModifiedBy>
  <cp:lastPrinted>2018-06-27T14:12:00Z</cp:lastPrinted>
  <dcterms:modified xsi:type="dcterms:W3CDTF">2025-06-30T14:23:59Z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48EA1AE30D9247F297D2908A5A25DB1A_12</vt:lpwstr>
  </property>
</Properties>
</file>