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540" w:firstLine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540" w:firstLine="0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Výročná správa neziskovej organizácie </w:t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Univerzita vedomého života, n.o. 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za rok 2024</w:t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right"/>
        <w:rPr>
          <w:rFonts w:ascii="Calibri" w:cs="Calibri" w:eastAsia="Calibri" w:hAnsi="Calibri"/>
          <w:sz w:val="32"/>
          <w:szCs w:val="32"/>
          <w:shd w:fill="ffcc99" w:val="clear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 Nitre, 26.06.2025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OBSAH:</w:t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1.  ÚVOD</w:t>
        <w:tab/>
        <w:tab/>
        <w:tab/>
        <w:tab/>
        <w:tab/>
        <w:tab/>
        <w:tab/>
        <w:tab/>
        <w:tab/>
        <w:tab/>
        <w:tab/>
        <w:t xml:space="preserve">2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2. Prehľad činností uskutočnených organizáciou za rok 2024</w:t>
        <w:tab/>
        <w:tab/>
        <w:tab/>
        <w:tab/>
        <w:t xml:space="preserve">3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3. Ročná účtovná závierka a zhodnotenie základných údajov v nej obsiahnutých</w:t>
        <w:tab/>
        <w:tab/>
        <w:t xml:space="preserve">4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4. Výrok audítora k ročnej účtovnej závierke</w:t>
        <w:tab/>
        <w:tab/>
        <w:tab/>
        <w:tab/>
        <w:tab/>
        <w:tab/>
        <w:tab/>
        <w:t xml:space="preserve">5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5. Prehľad o výnosoch a nákladoch</w:t>
        <w:tab/>
        <w:tab/>
        <w:tab/>
        <w:tab/>
        <w:tab/>
        <w:t xml:space="preserve">                        </w:t>
        <w:tab/>
        <w:t xml:space="preserve">5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6. Stav a pohyb majetku a záväzkov neziskovej organizácie</w:t>
        <w:tab/>
        <w:tab/>
        <w:tab/>
        <w:tab/>
        <w:tab/>
        <w:t xml:space="preserve">5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7. Prehľad rozsahu príjmov (výnosov) v členení podľa zdrojov</w:t>
        <w:tab/>
        <w:tab/>
        <w:tab/>
        <w:tab/>
        <w:t xml:space="preserve">6</w:t>
      </w:r>
    </w:p>
    <w:p w:rsidR="00000000" w:rsidDel="00000000" w:rsidP="00000000" w:rsidRDefault="00000000" w:rsidRPr="00000000" w14:paraId="00000035">
      <w:pPr>
        <w:rPr>
          <w:sz w:val="32"/>
          <w:szCs w:val="32"/>
        </w:rPr>
      </w:pPr>
      <w:r w:rsidDel="00000000" w:rsidR="00000000" w:rsidRPr="00000000">
        <w:rPr>
          <w:rtl w:val="0"/>
        </w:rPr>
        <w:t xml:space="preserve">8. Zmeny a nové zloženie orgánov neziskovej organizácie</w:t>
        <w:tab/>
        <w:tab/>
        <w:tab/>
        <w:tab/>
        <w:tab/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omic Sans MS" w:cs="Comic Sans MS" w:eastAsia="Comic Sans MS" w:hAnsi="Comic Sans MS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1.  ÚVOD</w:t>
      </w:r>
    </w:p>
    <w:p w:rsidR="00000000" w:rsidDel="00000000" w:rsidP="00000000" w:rsidRDefault="00000000" w:rsidRPr="00000000" w14:paraId="00000048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Nezisková organizácia Univerzita vedomého života, n.o. so sídlom: Dlhá 195/556, 949 07 Nitra, IČO: 50 364 634 vznikla dňa 01/06/2016 na základe rozhodnutia Okresného úradu v Trenčíne podľa ustanovenia § 9 ods. 1 zákona č. 213/1997 Z . z. o neziskových organizáciách poskytujúcich všeobecne prospešné služby v platnom znení (ďalej len „</w:t>
      </w:r>
      <w:r w:rsidDel="00000000" w:rsidR="00000000" w:rsidRPr="00000000">
        <w:rPr>
          <w:rFonts w:ascii="Comic Sans MS" w:cs="Comic Sans MS" w:eastAsia="Comic Sans MS" w:hAnsi="Comic Sans MS"/>
          <w:b w:val="1"/>
          <w:sz w:val="22"/>
          <w:szCs w:val="22"/>
          <w:rtl w:val="0"/>
        </w:rPr>
        <w:t xml:space="preserve">Zákon</w:t>
      </w: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“).</w:t>
      </w:r>
    </w:p>
    <w:p w:rsidR="00000000" w:rsidDel="00000000" w:rsidP="00000000" w:rsidRDefault="00000000" w:rsidRPr="00000000" w14:paraId="0000004A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Univerzita vedomého života, n. o poskytuje nasledovné všeobecne prospešné služby: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vzdelávanie, výchova a rozvoj telesnej kultúry;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tvorba, rozvoj, ochrana, obnova a prezentácia duchovných a kultúrnych hodnôt;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výskum, vývoj, vedecko-technické služby a informačné služby.</w:t>
      </w:r>
    </w:p>
    <w:p w:rsidR="00000000" w:rsidDel="00000000" w:rsidP="00000000" w:rsidRDefault="00000000" w:rsidRPr="00000000" w14:paraId="00000054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Nezisková organizácia poskytuje všeobecne prospešné služby v oblasti vzdelávania, výchovy a rozvoja telesnej kultúry pre celé územie Slovenskej republiky, a to najmä prostredníctvom organizovaných konferencií, seminárov, kurzov, školení a diskusií a aktívne prispieva k uvedomelému prístupu k vzdelávaniu. Chráni a rozvíja duchovné a kultúrne hodnoty národa.</w:t>
      </w:r>
    </w:p>
    <w:p w:rsidR="00000000" w:rsidDel="00000000" w:rsidP="00000000" w:rsidRDefault="00000000" w:rsidRPr="00000000" w14:paraId="00000056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Orgánmi neziskovej organizácie sú: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správna rada,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riaditeľ,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20" w:hanging="36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revízor.</w:t>
      </w:r>
    </w:p>
    <w:p w:rsidR="00000000" w:rsidDel="00000000" w:rsidP="00000000" w:rsidRDefault="00000000" w:rsidRPr="00000000" w14:paraId="0000005B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360" w:firstLine="0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2. PREHĽAD ČINNOSTÍ USKUTOČNENÝCH ORGANIZÁCIOU ZA ROK 2024</w:t>
      </w:r>
    </w:p>
    <w:p w:rsidR="00000000" w:rsidDel="00000000" w:rsidP="00000000" w:rsidRDefault="00000000" w:rsidRPr="00000000" w14:paraId="00000061">
      <w:pPr>
        <w:ind w:left="360" w:firstLine="0"/>
        <w:jc w:val="both"/>
        <w:rPr>
          <w:rFonts w:ascii="Comic Sans MS" w:cs="Comic Sans MS" w:eastAsia="Comic Sans MS" w:hAnsi="Comic Sans MS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Počas roka 2024 Univerzita vedomého života, n.o. realizovala / zabezpečovala nasledovné činnosti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(zoznam činností spolu so stručným popisom)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64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Rozpoznávací ročník</w:t>
      </w:r>
    </w:p>
    <w:p w:rsidR="00000000" w:rsidDel="00000000" w:rsidP="00000000" w:rsidRDefault="00000000" w:rsidRPr="00000000" w14:paraId="00000066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pravidelných na seba nadväzujúcich prednášok</w:t>
      </w:r>
    </w:p>
    <w:p w:rsidR="00000000" w:rsidDel="00000000" w:rsidP="00000000" w:rsidRDefault="00000000" w:rsidRPr="00000000" w14:paraId="00000067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 termíne január až december 2024 v dvoch mestách na Slovensku </w:t>
      </w:r>
    </w:p>
    <w:p w:rsidR="00000000" w:rsidDel="00000000" w:rsidP="00000000" w:rsidRDefault="00000000" w:rsidRPr="00000000" w14:paraId="00000068">
      <w:pPr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160" w:hanging="18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(Bratislava,  Trenčín)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aj v roku 2024 prebiehali prednášky prostredníctvom OnLine v jednej skupine</w:t>
      </w:r>
    </w:p>
    <w:p w:rsidR="00000000" w:rsidDel="00000000" w:rsidP="00000000" w:rsidRDefault="00000000" w:rsidRPr="00000000" w14:paraId="0000006A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vzdelávanie, výchova a rozvoj telesnej kultúry</w:t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Rozvážne vzťahy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pravidelných prednášok </w:t>
      </w:r>
    </w:p>
    <w:p w:rsidR="00000000" w:rsidDel="00000000" w:rsidP="00000000" w:rsidRDefault="00000000" w:rsidRPr="00000000" w14:paraId="0000006E">
      <w:pPr>
        <w:numPr>
          <w:ilvl w:val="1"/>
          <w:numId w:val="3"/>
        </w:numPr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 termíne január až december 2024 v dvoch mestách na Slovensku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2"/>
          <w:numId w:val="3"/>
        </w:numPr>
        <w:ind w:left="2160" w:hanging="18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(Banská Bystrica, Bratislava)</w:t>
      </w:r>
    </w:p>
    <w:p w:rsidR="00000000" w:rsidDel="00000000" w:rsidP="00000000" w:rsidRDefault="00000000" w:rsidRPr="00000000" w14:paraId="00000070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1"/>
          <w:numId w:val="3"/>
        </w:numPr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aj v roku 2024 prebiehali prednášky prostredníctvom OnLine v jednej skupine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Cesta prebudenia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pravidelných prednášok v dvoch prezenčných skupinách (Bratislava, Nitra)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1"/>
          <w:numId w:val="3"/>
        </w:numPr>
        <w:ind w:left="1440" w:hanging="36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aj v roku 2024 prebiehali prednášky prostredníctvom OnLine v </w:t>
      </w:r>
      <w:r w:rsidDel="00000000" w:rsidR="00000000" w:rsidRPr="00000000">
        <w:rPr>
          <w:sz w:val="22"/>
          <w:szCs w:val="22"/>
          <w:rtl w:val="0"/>
        </w:rPr>
        <w:t xml:space="preserve">jednej skupine</w:t>
      </w:r>
    </w:p>
    <w:p w:rsidR="00000000" w:rsidDel="00000000" w:rsidP="00000000" w:rsidRDefault="00000000" w:rsidRPr="00000000" w14:paraId="0000007E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108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Organizácia odborných dielní</w:t>
      </w:r>
    </w:p>
    <w:p w:rsidR="00000000" w:rsidDel="00000000" w:rsidP="00000000" w:rsidRDefault="00000000" w:rsidRPr="00000000" w14:paraId="00000081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Cyklus jedno, alebo viac dňových pravidelných prednášok podľa prílohy č.1</w:t>
      </w:r>
    </w:p>
    <w:p w:rsidR="00000000" w:rsidDel="00000000" w:rsidP="00000000" w:rsidRDefault="00000000" w:rsidRPr="00000000" w14:paraId="00000082">
      <w:pPr>
        <w:ind w:left="426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Festival poznania UVŽ - UVŽ vystupovala ako spoluorganizátor</w:t>
      </w:r>
    </w:p>
    <w:p w:rsidR="00000000" w:rsidDel="00000000" w:rsidP="00000000" w:rsidRDefault="00000000" w:rsidRPr="00000000" w14:paraId="00000084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prednášky /besedy / workshopy na rôzne témy</w:t>
      </w:r>
    </w:p>
    <w:p w:rsidR="00000000" w:rsidDel="00000000" w:rsidP="00000000" w:rsidRDefault="00000000" w:rsidRPr="00000000" w14:paraId="0000008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 termíne</w:t>
      </w:r>
    </w:p>
    <w:p w:rsidR="00000000" w:rsidDel="00000000" w:rsidP="00000000" w:rsidRDefault="00000000" w:rsidRPr="00000000" w14:paraId="00000086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vzdelávanie, výchova a rozvoj telesnej kultúry</w:t>
      </w:r>
    </w:p>
    <w:p w:rsidR="00000000" w:rsidDel="00000000" w:rsidP="00000000" w:rsidRDefault="00000000" w:rsidRPr="00000000" w14:paraId="00000087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tvorba, rozvoj, ochrana, obnova a prezentácia duchovných a kultúrnych hodnôt</w:t>
      </w:r>
    </w:p>
    <w:p w:rsidR="00000000" w:rsidDel="00000000" w:rsidP="00000000" w:rsidRDefault="00000000" w:rsidRPr="00000000" w14:paraId="00000088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informačný leták tvorí Prílohu č. 2 a následné</w:t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Výskum</w:t>
      </w:r>
    </w:p>
    <w:p w:rsidR="00000000" w:rsidDel="00000000" w:rsidP="00000000" w:rsidRDefault="00000000" w:rsidRPr="00000000" w14:paraId="0000008B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príprava na publikačnú činnosť v budúcom období činnosti</w:t>
      </w:r>
    </w:p>
    <w:p w:rsidR="00000000" w:rsidDel="00000000" w:rsidP="00000000" w:rsidRDefault="00000000" w:rsidRPr="00000000" w14:paraId="0000008C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výskum, vývoj, vedecko-technické služby a informačné služby</w:t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3. ROČNÁ ÚČTOVNÁ ZÁVIERKA A ZHODNOTENIE ZÁKLADNÝCH ÚDAJOV V NEJ OBSIAHNUTÝCH</w:t>
      </w:r>
    </w:p>
    <w:p w:rsidR="00000000" w:rsidDel="00000000" w:rsidP="00000000" w:rsidRDefault="00000000" w:rsidRPr="00000000" w14:paraId="000000A1">
      <w:pPr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Univerzita vedomého života, n.o. účtuje v sústave podvojného účtovníctva. </w:t>
      </w:r>
    </w:p>
    <w:p w:rsidR="00000000" w:rsidDel="00000000" w:rsidP="00000000" w:rsidRDefault="00000000" w:rsidRPr="00000000" w14:paraId="000000A3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sz w:val="22"/>
          <w:szCs w:val="22"/>
          <w:rtl w:val="0"/>
        </w:rPr>
        <w:t xml:space="preserve">Ročná účtovná závierka tvorí Prílohu č. 3., poznámky k ročnej uzávierke príloha 3.1 a daňové priznanie Príloha č. 3.2</w:t>
      </w:r>
    </w:p>
    <w:p w:rsidR="00000000" w:rsidDel="00000000" w:rsidP="00000000" w:rsidRDefault="00000000" w:rsidRPr="00000000" w14:paraId="000000A5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4. VÝROK AUDÍTORA K ROČNEJ ÚČTOVNEJ ZÁVIERKE</w:t>
      </w:r>
    </w:p>
    <w:p w:rsidR="00000000" w:rsidDel="00000000" w:rsidP="00000000" w:rsidRDefault="00000000" w:rsidRPr="00000000" w14:paraId="000000AF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Vzhľadom na skutočnosť, že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dotácie zo štátneho rozpočtu, z rozpočtu štátneho fondu a z rozpočtu obce neprekročili v roku 2024, za ktorý je ročná účtovná závierka zostavená 200 000 eur, všetky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príjmy neziskovej organizácie v roku 2024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neprekročili 500 000 eur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príjem z 2%, 3% nie sú väčšie ako 35.000 eur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audit v súlade s § 33 ods. 3 Zákona o neziskových organizáciách č. 213/1997 Z.z. vykonaný nebol.</w:t>
      </w:r>
    </w:p>
    <w:p w:rsidR="00000000" w:rsidDel="00000000" w:rsidP="00000000" w:rsidRDefault="00000000" w:rsidRPr="00000000" w14:paraId="000000B1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360" w:firstLine="0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5. PREHĽAD O VÝNOSOCH A NÁKLADOCH</w:t>
      </w:r>
    </w:p>
    <w:p w:rsidR="00000000" w:rsidDel="00000000" w:rsidP="00000000" w:rsidRDefault="00000000" w:rsidRPr="00000000" w14:paraId="000000B6">
      <w:pPr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44.0" w:type="dxa"/>
        <w:jc w:val="left"/>
        <w:tblInd w:w="684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835"/>
        <w:gridCol w:w="2303"/>
        <w:gridCol w:w="2303"/>
        <w:gridCol w:w="2303"/>
        <w:tblGridChange w:id="0">
          <w:tblGrid>
            <w:gridCol w:w="1835"/>
            <w:gridCol w:w="2303"/>
            <w:gridCol w:w="2303"/>
            <w:gridCol w:w="2303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8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Výnosy (v EUR)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9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Náklady (v EUR)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A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Výsledok k 31.12.2024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B">
            <w:pPr>
              <w:jc w:val="both"/>
              <w:rPr/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Celkom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148 120,55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147 436,58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683,97</w:t>
            </w:r>
          </w:p>
        </w:tc>
      </w:tr>
    </w:tbl>
    <w:p w:rsidR="00000000" w:rsidDel="00000000" w:rsidP="00000000" w:rsidRDefault="00000000" w:rsidRPr="00000000" w14:paraId="000000BF">
      <w:pPr>
        <w:widowControl w:val="0"/>
        <w:ind w:left="576" w:hanging="576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ind w:left="468" w:hanging="468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6. STAV A POHYB MAJETKU A ZÁVÄZKOV NEZISKOVEJ ORGANIZÁCIE</w:t>
      </w:r>
    </w:p>
    <w:p w:rsidR="00000000" w:rsidDel="00000000" w:rsidP="00000000" w:rsidRDefault="00000000" w:rsidRPr="00000000" w14:paraId="000000C5">
      <w:pPr>
        <w:ind w:left="360" w:firstLine="0"/>
        <w:jc w:val="both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Nezisková organizácia Univerzita vedomého života, n. o. vznikla 1.6.2016 a jej základné imanie predstavovalo sumu 200 eur. </w:t>
      </w:r>
    </w:p>
    <w:p w:rsidR="00000000" w:rsidDel="00000000" w:rsidP="00000000" w:rsidRDefault="00000000" w:rsidRPr="00000000" w14:paraId="000000C7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Stav a pohyb majetku a záväzkov k 31.12.2024 :</w:t>
      </w:r>
    </w:p>
    <w:p w:rsidR="00000000" w:rsidDel="00000000" w:rsidP="00000000" w:rsidRDefault="00000000" w:rsidRPr="00000000" w14:paraId="000000C9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36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AKTÍVA SPOLU – 125 270,44 eur</w:t>
      </w:r>
    </w:p>
    <w:p w:rsidR="00000000" w:rsidDel="00000000" w:rsidP="00000000" w:rsidRDefault="00000000" w:rsidRPr="00000000" w14:paraId="000000CB">
      <w:pPr>
        <w:ind w:left="360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Neobežný majetok –  86 340,00 eur</w:t>
      </w:r>
    </w:p>
    <w:p w:rsidR="00000000" w:rsidDel="00000000" w:rsidP="00000000" w:rsidRDefault="00000000" w:rsidRPr="00000000" w14:paraId="000000C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softvér =   1 540,00 eur</w:t>
      </w:r>
    </w:p>
    <w:p w:rsidR="00000000" w:rsidDel="00000000" w:rsidP="00000000" w:rsidRDefault="00000000" w:rsidRPr="00000000" w14:paraId="000000C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preddavky na hmotný majetok = 84 800,00 eur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Obežný majetok – 38573,90 eur</w:t>
      </w:r>
    </w:p>
    <w:p w:rsidR="00000000" w:rsidDel="00000000" w:rsidP="00000000" w:rsidRDefault="00000000" w:rsidRPr="00000000" w14:paraId="000000D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pokladnica =  144,86 eur</w:t>
      </w:r>
    </w:p>
    <w:p w:rsidR="00000000" w:rsidDel="00000000" w:rsidP="00000000" w:rsidRDefault="00000000" w:rsidRPr="00000000" w14:paraId="000000E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bankové účty =   38 113,04 eur</w:t>
      </w:r>
    </w:p>
    <w:p w:rsidR="00000000" w:rsidDel="00000000" w:rsidP="00000000" w:rsidRDefault="00000000" w:rsidRPr="00000000" w14:paraId="000000E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krátkodobé pohľadávky =  316,00 eur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Časové rozlíšenie –   eur</w:t>
      </w:r>
    </w:p>
    <w:p w:rsidR="00000000" w:rsidDel="00000000" w:rsidP="00000000" w:rsidRDefault="00000000" w:rsidRPr="00000000" w14:paraId="000000E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náklady budúcich období =  356,54 eur</w:t>
      </w:r>
    </w:p>
    <w:p w:rsidR="00000000" w:rsidDel="00000000" w:rsidP="00000000" w:rsidRDefault="00000000" w:rsidRPr="00000000" w14:paraId="000000E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</w:t>
      </w:r>
    </w:p>
    <w:p w:rsidR="00000000" w:rsidDel="00000000" w:rsidP="00000000" w:rsidRDefault="00000000" w:rsidRPr="00000000" w14:paraId="000000E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PASÍVA SPOLU – 125 270,44 eur</w:t>
      </w:r>
    </w:p>
    <w:p w:rsidR="00000000" w:rsidDel="00000000" w:rsidP="00000000" w:rsidRDefault="00000000" w:rsidRPr="00000000" w14:paraId="000000ED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Vlastné zdroje krytia majetku –  7 335,59 eur</w:t>
      </w:r>
    </w:p>
    <w:p w:rsidR="00000000" w:rsidDel="00000000" w:rsidP="00000000" w:rsidRDefault="00000000" w:rsidRPr="00000000" w14:paraId="000000F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1fob9te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základné imanie =  200,00 eur</w:t>
      </w:r>
    </w:p>
    <w:p w:rsidR="00000000" w:rsidDel="00000000" w:rsidP="00000000" w:rsidRDefault="00000000" w:rsidRPr="00000000" w14:paraId="000000F1">
      <w:pPr>
        <w:numPr>
          <w:ilvl w:val="0"/>
          <w:numId w:val="6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rezervný fond =  322,56 eur</w:t>
      </w:r>
    </w:p>
    <w:p w:rsidR="00000000" w:rsidDel="00000000" w:rsidP="00000000" w:rsidRDefault="00000000" w:rsidRPr="00000000" w14:paraId="000000F2">
      <w:pPr>
        <w:numPr>
          <w:ilvl w:val="0"/>
          <w:numId w:val="6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nevysporiadaný výsledok hospodárenia minulých rokov =  6 129,06 eur</w:t>
      </w:r>
    </w:p>
    <w:p w:rsidR="00000000" w:rsidDel="00000000" w:rsidP="00000000" w:rsidRDefault="00000000" w:rsidRPr="00000000" w14:paraId="000000F3">
      <w:pPr>
        <w:numPr>
          <w:ilvl w:val="0"/>
          <w:numId w:val="6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výsledok hospodárenie v roku 2024 =  683,97 eur</w:t>
      </w:r>
    </w:p>
    <w:p w:rsidR="00000000" w:rsidDel="00000000" w:rsidP="00000000" w:rsidRDefault="00000000" w:rsidRPr="00000000" w14:paraId="000000F4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Záväzky –  6 807,77 eur</w:t>
      </w:r>
    </w:p>
    <w:p w:rsidR="00000000" w:rsidDel="00000000" w:rsidP="00000000" w:rsidRDefault="00000000" w:rsidRPr="00000000" w14:paraId="000000F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krátkodobé záväzky =  5 327,23 eur</w:t>
      </w:r>
    </w:p>
    <w:p w:rsidR="00000000" w:rsidDel="00000000" w:rsidP="00000000" w:rsidRDefault="00000000" w:rsidRPr="00000000" w14:paraId="000000F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krátkodobé rezervy = 1 421,57 eur</w:t>
      </w:r>
    </w:p>
    <w:p w:rsidR="00000000" w:rsidDel="00000000" w:rsidP="00000000" w:rsidRDefault="00000000" w:rsidRPr="00000000" w14:paraId="000000F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záväzky zo soc. fondu = 58,97 eur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8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Časové rozlíšenie –  111 127,08 eur</w:t>
      </w:r>
    </w:p>
    <w:p w:rsidR="00000000" w:rsidDel="00000000" w:rsidP="00000000" w:rsidRDefault="00000000" w:rsidRPr="00000000" w14:paraId="000000FD">
      <w:pPr>
        <w:numPr>
          <w:ilvl w:val="0"/>
          <w:numId w:val="7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výnosy budúcich období =  110 500,00 eur</w:t>
      </w:r>
    </w:p>
    <w:p w:rsidR="00000000" w:rsidDel="00000000" w:rsidP="00000000" w:rsidRDefault="00000000" w:rsidRPr="00000000" w14:paraId="000000FE">
      <w:pPr>
        <w:numPr>
          <w:ilvl w:val="0"/>
          <w:numId w:val="7"/>
        </w:numP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zostatok dotácie z národného projektu - Podpora rozvoja kreatívneho priemyslu(Slovenská inovačná a energetická agentúra) =  627,08 eur</w:t>
      </w:r>
    </w:p>
    <w:p w:rsidR="00000000" w:rsidDel="00000000" w:rsidP="00000000" w:rsidRDefault="00000000" w:rsidRPr="00000000" w14:paraId="000000FF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ind w:left="72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ind w:left="360" w:firstLine="0"/>
        <w:jc w:val="both"/>
        <w:rPr>
          <w:rFonts w:ascii="Calibri" w:cs="Calibri" w:eastAsia="Calibri" w:hAnsi="Calibri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7. PREHĽAD ROZSAHU PRÍJMOV (VÝNOSOV) V ČLENENÍ PODĽA ZDROJOV</w:t>
      </w:r>
    </w:p>
    <w:p w:rsidR="00000000" w:rsidDel="00000000" w:rsidP="00000000" w:rsidRDefault="00000000" w:rsidRPr="00000000" w14:paraId="0000011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Nezisková organizácia začala činnosť, na ktorú bola zriadená, vykonávať od októbra 2016. Príjmy neziskovej organizácie v roku 2024 tvorili :</w:t>
      </w:r>
    </w:p>
    <w:p w:rsidR="00000000" w:rsidDel="00000000" w:rsidP="00000000" w:rsidRDefault="00000000" w:rsidRPr="00000000" w14:paraId="00000113">
      <w:pPr>
        <w:keepNext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platba za vzdelávanie vo výške – 114 807,95 eur</w:t>
      </w:r>
    </w:p>
    <w:p w:rsidR="00000000" w:rsidDel="00000000" w:rsidP="00000000" w:rsidRDefault="00000000" w:rsidRPr="00000000" w14:paraId="00000114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príspevky z podielu zaplatenej dane –  5 946,70 eur</w:t>
      </w:r>
    </w:p>
    <w:p w:rsidR="00000000" w:rsidDel="00000000" w:rsidP="00000000" w:rsidRDefault="00000000" w:rsidRPr="00000000" w14:paraId="0000011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prijaté dary a príspevky  – 26 250,00 eur</w:t>
      </w:r>
    </w:p>
    <w:p w:rsidR="00000000" w:rsidDel="00000000" w:rsidP="00000000" w:rsidRDefault="00000000" w:rsidRPr="00000000" w14:paraId="00000116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prijatá dotáciu vo výške ročnému odpisu softwaru  – 1 075,00 eur</w:t>
      </w:r>
    </w:p>
    <w:p w:rsidR="00000000" w:rsidDel="00000000" w:rsidP="00000000" w:rsidRDefault="00000000" w:rsidRPr="00000000" w14:paraId="00000117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ostatné výnosy – 40,90 eur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68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ind w:left="360" w:firstLine="0"/>
        <w:jc w:val="both"/>
        <w:rPr>
          <w:rFonts w:ascii="Comic Sans MS" w:cs="Comic Sans MS" w:eastAsia="Comic Sans MS" w:hAnsi="Comic Sans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ind w:left="360" w:firstLine="0"/>
        <w:jc w:val="both"/>
        <w:rPr>
          <w:rFonts w:ascii="Calibri" w:cs="Calibri" w:eastAsia="Calibri" w:hAnsi="Calibri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Comic Sans MS" w:cs="Comic Sans MS" w:eastAsia="Comic Sans MS" w:hAnsi="Comic Sans MS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sz w:val="32"/>
          <w:szCs w:val="32"/>
          <w:u w:val="single"/>
          <w:rtl w:val="0"/>
        </w:rPr>
        <w:t xml:space="preserve">8. ZMENY A NOVÉ ZLOŽENIE ORGÁNOV NEZISKOVEJ ORGANIZÁCIE</w:t>
      </w:r>
    </w:p>
    <w:p w:rsidR="00000000" w:rsidDel="00000000" w:rsidP="00000000" w:rsidRDefault="00000000" w:rsidRPr="00000000" w14:paraId="0000012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b w:val="1"/>
          <w:smallCap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 roku 2024 neprišlo k žiadnej zmene. </w:t>
      </w:r>
    </w:p>
    <w:p w:rsidR="00000000" w:rsidDel="00000000" w:rsidP="00000000" w:rsidRDefault="00000000" w:rsidRPr="00000000" w14:paraId="0000012A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V Nitre, 26.06.2025</w:t>
      </w:r>
    </w:p>
    <w:p w:rsidR="00000000" w:rsidDel="00000000" w:rsidP="00000000" w:rsidRDefault="00000000" w:rsidRPr="00000000" w14:paraId="0000012D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widowControl w:val="0"/>
        <w:ind w:left="6737" w:hanging="6737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4.0" w:type="dxa"/>
        <w:jc w:val="left"/>
        <w:tblInd w:w="684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9064"/>
        <w:tblGridChange w:id="0">
          <w:tblGrid>
            <w:gridCol w:w="9064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Vlastimil Švec</w:t>
            </w:r>
          </w:p>
          <w:p w:rsidR="00000000" w:rsidDel="00000000" w:rsidP="00000000" w:rsidRDefault="00000000" w:rsidRPr="00000000" w14:paraId="0000013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Helvetica Neue" w:cs="Helvetica Neue" w:eastAsia="Helvetica Neue" w:hAnsi="Helvetica Neue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riaditeľ n.o.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widowControl w:val="0"/>
        <w:ind w:left="6737" w:hanging="6737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96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omic Sans MS"/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020"/>
      </w:tabs>
      <w:rPr>
        <w:rFonts w:ascii="Helvetica Neue" w:cs="Helvetica Neue" w:eastAsia="Helvetica Neue" w:hAnsi="Helvetica Neu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044"/>
      </w:tabs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153</wp:posOffset>
          </wp:positionH>
          <wp:positionV relativeFrom="page">
            <wp:posOffset>0</wp:posOffset>
          </wp:positionV>
          <wp:extent cx="7560000" cy="10692001"/>
          <wp:effectExtent b="0" l="0" r="0" t="0"/>
          <wp:wrapNone/>
          <wp:docPr id="107374183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482418</wp:posOffset>
          </wp:positionH>
          <wp:positionV relativeFrom="page">
            <wp:posOffset>397328</wp:posOffset>
          </wp:positionV>
          <wp:extent cx="1941930" cy="1567543"/>
          <wp:effectExtent b="0" l="0" r="0" t="0"/>
          <wp:wrapNone/>
          <wp:docPr descr="C:\Users\Prijem\Desktop\ved\logo-male.png" id="1073741836" name="image2.png"/>
          <a:graphic>
            <a:graphicData uri="http://schemas.openxmlformats.org/drawingml/2006/picture">
              <pic:pic>
                <pic:nvPicPr>
                  <pic:cNvPr descr="C:\Users\Prijem\Desktop\ved\logo-male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Strana </w:t>
    </w: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cs="Calibri" w:eastAsia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textovprepojenie">
    <w:name w:val="Hyperlink"/>
    <w:rPr>
      <w:u w:val="single"/>
    </w:rPr>
  </w:style>
  <w:style w:type="table" w:styleId="TableNormal3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cs="Calibri" w:eastAsia="Calibri" w:hAnsi="Calibri"/>
      <w:color w:val="000000"/>
      <w:sz w:val="22"/>
      <w:szCs w:val="22"/>
      <w:u w:color="000000"/>
    </w:rPr>
  </w:style>
  <w:style w:type="paragraph" w:styleId="Hlavikaapta" w:customStyle="1">
    <w:name w:val="Hlavička a päta"/>
    <w:pPr>
      <w:tabs>
        <w:tab w:val="right" w:pos="9020"/>
      </w:tabs>
    </w:pPr>
    <w:rPr>
      <w:rFonts w:ascii="Helvetica" w:cs="Helvetica" w:eastAsia="Helvetica" w:hAnsi="Helvetica"/>
      <w:color w:val="000000"/>
    </w:rPr>
  </w:style>
  <w:style w:type="numbering" w:styleId="Importovantl1" w:customStyle="1">
    <w:name w:val="Importovaný štýl 1"/>
  </w:style>
  <w:style w:type="numbering" w:styleId="Importovantl2" w:customStyle="1">
    <w:name w:val="Importovaný štýl 2"/>
  </w:style>
  <w:style w:type="numbering" w:styleId="Importovantl3" w:customStyle="1">
    <w:name w:val="Importovaný štýl 3"/>
  </w:style>
  <w:style w:type="numbering" w:styleId="Psmen" w:customStyle="1">
    <w:name w:val="Písmená"/>
  </w:style>
  <w:style w:type="numbering" w:styleId="Importovantl5" w:customStyle="1">
    <w:name w:val="Importovaný štýl 5"/>
  </w:style>
  <w:style w:type="paragraph" w:styleId="Telo" w:customStyle="1">
    <w:name w:val="Telo"/>
    <w:rPr>
      <w:rFonts w:ascii="Helvetica" w:cs="Arial Unicode MS" w:hAnsi="Helvetica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 w:val="1"/>
    <w:rsid w:val="00AC3F50"/>
    <w:pPr>
      <w:ind w:left="720"/>
      <w:contextualSpacing w:val="1"/>
    </w:pPr>
  </w:style>
  <w:style w:type="table" w:styleId="a" w:customStyle="1">
    <w:basedOn w:val="TableNormal3"/>
    <w:tblPr>
      <w:tblStyleRowBandSize w:val="1"/>
      <w:tblStyleColBandSize w:val="1"/>
    </w:tblPr>
  </w:style>
  <w:style w:type="table" w:styleId="a0" w:customStyle="1">
    <w:basedOn w:val="TableNormal3"/>
    <w:tblPr>
      <w:tblStyleRowBandSize w:val="1"/>
      <w:tblStyleColBandSize w:val="1"/>
    </w:tblPr>
  </w:style>
  <w:style w:type="table" w:styleId="a1" w:customStyle="1">
    <w:basedOn w:val="TableNormal2"/>
    <w:tblPr>
      <w:tblStyleRowBandSize w:val="1"/>
      <w:tblStyleColBandSize w:val="1"/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1"/>
    <w:tblPr>
      <w:tblStyleRowBandSize w:val="1"/>
      <w:tblStyleColBandSize w:val="1"/>
    </w:tblPr>
  </w:style>
  <w:style w:type="table" w:styleId="a4" w:customStyle="1">
    <w:basedOn w:val="TableNormal1"/>
    <w:tblPr>
      <w:tblStyleRowBandSize w:val="1"/>
      <w:tblStyleColBandSize w:val="1"/>
    </w:tblPr>
  </w:style>
  <w:style w:type="table" w:styleId="a5" w:customStyle="1">
    <w:basedOn w:val="TableNormal1"/>
    <w:tblPr>
      <w:tblStyleRowBandSize w:val="1"/>
      <w:tblStyleColBandSize w:val="1"/>
    </w:tblPr>
  </w:style>
  <w:style w:type="table" w:styleId="a6" w:customStyle="1">
    <w:basedOn w:val="TableNormal1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ok7XQJ4/h9Auw6NKONEsDHt67Q==">CgMxLjAyCWguMzBqMHpsbDIJaC4xZm9iOXRlOAByITFlcjQ1NXFnNF9VeF9HWi1pYVo3MXZXVHdRTTMzelBndg==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2025-07-02T09:44:00Z</dcterms:created>
  <dc:creator>ecode</dc:creator>
</cp:coreProperties>
</file>