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AE589D"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Poznámky </w:t>
      </w:r>
      <w:proofErr w:type="spellStart"/>
      <w:r>
        <w:rPr>
          <w:rFonts w:ascii="Times New Roman" w:eastAsia="Times New Roman" w:hAnsi="Times New Roman" w:cs="Times New Roman"/>
          <w:sz w:val="24"/>
        </w:rPr>
        <w:t>Úč</w:t>
      </w:r>
      <w:proofErr w:type="spellEnd"/>
      <w:r>
        <w:rPr>
          <w:rFonts w:ascii="Times New Roman" w:eastAsia="Times New Roman" w:hAnsi="Times New Roman" w:cs="Times New Roman"/>
          <w:sz w:val="24"/>
        </w:rPr>
        <w:t xml:space="preserve">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IČO: 47572264</w:t>
      </w:r>
    </w:p>
    <w:p w14:paraId="35AE589E"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DIČ: 2023968573</w:t>
      </w:r>
    </w:p>
    <w:p w14:paraId="35AE589F" w14:textId="77777777" w:rsidR="00895EDC" w:rsidRDefault="00895EDC">
      <w:pPr>
        <w:spacing w:after="0" w:line="240" w:lineRule="auto"/>
        <w:jc w:val="both"/>
        <w:rPr>
          <w:rFonts w:ascii="Times New Roman" w:eastAsia="Times New Roman" w:hAnsi="Times New Roman" w:cs="Times New Roman"/>
          <w:sz w:val="24"/>
        </w:rPr>
      </w:pPr>
    </w:p>
    <w:p w14:paraId="35AE58A0" w14:textId="77777777" w:rsidR="00895EDC" w:rsidRDefault="00C33950">
      <w:pPr>
        <w:spacing w:after="0" w:line="24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Poznámky</w:t>
      </w:r>
    </w:p>
    <w:p w14:paraId="35AE58A1" w14:textId="3AE105FF" w:rsidR="00895EDC" w:rsidRDefault="00C33950">
      <w:pPr>
        <w:spacing w:after="0" w:line="240" w:lineRule="auto"/>
        <w:jc w:val="center"/>
      </w:pPr>
      <w:r>
        <w:rPr>
          <w:rFonts w:ascii="Times New Roman" w:eastAsia="Times New Roman" w:hAnsi="Times New Roman" w:cs="Times New Roman"/>
          <w:b/>
          <w:sz w:val="28"/>
        </w:rPr>
        <w:t>individuálnej účtovnej závierky zostavenej k 31. decembru 202</w:t>
      </w:r>
      <w:r w:rsidR="005F7C04">
        <w:rPr>
          <w:rFonts w:ascii="Times New Roman" w:eastAsia="Times New Roman" w:hAnsi="Times New Roman" w:cs="Times New Roman"/>
          <w:b/>
          <w:sz w:val="28"/>
        </w:rPr>
        <w:t>4</w:t>
      </w:r>
    </w:p>
    <w:p w14:paraId="35AE58A2" w14:textId="77777777" w:rsidR="00895EDC" w:rsidRDefault="00895EDC">
      <w:pPr>
        <w:spacing w:after="0" w:line="240" w:lineRule="auto"/>
        <w:jc w:val="both"/>
        <w:rPr>
          <w:rFonts w:ascii="Times New Roman" w:eastAsia="Times New Roman" w:hAnsi="Times New Roman" w:cs="Times New Roman"/>
          <w:sz w:val="24"/>
        </w:rPr>
      </w:pPr>
    </w:p>
    <w:p w14:paraId="35AE58A3" w14:textId="77777777" w:rsidR="00895EDC" w:rsidRDefault="00C3395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I</w:t>
      </w:r>
    </w:p>
    <w:p w14:paraId="35AE58A4" w14:textId="77777777" w:rsidR="00895EDC" w:rsidRDefault="00C3395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Všeobecné informácie</w:t>
      </w:r>
    </w:p>
    <w:p w14:paraId="35AE58A5"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(1) Názov, sídlo, predmet podnikania: </w:t>
      </w:r>
    </w:p>
    <w:p w14:paraId="35AE58A6"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spoločnosť </w:t>
      </w:r>
      <w:proofErr w:type="spellStart"/>
      <w:r>
        <w:rPr>
          <w:rFonts w:ascii="Times New Roman" w:eastAsia="Times New Roman" w:hAnsi="Times New Roman" w:cs="Times New Roman"/>
          <w:sz w:val="24"/>
        </w:rPr>
        <w:t>ZUZANKA</w:t>
      </w:r>
      <w:r>
        <w:rPr>
          <w:rFonts w:ascii="Times New Roman" w:eastAsia="Times New Roman" w:hAnsi="Times New Roman" w:cs="Times New Roman"/>
          <w:b/>
          <w:i/>
          <w:sz w:val="24"/>
        </w:rPr>
        <w:t>.s.r.o</w:t>
      </w:r>
      <w:proofErr w:type="spellEnd"/>
      <w:r>
        <w:rPr>
          <w:rFonts w:ascii="Times New Roman" w:eastAsia="Times New Roman" w:hAnsi="Times New Roman" w:cs="Times New Roman"/>
          <w:b/>
          <w:i/>
          <w:sz w:val="24"/>
        </w:rPr>
        <w:t>.</w:t>
      </w:r>
      <w:r>
        <w:rPr>
          <w:rFonts w:ascii="Times New Roman" w:eastAsia="Times New Roman" w:hAnsi="Times New Roman" w:cs="Times New Roman"/>
          <w:sz w:val="24"/>
        </w:rPr>
        <w:t xml:space="preserve"> (ďalej len Spoločnosť), bola založená 14. 12. 2013 a do obchodného registra bola zapísaná 14.12. 2013 (Obchodný register Okresného súdu Trenčín, oddiel s.r.o., vložka 29725/R). </w:t>
      </w:r>
    </w:p>
    <w:p w14:paraId="35AE58A7" w14:textId="77777777" w:rsidR="00895EDC" w:rsidRDefault="00895EDC">
      <w:pPr>
        <w:spacing w:after="0" w:line="240" w:lineRule="auto"/>
        <w:jc w:val="both"/>
        <w:rPr>
          <w:rFonts w:ascii="Times New Roman" w:eastAsia="Times New Roman" w:hAnsi="Times New Roman" w:cs="Times New Roman"/>
          <w:sz w:val="24"/>
        </w:rPr>
      </w:pPr>
    </w:p>
    <w:p w14:paraId="35AE58A8"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Hlavnými činnosťami Spoločnosti sú: </w:t>
      </w:r>
    </w:p>
    <w:p w14:paraId="35AE58A9"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maloobchod, </w:t>
      </w:r>
    </w:p>
    <w:p w14:paraId="35AE58AA" w14:textId="77777777" w:rsidR="00895EDC" w:rsidRDefault="00895EDC">
      <w:pPr>
        <w:spacing w:after="0" w:line="240" w:lineRule="auto"/>
        <w:jc w:val="both"/>
        <w:rPr>
          <w:rFonts w:ascii="Times New Roman" w:eastAsia="Times New Roman" w:hAnsi="Times New Roman" w:cs="Times New Roman"/>
          <w:sz w:val="24"/>
        </w:rPr>
      </w:pPr>
    </w:p>
    <w:p w14:paraId="35AE58AB"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(2) Dátum schválenia účtovnej závierky za predchádzajúce účtovné obdobie: </w:t>
      </w:r>
    </w:p>
    <w:p w14:paraId="35AE58AC" w14:textId="3FA191CE" w:rsidR="00895EDC" w:rsidRDefault="00C33950">
      <w:pPr>
        <w:spacing w:after="0" w:line="240" w:lineRule="auto"/>
        <w:jc w:val="both"/>
      </w:pPr>
      <w:r>
        <w:rPr>
          <w:rFonts w:ascii="Times New Roman" w:eastAsia="Times New Roman" w:hAnsi="Times New Roman" w:cs="Times New Roman"/>
          <w:sz w:val="24"/>
        </w:rPr>
        <w:t>účtovná závierka Spoločnosti k 31. decembru 202</w:t>
      </w:r>
      <w:r w:rsidR="005F7C04">
        <w:rPr>
          <w:rFonts w:ascii="Times New Roman" w:eastAsia="Times New Roman" w:hAnsi="Times New Roman" w:cs="Times New Roman"/>
          <w:sz w:val="24"/>
        </w:rPr>
        <w:t>3</w:t>
      </w:r>
      <w:r>
        <w:rPr>
          <w:rFonts w:ascii="Times New Roman" w:eastAsia="Times New Roman" w:hAnsi="Times New Roman" w:cs="Times New Roman"/>
          <w:sz w:val="24"/>
        </w:rPr>
        <w:t xml:space="preserve"> za predchádzajúce účtovné obdobie bola schválená valným zhromaždením Spoločnosti dňa 30.06.202</w:t>
      </w:r>
      <w:r w:rsidR="005F7C04">
        <w:rPr>
          <w:rFonts w:ascii="Times New Roman" w:eastAsia="Times New Roman" w:hAnsi="Times New Roman" w:cs="Times New Roman"/>
          <w:sz w:val="24"/>
        </w:rPr>
        <w:t>4</w:t>
      </w:r>
      <w:r>
        <w:rPr>
          <w:rFonts w:ascii="Times New Roman" w:eastAsia="Times New Roman" w:hAnsi="Times New Roman" w:cs="Times New Roman"/>
          <w:sz w:val="24"/>
        </w:rPr>
        <w:t xml:space="preserve">. </w:t>
      </w:r>
    </w:p>
    <w:p w14:paraId="35AE58AD" w14:textId="77777777" w:rsidR="00895EDC" w:rsidRDefault="00895EDC">
      <w:pPr>
        <w:spacing w:after="0" w:line="240" w:lineRule="auto"/>
        <w:jc w:val="both"/>
        <w:rPr>
          <w:rFonts w:ascii="Times New Roman" w:eastAsia="Times New Roman" w:hAnsi="Times New Roman" w:cs="Times New Roman"/>
          <w:sz w:val="24"/>
        </w:rPr>
      </w:pPr>
    </w:p>
    <w:p w14:paraId="35AE58AE"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(3) Právny dôvod na zostavenie účtovnej závierky: </w:t>
      </w:r>
    </w:p>
    <w:p w14:paraId="35AE58AF" w14:textId="031F4583" w:rsidR="00895EDC" w:rsidRDefault="00C33950">
      <w:pPr>
        <w:spacing w:after="0" w:line="240" w:lineRule="auto"/>
        <w:jc w:val="both"/>
      </w:pPr>
      <w:r>
        <w:rPr>
          <w:rFonts w:ascii="Times New Roman" w:eastAsia="Times New Roman" w:hAnsi="Times New Roman" w:cs="Times New Roman"/>
          <w:sz w:val="24"/>
        </w:rPr>
        <w:t>účtovná závierka Spoločnosti k 31. decembru 202</w:t>
      </w:r>
      <w:r w:rsidR="005F7C04">
        <w:rPr>
          <w:rFonts w:ascii="Times New Roman" w:eastAsia="Times New Roman" w:hAnsi="Times New Roman" w:cs="Times New Roman"/>
          <w:sz w:val="24"/>
        </w:rPr>
        <w:t>4</w:t>
      </w:r>
      <w:r>
        <w:rPr>
          <w:rFonts w:ascii="Times New Roman" w:eastAsia="Times New Roman" w:hAnsi="Times New Roman" w:cs="Times New Roman"/>
          <w:sz w:val="24"/>
        </w:rPr>
        <w:t xml:space="preserve"> je zostavená ako riadna účtovná závierka podľa § 17 ods. 6 zákona NR SR č. 431/2002 Z. z. o účtovníctve v znení neskorších predpisov za účtovné obdobie od 1. januára 202</w:t>
      </w:r>
      <w:r w:rsidR="005F7C04">
        <w:rPr>
          <w:rFonts w:ascii="Times New Roman" w:eastAsia="Times New Roman" w:hAnsi="Times New Roman" w:cs="Times New Roman"/>
          <w:sz w:val="24"/>
        </w:rPr>
        <w:t>4</w:t>
      </w:r>
      <w:r>
        <w:rPr>
          <w:rFonts w:ascii="Times New Roman" w:eastAsia="Times New Roman" w:hAnsi="Times New Roman" w:cs="Times New Roman"/>
          <w:sz w:val="24"/>
        </w:rPr>
        <w:t xml:space="preserve"> do 31. decembra 202</w:t>
      </w:r>
      <w:r w:rsidR="005F7C04">
        <w:rPr>
          <w:rFonts w:ascii="Times New Roman" w:eastAsia="Times New Roman" w:hAnsi="Times New Roman" w:cs="Times New Roman"/>
          <w:sz w:val="24"/>
        </w:rPr>
        <w:t>4</w:t>
      </w:r>
      <w:r>
        <w:rPr>
          <w:rFonts w:ascii="Times New Roman" w:eastAsia="Times New Roman" w:hAnsi="Times New Roman" w:cs="Times New Roman"/>
          <w:sz w:val="24"/>
        </w:rPr>
        <w:t>.</w:t>
      </w:r>
    </w:p>
    <w:p w14:paraId="35AE58B0" w14:textId="77777777" w:rsidR="00895EDC" w:rsidRDefault="00895EDC">
      <w:pPr>
        <w:spacing w:after="0" w:line="240" w:lineRule="auto"/>
        <w:jc w:val="both"/>
        <w:rPr>
          <w:rFonts w:ascii="Times New Roman" w:eastAsia="Times New Roman" w:hAnsi="Times New Roman" w:cs="Times New Roman"/>
          <w:sz w:val="24"/>
        </w:rPr>
      </w:pPr>
    </w:p>
    <w:p w14:paraId="35AE58B1"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(4) Priemerný prepočítaný počet zamestnancov: </w:t>
      </w:r>
    </w:p>
    <w:p w14:paraId="35AE58B2"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údaje o počte zamestnancov za bežné účtovné obdobie a bezprostredne predchádzajúce účtovné obdobie sú uvedené v nasledujúcom prehľade:</w:t>
      </w:r>
    </w:p>
    <w:p w14:paraId="35AE58B3" w14:textId="77777777" w:rsidR="00895EDC" w:rsidRDefault="00895EDC">
      <w:pPr>
        <w:spacing w:after="0" w:line="240" w:lineRule="auto"/>
        <w:jc w:val="both"/>
        <w:rPr>
          <w:rFonts w:ascii="Times New Roman" w:eastAsia="Times New Roman" w:hAnsi="Times New Roman" w:cs="Times New Roman"/>
          <w:sz w:val="24"/>
        </w:rPr>
      </w:pPr>
    </w:p>
    <w:p w14:paraId="35AE58B4"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tbl>
      <w:tblPr>
        <w:tblW w:w="9042" w:type="dxa"/>
        <w:jc w:val="center"/>
        <w:tblLayout w:type="fixed"/>
        <w:tblCellMar>
          <w:left w:w="55" w:type="dxa"/>
          <w:right w:w="70" w:type="dxa"/>
        </w:tblCellMar>
        <w:tblLook w:val="0000" w:firstRow="0" w:lastRow="0" w:firstColumn="0" w:lastColumn="0" w:noHBand="0" w:noVBand="0"/>
      </w:tblPr>
      <w:tblGrid>
        <w:gridCol w:w="3709"/>
        <w:gridCol w:w="2765"/>
        <w:gridCol w:w="2568"/>
      </w:tblGrid>
      <w:tr w:rsidR="00895EDC" w14:paraId="35AE58B8" w14:textId="77777777">
        <w:trPr>
          <w:trHeight w:val="1"/>
          <w:jc w:val="center"/>
        </w:trPr>
        <w:tc>
          <w:tcPr>
            <w:tcW w:w="3709"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8B5" w14:textId="77777777" w:rsidR="00895EDC" w:rsidRDefault="00C33950">
            <w:pPr>
              <w:widowControl w:val="0"/>
              <w:spacing w:after="0" w:line="240" w:lineRule="auto"/>
              <w:jc w:val="center"/>
            </w:pPr>
            <w:r>
              <w:rPr>
                <w:rFonts w:ascii="Arial Narrow" w:eastAsia="Arial Narrow" w:hAnsi="Arial Narrow" w:cs="Arial Narrow"/>
                <w:b/>
              </w:rPr>
              <w:t>Názov položky</w:t>
            </w:r>
          </w:p>
        </w:tc>
        <w:tc>
          <w:tcPr>
            <w:tcW w:w="2765"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8B6" w14:textId="77777777" w:rsidR="00895EDC" w:rsidRDefault="00C33950">
            <w:pPr>
              <w:widowControl w:val="0"/>
              <w:spacing w:after="0" w:line="240" w:lineRule="auto"/>
              <w:jc w:val="center"/>
            </w:pPr>
            <w:r>
              <w:rPr>
                <w:rFonts w:ascii="Arial Narrow" w:eastAsia="Arial Narrow" w:hAnsi="Arial Narrow" w:cs="Arial Narrow"/>
                <w:b/>
              </w:rPr>
              <w:t>Bežné účtovné obdobie</w:t>
            </w:r>
          </w:p>
        </w:tc>
        <w:tc>
          <w:tcPr>
            <w:tcW w:w="2568"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8B7" w14:textId="77777777" w:rsidR="00895EDC" w:rsidRDefault="00C33950">
            <w:pPr>
              <w:widowControl w:val="0"/>
              <w:spacing w:after="0" w:line="240" w:lineRule="auto"/>
              <w:jc w:val="center"/>
            </w:pPr>
            <w:r>
              <w:rPr>
                <w:rFonts w:ascii="Arial Narrow" w:eastAsia="Arial Narrow" w:hAnsi="Arial Narrow" w:cs="Arial Narrow"/>
                <w:b/>
              </w:rPr>
              <w:t>Bezprostredne predchádzajúce účtovné obdobie</w:t>
            </w:r>
          </w:p>
        </w:tc>
      </w:tr>
      <w:tr w:rsidR="00895EDC" w14:paraId="35AE58BC" w14:textId="77777777">
        <w:trPr>
          <w:trHeight w:val="1"/>
          <w:jc w:val="center"/>
        </w:trPr>
        <w:tc>
          <w:tcPr>
            <w:tcW w:w="3709" w:type="dxa"/>
            <w:tcBorders>
              <w:top w:val="single" w:sz="12" w:space="0" w:color="000001"/>
              <w:left w:val="single" w:sz="12" w:space="0" w:color="000001"/>
              <w:bottom w:val="single" w:sz="12" w:space="0" w:color="000001"/>
              <w:right w:val="single" w:sz="12" w:space="0" w:color="000001"/>
            </w:tcBorders>
            <w:shd w:val="clear" w:color="000000" w:fill="FFFFFF"/>
          </w:tcPr>
          <w:p w14:paraId="35AE58B9" w14:textId="77777777" w:rsidR="00895EDC" w:rsidRDefault="00C33950">
            <w:pPr>
              <w:widowControl w:val="0"/>
              <w:spacing w:after="0" w:line="240" w:lineRule="auto"/>
            </w:pPr>
            <w:r>
              <w:rPr>
                <w:rFonts w:ascii="Times New Roman" w:eastAsia="Times New Roman" w:hAnsi="Times New Roman" w:cs="Times New Roman"/>
                <w:sz w:val="24"/>
              </w:rPr>
              <w:t>Priemerný prepočítaný počet zamestnancov ku dňu závierky</w:t>
            </w:r>
          </w:p>
        </w:tc>
        <w:tc>
          <w:tcPr>
            <w:tcW w:w="2765" w:type="dxa"/>
            <w:tcBorders>
              <w:top w:val="single" w:sz="12" w:space="0" w:color="000001"/>
              <w:left w:val="single" w:sz="12" w:space="0" w:color="000001"/>
              <w:bottom w:val="single" w:sz="12" w:space="0" w:color="000001"/>
              <w:right w:val="single" w:sz="12" w:space="0" w:color="000001"/>
            </w:tcBorders>
            <w:shd w:val="clear" w:color="000000" w:fill="FFFFFF"/>
          </w:tcPr>
          <w:p w14:paraId="35AE58BA" w14:textId="77777777" w:rsidR="00895EDC" w:rsidRDefault="00C33950">
            <w:pPr>
              <w:widowControl w:val="0"/>
              <w:spacing w:after="0" w:line="360" w:lineRule="auto"/>
              <w:jc w:val="center"/>
              <w:rPr>
                <w:rFonts w:eastAsia="Calibri" w:cs="Calibri"/>
              </w:rPr>
            </w:pPr>
            <w:r>
              <w:rPr>
                <w:rFonts w:eastAsia="Calibri" w:cs="Calibri"/>
              </w:rPr>
              <w:t>0</w:t>
            </w:r>
          </w:p>
        </w:tc>
        <w:tc>
          <w:tcPr>
            <w:tcW w:w="2568" w:type="dxa"/>
            <w:tcBorders>
              <w:top w:val="single" w:sz="12" w:space="0" w:color="000001"/>
              <w:left w:val="single" w:sz="12" w:space="0" w:color="000001"/>
              <w:bottom w:val="single" w:sz="12" w:space="0" w:color="000001"/>
              <w:right w:val="single" w:sz="12" w:space="0" w:color="000001"/>
            </w:tcBorders>
            <w:shd w:val="clear" w:color="000000" w:fill="FFFFFF"/>
          </w:tcPr>
          <w:p w14:paraId="35AE58BB" w14:textId="77777777" w:rsidR="00895EDC" w:rsidRDefault="00C33950">
            <w:pPr>
              <w:widowControl w:val="0"/>
              <w:spacing w:after="0" w:line="360" w:lineRule="auto"/>
              <w:jc w:val="center"/>
              <w:rPr>
                <w:rFonts w:eastAsia="Calibri" w:cs="Calibri"/>
              </w:rPr>
            </w:pPr>
            <w:r>
              <w:rPr>
                <w:rFonts w:eastAsia="Calibri" w:cs="Calibri"/>
              </w:rPr>
              <w:t>0</w:t>
            </w:r>
          </w:p>
        </w:tc>
      </w:tr>
    </w:tbl>
    <w:p w14:paraId="35AE58BD" w14:textId="77777777" w:rsidR="00895EDC" w:rsidRDefault="00895EDC">
      <w:pPr>
        <w:spacing w:after="0" w:line="240" w:lineRule="auto"/>
        <w:jc w:val="both"/>
        <w:rPr>
          <w:rFonts w:ascii="Times New Roman" w:eastAsia="Times New Roman" w:hAnsi="Times New Roman" w:cs="Times New Roman"/>
          <w:sz w:val="24"/>
        </w:rPr>
      </w:pPr>
    </w:p>
    <w:p w14:paraId="35AE58BE" w14:textId="77777777" w:rsidR="00895EDC" w:rsidRDefault="00895EDC">
      <w:pPr>
        <w:spacing w:after="0" w:line="240" w:lineRule="auto"/>
        <w:jc w:val="both"/>
        <w:rPr>
          <w:rFonts w:ascii="Times New Roman" w:eastAsia="Times New Roman" w:hAnsi="Times New Roman" w:cs="Times New Roman"/>
          <w:sz w:val="24"/>
        </w:rPr>
      </w:pPr>
    </w:p>
    <w:p w14:paraId="35AE58BF"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35AE58C0" w14:textId="77777777" w:rsidR="00895EDC" w:rsidRDefault="00C3395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II</w:t>
      </w:r>
    </w:p>
    <w:p w14:paraId="35AE58C1" w14:textId="77777777" w:rsidR="00895EDC" w:rsidRDefault="00C3395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Informácie o orgánoch spoločnosti</w:t>
      </w:r>
    </w:p>
    <w:p w14:paraId="35AE58C2" w14:textId="77777777" w:rsidR="00895EDC" w:rsidRDefault="00895EDC">
      <w:pPr>
        <w:spacing w:after="0" w:line="240" w:lineRule="auto"/>
        <w:jc w:val="both"/>
        <w:rPr>
          <w:rFonts w:ascii="Times New Roman" w:eastAsia="Times New Roman" w:hAnsi="Times New Roman" w:cs="Times New Roman"/>
          <w:sz w:val="24"/>
        </w:rPr>
      </w:pPr>
    </w:p>
    <w:p w14:paraId="35AE58C3"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Údaje o štatutárnych orgánoch Spoločnosti sú uvedené v Obchodnom registri.</w:t>
      </w:r>
    </w:p>
    <w:p w14:paraId="35AE58C4"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Štatutárnym orgánom Spoločnosti je konateľka Ing. Lenka Macová.</w:t>
      </w:r>
    </w:p>
    <w:p w14:paraId="35AE58C5"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14:paraId="35AE58C6" w14:textId="77777777" w:rsidR="00895EDC" w:rsidRDefault="00895EDC">
      <w:pPr>
        <w:spacing w:after="0" w:line="240" w:lineRule="auto"/>
        <w:jc w:val="both"/>
        <w:rPr>
          <w:rFonts w:ascii="Times New Roman" w:eastAsia="Times New Roman" w:hAnsi="Times New Roman" w:cs="Times New Roman"/>
          <w:sz w:val="24"/>
        </w:rPr>
      </w:pPr>
    </w:p>
    <w:p w14:paraId="35AE58C7" w14:textId="77777777" w:rsidR="00895EDC" w:rsidRDefault="00895EDC">
      <w:pPr>
        <w:spacing w:after="0" w:line="240" w:lineRule="auto"/>
        <w:jc w:val="both"/>
        <w:rPr>
          <w:rFonts w:ascii="Times New Roman" w:eastAsia="Times New Roman" w:hAnsi="Times New Roman" w:cs="Times New Roman"/>
          <w:sz w:val="24"/>
        </w:rPr>
      </w:pPr>
    </w:p>
    <w:p w14:paraId="35AE58C8" w14:textId="77777777" w:rsidR="00895EDC" w:rsidRDefault="00895EDC">
      <w:pPr>
        <w:spacing w:after="0" w:line="240" w:lineRule="auto"/>
        <w:jc w:val="both"/>
        <w:rPr>
          <w:rFonts w:ascii="Times New Roman" w:eastAsia="Times New Roman" w:hAnsi="Times New Roman" w:cs="Times New Roman"/>
          <w:sz w:val="24"/>
        </w:rPr>
      </w:pPr>
    </w:p>
    <w:p w14:paraId="35AE58C9"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Poznámky </w:t>
      </w:r>
      <w:proofErr w:type="spellStart"/>
      <w:r>
        <w:rPr>
          <w:rFonts w:ascii="Times New Roman" w:eastAsia="Times New Roman" w:hAnsi="Times New Roman" w:cs="Times New Roman"/>
          <w:sz w:val="24"/>
        </w:rPr>
        <w:t>Úč</w:t>
      </w:r>
      <w:proofErr w:type="spellEnd"/>
      <w:r>
        <w:rPr>
          <w:rFonts w:ascii="Times New Roman" w:eastAsia="Times New Roman" w:hAnsi="Times New Roman" w:cs="Times New Roman"/>
          <w:sz w:val="24"/>
        </w:rPr>
        <w:t xml:space="preserve">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IČO: 47572264 </w:t>
      </w:r>
    </w:p>
    <w:p w14:paraId="35AE58CA"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 xml:space="preserve">DIČ: 2023968573 </w:t>
      </w:r>
    </w:p>
    <w:p w14:paraId="35AE58CB" w14:textId="77777777" w:rsidR="00895EDC" w:rsidRDefault="00895EDC">
      <w:pPr>
        <w:spacing w:after="0" w:line="240" w:lineRule="auto"/>
        <w:jc w:val="both"/>
        <w:rPr>
          <w:rFonts w:ascii="Times New Roman" w:eastAsia="Times New Roman" w:hAnsi="Times New Roman" w:cs="Times New Roman"/>
          <w:sz w:val="24"/>
        </w:rPr>
      </w:pPr>
    </w:p>
    <w:p w14:paraId="35AE58CC" w14:textId="77777777" w:rsidR="00895EDC" w:rsidRDefault="00C3395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III</w:t>
      </w:r>
    </w:p>
    <w:p w14:paraId="35AE58CD" w14:textId="77777777" w:rsidR="00895EDC" w:rsidRDefault="00C3395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Informácie o prijatých postupoch</w:t>
      </w:r>
    </w:p>
    <w:p w14:paraId="35AE58CE"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(1) Východiská pre zostavenie účtovnej závierky: </w:t>
      </w:r>
    </w:p>
    <w:p w14:paraId="35AE58CF"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účtovná závierka bola zostavená za predpokladu nepretržitého trvania Spoločnosti (</w:t>
      </w:r>
      <w:proofErr w:type="spellStart"/>
      <w:r>
        <w:rPr>
          <w:rFonts w:ascii="Times New Roman" w:eastAsia="Times New Roman" w:hAnsi="Times New Roman" w:cs="Times New Roman"/>
          <w:sz w:val="24"/>
        </w:rPr>
        <w:t>going</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concern</w:t>
      </w:r>
      <w:proofErr w:type="spellEnd"/>
      <w:r>
        <w:rPr>
          <w:rFonts w:ascii="Times New Roman" w:eastAsia="Times New Roman" w:hAnsi="Times New Roman" w:cs="Times New Roman"/>
          <w:sz w:val="24"/>
        </w:rPr>
        <w:t xml:space="preserve">). </w:t>
      </w:r>
    </w:p>
    <w:p w14:paraId="35AE58D0" w14:textId="77777777" w:rsidR="00895EDC" w:rsidRDefault="00895EDC">
      <w:pPr>
        <w:spacing w:after="0" w:line="240" w:lineRule="auto"/>
        <w:jc w:val="both"/>
        <w:rPr>
          <w:rFonts w:ascii="Times New Roman" w:eastAsia="Times New Roman" w:hAnsi="Times New Roman" w:cs="Times New Roman"/>
          <w:sz w:val="24"/>
        </w:rPr>
      </w:pPr>
    </w:p>
    <w:p w14:paraId="35AE58D1"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(2) Účtovné metódy a všeobecné účtovné zásady boli účtovnou jednotkou konzistentne aplikované.</w:t>
      </w:r>
    </w:p>
    <w:p w14:paraId="35AE58D2" w14:textId="77777777" w:rsidR="00895EDC" w:rsidRDefault="00895EDC">
      <w:pPr>
        <w:spacing w:after="0" w:line="240" w:lineRule="auto"/>
        <w:jc w:val="both"/>
        <w:rPr>
          <w:rFonts w:ascii="Times New Roman" w:eastAsia="Times New Roman" w:hAnsi="Times New Roman" w:cs="Times New Roman"/>
          <w:sz w:val="24"/>
        </w:rPr>
      </w:pPr>
    </w:p>
    <w:p w14:paraId="35AE58D3"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(3) V súvahe sú uvedené všetky transakcie, uskutočnené Spoločnosťou v účtovnom období.</w:t>
      </w:r>
    </w:p>
    <w:p w14:paraId="35AE58D4"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35AE58D5"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(4) Spôsob a určenie ocenenia majetku a záväzkov vrátane odhadov:</w:t>
      </w:r>
    </w:p>
    <w:p w14:paraId="35AE58D6" w14:textId="77777777" w:rsidR="00895EDC" w:rsidRDefault="00895EDC">
      <w:pPr>
        <w:spacing w:after="0" w:line="240" w:lineRule="auto"/>
        <w:jc w:val="both"/>
        <w:rPr>
          <w:rFonts w:ascii="Times New Roman" w:eastAsia="Times New Roman" w:hAnsi="Times New Roman" w:cs="Times New Roman"/>
          <w:sz w:val="24"/>
        </w:rPr>
      </w:pPr>
    </w:p>
    <w:p w14:paraId="35AE58D7"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 dlhodobý nehmotný majetok a dlhodobý hmotný majetok:</w:t>
      </w:r>
    </w:p>
    <w:p w14:paraId="35AE58D8"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dlhodobý majetok nakupovaný sa oceňuje obstarávacou cenou, ktorá zahŕňa cenu obstarania a náklady súvisiace s obstaraním (clo, prepravu, montáž, poistné a pod.).</w:t>
      </w:r>
    </w:p>
    <w:p w14:paraId="35AE58D9" w14:textId="77777777" w:rsidR="00895EDC" w:rsidRDefault="00895EDC">
      <w:pPr>
        <w:spacing w:after="0" w:line="240" w:lineRule="auto"/>
        <w:jc w:val="both"/>
        <w:rPr>
          <w:rFonts w:ascii="Times New Roman" w:eastAsia="Times New Roman" w:hAnsi="Times New Roman" w:cs="Times New Roman"/>
          <w:sz w:val="24"/>
        </w:rPr>
      </w:pPr>
    </w:p>
    <w:p w14:paraId="35AE58DA"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Súčasťou obstarávacej ceny dlhodobého hmotného majetku nie sú úroky z cudzích zdrojov ani realizované kurzové rozdiely, ktoré vznikli do momentu uvedenia dlhodobého majetku do používania. </w:t>
      </w:r>
    </w:p>
    <w:p w14:paraId="35AE58DB" w14:textId="77777777" w:rsidR="00895EDC" w:rsidRDefault="00895EDC">
      <w:pPr>
        <w:spacing w:after="0" w:line="240" w:lineRule="auto"/>
        <w:jc w:val="both"/>
        <w:rPr>
          <w:rFonts w:ascii="Times New Roman" w:eastAsia="Times New Roman" w:hAnsi="Times New Roman" w:cs="Times New Roman"/>
          <w:sz w:val="24"/>
        </w:rPr>
      </w:pPr>
    </w:p>
    <w:p w14:paraId="35AE58DC"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Súčasťou obstarávacej ceny dlhodobého nehmotného majetku nie sú úroky z cudzích zdrojov, ktoré vznikli do momentu zaradenia dlhodobého nehmotného majetku do používania. </w:t>
      </w:r>
    </w:p>
    <w:p w14:paraId="35AE58DD" w14:textId="77777777" w:rsidR="00895EDC" w:rsidRDefault="00895EDC">
      <w:pPr>
        <w:spacing w:after="0" w:line="240" w:lineRule="auto"/>
        <w:jc w:val="both"/>
        <w:rPr>
          <w:rFonts w:ascii="Times New Roman" w:eastAsia="Times New Roman" w:hAnsi="Times New Roman" w:cs="Times New Roman"/>
          <w:sz w:val="24"/>
        </w:rPr>
      </w:pPr>
    </w:p>
    <w:p w14:paraId="35AE58DE"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Odpisy dlhodobého nehmotného majetku sú stanovené vychádzajúc z predpokladanej doby jeho používania a predpokladaného priebehu jeho opotrebenia. Odpisovať sa začína počnúc mesiacom uvedenia dlhodobého majetku do používania. </w:t>
      </w:r>
    </w:p>
    <w:p w14:paraId="35AE58DF" w14:textId="77777777" w:rsidR="00895EDC" w:rsidRDefault="00895EDC">
      <w:pPr>
        <w:spacing w:after="0" w:line="240" w:lineRule="auto"/>
        <w:jc w:val="both"/>
        <w:rPr>
          <w:rFonts w:ascii="Times New Roman" w:eastAsia="Times New Roman" w:hAnsi="Times New Roman" w:cs="Times New Roman"/>
          <w:sz w:val="24"/>
        </w:rPr>
      </w:pPr>
    </w:p>
    <w:p w14:paraId="35AE58E0"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Odpisy dlhodobého hmotného majetku sú stanovené vychádzajúc z predpokladanej doby jeho používania a predpokladaného priebehu jeho opotrebenia. Odpisovať sa začína počnúc mesiacom uvedenia dlhodobého majetku do používania okrem majetku obstarávaného formou finančného leasingu, ktorý sa začína odpisovať dňom zaradenia do majetku. </w:t>
      </w:r>
    </w:p>
    <w:p w14:paraId="35AE58E1" w14:textId="77777777" w:rsidR="00895EDC" w:rsidRDefault="00895EDC">
      <w:pPr>
        <w:spacing w:after="0" w:line="240" w:lineRule="auto"/>
        <w:jc w:val="both"/>
        <w:rPr>
          <w:rFonts w:ascii="Times New Roman" w:eastAsia="Times New Roman" w:hAnsi="Times New Roman" w:cs="Times New Roman"/>
          <w:sz w:val="24"/>
        </w:rPr>
      </w:pPr>
    </w:p>
    <w:p w14:paraId="35AE58E2"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Drobný nehmotný majetok, ktorého ocenenie sa rovná alebo je nižšie ako 2400 € s dobou použiteľnosti dlhšou ako jeden rok sa účtuje na ťarchu účtu 518.</w:t>
      </w:r>
    </w:p>
    <w:p w14:paraId="35AE58E3" w14:textId="77777777" w:rsidR="00895EDC" w:rsidRDefault="00895EDC">
      <w:pPr>
        <w:spacing w:after="0" w:line="240" w:lineRule="auto"/>
        <w:jc w:val="both"/>
        <w:rPr>
          <w:rFonts w:ascii="Times New Roman" w:eastAsia="Times New Roman" w:hAnsi="Times New Roman" w:cs="Times New Roman"/>
          <w:sz w:val="24"/>
        </w:rPr>
      </w:pPr>
    </w:p>
    <w:p w14:paraId="35AE58E4"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14:paraId="35AE58E5" w14:textId="77777777" w:rsidR="00895EDC" w:rsidRDefault="00895EDC">
      <w:pPr>
        <w:spacing w:after="0" w:line="240" w:lineRule="auto"/>
        <w:jc w:val="both"/>
        <w:rPr>
          <w:rFonts w:ascii="Times New Roman" w:eastAsia="Times New Roman" w:hAnsi="Times New Roman" w:cs="Times New Roman"/>
          <w:sz w:val="24"/>
        </w:rPr>
      </w:pPr>
    </w:p>
    <w:p w14:paraId="35AE58E6"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Pozemky ani zásoby sa neodpisujú. </w:t>
      </w:r>
    </w:p>
    <w:p w14:paraId="35AE58E7" w14:textId="77777777" w:rsidR="00895EDC" w:rsidRDefault="00895EDC">
      <w:pPr>
        <w:spacing w:after="0" w:line="240" w:lineRule="auto"/>
        <w:jc w:val="both"/>
        <w:rPr>
          <w:rFonts w:ascii="Times New Roman" w:eastAsia="Times New Roman" w:hAnsi="Times New Roman" w:cs="Times New Roman"/>
          <w:sz w:val="24"/>
        </w:rPr>
      </w:pPr>
    </w:p>
    <w:p w14:paraId="35AE58E8" w14:textId="77777777" w:rsidR="00895EDC" w:rsidRDefault="00895EDC">
      <w:pPr>
        <w:spacing w:after="0" w:line="240" w:lineRule="auto"/>
        <w:jc w:val="both"/>
        <w:rPr>
          <w:rFonts w:ascii="Times New Roman" w:eastAsia="Times New Roman" w:hAnsi="Times New Roman" w:cs="Times New Roman"/>
          <w:sz w:val="24"/>
        </w:rPr>
      </w:pPr>
    </w:p>
    <w:p w14:paraId="35AE58E9" w14:textId="77777777" w:rsidR="00895EDC" w:rsidRDefault="00895EDC">
      <w:pPr>
        <w:spacing w:after="0" w:line="240" w:lineRule="auto"/>
        <w:jc w:val="both"/>
        <w:rPr>
          <w:rFonts w:ascii="Times New Roman" w:eastAsia="Times New Roman" w:hAnsi="Times New Roman" w:cs="Times New Roman"/>
          <w:sz w:val="24"/>
        </w:rPr>
      </w:pPr>
    </w:p>
    <w:p w14:paraId="35AE58EA" w14:textId="77777777" w:rsidR="00895EDC" w:rsidRDefault="00895EDC">
      <w:pPr>
        <w:spacing w:after="0" w:line="240" w:lineRule="auto"/>
        <w:jc w:val="both"/>
        <w:rPr>
          <w:rFonts w:ascii="Times New Roman" w:eastAsia="Times New Roman" w:hAnsi="Times New Roman" w:cs="Times New Roman"/>
          <w:sz w:val="24"/>
        </w:rPr>
      </w:pPr>
    </w:p>
    <w:p w14:paraId="35AE58EB" w14:textId="77777777" w:rsidR="00895EDC" w:rsidRDefault="00895EDC">
      <w:pPr>
        <w:spacing w:after="0" w:line="240" w:lineRule="auto"/>
        <w:jc w:val="both"/>
        <w:rPr>
          <w:rFonts w:ascii="Times New Roman" w:eastAsia="Times New Roman" w:hAnsi="Times New Roman" w:cs="Times New Roman"/>
          <w:sz w:val="24"/>
        </w:rPr>
      </w:pPr>
    </w:p>
    <w:p w14:paraId="35AE58EC" w14:textId="77777777" w:rsidR="00895EDC" w:rsidRDefault="00895EDC">
      <w:pPr>
        <w:spacing w:after="0" w:line="240" w:lineRule="auto"/>
        <w:jc w:val="both"/>
        <w:rPr>
          <w:rFonts w:ascii="Times New Roman" w:eastAsia="Times New Roman" w:hAnsi="Times New Roman" w:cs="Times New Roman"/>
          <w:sz w:val="24"/>
        </w:rPr>
      </w:pPr>
    </w:p>
    <w:p w14:paraId="35AE58ED"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Poznámky </w:t>
      </w:r>
      <w:proofErr w:type="spellStart"/>
      <w:r>
        <w:rPr>
          <w:rFonts w:ascii="Times New Roman" w:eastAsia="Times New Roman" w:hAnsi="Times New Roman" w:cs="Times New Roman"/>
          <w:sz w:val="24"/>
        </w:rPr>
        <w:t>Úč</w:t>
      </w:r>
      <w:proofErr w:type="spellEnd"/>
      <w:r>
        <w:rPr>
          <w:rFonts w:ascii="Times New Roman" w:eastAsia="Times New Roman" w:hAnsi="Times New Roman" w:cs="Times New Roman"/>
          <w:sz w:val="24"/>
        </w:rPr>
        <w:t xml:space="preserve">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IČO:  47572264</w:t>
      </w:r>
    </w:p>
    <w:p w14:paraId="35AE58EE"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DIČ:  2023968573</w:t>
      </w:r>
    </w:p>
    <w:p w14:paraId="35AE58EF" w14:textId="77777777" w:rsidR="00895EDC" w:rsidRDefault="00895EDC">
      <w:pPr>
        <w:spacing w:after="0" w:line="240" w:lineRule="auto"/>
        <w:jc w:val="both"/>
        <w:rPr>
          <w:rFonts w:ascii="Times New Roman" w:eastAsia="Times New Roman" w:hAnsi="Times New Roman" w:cs="Times New Roman"/>
          <w:sz w:val="24"/>
        </w:rPr>
      </w:pPr>
    </w:p>
    <w:p w14:paraId="35AE58F0" w14:textId="77777777" w:rsidR="00895EDC" w:rsidRDefault="00895EDC">
      <w:pPr>
        <w:spacing w:after="0" w:line="240" w:lineRule="auto"/>
        <w:jc w:val="both"/>
        <w:rPr>
          <w:rFonts w:ascii="Times New Roman" w:eastAsia="Times New Roman" w:hAnsi="Times New Roman" w:cs="Times New Roman"/>
          <w:sz w:val="24"/>
        </w:rPr>
      </w:pPr>
    </w:p>
    <w:p w14:paraId="35AE58F1" w14:textId="77777777" w:rsidR="00895EDC" w:rsidRDefault="00895EDC">
      <w:pPr>
        <w:spacing w:after="0" w:line="240" w:lineRule="auto"/>
        <w:jc w:val="both"/>
        <w:rPr>
          <w:rFonts w:ascii="Times New Roman" w:eastAsia="Times New Roman" w:hAnsi="Times New Roman" w:cs="Times New Roman"/>
          <w:sz w:val="24"/>
        </w:rPr>
      </w:pPr>
    </w:p>
    <w:p w14:paraId="35AE58F2"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Predpokladaná doba </w:t>
      </w:r>
      <w:r>
        <w:rPr>
          <w:rFonts w:ascii="Times New Roman" w:eastAsia="Times New Roman" w:hAnsi="Times New Roman" w:cs="Times New Roman"/>
          <w:sz w:val="24"/>
        </w:rPr>
        <w:t>používania, metóda odpisovania a odpisová sadzba sú uvedené v nasledujúcej tabuľke:</w:t>
      </w:r>
    </w:p>
    <w:p w14:paraId="35AE58F3" w14:textId="77777777" w:rsidR="00895EDC" w:rsidRDefault="00895EDC">
      <w:pPr>
        <w:spacing w:after="0" w:line="240" w:lineRule="auto"/>
        <w:jc w:val="both"/>
        <w:rPr>
          <w:rFonts w:ascii="Times New Roman" w:eastAsia="Times New Roman" w:hAnsi="Times New Roman" w:cs="Times New Roman"/>
          <w:sz w:val="24"/>
        </w:rPr>
      </w:pPr>
    </w:p>
    <w:p w14:paraId="35AE58F4" w14:textId="77777777" w:rsidR="00895EDC" w:rsidRDefault="00895EDC">
      <w:pPr>
        <w:spacing w:after="0" w:line="240" w:lineRule="auto"/>
        <w:rPr>
          <w:rFonts w:ascii="Arial Narrow" w:eastAsia="Arial Narrow" w:hAnsi="Arial Narrow" w:cs="Arial Narrow"/>
          <w:b/>
        </w:rPr>
      </w:pPr>
    </w:p>
    <w:tbl>
      <w:tblPr>
        <w:tblW w:w="9043" w:type="dxa"/>
        <w:jc w:val="center"/>
        <w:tblLayout w:type="fixed"/>
        <w:tblCellMar>
          <w:left w:w="93" w:type="dxa"/>
        </w:tblCellMar>
        <w:tblLook w:val="0000" w:firstRow="0" w:lastRow="0" w:firstColumn="0" w:lastColumn="0" w:noHBand="0" w:noVBand="0"/>
      </w:tblPr>
      <w:tblGrid>
        <w:gridCol w:w="3062"/>
        <w:gridCol w:w="1994"/>
        <w:gridCol w:w="2010"/>
        <w:gridCol w:w="1977"/>
      </w:tblGrid>
      <w:tr w:rsidR="00895EDC" w14:paraId="35AE58F9" w14:textId="77777777">
        <w:trPr>
          <w:trHeight w:val="1"/>
          <w:jc w:val="center"/>
        </w:trPr>
        <w:tc>
          <w:tcPr>
            <w:tcW w:w="3061"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8F5" w14:textId="77777777" w:rsidR="00895EDC" w:rsidRDefault="00C33950">
            <w:pPr>
              <w:widowControl w:val="0"/>
              <w:spacing w:after="0" w:line="240" w:lineRule="auto"/>
              <w:jc w:val="center"/>
            </w:pPr>
            <w:r>
              <w:rPr>
                <w:rFonts w:ascii="Arial Narrow" w:eastAsia="Arial Narrow" w:hAnsi="Arial Narrow" w:cs="Arial Narrow"/>
                <w:b/>
              </w:rPr>
              <w:t>Názov položky</w:t>
            </w:r>
          </w:p>
        </w:tc>
        <w:tc>
          <w:tcPr>
            <w:tcW w:w="1994"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8F6" w14:textId="77777777" w:rsidR="00895EDC" w:rsidRDefault="00C33950">
            <w:pPr>
              <w:widowControl w:val="0"/>
              <w:spacing w:after="0" w:line="240" w:lineRule="auto"/>
              <w:jc w:val="center"/>
            </w:pPr>
            <w:r>
              <w:rPr>
                <w:rFonts w:ascii="Arial Narrow" w:eastAsia="Arial Narrow" w:hAnsi="Arial Narrow" w:cs="Arial Narrow"/>
                <w:b/>
              </w:rPr>
              <w:t>Doba odpisovania</w:t>
            </w:r>
          </w:p>
        </w:tc>
        <w:tc>
          <w:tcPr>
            <w:tcW w:w="2010"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8F7" w14:textId="77777777" w:rsidR="00895EDC" w:rsidRDefault="00C33950">
            <w:pPr>
              <w:widowControl w:val="0"/>
              <w:spacing w:after="0" w:line="240" w:lineRule="auto"/>
              <w:jc w:val="center"/>
            </w:pPr>
            <w:r>
              <w:rPr>
                <w:rFonts w:ascii="Arial Narrow" w:eastAsia="Arial Narrow" w:hAnsi="Arial Narrow" w:cs="Arial Narrow"/>
                <w:b/>
              </w:rPr>
              <w:t>Sadzba odpisov</w:t>
            </w:r>
          </w:p>
        </w:tc>
        <w:tc>
          <w:tcPr>
            <w:tcW w:w="1977"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8F8" w14:textId="77777777" w:rsidR="00895EDC" w:rsidRDefault="00C33950">
            <w:pPr>
              <w:widowControl w:val="0"/>
              <w:spacing w:after="0" w:line="240" w:lineRule="auto"/>
              <w:jc w:val="center"/>
            </w:pPr>
            <w:r>
              <w:rPr>
                <w:rFonts w:ascii="Arial Narrow" w:eastAsia="Arial Narrow" w:hAnsi="Arial Narrow" w:cs="Arial Narrow"/>
                <w:b/>
              </w:rPr>
              <w:t>Odpisová metóda</w:t>
            </w:r>
          </w:p>
        </w:tc>
      </w:tr>
      <w:tr w:rsidR="00895EDC" w14:paraId="35AE58FE" w14:textId="77777777">
        <w:trPr>
          <w:jc w:val="center"/>
        </w:trPr>
        <w:tc>
          <w:tcPr>
            <w:tcW w:w="3061"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8FA" w14:textId="77777777" w:rsidR="00895EDC" w:rsidRDefault="00C33950">
            <w:pPr>
              <w:widowControl w:val="0"/>
              <w:spacing w:after="0" w:line="240" w:lineRule="auto"/>
              <w:jc w:val="center"/>
            </w:pPr>
            <w:r>
              <w:rPr>
                <w:rFonts w:ascii="Arial Narrow" w:eastAsia="Arial Narrow" w:hAnsi="Arial Narrow" w:cs="Arial Narrow"/>
              </w:rPr>
              <w:t>a</w:t>
            </w:r>
          </w:p>
        </w:tc>
        <w:tc>
          <w:tcPr>
            <w:tcW w:w="1994"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8FB" w14:textId="77777777" w:rsidR="00895EDC" w:rsidRDefault="00C33950">
            <w:pPr>
              <w:widowControl w:val="0"/>
              <w:spacing w:after="0" w:line="240" w:lineRule="auto"/>
              <w:jc w:val="center"/>
            </w:pPr>
            <w:r>
              <w:rPr>
                <w:rFonts w:ascii="Arial Narrow" w:eastAsia="Arial Narrow" w:hAnsi="Arial Narrow" w:cs="Arial Narrow"/>
              </w:rPr>
              <w:t>b</w:t>
            </w:r>
          </w:p>
        </w:tc>
        <w:tc>
          <w:tcPr>
            <w:tcW w:w="2010"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8FC" w14:textId="77777777" w:rsidR="00895EDC" w:rsidRDefault="00C33950">
            <w:pPr>
              <w:widowControl w:val="0"/>
              <w:spacing w:after="0" w:line="240" w:lineRule="auto"/>
              <w:jc w:val="center"/>
            </w:pPr>
            <w:r>
              <w:rPr>
                <w:rFonts w:ascii="Arial Narrow" w:eastAsia="Arial Narrow" w:hAnsi="Arial Narrow" w:cs="Arial Narrow"/>
              </w:rPr>
              <w:t>c</w:t>
            </w:r>
          </w:p>
        </w:tc>
        <w:tc>
          <w:tcPr>
            <w:tcW w:w="1977"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8FD" w14:textId="77777777" w:rsidR="00895EDC" w:rsidRDefault="00C33950">
            <w:pPr>
              <w:widowControl w:val="0"/>
              <w:spacing w:after="0" w:line="240" w:lineRule="auto"/>
              <w:jc w:val="center"/>
            </w:pPr>
            <w:r>
              <w:rPr>
                <w:rFonts w:ascii="Arial Narrow" w:eastAsia="Arial Narrow" w:hAnsi="Arial Narrow" w:cs="Arial Narrow"/>
              </w:rPr>
              <w:t>d</w:t>
            </w:r>
          </w:p>
        </w:tc>
      </w:tr>
      <w:tr w:rsidR="00895EDC" w14:paraId="35AE5900" w14:textId="77777777">
        <w:trPr>
          <w:trHeight w:val="1"/>
          <w:jc w:val="center"/>
        </w:trPr>
        <w:tc>
          <w:tcPr>
            <w:tcW w:w="9042" w:type="dxa"/>
            <w:gridSpan w:val="4"/>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8FF" w14:textId="77777777" w:rsidR="00895EDC" w:rsidRDefault="00C33950">
            <w:pPr>
              <w:widowControl w:val="0"/>
              <w:spacing w:after="0" w:line="240" w:lineRule="auto"/>
            </w:pPr>
            <w:r>
              <w:rPr>
                <w:rFonts w:ascii="Times New Roman" w:eastAsia="Times New Roman" w:hAnsi="Times New Roman" w:cs="Times New Roman"/>
                <w:b/>
                <w:sz w:val="24"/>
              </w:rPr>
              <w:t>Druh majetku</w:t>
            </w:r>
          </w:p>
        </w:tc>
      </w:tr>
      <w:tr w:rsidR="00895EDC" w14:paraId="35AE5905" w14:textId="77777777">
        <w:trPr>
          <w:trHeight w:val="1"/>
          <w:jc w:val="center"/>
        </w:trPr>
        <w:tc>
          <w:tcPr>
            <w:tcW w:w="3061"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901" w14:textId="77777777" w:rsidR="00895EDC" w:rsidRDefault="00C33950">
            <w:pPr>
              <w:widowControl w:val="0"/>
              <w:spacing w:after="0" w:line="240" w:lineRule="auto"/>
            </w:pPr>
            <w:r>
              <w:rPr>
                <w:rFonts w:ascii="Times New Roman" w:eastAsia="Times New Roman" w:hAnsi="Times New Roman" w:cs="Times New Roman"/>
                <w:sz w:val="24"/>
              </w:rPr>
              <w:t>Dlhodobý nehmotný majetok</w:t>
            </w:r>
          </w:p>
        </w:tc>
        <w:tc>
          <w:tcPr>
            <w:tcW w:w="1994"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902" w14:textId="77777777" w:rsidR="00895EDC" w:rsidRDefault="00C33950">
            <w:pPr>
              <w:widowControl w:val="0"/>
              <w:spacing w:after="0" w:line="240" w:lineRule="auto"/>
              <w:jc w:val="center"/>
            </w:pPr>
            <w:r>
              <w:rPr>
                <w:rFonts w:ascii="Times New Roman" w:eastAsia="Times New Roman" w:hAnsi="Times New Roman" w:cs="Times New Roman"/>
                <w:sz w:val="24"/>
              </w:rPr>
              <w:t>2 – 4 roky</w:t>
            </w:r>
          </w:p>
        </w:tc>
        <w:tc>
          <w:tcPr>
            <w:tcW w:w="2010"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903" w14:textId="77777777" w:rsidR="00895EDC" w:rsidRDefault="00C33950">
            <w:pPr>
              <w:widowControl w:val="0"/>
              <w:spacing w:after="0" w:line="240" w:lineRule="auto"/>
              <w:jc w:val="center"/>
            </w:pPr>
            <w:r>
              <w:rPr>
                <w:rFonts w:ascii="Times New Roman" w:eastAsia="Times New Roman" w:hAnsi="Times New Roman" w:cs="Times New Roman"/>
                <w:sz w:val="24"/>
              </w:rPr>
              <w:t xml:space="preserve">Podľa doby použiteľnosti. Účtovné </w:t>
            </w:r>
            <w:r>
              <w:rPr>
                <w:rFonts w:ascii="Times New Roman" w:eastAsia="Times New Roman" w:hAnsi="Times New Roman" w:cs="Times New Roman"/>
                <w:sz w:val="24"/>
              </w:rPr>
              <w:t>a daňové odpisy sa rovnajú</w:t>
            </w:r>
          </w:p>
        </w:tc>
        <w:tc>
          <w:tcPr>
            <w:tcW w:w="1977"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904" w14:textId="77777777" w:rsidR="00895EDC" w:rsidRDefault="00C33950">
            <w:pPr>
              <w:widowControl w:val="0"/>
              <w:spacing w:after="0" w:line="240" w:lineRule="auto"/>
              <w:jc w:val="center"/>
            </w:pPr>
            <w:r>
              <w:rPr>
                <w:rFonts w:ascii="Times New Roman" w:eastAsia="Times New Roman" w:hAnsi="Times New Roman" w:cs="Times New Roman"/>
                <w:sz w:val="24"/>
              </w:rPr>
              <w:t>Lineárne</w:t>
            </w:r>
          </w:p>
        </w:tc>
      </w:tr>
      <w:tr w:rsidR="00895EDC" w14:paraId="35AE590A" w14:textId="77777777">
        <w:trPr>
          <w:trHeight w:val="1"/>
          <w:jc w:val="center"/>
        </w:trPr>
        <w:tc>
          <w:tcPr>
            <w:tcW w:w="3061"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906" w14:textId="77777777" w:rsidR="00895EDC" w:rsidRDefault="00C33950">
            <w:pPr>
              <w:widowControl w:val="0"/>
              <w:spacing w:after="0" w:line="240" w:lineRule="auto"/>
            </w:pPr>
            <w:r>
              <w:rPr>
                <w:rFonts w:ascii="Times New Roman" w:eastAsia="Times New Roman" w:hAnsi="Times New Roman" w:cs="Times New Roman"/>
                <w:sz w:val="24"/>
              </w:rPr>
              <w:t>Dlhodobý hmotný majetok</w:t>
            </w:r>
          </w:p>
        </w:tc>
        <w:tc>
          <w:tcPr>
            <w:tcW w:w="1994"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907" w14:textId="77777777" w:rsidR="00895EDC" w:rsidRDefault="00C33950">
            <w:pPr>
              <w:widowControl w:val="0"/>
              <w:spacing w:after="0" w:line="240" w:lineRule="auto"/>
              <w:jc w:val="center"/>
            </w:pPr>
            <w:r>
              <w:rPr>
                <w:rFonts w:ascii="Times New Roman" w:eastAsia="Times New Roman" w:hAnsi="Times New Roman" w:cs="Times New Roman"/>
                <w:sz w:val="24"/>
              </w:rPr>
              <w:t>4, 6, 8, 12, 20, 40</w:t>
            </w:r>
          </w:p>
        </w:tc>
        <w:tc>
          <w:tcPr>
            <w:tcW w:w="2010"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908" w14:textId="77777777" w:rsidR="00895EDC" w:rsidRDefault="00C33950">
            <w:pPr>
              <w:widowControl w:val="0"/>
              <w:spacing w:after="0" w:line="240" w:lineRule="auto"/>
              <w:jc w:val="center"/>
            </w:pPr>
            <w:r>
              <w:rPr>
                <w:rFonts w:ascii="Times New Roman" w:eastAsia="Times New Roman" w:hAnsi="Times New Roman" w:cs="Times New Roman"/>
                <w:sz w:val="24"/>
              </w:rPr>
              <w:t>1/4, 1/6, 1/8, 1/12, 1/20, 1/40</w:t>
            </w:r>
          </w:p>
        </w:tc>
        <w:tc>
          <w:tcPr>
            <w:tcW w:w="1977"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909" w14:textId="77777777" w:rsidR="00895EDC" w:rsidRDefault="00C33950">
            <w:pPr>
              <w:widowControl w:val="0"/>
              <w:spacing w:after="0" w:line="240" w:lineRule="auto"/>
              <w:jc w:val="center"/>
            </w:pPr>
            <w:r>
              <w:rPr>
                <w:rFonts w:ascii="Times New Roman" w:eastAsia="Times New Roman" w:hAnsi="Times New Roman" w:cs="Times New Roman"/>
                <w:sz w:val="24"/>
              </w:rPr>
              <w:t>Lineárne</w:t>
            </w:r>
          </w:p>
        </w:tc>
      </w:tr>
      <w:tr w:rsidR="00895EDC" w14:paraId="35AE590F" w14:textId="77777777">
        <w:trPr>
          <w:trHeight w:val="1"/>
          <w:jc w:val="center"/>
        </w:trPr>
        <w:tc>
          <w:tcPr>
            <w:tcW w:w="3061"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90B" w14:textId="77777777" w:rsidR="00895EDC" w:rsidRDefault="00C33950">
            <w:pPr>
              <w:widowControl w:val="0"/>
              <w:spacing w:after="0" w:line="240" w:lineRule="auto"/>
            </w:pPr>
            <w:r>
              <w:rPr>
                <w:rFonts w:ascii="Times New Roman" w:eastAsia="Times New Roman" w:hAnsi="Times New Roman" w:cs="Times New Roman"/>
                <w:sz w:val="24"/>
              </w:rPr>
              <w:t>Majetok obstaraný na finančný leasing</w:t>
            </w:r>
          </w:p>
        </w:tc>
        <w:tc>
          <w:tcPr>
            <w:tcW w:w="1994"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90C" w14:textId="77777777" w:rsidR="00895EDC" w:rsidRDefault="00C33950">
            <w:pPr>
              <w:widowControl w:val="0"/>
              <w:spacing w:after="0" w:line="240" w:lineRule="auto"/>
              <w:jc w:val="center"/>
            </w:pPr>
            <w:r>
              <w:rPr>
                <w:rFonts w:ascii="Times New Roman" w:eastAsia="Times New Roman" w:hAnsi="Times New Roman" w:cs="Times New Roman"/>
                <w:sz w:val="24"/>
              </w:rPr>
              <w:t>4, 6, 8, 12, 20, 40</w:t>
            </w:r>
          </w:p>
        </w:tc>
        <w:tc>
          <w:tcPr>
            <w:tcW w:w="2010"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90D" w14:textId="77777777" w:rsidR="00895EDC" w:rsidRDefault="00C33950">
            <w:pPr>
              <w:widowControl w:val="0"/>
              <w:spacing w:after="0" w:line="240" w:lineRule="auto"/>
              <w:jc w:val="center"/>
            </w:pPr>
            <w:r>
              <w:rPr>
                <w:rFonts w:ascii="Times New Roman" w:eastAsia="Times New Roman" w:hAnsi="Times New Roman" w:cs="Times New Roman"/>
                <w:sz w:val="24"/>
              </w:rPr>
              <w:t>1/4, 1/6, 1/8, 1/12, 1/20, 1/40</w:t>
            </w:r>
          </w:p>
        </w:tc>
        <w:tc>
          <w:tcPr>
            <w:tcW w:w="1977" w:type="dxa"/>
            <w:tcBorders>
              <w:top w:val="single" w:sz="12" w:space="0" w:color="000001"/>
              <w:left w:val="single" w:sz="12" w:space="0" w:color="000001"/>
              <w:bottom w:val="single" w:sz="12" w:space="0" w:color="000001"/>
              <w:right w:val="single" w:sz="12" w:space="0" w:color="000001"/>
            </w:tcBorders>
            <w:shd w:val="clear" w:color="000000" w:fill="FFFFFF"/>
            <w:vAlign w:val="center"/>
          </w:tcPr>
          <w:p w14:paraId="35AE590E" w14:textId="77777777" w:rsidR="00895EDC" w:rsidRDefault="00C33950">
            <w:pPr>
              <w:widowControl w:val="0"/>
              <w:spacing w:after="0" w:line="240" w:lineRule="auto"/>
              <w:jc w:val="center"/>
            </w:pPr>
            <w:r>
              <w:rPr>
                <w:rFonts w:ascii="Times New Roman" w:eastAsia="Times New Roman" w:hAnsi="Times New Roman" w:cs="Times New Roman"/>
                <w:sz w:val="24"/>
              </w:rPr>
              <w:t>Lineárne</w:t>
            </w:r>
          </w:p>
        </w:tc>
      </w:tr>
      <w:tr w:rsidR="00895EDC" w14:paraId="35AE5914" w14:textId="77777777">
        <w:trPr>
          <w:trHeight w:val="1"/>
          <w:jc w:val="center"/>
        </w:trPr>
        <w:tc>
          <w:tcPr>
            <w:tcW w:w="3061" w:type="dxa"/>
            <w:tcBorders>
              <w:top w:val="single" w:sz="12" w:space="0" w:color="000001"/>
              <w:left w:val="single" w:sz="12" w:space="0" w:color="000001"/>
              <w:bottom w:val="single" w:sz="6" w:space="0" w:color="000001"/>
              <w:right w:val="single" w:sz="12" w:space="0" w:color="000001"/>
            </w:tcBorders>
            <w:shd w:val="clear" w:color="000000" w:fill="FFFFFF"/>
            <w:vAlign w:val="center"/>
          </w:tcPr>
          <w:p w14:paraId="35AE5910" w14:textId="77777777" w:rsidR="00895EDC" w:rsidRDefault="00C33950">
            <w:pPr>
              <w:widowControl w:val="0"/>
              <w:spacing w:after="0" w:line="240" w:lineRule="auto"/>
            </w:pPr>
            <w:r>
              <w:rPr>
                <w:rFonts w:ascii="Times New Roman" w:eastAsia="Times New Roman" w:hAnsi="Times New Roman" w:cs="Times New Roman"/>
                <w:sz w:val="24"/>
              </w:rPr>
              <w:t>Iný majetok</w:t>
            </w:r>
          </w:p>
        </w:tc>
        <w:tc>
          <w:tcPr>
            <w:tcW w:w="1994" w:type="dxa"/>
            <w:tcBorders>
              <w:top w:val="single" w:sz="12" w:space="0" w:color="000001"/>
              <w:left w:val="single" w:sz="12" w:space="0" w:color="000001"/>
              <w:bottom w:val="single" w:sz="6" w:space="0" w:color="000001"/>
              <w:right w:val="single" w:sz="12" w:space="0" w:color="000001"/>
            </w:tcBorders>
            <w:shd w:val="clear" w:color="000000" w:fill="FFFFFF"/>
            <w:vAlign w:val="center"/>
          </w:tcPr>
          <w:p w14:paraId="35AE5911" w14:textId="77777777" w:rsidR="00895EDC" w:rsidRDefault="00C33950">
            <w:pPr>
              <w:widowControl w:val="0"/>
              <w:spacing w:after="0" w:line="240" w:lineRule="auto"/>
              <w:jc w:val="center"/>
            </w:pPr>
            <w:r>
              <w:rPr>
                <w:rFonts w:ascii="Times New Roman" w:eastAsia="Times New Roman" w:hAnsi="Times New Roman" w:cs="Times New Roman"/>
                <w:sz w:val="24"/>
              </w:rPr>
              <w:t>Doba trvania</w:t>
            </w:r>
          </w:p>
        </w:tc>
        <w:tc>
          <w:tcPr>
            <w:tcW w:w="2010" w:type="dxa"/>
            <w:tcBorders>
              <w:top w:val="single" w:sz="12" w:space="0" w:color="000001"/>
              <w:left w:val="single" w:sz="12" w:space="0" w:color="000001"/>
              <w:bottom w:val="single" w:sz="6" w:space="0" w:color="000001"/>
              <w:right w:val="single" w:sz="12" w:space="0" w:color="000001"/>
            </w:tcBorders>
            <w:shd w:val="clear" w:color="000000" w:fill="FFFFFF"/>
            <w:vAlign w:val="center"/>
          </w:tcPr>
          <w:p w14:paraId="35AE5912" w14:textId="77777777" w:rsidR="00895EDC" w:rsidRDefault="00C33950">
            <w:pPr>
              <w:widowControl w:val="0"/>
              <w:spacing w:after="0" w:line="240" w:lineRule="auto"/>
              <w:jc w:val="center"/>
            </w:pPr>
            <w:r>
              <w:rPr>
                <w:rFonts w:ascii="Times New Roman" w:eastAsia="Times New Roman" w:hAnsi="Times New Roman" w:cs="Times New Roman"/>
                <w:sz w:val="24"/>
              </w:rPr>
              <w:t>Vstupná cena : doba trvania</w:t>
            </w:r>
          </w:p>
        </w:tc>
        <w:tc>
          <w:tcPr>
            <w:tcW w:w="1977" w:type="dxa"/>
            <w:tcBorders>
              <w:top w:val="single" w:sz="12" w:space="0" w:color="000001"/>
              <w:left w:val="single" w:sz="12" w:space="0" w:color="000001"/>
              <w:bottom w:val="single" w:sz="6" w:space="0" w:color="000001"/>
              <w:right w:val="single" w:sz="12" w:space="0" w:color="000001"/>
            </w:tcBorders>
            <w:shd w:val="clear" w:color="000000" w:fill="FFFFFF"/>
            <w:vAlign w:val="center"/>
          </w:tcPr>
          <w:p w14:paraId="35AE5913" w14:textId="77777777" w:rsidR="00895EDC" w:rsidRDefault="00C33950">
            <w:pPr>
              <w:widowControl w:val="0"/>
              <w:spacing w:after="0" w:line="240" w:lineRule="auto"/>
              <w:jc w:val="center"/>
            </w:pPr>
            <w:r>
              <w:rPr>
                <w:rFonts w:ascii="Times New Roman" w:eastAsia="Times New Roman" w:hAnsi="Times New Roman" w:cs="Times New Roman"/>
                <w:sz w:val="24"/>
              </w:rPr>
              <w:t>Lineárne</w:t>
            </w:r>
          </w:p>
        </w:tc>
      </w:tr>
      <w:tr w:rsidR="00895EDC" w14:paraId="35AE5919" w14:textId="77777777">
        <w:trPr>
          <w:jc w:val="center"/>
        </w:trPr>
        <w:tc>
          <w:tcPr>
            <w:tcW w:w="3061" w:type="dxa"/>
            <w:tcBorders>
              <w:top w:val="single" w:sz="6" w:space="0" w:color="000001"/>
              <w:left w:val="single" w:sz="12" w:space="0" w:color="000001"/>
              <w:bottom w:val="single" w:sz="12" w:space="0" w:color="000001"/>
              <w:right w:val="single" w:sz="12" w:space="0" w:color="000001"/>
            </w:tcBorders>
            <w:shd w:val="clear" w:color="000000" w:fill="FFFFFF"/>
            <w:vAlign w:val="center"/>
          </w:tcPr>
          <w:p w14:paraId="35AE5915" w14:textId="77777777" w:rsidR="00895EDC" w:rsidRDefault="00C33950">
            <w:pPr>
              <w:widowControl w:val="0"/>
              <w:spacing w:after="0" w:line="240" w:lineRule="auto"/>
            </w:pPr>
            <w:r>
              <w:rPr>
                <w:rFonts w:ascii="Times New Roman" w:eastAsia="Times New Roman" w:hAnsi="Times New Roman" w:cs="Times New Roman"/>
                <w:sz w:val="24"/>
              </w:rPr>
              <w:t>Drobný hmotný majetok</w:t>
            </w:r>
          </w:p>
        </w:tc>
        <w:tc>
          <w:tcPr>
            <w:tcW w:w="1994" w:type="dxa"/>
            <w:tcBorders>
              <w:top w:val="single" w:sz="6" w:space="0" w:color="000001"/>
              <w:left w:val="single" w:sz="12" w:space="0" w:color="000001"/>
              <w:bottom w:val="single" w:sz="12" w:space="0" w:color="000001"/>
              <w:right w:val="single" w:sz="12" w:space="0" w:color="000001"/>
            </w:tcBorders>
            <w:shd w:val="clear" w:color="000000" w:fill="FFFFFF"/>
            <w:vAlign w:val="center"/>
          </w:tcPr>
          <w:p w14:paraId="35AE5916" w14:textId="77777777" w:rsidR="00895EDC" w:rsidRDefault="00C33950">
            <w:pPr>
              <w:widowControl w:val="0"/>
              <w:spacing w:after="0" w:line="240" w:lineRule="auto"/>
              <w:jc w:val="center"/>
            </w:pPr>
            <w:r>
              <w:rPr>
                <w:rFonts w:ascii="Times New Roman" w:eastAsia="Times New Roman" w:hAnsi="Times New Roman" w:cs="Times New Roman"/>
                <w:sz w:val="24"/>
              </w:rPr>
              <w:t>4 roky</w:t>
            </w:r>
          </w:p>
        </w:tc>
        <w:tc>
          <w:tcPr>
            <w:tcW w:w="2010" w:type="dxa"/>
            <w:tcBorders>
              <w:top w:val="single" w:sz="6" w:space="0" w:color="000001"/>
              <w:left w:val="single" w:sz="12" w:space="0" w:color="000001"/>
              <w:bottom w:val="single" w:sz="12" w:space="0" w:color="000001"/>
              <w:right w:val="single" w:sz="12" w:space="0" w:color="000001"/>
            </w:tcBorders>
            <w:shd w:val="clear" w:color="000000" w:fill="FFFFFF"/>
            <w:vAlign w:val="center"/>
          </w:tcPr>
          <w:p w14:paraId="35AE5917" w14:textId="77777777" w:rsidR="00895EDC" w:rsidRDefault="00C33950">
            <w:pPr>
              <w:widowControl w:val="0"/>
              <w:spacing w:after="0" w:line="240" w:lineRule="auto"/>
              <w:jc w:val="center"/>
            </w:pPr>
            <w:r>
              <w:rPr>
                <w:rFonts w:ascii="Times New Roman" w:eastAsia="Times New Roman" w:hAnsi="Times New Roman" w:cs="Times New Roman"/>
                <w:sz w:val="24"/>
              </w:rPr>
              <w:t>1/4</w:t>
            </w:r>
          </w:p>
        </w:tc>
        <w:tc>
          <w:tcPr>
            <w:tcW w:w="1977" w:type="dxa"/>
            <w:tcBorders>
              <w:top w:val="single" w:sz="6" w:space="0" w:color="000001"/>
              <w:left w:val="single" w:sz="12" w:space="0" w:color="000001"/>
              <w:bottom w:val="single" w:sz="12" w:space="0" w:color="000001"/>
              <w:right w:val="single" w:sz="12" w:space="0" w:color="000001"/>
            </w:tcBorders>
            <w:shd w:val="clear" w:color="000000" w:fill="FFFFFF"/>
            <w:vAlign w:val="center"/>
          </w:tcPr>
          <w:p w14:paraId="35AE5918" w14:textId="77777777" w:rsidR="00895EDC" w:rsidRDefault="00C33950">
            <w:pPr>
              <w:widowControl w:val="0"/>
              <w:spacing w:after="0" w:line="240" w:lineRule="auto"/>
              <w:jc w:val="center"/>
            </w:pPr>
            <w:r>
              <w:rPr>
                <w:rFonts w:ascii="Times New Roman" w:eastAsia="Times New Roman" w:hAnsi="Times New Roman" w:cs="Times New Roman"/>
                <w:sz w:val="24"/>
              </w:rPr>
              <w:t>Lineárne</w:t>
            </w:r>
          </w:p>
        </w:tc>
      </w:tr>
    </w:tbl>
    <w:p w14:paraId="35AE591A" w14:textId="77777777" w:rsidR="00895EDC" w:rsidRDefault="00895EDC">
      <w:pPr>
        <w:spacing w:after="0" w:line="240" w:lineRule="auto"/>
        <w:jc w:val="both"/>
        <w:rPr>
          <w:rFonts w:ascii="Times New Roman" w:eastAsia="Times New Roman" w:hAnsi="Times New Roman" w:cs="Times New Roman"/>
          <w:sz w:val="24"/>
        </w:rPr>
      </w:pPr>
    </w:p>
    <w:p w14:paraId="35AE591B" w14:textId="77777777" w:rsidR="00895EDC" w:rsidRDefault="00895EDC">
      <w:pPr>
        <w:spacing w:after="0" w:line="240" w:lineRule="auto"/>
        <w:jc w:val="both"/>
        <w:rPr>
          <w:rFonts w:ascii="Times New Roman" w:eastAsia="Times New Roman" w:hAnsi="Times New Roman" w:cs="Times New Roman"/>
          <w:sz w:val="24"/>
        </w:rPr>
      </w:pPr>
    </w:p>
    <w:p w14:paraId="35AE591C"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b) zásoby :</w:t>
      </w:r>
    </w:p>
    <w:p w14:paraId="35AE591D"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zásoby sa oceňujú nižšou z nasledujúcich hodnôt: obstarávacou cenou (nakupované zásoby) alebo vlastnými nákladmi (zásoby vytvorené vlastnou činnosťou) alebo čistou realizačnou hodnotou. </w:t>
      </w:r>
    </w:p>
    <w:p w14:paraId="35AE591E"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Obstarávacia cena zahŕňa cenu zásob a náklady súvisiace s obstaraním (clo, prepravu, poistné, provízie, skonto a pod.). Úroky z cudzích zdrojov nie sú súčasťou obstarávacej ceny. </w:t>
      </w:r>
    </w:p>
    <w:p w14:paraId="35AE591F"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14:paraId="35AE5920"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Čistá realizačná hodnota je predpokladaná predajná cena znížená o predpokladané náklady na ich dokončenie a o predpokladané náklady súvisiace s ich predajom. </w:t>
      </w:r>
    </w:p>
    <w:p w14:paraId="35AE5921"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Zníženie hodnoty zásob sa upravuje vytvorením opravnej položky. </w:t>
      </w:r>
    </w:p>
    <w:p w14:paraId="35AE5922" w14:textId="77777777" w:rsidR="00895EDC" w:rsidRDefault="00895EDC">
      <w:pPr>
        <w:spacing w:after="0" w:line="240" w:lineRule="auto"/>
        <w:jc w:val="both"/>
        <w:rPr>
          <w:rFonts w:ascii="Times New Roman" w:eastAsia="Times New Roman" w:hAnsi="Times New Roman" w:cs="Times New Roman"/>
          <w:sz w:val="24"/>
        </w:rPr>
      </w:pPr>
    </w:p>
    <w:p w14:paraId="35AE5923"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c) pohľadávky :</w:t>
      </w:r>
    </w:p>
    <w:p w14:paraId="35AE5924"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14:paraId="35AE5925" w14:textId="77777777" w:rsidR="00895EDC" w:rsidRDefault="00895EDC">
      <w:pPr>
        <w:spacing w:after="0" w:line="240" w:lineRule="auto"/>
        <w:jc w:val="both"/>
        <w:rPr>
          <w:rFonts w:ascii="Times New Roman" w:eastAsia="Times New Roman" w:hAnsi="Times New Roman" w:cs="Times New Roman"/>
          <w:sz w:val="24"/>
        </w:rPr>
      </w:pPr>
    </w:p>
    <w:p w14:paraId="35AE5926"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d) peňažné prostriedky a ceniny :</w:t>
      </w:r>
    </w:p>
    <w:p w14:paraId="35AE5927"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peňažné prostriedky a ceniny sa oceňujú ich menovitou hodnotou. Zníženie ich hodnoty sa vyjadruje opravnou položkou. </w:t>
      </w:r>
    </w:p>
    <w:p w14:paraId="35AE5928" w14:textId="77777777" w:rsidR="00895EDC" w:rsidRDefault="00895EDC">
      <w:pPr>
        <w:spacing w:after="0" w:line="240" w:lineRule="auto"/>
        <w:jc w:val="both"/>
        <w:rPr>
          <w:rFonts w:ascii="Times New Roman" w:eastAsia="Times New Roman" w:hAnsi="Times New Roman" w:cs="Times New Roman"/>
          <w:sz w:val="24"/>
        </w:rPr>
      </w:pPr>
    </w:p>
    <w:p w14:paraId="35AE5929" w14:textId="77777777" w:rsidR="00895EDC" w:rsidRDefault="00895EDC">
      <w:pPr>
        <w:spacing w:after="0" w:line="240" w:lineRule="auto"/>
        <w:jc w:val="both"/>
        <w:rPr>
          <w:rFonts w:ascii="Times New Roman" w:eastAsia="Times New Roman" w:hAnsi="Times New Roman" w:cs="Times New Roman"/>
          <w:sz w:val="24"/>
        </w:rPr>
      </w:pPr>
    </w:p>
    <w:p w14:paraId="35AE592A"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Poznámky </w:t>
      </w:r>
      <w:proofErr w:type="spellStart"/>
      <w:r>
        <w:rPr>
          <w:rFonts w:ascii="Times New Roman" w:eastAsia="Times New Roman" w:hAnsi="Times New Roman" w:cs="Times New Roman"/>
          <w:sz w:val="24"/>
        </w:rPr>
        <w:t>Úč</w:t>
      </w:r>
      <w:proofErr w:type="spellEnd"/>
      <w:r>
        <w:rPr>
          <w:rFonts w:ascii="Times New Roman" w:eastAsia="Times New Roman" w:hAnsi="Times New Roman" w:cs="Times New Roman"/>
          <w:sz w:val="24"/>
        </w:rPr>
        <w:t xml:space="preserve">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IČO:  47572264</w:t>
      </w:r>
    </w:p>
    <w:p w14:paraId="35AE592B"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DIČ:  2023968573</w:t>
      </w:r>
    </w:p>
    <w:p w14:paraId="35AE592C"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e) náklady budúcich období a príjmy budúcich období :</w:t>
      </w:r>
    </w:p>
    <w:p w14:paraId="35AE592D"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náklady budúcich období a príjmy budúcich období sa vykazujú vo výške, ktorá je potrebná na dodržanie zásady vecnej a časovej súvislosti s účtovným obdobím.</w:t>
      </w:r>
    </w:p>
    <w:p w14:paraId="35AE592E" w14:textId="77777777" w:rsidR="00895EDC" w:rsidRDefault="00895EDC">
      <w:pPr>
        <w:spacing w:after="0" w:line="240" w:lineRule="auto"/>
        <w:jc w:val="both"/>
        <w:rPr>
          <w:rFonts w:ascii="Times New Roman" w:eastAsia="Times New Roman" w:hAnsi="Times New Roman" w:cs="Times New Roman"/>
          <w:sz w:val="24"/>
        </w:rPr>
      </w:pPr>
    </w:p>
    <w:p w14:paraId="35AE592F"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f) rezervy :</w:t>
      </w:r>
    </w:p>
    <w:p w14:paraId="35AE5930"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rezervy sú záväzky s neurčitým časovým vymedzením alebo výškou; tvoria sa na krytie známych rizík alebo strát z podnikania. Oceňujú sa v očakávanej výške záväzku.</w:t>
      </w:r>
    </w:p>
    <w:p w14:paraId="35AE5931" w14:textId="77777777" w:rsidR="00895EDC" w:rsidRDefault="00895EDC">
      <w:pPr>
        <w:spacing w:after="0" w:line="240" w:lineRule="auto"/>
        <w:jc w:val="both"/>
        <w:rPr>
          <w:rFonts w:ascii="Times New Roman" w:eastAsia="Times New Roman" w:hAnsi="Times New Roman" w:cs="Times New Roman"/>
          <w:sz w:val="24"/>
        </w:rPr>
      </w:pPr>
    </w:p>
    <w:p w14:paraId="35AE5932"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g) záväzky :</w:t>
      </w:r>
    </w:p>
    <w:p w14:paraId="35AE5933"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5AE5934" w14:textId="77777777" w:rsidR="00895EDC" w:rsidRDefault="00895EDC">
      <w:pPr>
        <w:spacing w:after="0" w:line="240" w:lineRule="auto"/>
        <w:jc w:val="both"/>
        <w:rPr>
          <w:rFonts w:ascii="Times New Roman" w:eastAsia="Times New Roman" w:hAnsi="Times New Roman" w:cs="Times New Roman"/>
          <w:sz w:val="24"/>
        </w:rPr>
      </w:pPr>
    </w:p>
    <w:p w14:paraId="35AE5935"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h) odložené dane :</w:t>
      </w:r>
    </w:p>
    <w:p w14:paraId="35AE5936"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odložené dane (odložená daňová pohľadávka a odložený daňový záväzok) sa vzťahujú na: </w:t>
      </w:r>
    </w:p>
    <w:p w14:paraId="35AE5937"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a) dočasné rozdiely medzi účtovnou hodnotou majetku a účtovnou hodnotou záväzkov vykázanou v súvahe a ich daňovou základňou, </w:t>
      </w:r>
    </w:p>
    <w:p w14:paraId="35AE5938"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b) možnosť umorovať daňovú stratu v budúcnosti, ktorou sa rozumie možnosť odpočítať daňovú stratu od základu dane v budúcnosti, </w:t>
      </w:r>
    </w:p>
    <w:p w14:paraId="35AE5939"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c) možnosť previesť nevyužité daňové odpočty a iné daňové nároky do budúcich období. </w:t>
      </w:r>
    </w:p>
    <w:p w14:paraId="35AE593A"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O odloženom daňovom záväzku účtuje spoločnosť vždy, o pohľadávke účtuje, ak je realizovateľná. </w:t>
      </w:r>
    </w:p>
    <w:p w14:paraId="35AE593B" w14:textId="77777777" w:rsidR="00895EDC" w:rsidRDefault="00895EDC">
      <w:pPr>
        <w:spacing w:after="0" w:line="240" w:lineRule="auto"/>
        <w:jc w:val="both"/>
        <w:rPr>
          <w:rFonts w:ascii="Times New Roman" w:eastAsia="Times New Roman" w:hAnsi="Times New Roman" w:cs="Times New Roman"/>
          <w:sz w:val="24"/>
        </w:rPr>
      </w:pPr>
    </w:p>
    <w:p w14:paraId="35AE593C"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i) výdavky budúcich období a výnosy budúcich období :</w:t>
      </w:r>
    </w:p>
    <w:p w14:paraId="35AE593D"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výdavky budúcich období a výnosy budúcich období sa vykazujú vo výške, ktorá je potrebná na dodržanie zásady vecnej a časovej súvislosti s účtovným obdobím. </w:t>
      </w:r>
    </w:p>
    <w:p w14:paraId="35AE593E" w14:textId="77777777" w:rsidR="00895EDC" w:rsidRDefault="00895EDC">
      <w:pPr>
        <w:spacing w:after="0" w:line="240" w:lineRule="auto"/>
        <w:jc w:val="both"/>
        <w:rPr>
          <w:rFonts w:ascii="Times New Roman" w:eastAsia="Times New Roman" w:hAnsi="Times New Roman" w:cs="Times New Roman"/>
          <w:sz w:val="24"/>
        </w:rPr>
      </w:pPr>
    </w:p>
    <w:p w14:paraId="35AE593F"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j) prenájom (lízing) :</w:t>
      </w:r>
    </w:p>
    <w:p w14:paraId="35AE5940"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majetok prenajatý na základe operatívneho prenájmu bez kúpnej opcie je považovaný za operatívny prenájom. Majetok vykazuje ako svoj majetok jeho vlastník, nie nájomca. </w:t>
      </w:r>
    </w:p>
    <w:p w14:paraId="35AE5941"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14:paraId="35AE5942" w14:textId="77777777" w:rsidR="00895EDC" w:rsidRDefault="00895EDC">
      <w:pPr>
        <w:spacing w:after="0" w:line="240" w:lineRule="auto"/>
        <w:jc w:val="both"/>
        <w:rPr>
          <w:rFonts w:ascii="Times New Roman" w:eastAsia="Times New Roman" w:hAnsi="Times New Roman" w:cs="Times New Roman"/>
          <w:sz w:val="24"/>
        </w:rPr>
      </w:pPr>
    </w:p>
    <w:p w14:paraId="35AE5943"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k) cudzia mena :</w:t>
      </w:r>
    </w:p>
    <w:p w14:paraId="35AE5944"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5AE5945"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5AE5946" w14:textId="77777777" w:rsidR="00895EDC" w:rsidRDefault="00895EDC">
      <w:pPr>
        <w:spacing w:after="0" w:line="240" w:lineRule="auto"/>
        <w:jc w:val="both"/>
        <w:rPr>
          <w:rFonts w:ascii="Times New Roman" w:eastAsia="Times New Roman" w:hAnsi="Times New Roman" w:cs="Times New Roman"/>
          <w:sz w:val="24"/>
        </w:rPr>
      </w:pPr>
    </w:p>
    <w:p w14:paraId="35AE5947" w14:textId="77777777" w:rsidR="00895EDC" w:rsidRDefault="00895EDC">
      <w:pPr>
        <w:spacing w:after="0" w:line="240" w:lineRule="auto"/>
        <w:jc w:val="both"/>
        <w:rPr>
          <w:rFonts w:ascii="Times New Roman" w:eastAsia="Times New Roman" w:hAnsi="Times New Roman" w:cs="Times New Roman"/>
          <w:sz w:val="24"/>
        </w:rPr>
      </w:pPr>
    </w:p>
    <w:p w14:paraId="35AE5948"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Poznámky </w:t>
      </w:r>
      <w:proofErr w:type="spellStart"/>
      <w:r>
        <w:rPr>
          <w:rFonts w:ascii="Times New Roman" w:eastAsia="Times New Roman" w:hAnsi="Times New Roman" w:cs="Times New Roman"/>
          <w:sz w:val="24"/>
        </w:rPr>
        <w:t>Úč</w:t>
      </w:r>
      <w:proofErr w:type="spellEnd"/>
      <w:r>
        <w:rPr>
          <w:rFonts w:ascii="Times New Roman" w:eastAsia="Times New Roman" w:hAnsi="Times New Roman" w:cs="Times New Roman"/>
          <w:sz w:val="24"/>
        </w:rPr>
        <w:t xml:space="preserve">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IČO:  47572264</w:t>
      </w:r>
    </w:p>
    <w:p w14:paraId="35AE5949"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DIČ:  2023968573</w:t>
      </w:r>
    </w:p>
    <w:p w14:paraId="35AE594A" w14:textId="77777777" w:rsidR="00895EDC" w:rsidRDefault="00895EDC">
      <w:pPr>
        <w:spacing w:after="0" w:line="240" w:lineRule="auto"/>
        <w:jc w:val="both"/>
        <w:rPr>
          <w:rFonts w:ascii="Times New Roman" w:eastAsia="Times New Roman" w:hAnsi="Times New Roman" w:cs="Times New Roman"/>
          <w:sz w:val="24"/>
        </w:rPr>
      </w:pPr>
    </w:p>
    <w:p w14:paraId="35AE594B"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35AE594C"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Prijaté a poskytnuté preddavky v cudzej mene na účet zriadený v eurách a z účtu zriadeného v eurách sa prepočítavajú na menu euro kurzom, za ktorý boli tieto hodnoty nakúpené alebo predané. </w:t>
      </w:r>
    </w:p>
    <w:p w14:paraId="35AE594D"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Prijaté a poskytnuté preddavky sa ku dňu, ku ktorému sa zostavuje účtovná závierka, na menu euro už neprepočítavajú.</w:t>
      </w:r>
    </w:p>
    <w:p w14:paraId="35AE594E" w14:textId="77777777" w:rsidR="00895EDC" w:rsidRDefault="00895EDC">
      <w:pPr>
        <w:spacing w:after="0" w:line="240" w:lineRule="auto"/>
        <w:jc w:val="both"/>
        <w:rPr>
          <w:rFonts w:ascii="Times New Roman" w:eastAsia="Times New Roman" w:hAnsi="Times New Roman" w:cs="Times New Roman"/>
          <w:sz w:val="24"/>
        </w:rPr>
      </w:pPr>
    </w:p>
    <w:p w14:paraId="35AE594F"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l) výnosy :</w:t>
      </w:r>
    </w:p>
    <w:p w14:paraId="35AE5950"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5AE5951" w14:textId="77777777" w:rsidR="00895EDC" w:rsidRDefault="00895EDC">
      <w:pPr>
        <w:spacing w:after="0" w:line="240" w:lineRule="auto"/>
        <w:jc w:val="both"/>
        <w:rPr>
          <w:rFonts w:ascii="Times New Roman" w:eastAsia="Times New Roman" w:hAnsi="Times New Roman" w:cs="Times New Roman"/>
          <w:sz w:val="24"/>
        </w:rPr>
      </w:pPr>
    </w:p>
    <w:p w14:paraId="35AE5952"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m) náklady:</w:t>
      </w:r>
    </w:p>
    <w:p w14:paraId="35AE5953"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w:t>
      </w:r>
      <w:r>
        <w:rPr>
          <w:rFonts w:ascii="Times New Roman" w:eastAsia="Times New Roman" w:hAnsi="Times New Roman" w:cs="Times New Roman"/>
          <w:sz w:val="24"/>
        </w:rPr>
        <w:t>čtujú sa tieto sumy na príslušné účty nákladov a dodatočne prijaté náhrady znižujú zaúčtované náklady v účtovej triede 5.</w:t>
      </w:r>
    </w:p>
    <w:p w14:paraId="35AE5954" w14:textId="77777777" w:rsidR="00895EDC" w:rsidRDefault="00895EDC">
      <w:pPr>
        <w:spacing w:after="0" w:line="240" w:lineRule="auto"/>
        <w:jc w:val="both"/>
        <w:rPr>
          <w:rFonts w:ascii="Times New Roman" w:eastAsia="Times New Roman" w:hAnsi="Times New Roman" w:cs="Times New Roman"/>
          <w:sz w:val="24"/>
        </w:rPr>
      </w:pPr>
    </w:p>
    <w:p w14:paraId="35AE5955"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n) poskytnuté dotácie:</w:t>
      </w:r>
    </w:p>
    <w:p w14:paraId="35AE5956"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Spoločnosť nedostala dotácie ani na náhradu prevádzkových nákladov, ani na obstaranie dlhodobého majetku.</w:t>
      </w:r>
    </w:p>
    <w:p w14:paraId="35AE5957" w14:textId="77777777" w:rsidR="00895EDC" w:rsidRDefault="00895EDC">
      <w:pPr>
        <w:spacing w:after="0" w:line="240" w:lineRule="auto"/>
        <w:jc w:val="both"/>
        <w:rPr>
          <w:rFonts w:ascii="Times New Roman" w:eastAsia="Times New Roman" w:hAnsi="Times New Roman" w:cs="Times New Roman"/>
          <w:sz w:val="24"/>
        </w:rPr>
      </w:pPr>
    </w:p>
    <w:p w14:paraId="35AE5958"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o) opravy chýb minulých období:</w:t>
      </w:r>
    </w:p>
    <w:p w14:paraId="35AE5959"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opravy významných chýb minulých účtovných období, účtované s vplyvom na nerozdelený zisk minulých rokov, sa v bežnom účtovnom období nevyskytli.</w:t>
      </w:r>
    </w:p>
    <w:p w14:paraId="35AE595A"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Nevýznamné opravy chýb minulých účtovných období vykonané v bežnom účtovnom období nemajú významný vplyv na výsledok hospodárenia bežného účtovného obdobia.</w:t>
      </w:r>
    </w:p>
    <w:p w14:paraId="35AE595B" w14:textId="77777777" w:rsidR="00895EDC" w:rsidRDefault="00895EDC">
      <w:pPr>
        <w:spacing w:after="0" w:line="240" w:lineRule="auto"/>
        <w:jc w:val="both"/>
        <w:rPr>
          <w:rFonts w:ascii="Times New Roman" w:eastAsia="Times New Roman" w:hAnsi="Times New Roman" w:cs="Times New Roman"/>
          <w:sz w:val="24"/>
        </w:rPr>
      </w:pPr>
    </w:p>
    <w:p w14:paraId="35AE595C" w14:textId="77777777" w:rsidR="00895EDC" w:rsidRDefault="00C3395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IV</w:t>
      </w:r>
    </w:p>
    <w:p w14:paraId="35AE595D" w14:textId="77777777" w:rsidR="00895EDC" w:rsidRDefault="00C3395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Informácie, ktoré vysvetľujú a dopĺňajú súvahu a výkaz ziskov a strát</w:t>
      </w:r>
    </w:p>
    <w:p w14:paraId="35AE595E" w14:textId="77777777" w:rsidR="00895EDC" w:rsidRDefault="00895EDC">
      <w:pPr>
        <w:spacing w:after="0" w:line="240" w:lineRule="auto"/>
        <w:jc w:val="both"/>
        <w:rPr>
          <w:rFonts w:ascii="Times New Roman" w:eastAsia="Times New Roman" w:hAnsi="Times New Roman" w:cs="Times New Roman"/>
          <w:sz w:val="24"/>
        </w:rPr>
      </w:pPr>
    </w:p>
    <w:p w14:paraId="35AE595F"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(1) Na účtovanie </w:t>
      </w:r>
      <w:proofErr w:type="spellStart"/>
      <w:r>
        <w:rPr>
          <w:rFonts w:ascii="Times New Roman" w:eastAsia="Times New Roman" w:hAnsi="Times New Roman" w:cs="Times New Roman"/>
          <w:sz w:val="24"/>
        </w:rPr>
        <w:t>goodwillu</w:t>
      </w:r>
      <w:proofErr w:type="spellEnd"/>
      <w:r>
        <w:rPr>
          <w:rFonts w:ascii="Times New Roman" w:eastAsia="Times New Roman" w:hAnsi="Times New Roman" w:cs="Times New Roman"/>
          <w:sz w:val="24"/>
        </w:rPr>
        <w:t xml:space="preserve"> ani záporného </w:t>
      </w:r>
      <w:proofErr w:type="spellStart"/>
      <w:r>
        <w:rPr>
          <w:rFonts w:ascii="Times New Roman" w:eastAsia="Times New Roman" w:hAnsi="Times New Roman" w:cs="Times New Roman"/>
          <w:sz w:val="24"/>
        </w:rPr>
        <w:t>goodwillu</w:t>
      </w:r>
      <w:proofErr w:type="spellEnd"/>
      <w:r>
        <w:rPr>
          <w:rFonts w:ascii="Times New Roman" w:eastAsia="Times New Roman" w:hAnsi="Times New Roman" w:cs="Times New Roman"/>
          <w:sz w:val="24"/>
        </w:rPr>
        <w:t xml:space="preserve"> nemala Spoločnosť v bežnom účtovnom období náplň.</w:t>
      </w:r>
    </w:p>
    <w:p w14:paraId="35AE5960" w14:textId="77777777" w:rsidR="00895EDC" w:rsidRDefault="00895EDC">
      <w:pPr>
        <w:spacing w:after="0" w:line="240" w:lineRule="auto"/>
        <w:jc w:val="both"/>
        <w:rPr>
          <w:rFonts w:ascii="Times New Roman" w:eastAsia="Times New Roman" w:hAnsi="Times New Roman" w:cs="Times New Roman"/>
          <w:sz w:val="24"/>
        </w:rPr>
      </w:pPr>
    </w:p>
    <w:p w14:paraId="35AE5961"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(2) Na účtovanie o derivátoch, ani o majetku a záväzkoch zabezpečených derivátmi nemala Spoločnosť v bežnom účtovnom období náplň.</w:t>
      </w:r>
    </w:p>
    <w:p w14:paraId="35AE5962" w14:textId="77777777" w:rsidR="00895EDC" w:rsidRDefault="00895EDC">
      <w:pPr>
        <w:spacing w:after="0" w:line="240" w:lineRule="auto"/>
        <w:jc w:val="both"/>
        <w:rPr>
          <w:rFonts w:ascii="Times New Roman" w:eastAsia="Times New Roman" w:hAnsi="Times New Roman" w:cs="Times New Roman"/>
          <w:sz w:val="24"/>
        </w:rPr>
      </w:pPr>
    </w:p>
    <w:p w14:paraId="35AE5963"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(3) Spoločnosť nemá ku </w:t>
      </w:r>
      <w:r>
        <w:rPr>
          <w:rFonts w:ascii="Times New Roman" w:eastAsia="Times New Roman" w:hAnsi="Times New Roman" w:cs="Times New Roman"/>
          <w:sz w:val="24"/>
        </w:rPr>
        <w:t>koncu bežného účtovného obdobia záväzky so zostatkovou dobou splatnosti dlhšou ako päť rokov. Spoločnosť neeviduje ku koncu bežného účtovného obdobia žiadne zabezpečené záväzky.</w:t>
      </w:r>
    </w:p>
    <w:p w14:paraId="35AE5964" w14:textId="77777777" w:rsidR="00895EDC" w:rsidRDefault="00895EDC">
      <w:pPr>
        <w:spacing w:after="0" w:line="240" w:lineRule="auto"/>
        <w:jc w:val="both"/>
        <w:rPr>
          <w:rFonts w:ascii="Times New Roman" w:eastAsia="Times New Roman" w:hAnsi="Times New Roman" w:cs="Times New Roman"/>
          <w:sz w:val="24"/>
        </w:rPr>
      </w:pPr>
    </w:p>
    <w:p w14:paraId="35AE5965" w14:textId="77777777" w:rsidR="00895EDC" w:rsidRDefault="00895EDC">
      <w:pPr>
        <w:spacing w:after="0" w:line="240" w:lineRule="auto"/>
        <w:jc w:val="both"/>
        <w:rPr>
          <w:rFonts w:ascii="Times New Roman" w:eastAsia="Times New Roman" w:hAnsi="Times New Roman" w:cs="Times New Roman"/>
          <w:sz w:val="24"/>
        </w:rPr>
      </w:pPr>
    </w:p>
    <w:p w14:paraId="35AE5966"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Poznámky </w:t>
      </w:r>
      <w:proofErr w:type="spellStart"/>
      <w:r>
        <w:rPr>
          <w:rFonts w:ascii="Times New Roman" w:eastAsia="Times New Roman" w:hAnsi="Times New Roman" w:cs="Times New Roman"/>
          <w:sz w:val="24"/>
        </w:rPr>
        <w:t>Úč</w:t>
      </w:r>
      <w:proofErr w:type="spellEnd"/>
      <w:r>
        <w:rPr>
          <w:rFonts w:ascii="Times New Roman" w:eastAsia="Times New Roman" w:hAnsi="Times New Roman" w:cs="Times New Roman"/>
          <w:sz w:val="24"/>
        </w:rPr>
        <w:t xml:space="preserve"> PODV 3- 01</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IČO:  47572264</w:t>
      </w:r>
    </w:p>
    <w:p w14:paraId="35AE5967"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t>DIČ:  2023968573</w:t>
      </w:r>
    </w:p>
    <w:p w14:paraId="35AE5968" w14:textId="77777777" w:rsidR="00895EDC" w:rsidRDefault="00895EDC">
      <w:pPr>
        <w:spacing w:after="0" w:line="240" w:lineRule="auto"/>
        <w:jc w:val="both"/>
        <w:rPr>
          <w:rFonts w:ascii="Times New Roman" w:eastAsia="Times New Roman" w:hAnsi="Times New Roman" w:cs="Times New Roman"/>
          <w:sz w:val="24"/>
        </w:rPr>
      </w:pPr>
    </w:p>
    <w:p w14:paraId="35AE5969"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4) Spoločnosť nenadobudla v bežnom účtovnom období žiadne obchodné podiely, ani ku koncu bežného účtovného obdobia nevlastní žiadne obchodné podiely.</w:t>
      </w:r>
    </w:p>
    <w:p w14:paraId="35AE596A" w14:textId="77777777" w:rsidR="00895EDC" w:rsidRDefault="00895EDC">
      <w:pPr>
        <w:spacing w:after="0" w:line="240" w:lineRule="auto"/>
        <w:jc w:val="both"/>
        <w:rPr>
          <w:rFonts w:ascii="Times New Roman" w:eastAsia="Times New Roman" w:hAnsi="Times New Roman" w:cs="Times New Roman"/>
          <w:sz w:val="24"/>
        </w:rPr>
      </w:pPr>
    </w:p>
    <w:p w14:paraId="35AE596B"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(5) Žiadne položky nákladov ani výnosov bežného účtovného obdobia nemajú výnimočný charakter.</w:t>
      </w:r>
    </w:p>
    <w:p w14:paraId="35AE596C" w14:textId="77777777" w:rsidR="00895EDC" w:rsidRDefault="00895EDC">
      <w:pPr>
        <w:spacing w:after="0" w:line="240" w:lineRule="auto"/>
        <w:jc w:val="both"/>
        <w:rPr>
          <w:rFonts w:ascii="Times New Roman" w:eastAsia="Times New Roman" w:hAnsi="Times New Roman" w:cs="Times New Roman"/>
          <w:sz w:val="24"/>
        </w:rPr>
      </w:pPr>
    </w:p>
    <w:p w14:paraId="35AE596D" w14:textId="77777777" w:rsidR="00895EDC" w:rsidRDefault="00C3395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V</w:t>
      </w:r>
    </w:p>
    <w:p w14:paraId="35AE596E" w14:textId="77777777" w:rsidR="00895EDC" w:rsidRDefault="00C3395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Informácie o iných aktívach a iných pasívach</w:t>
      </w:r>
    </w:p>
    <w:p w14:paraId="35AE596F" w14:textId="77777777" w:rsidR="00895EDC" w:rsidRDefault="00895EDC">
      <w:pPr>
        <w:spacing w:after="0" w:line="240" w:lineRule="auto"/>
        <w:jc w:val="both"/>
        <w:rPr>
          <w:rFonts w:ascii="Times New Roman" w:eastAsia="Times New Roman" w:hAnsi="Times New Roman" w:cs="Times New Roman"/>
          <w:sz w:val="24"/>
        </w:rPr>
      </w:pPr>
    </w:p>
    <w:p w14:paraId="35AE5970"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(1) Spoločnosť neeviduje ku koncu bežného účtovného obdobia žiadny podmienený majetok ani žiadne podmienené záväzky. </w:t>
      </w:r>
    </w:p>
    <w:p w14:paraId="35AE5971" w14:textId="77777777" w:rsidR="00895EDC" w:rsidRDefault="00895EDC">
      <w:pPr>
        <w:spacing w:after="0" w:line="240" w:lineRule="auto"/>
        <w:jc w:val="both"/>
        <w:rPr>
          <w:rFonts w:ascii="Times New Roman" w:eastAsia="Times New Roman" w:hAnsi="Times New Roman" w:cs="Times New Roman"/>
          <w:sz w:val="24"/>
        </w:rPr>
      </w:pPr>
    </w:p>
    <w:p w14:paraId="35AE5972"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(2) Spoločnosť nemá žiadne finančné povinnosti, ktoré nie sú vykazované v súvahe ku koncu bežného účtovného obdobia.</w:t>
      </w:r>
    </w:p>
    <w:p w14:paraId="35AE5973" w14:textId="77777777" w:rsidR="00895EDC" w:rsidRDefault="00895EDC">
      <w:pPr>
        <w:spacing w:after="0" w:line="240" w:lineRule="auto"/>
        <w:jc w:val="both"/>
        <w:rPr>
          <w:rFonts w:ascii="Times New Roman" w:eastAsia="Times New Roman" w:hAnsi="Times New Roman" w:cs="Times New Roman"/>
          <w:sz w:val="24"/>
        </w:rPr>
      </w:pPr>
    </w:p>
    <w:p w14:paraId="35AE5974"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(3) Na podsúvahových účtoch neeviduje Spoločnosť žiadne významné položky ku koncu bežného účtovného obdobia.</w:t>
      </w:r>
    </w:p>
    <w:p w14:paraId="35AE5975" w14:textId="77777777" w:rsidR="00895EDC" w:rsidRDefault="00895EDC">
      <w:pPr>
        <w:spacing w:after="0" w:line="240" w:lineRule="auto"/>
        <w:jc w:val="both"/>
        <w:rPr>
          <w:rFonts w:ascii="Times New Roman" w:eastAsia="Times New Roman" w:hAnsi="Times New Roman" w:cs="Times New Roman"/>
          <w:sz w:val="24"/>
        </w:rPr>
      </w:pPr>
    </w:p>
    <w:p w14:paraId="35AE5976" w14:textId="77777777" w:rsidR="00895EDC" w:rsidRDefault="00C3395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VI</w:t>
      </w:r>
    </w:p>
    <w:p w14:paraId="35AE5977" w14:textId="77777777" w:rsidR="00895EDC" w:rsidRDefault="00C3395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Udalosti, ktoré nastali po dni, ku ktorému sa zostavuje účtovná závierka</w:t>
      </w:r>
    </w:p>
    <w:p w14:paraId="35AE5978" w14:textId="77777777" w:rsidR="00895EDC" w:rsidRDefault="00895EDC">
      <w:pPr>
        <w:spacing w:after="0" w:line="240" w:lineRule="auto"/>
        <w:jc w:val="both"/>
        <w:rPr>
          <w:rFonts w:ascii="Times New Roman" w:eastAsia="Times New Roman" w:hAnsi="Times New Roman" w:cs="Times New Roman"/>
          <w:sz w:val="24"/>
        </w:rPr>
      </w:pPr>
    </w:p>
    <w:p w14:paraId="35AE5979"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Po 31. decembri 2023 nenastali také udalosti, ktoré majú významný vplyv na verné zobrazenie skutočností uvádzaných v tejto účtovnej závierke.</w:t>
      </w:r>
    </w:p>
    <w:p w14:paraId="35AE597A" w14:textId="77777777" w:rsidR="00895EDC" w:rsidRDefault="00895EDC">
      <w:pPr>
        <w:spacing w:after="0" w:line="240" w:lineRule="auto"/>
        <w:jc w:val="both"/>
        <w:rPr>
          <w:rFonts w:ascii="Times New Roman" w:eastAsia="Times New Roman" w:hAnsi="Times New Roman" w:cs="Times New Roman"/>
          <w:sz w:val="24"/>
        </w:rPr>
      </w:pPr>
    </w:p>
    <w:p w14:paraId="35AE597B" w14:textId="77777777" w:rsidR="00895EDC" w:rsidRDefault="00895EDC">
      <w:pPr>
        <w:spacing w:after="0" w:line="240" w:lineRule="auto"/>
        <w:jc w:val="both"/>
        <w:rPr>
          <w:rFonts w:ascii="Times New Roman" w:eastAsia="Times New Roman" w:hAnsi="Times New Roman" w:cs="Times New Roman"/>
          <w:sz w:val="24"/>
        </w:rPr>
      </w:pPr>
    </w:p>
    <w:p w14:paraId="35AE597C" w14:textId="77777777" w:rsidR="00895EDC" w:rsidRDefault="00C3395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Čl. VII</w:t>
      </w:r>
    </w:p>
    <w:p w14:paraId="35AE597D" w14:textId="77777777" w:rsidR="00895EDC" w:rsidRDefault="00C33950">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Ostatné informácie</w:t>
      </w:r>
    </w:p>
    <w:p w14:paraId="35AE597E" w14:textId="77777777" w:rsidR="00895EDC" w:rsidRDefault="00895EDC">
      <w:pPr>
        <w:spacing w:after="0" w:line="240" w:lineRule="auto"/>
        <w:jc w:val="both"/>
        <w:rPr>
          <w:rFonts w:ascii="Times New Roman" w:eastAsia="Times New Roman" w:hAnsi="Times New Roman" w:cs="Times New Roman"/>
          <w:sz w:val="24"/>
        </w:rPr>
      </w:pPr>
    </w:p>
    <w:p w14:paraId="35AE597F"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(1)  Spoločnosť nemá výlučné ani osobitné práva poskytovať služby vo verejnom záujme.</w:t>
      </w:r>
    </w:p>
    <w:p w14:paraId="35AE5980" w14:textId="77777777" w:rsidR="00895EDC" w:rsidRDefault="00895EDC">
      <w:pPr>
        <w:spacing w:after="0" w:line="240" w:lineRule="auto"/>
        <w:jc w:val="both"/>
        <w:rPr>
          <w:rFonts w:ascii="Times New Roman" w:eastAsia="Times New Roman" w:hAnsi="Times New Roman" w:cs="Times New Roman"/>
          <w:sz w:val="24"/>
        </w:rPr>
      </w:pPr>
    </w:p>
    <w:p w14:paraId="35AE5981"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(2)  Spoločnosť nie je </w:t>
      </w:r>
      <w:r>
        <w:rPr>
          <w:rFonts w:ascii="Times New Roman" w:eastAsia="Times New Roman" w:hAnsi="Times New Roman" w:cs="Times New Roman"/>
          <w:sz w:val="24"/>
        </w:rPr>
        <w:t>zaradená do kategórie priemyselnej výroby podľa osobitného predpisu s čistým obratom väčším ako 250 000 000 €.</w:t>
      </w:r>
    </w:p>
    <w:p w14:paraId="35AE5982" w14:textId="77777777" w:rsidR="00895EDC" w:rsidRDefault="00895EDC">
      <w:pPr>
        <w:spacing w:after="0" w:line="240" w:lineRule="auto"/>
        <w:jc w:val="both"/>
        <w:rPr>
          <w:rFonts w:ascii="Times New Roman" w:eastAsia="Times New Roman" w:hAnsi="Times New Roman" w:cs="Times New Roman"/>
          <w:sz w:val="24"/>
        </w:rPr>
      </w:pPr>
    </w:p>
    <w:p w14:paraId="35AE5983" w14:textId="77777777" w:rsidR="00895EDC" w:rsidRDefault="00C3395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(3) Spoločnosť nie je zaradená do kategórie priemyselnej výroby podľa osobitného predpisu s čistým obratom väčším ako 250 000 000 €. Preto Spoločnosť ani neeviduje finančné vzťahy medzi orgánom verejnej moci a Spoločnosťou.</w:t>
      </w:r>
    </w:p>
    <w:p w14:paraId="35AE5984" w14:textId="77777777" w:rsidR="00895EDC" w:rsidRDefault="00895EDC">
      <w:pPr>
        <w:spacing w:after="0" w:line="240" w:lineRule="auto"/>
        <w:jc w:val="both"/>
        <w:rPr>
          <w:rFonts w:ascii="Times New Roman" w:eastAsia="Times New Roman" w:hAnsi="Times New Roman" w:cs="Times New Roman"/>
          <w:sz w:val="24"/>
        </w:rPr>
      </w:pPr>
    </w:p>
    <w:p w14:paraId="35AE5985" w14:textId="77777777" w:rsidR="00895EDC" w:rsidRDefault="00895EDC">
      <w:pPr>
        <w:spacing w:after="0" w:line="240" w:lineRule="auto"/>
        <w:jc w:val="both"/>
        <w:rPr>
          <w:rFonts w:ascii="Times New Roman" w:eastAsia="Times New Roman" w:hAnsi="Times New Roman" w:cs="Times New Roman"/>
          <w:sz w:val="24"/>
        </w:rPr>
      </w:pPr>
    </w:p>
    <w:p w14:paraId="35AE5986" w14:textId="77777777" w:rsidR="00895EDC" w:rsidRDefault="00895EDC">
      <w:pPr>
        <w:spacing w:after="0" w:line="240" w:lineRule="auto"/>
        <w:jc w:val="both"/>
        <w:rPr>
          <w:rFonts w:ascii="Times New Roman" w:eastAsia="Times New Roman" w:hAnsi="Times New Roman" w:cs="Times New Roman"/>
          <w:sz w:val="24"/>
        </w:rPr>
      </w:pPr>
    </w:p>
    <w:p w14:paraId="35AE5987" w14:textId="77777777" w:rsidR="00895EDC" w:rsidRDefault="00895EDC">
      <w:pPr>
        <w:spacing w:after="0" w:line="240" w:lineRule="auto"/>
        <w:jc w:val="both"/>
        <w:rPr>
          <w:rFonts w:ascii="Times New Roman" w:eastAsia="Times New Roman" w:hAnsi="Times New Roman" w:cs="Times New Roman"/>
          <w:sz w:val="24"/>
        </w:rPr>
      </w:pPr>
    </w:p>
    <w:p w14:paraId="35AE5988" w14:textId="77777777" w:rsidR="00895EDC" w:rsidRDefault="00895EDC">
      <w:pPr>
        <w:spacing w:after="0" w:line="240" w:lineRule="auto"/>
        <w:jc w:val="both"/>
        <w:rPr>
          <w:rFonts w:ascii="Times New Roman" w:eastAsia="Times New Roman" w:hAnsi="Times New Roman" w:cs="Times New Roman"/>
          <w:sz w:val="24"/>
        </w:rPr>
      </w:pPr>
    </w:p>
    <w:p w14:paraId="35AE5989" w14:textId="77777777" w:rsidR="00895EDC" w:rsidRDefault="00895EDC">
      <w:pPr>
        <w:spacing w:after="0" w:line="240" w:lineRule="auto"/>
      </w:pPr>
    </w:p>
    <w:sectPr w:rsidR="00895EDC">
      <w:pgSz w:w="11906" w:h="16838"/>
      <w:pgMar w:top="1417" w:right="1417" w:bottom="1417" w:left="1417" w:header="0" w:footer="0" w:gutter="0"/>
      <w:cols w:space="708"/>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Liberation Sans">
    <w:altName w:val="Arial"/>
    <w:charset w:val="EE"/>
    <w:family w:val="roman"/>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5EDC"/>
    <w:rsid w:val="005F7C04"/>
    <w:rsid w:val="00895EDC"/>
    <w:rsid w:val="00C33950"/>
    <w:rsid w:val="00ED20ED"/>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AE589D"/>
  <w15:docId w15:val="{FF7B1EED-0340-4210-997D-36CDBFD40A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Cs w:val="22"/>
        <w:lang w:val="sk-SK" w:eastAsia="sk-SK"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160" w:line="259" w:lineRule="auto"/>
    </w:pPr>
    <w:rPr>
      <w:rFonts w:ascii="Calibri" w:hAnsi="Calibri"/>
      <w:color w:val="00000A"/>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adpis">
    <w:name w:val="Nadpis"/>
    <w:basedOn w:val="Normlny"/>
    <w:next w:val="Zkladntext"/>
    <w:qFormat/>
    <w:pPr>
      <w:keepNext/>
      <w:spacing w:before="240" w:after="120"/>
    </w:pPr>
    <w:rPr>
      <w:rFonts w:ascii="Liberation Sans" w:eastAsia="Microsoft YaHei" w:hAnsi="Liberation Sans" w:cs="Lucida Sans"/>
      <w:sz w:val="28"/>
      <w:szCs w:val="28"/>
    </w:rPr>
  </w:style>
  <w:style w:type="paragraph" w:styleId="Zkladntext">
    <w:name w:val="Body Text"/>
    <w:basedOn w:val="Normlny"/>
    <w:pPr>
      <w:spacing w:after="140" w:line="276" w:lineRule="auto"/>
    </w:pPr>
  </w:style>
  <w:style w:type="paragraph" w:styleId="Zoznam">
    <w:name w:val="List"/>
    <w:basedOn w:val="Zkladntext"/>
    <w:rPr>
      <w:rFonts w:cs="Lucida Sans"/>
    </w:rPr>
  </w:style>
  <w:style w:type="paragraph" w:styleId="Popis">
    <w:name w:val="caption"/>
    <w:basedOn w:val="Normlny"/>
    <w:qFormat/>
    <w:pPr>
      <w:suppressLineNumbers/>
      <w:spacing w:before="120" w:after="120"/>
    </w:pPr>
    <w:rPr>
      <w:rFonts w:cs="Lucida Sans"/>
      <w:i/>
      <w:iCs/>
      <w:sz w:val="24"/>
      <w:szCs w:val="24"/>
    </w:rPr>
  </w:style>
  <w:style w:type="paragraph" w:customStyle="1" w:styleId="Rejstk">
    <w:name w:val="Rejstřík"/>
    <w:basedOn w:val="Normlny"/>
    <w:qFormat/>
    <w:pPr>
      <w:suppressLineNumbers/>
    </w:pPr>
    <w:rPr>
      <w:rFonts w:cs="Lucida San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1895</Words>
  <Characters>10806</Characters>
  <Application>Microsoft Office Word</Application>
  <DocSecurity>0</DocSecurity>
  <Lines>90</Lines>
  <Paragraphs>25</Paragraphs>
  <ScaleCrop>false</ScaleCrop>
  <Company/>
  <LinksUpToDate>false</LinksUpToDate>
  <CharactersWithSpaces>12676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lenka1</dc:creator>
  <dc:description/>
  <cp:lastModifiedBy>Lenka Macova</cp:lastModifiedBy>
  <cp:revision>2</cp:revision>
  <dcterms:created xsi:type="dcterms:W3CDTF">2025-06-30T12:37:00Z</dcterms:created>
  <dcterms:modified xsi:type="dcterms:W3CDTF">2025-06-30T12:37:00Z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