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7584AD">
      <w:pPr>
        <w:spacing w:before="100" w:beforeAutospacing="1" w:after="100" w:afterAutospacing="1"/>
        <w:rPr>
          <w:rFonts w:ascii="Times New Roman" w:hAnsi="Times New Roman" w:eastAsia="Times New Roman" w:cs="Times New Roman"/>
          <w:lang w:eastAsia="sk-SK"/>
        </w:rPr>
      </w:pPr>
      <w:r>
        <w:rPr>
          <w:rFonts w:ascii="CIDFont+F1" w:hAnsi="CIDFont+F1" w:eastAsia="Times New Roman" w:cs="Times New Roman"/>
          <w:sz w:val="18"/>
          <w:szCs w:val="18"/>
          <w:lang w:eastAsia="sk-SK"/>
        </w:rPr>
        <w:t xml:space="preserve">Poznámky Úč MÚJ 3 - 01 IČO 52937437 DIČ 2121184637 </w:t>
      </w:r>
    </w:p>
    <w:tbl>
      <w:tblPr>
        <w:tblStyle w:val="3"/>
        <w:tblW w:w="0" w:type="auto"/>
        <w:tblInd w:w="0" w:type="dxa"/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319"/>
        <w:gridCol w:w="899"/>
        <w:gridCol w:w="3884"/>
      </w:tblGrid>
      <w:tr w14:paraId="0ABC9592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auto" w:sz="2" w:space="0"/>
              <w:left w:val="single" w:color="000000" w:sz="12" w:space="0"/>
              <w:bottom w:val="single" w:color="000000" w:sz="18" w:space="0"/>
              <w:right w:val="single" w:color="000000" w:sz="12" w:space="0"/>
            </w:tcBorders>
            <w:shd w:val="clear" w:color="auto" w:fill="FFFFFF"/>
            <w:vAlign w:val="center"/>
          </w:tcPr>
          <w:p w14:paraId="4879FF02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Článok I </w:t>
            </w:r>
          </w:p>
          <w:p w14:paraId="56CB4493">
            <w:pPr>
              <w:spacing w:before="100" w:beforeAutospacing="1" w:after="100" w:afterAutospacing="1"/>
              <w:rPr>
                <w:rFonts w:hint="default" w:ascii="CIDFont+F2" w:hAnsi="CIDFont+F2" w:eastAsia="Times New Roman" w:cs="Times New Roman"/>
                <w:lang w:val="en-US" w:eastAsia="sk-SK"/>
              </w:rPr>
            </w:pPr>
            <w:r>
              <w:rPr>
                <w:rFonts w:ascii="CIDFont+F2" w:hAnsi="CIDFont+F2" w:eastAsia="Times New Roman" w:cs="Times New Roman"/>
                <w:lang w:eastAsia="sk-SK"/>
              </w:rPr>
              <w:t>POZNÁMKY k účtovnej závierke mikro účtovnej jednotky k 31.12.202</w:t>
            </w:r>
            <w:r>
              <w:rPr>
                <w:rFonts w:hint="default" w:ascii="CIDFont+F2" w:hAnsi="CIDFont+F2" w:eastAsia="Times New Roman" w:cs="Times New Roman"/>
                <w:lang w:val="en-US" w:eastAsia="sk-SK"/>
              </w:rPr>
              <w:t>4</w:t>
            </w:r>
          </w:p>
          <w:p w14:paraId="7153CBCB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lang w:eastAsia="sk-SK"/>
              </w:rPr>
              <w:t xml:space="preserve"> </w:t>
            </w: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Všeobecné údaje </w:t>
            </w:r>
          </w:p>
          <w:p w14:paraId="62A5A7CA">
            <w:pPr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lang w:eastAsia="sk-SK"/>
              </w:rPr>
              <w:fldChar w:fldCharType="begin"/>
            </w:r>
            <w:r>
              <w:rPr>
                <w:rFonts w:ascii="Times New Roman" w:hAnsi="Times New Roman" w:eastAsia="Times New Roman" w:cs="Times New Roman"/>
                <w:lang w:eastAsia="sk-SK"/>
              </w:rPr>
              <w:instrText xml:space="preserve"> INCLUDEPICTURE "C:\\var\\folders\\sg\\vl4mv1wn3857n76rdpsrfp_c0000gn\\T\\com.microsoft.Word\\WebArchiveCopyPasteTempFiles\\page1image4389696" \* MERGEFORMAT </w:instrText>
            </w:r>
            <w:r>
              <w:rPr>
                <w:rFonts w:ascii="Times New Roman" w:hAnsi="Times New Roman" w:eastAsia="Times New Roman" w:cs="Times New Roman"/>
                <w:lang w:eastAsia="sk-SK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lang w:eastAsia="sk-SK"/>
              </w:rPr>
              <w:drawing>
                <wp:inline distT="0" distB="0" distL="0" distR="0">
                  <wp:extent cx="558800" cy="12700"/>
                  <wp:effectExtent l="0" t="0" r="0" b="0"/>
                  <wp:docPr id="20" name="Obrázok 20" descr="page1image43896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Obrázok 20" descr="page1image43896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eastAsia="Times New Roman" w:cs="Times New Roman"/>
                <w:lang w:eastAsia="sk-SK"/>
              </w:rPr>
              <w:fldChar w:fldCharType="end"/>
            </w:r>
          </w:p>
          <w:p w14:paraId="46589439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>Názov a sídlo</w:t>
            </w: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br w:type="textWrapping"/>
            </w: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>Obchodné meno (názov) účtovnej jednotky</w:t>
            </w:r>
            <w:r>
              <w:rPr>
                <w:rFonts w:hint="default" w:ascii="CIDFont+F2" w:hAnsi="CIDFont+F2" w:eastAsia="Times New Roman" w:cs="Times New Roman"/>
                <w:sz w:val="22"/>
                <w:szCs w:val="22"/>
                <w:lang w:val="en-US" w:eastAsia="sk-SK"/>
              </w:rPr>
              <w:t>:</w:t>
            </w: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 </w:t>
            </w: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Physiopet, s. r. o. </w:t>
            </w:r>
          </w:p>
          <w:p w14:paraId="0296A628">
            <w:pPr>
              <w:spacing w:before="100" w:beforeAutospacing="1" w:after="100" w:afterAutospacing="1"/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Sídlo účtovnej jednotky </w:t>
            </w:r>
          </w:p>
          <w:p w14:paraId="3D1295E1">
            <w:pPr>
              <w:spacing w:before="100" w:beforeAutospacing="1" w:after="100" w:afterAutospacing="1"/>
              <w:ind w:left="110" w:hanging="110" w:hangingChars="50"/>
              <w:rPr>
                <w:rFonts w:hint="default" w:ascii="CIDFont+F1" w:hAnsi="CIDFont+F1" w:eastAsia="Times New Roman" w:cs="Times New Roman"/>
                <w:sz w:val="22"/>
                <w:szCs w:val="22"/>
                <w:lang w:val="en-US"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>Ulica a číslo</w:t>
            </w:r>
            <w:r>
              <w:rPr>
                <w:rFonts w:hint="default" w:ascii="CIDFont+F2" w:hAnsi="CIDFont+F2" w:eastAsia="Times New Roman" w:cs="Times New Roman"/>
                <w:sz w:val="22"/>
                <w:szCs w:val="22"/>
                <w:lang w:val="en-US" w:eastAsia="sk-SK"/>
              </w:rPr>
              <w:t>: Dunajský Klátov 456</w:t>
            </w:r>
          </w:p>
          <w:p w14:paraId="1BE23191">
            <w:pPr>
              <w:spacing w:before="100" w:beforeAutospacing="1" w:after="100" w:afterAutospacing="1"/>
              <w:ind w:left="110" w:hanging="110" w:hangingChars="5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>PSČ Názov obce</w:t>
            </w:r>
            <w:r>
              <w:rPr>
                <w:rFonts w:hint="default" w:ascii="CIDFont+F2" w:hAnsi="CIDFont+F2" w:eastAsia="Times New Roman" w:cs="Times New Roman"/>
                <w:sz w:val="22"/>
                <w:szCs w:val="22"/>
                <w:lang w:val="en-US" w:eastAsia="sk-SK"/>
              </w:rPr>
              <w:t>: 930 21 Dunajský Klátov</w:t>
            </w: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 </w:t>
            </w:r>
          </w:p>
          <w:p w14:paraId="00C19D18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IČO DIČ </w:t>
            </w:r>
          </w:p>
          <w:p w14:paraId="19B9D96B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52937437 2121184637 </w:t>
            </w:r>
          </w:p>
          <w:p w14:paraId="37ABE119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(2) Údaje o konsolidovanom celku </w:t>
            </w:r>
          </w:p>
          <w:p w14:paraId="3573C279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a) Obchodné meno a sídlo konsolidujúcej účtovnej jednotky, ktorá zostavuje konsolidovanú účtovnú závierku za tú skupinu účtovných jednotiek konsolidovaného celku, ktorého súčasťou je aj účtovná jednotka </w:t>
            </w:r>
          </w:p>
          <w:p w14:paraId="3F476CDE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Obchodné meno a sídlo ÚJ, ktorá je bezprostredne konsolidujúcou účtovnou jednotkou </w:t>
            </w:r>
          </w:p>
          <w:p w14:paraId="34A80ADE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>Obchodné meno: Sídlo:</w:t>
            </w: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br w:type="textWrapping"/>
            </w: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>Ulica</w:t>
            </w: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br w:type="textWrapping"/>
            </w: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Obec </w:t>
            </w:r>
          </w:p>
          <w:p w14:paraId="504DE476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PSC Štát IČO: </w:t>
            </w:r>
          </w:p>
          <w:p w14:paraId="0D2E89D6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b) Informácie o oslobodení od zostavenia konsolidovanej účtovnej závierky </w:t>
            </w:r>
          </w:p>
          <w:p w14:paraId="17D98AAB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Názov a sídlo dcérskych účtovných jednotiek </w:t>
            </w:r>
          </w:p>
        </w:tc>
      </w:tr>
      <w:tr w14:paraId="48C9F42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18" w:space="0"/>
              <w:left w:val="single" w:color="000000" w:sz="12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 w14:paraId="70E6B68B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Názov dcérskej účtovnej jednotky </w:t>
            </w: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 w14:paraId="56F2DB50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Sídlo </w:t>
            </w: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18" w:space="0"/>
              <w:right w:val="single" w:color="000000" w:sz="12" w:space="0"/>
            </w:tcBorders>
            <w:shd w:val="clear" w:color="auto" w:fill="FFFFFF"/>
            <w:vAlign w:val="center"/>
          </w:tcPr>
          <w:p w14:paraId="53DC902D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Ostatné dôležité skutočnosti </w:t>
            </w:r>
          </w:p>
        </w:tc>
      </w:tr>
      <w:tr w14:paraId="16D55CD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18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2CC590B"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EC5A621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24267C96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</w:tr>
      <w:tr w14:paraId="710C28E1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EE8FBEA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712B15A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2EC2D15A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</w:tr>
      <w:tr w14:paraId="0847675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4CD9AB6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118B290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00980C97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</w:tr>
      <w:tr w14:paraId="361F86D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311368D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F2AB4AF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2C2E0416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</w:tr>
      <w:tr w14:paraId="06838DFB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12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vAlign w:val="center"/>
          </w:tcPr>
          <w:p w14:paraId="40DB41D8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vAlign w:val="center"/>
          </w:tcPr>
          <w:p w14:paraId="46DEA6C1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06AC493F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</w:tr>
      <w:tr w14:paraId="6684C3EC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12" w:space="0"/>
              <w:left w:val="single" w:color="000000" w:sz="12" w:space="0"/>
              <w:bottom w:val="single" w:color="auto" w:sz="2" w:space="0"/>
              <w:right w:val="single" w:color="000000" w:sz="12" w:space="0"/>
            </w:tcBorders>
            <w:shd w:val="clear" w:color="auto" w:fill="FFFFFF"/>
            <w:vAlign w:val="center"/>
          </w:tcPr>
          <w:p w14:paraId="2A910A7F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(3) Priemerný prepočítaný počet zamestnancov účtovnej jednotky </w:t>
            </w:r>
          </w:p>
        </w:tc>
      </w:tr>
    </w:tbl>
    <w:p w14:paraId="3047E0F0">
      <w:pPr>
        <w:spacing w:before="100" w:beforeAutospacing="1" w:after="100" w:afterAutospacing="1"/>
        <w:rPr>
          <w:rFonts w:ascii="Times New Roman" w:hAnsi="Times New Roman" w:eastAsia="Times New Roman" w:cs="Times New Roman"/>
          <w:lang w:eastAsia="sk-SK"/>
        </w:rPr>
      </w:pPr>
      <w:r>
        <w:rPr>
          <w:rFonts w:ascii="CIDFont+F1" w:hAnsi="CIDFont+F1" w:eastAsia="Times New Roman" w:cs="Times New Roman"/>
          <w:sz w:val="18"/>
          <w:szCs w:val="18"/>
          <w:lang w:eastAsia="sk-SK"/>
        </w:rPr>
        <w:t>Spracované systémom Money S3</w:t>
      </w:r>
      <w:r>
        <w:rPr>
          <w:rFonts w:ascii="CIDFont+F1" w:hAnsi="CIDFont+F1" w:eastAsia="Times New Roman" w:cs="Times New Roman"/>
          <w:sz w:val="18"/>
          <w:szCs w:val="18"/>
          <w:lang w:eastAsia="sk-SK"/>
        </w:rPr>
        <w:br w:type="textWrapping"/>
      </w:r>
      <w:r>
        <w:rPr>
          <w:rFonts w:ascii="CIDFont+F1" w:hAnsi="CIDFont+F1" w:eastAsia="Times New Roman" w:cs="Times New Roman"/>
          <w:sz w:val="18"/>
          <w:szCs w:val="18"/>
          <w:lang w:eastAsia="sk-SK"/>
        </w:rPr>
        <w:t xml:space="preserve">www.money.sk </w:t>
      </w:r>
      <w:r>
        <w:rPr>
          <w:rFonts w:ascii="CIDFont+F1" w:hAnsi="CIDFont+F1" w:eastAsia="Times New Roman" w:cs="Times New Roman"/>
          <w:position w:val="2"/>
          <w:sz w:val="18"/>
          <w:szCs w:val="18"/>
          <w:lang w:eastAsia="sk-SK"/>
        </w:rPr>
        <w:t xml:space="preserve">1 </w:t>
      </w:r>
    </w:p>
    <w:p w14:paraId="61446B0E">
      <w:pPr>
        <w:spacing w:before="100" w:beforeAutospacing="1" w:after="100" w:afterAutospacing="1"/>
        <w:rPr>
          <w:rFonts w:ascii="Times New Roman" w:hAnsi="Times New Roman" w:eastAsia="Times New Roman" w:cs="Times New Roman"/>
          <w:lang w:eastAsia="sk-SK"/>
        </w:rPr>
      </w:pPr>
      <w:r>
        <w:rPr>
          <w:rFonts w:ascii="CIDFont+F1" w:hAnsi="CIDFont+F1" w:eastAsia="Times New Roman" w:cs="Times New Roman"/>
          <w:sz w:val="18"/>
          <w:szCs w:val="18"/>
          <w:lang w:eastAsia="sk-SK"/>
        </w:rPr>
        <w:t xml:space="preserve">Poznámky Úč MÚJ 3 - 01 IČO 52937437 DIČ 2121184637 </w:t>
      </w:r>
    </w:p>
    <w:tbl>
      <w:tblPr>
        <w:tblStyle w:val="3"/>
        <w:tblW w:w="0" w:type="auto"/>
        <w:tblInd w:w="0" w:type="dxa"/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076"/>
        <w:gridCol w:w="1838"/>
        <w:gridCol w:w="3188"/>
      </w:tblGrid>
      <w:tr w14:paraId="63DFD3DB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12" w:space="0"/>
              <w:left w:val="single" w:color="000000" w:sz="12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 w14:paraId="36D7DC29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Názov položky </w:t>
            </w:r>
          </w:p>
        </w:tc>
        <w:tc>
          <w:tcPr>
            <w:tcW w:w="0" w:type="auto"/>
            <w:tcBorders>
              <w:top w:val="single" w:color="000000" w:sz="12" w:space="0"/>
              <w:left w:val="single" w:color="000000" w:sz="6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 w14:paraId="1B5AF810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Bežné účtovné obdobie </w:t>
            </w:r>
          </w:p>
        </w:tc>
        <w:tc>
          <w:tcPr>
            <w:tcW w:w="0" w:type="auto"/>
            <w:tcBorders>
              <w:top w:val="single" w:color="000000" w:sz="12" w:space="0"/>
              <w:left w:val="single" w:color="000000" w:sz="6" w:space="0"/>
              <w:bottom w:val="single" w:color="000000" w:sz="18" w:space="0"/>
              <w:right w:val="single" w:color="000000" w:sz="12" w:space="0"/>
            </w:tcBorders>
            <w:shd w:val="clear" w:color="auto" w:fill="FFFFFF"/>
            <w:vAlign w:val="center"/>
          </w:tcPr>
          <w:p w14:paraId="11BD9764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Bezprostredne predchádzajúc e obdobie </w:t>
            </w:r>
          </w:p>
        </w:tc>
      </w:tr>
      <w:tr w14:paraId="4E858DF1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18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00CA76D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Priemerný prepočítaný počet zamestnancov </w:t>
            </w: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3BF905E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6AED3ACA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14:paraId="556FA051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5CDFC05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Stav zamestnancov ku dňu zostavenia závierky, z toho: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C9E20CE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2844A737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14:paraId="4353F24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12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vAlign w:val="center"/>
          </w:tcPr>
          <w:p w14:paraId="3DB332C2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počet vedúcich zamestnancov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vAlign w:val="center"/>
          </w:tcPr>
          <w:p w14:paraId="38132486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2BF47790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14:paraId="20952F6C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12" w:space="0"/>
              <w:left w:val="single" w:color="000000" w:sz="12" w:space="0"/>
              <w:bottom w:val="single" w:color="auto" w:sz="2" w:space="0"/>
              <w:right w:val="single" w:color="000000" w:sz="12" w:space="0"/>
            </w:tcBorders>
            <w:shd w:val="clear" w:color="auto" w:fill="FFFFFF"/>
            <w:vAlign w:val="center"/>
          </w:tcPr>
          <w:p w14:paraId="6DA749E0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>Článok II</w:t>
            </w: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br w:type="textWrapping"/>
            </w: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(1) Predpoklad nepretržitého pokračovania v činnosti </w:t>
            </w:r>
          </w:p>
          <w:p w14:paraId="35FAA0A3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Účtovná závierka bola zostavená za predpokladu nepretržitého trvania spoločnosti. </w:t>
            </w:r>
          </w:p>
          <w:p w14:paraId="73D119DF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(2) Spôsob oceňovania jednotlivých zložiek majetku a záväzkov a) Oceňovanie dlhodobého nehmotného majetku </w:t>
            </w:r>
          </w:p>
          <w:p w14:paraId="4981ADA1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Oceňovanie nakúpeného dlhodobého nehmotného majetku </w:t>
            </w:r>
          </w:p>
          <w:p w14:paraId="5ADB9DBA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>* tieto účtovné prípady sa v bežnom účtovnom období nevyskytli</w:t>
            </w: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br w:type="textWrapping"/>
            </w: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Oceňovanie dlhodobého nehmotného majetku obstaraného vlastnou činnosťou </w:t>
            </w:r>
          </w:p>
          <w:p w14:paraId="48497B8E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* tieto účtovné prípady sa v bežnom účtovnom období nevyskytli Oceňovanie dlhodobého nehmotného majetku obstaraného iným spôsobom </w:t>
            </w:r>
          </w:p>
          <w:p w14:paraId="45DE9DB6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* tieto účtovné prípady sa v bežnom účtovnom období nevyskytli </w:t>
            </w:r>
          </w:p>
          <w:p w14:paraId="7EF146A1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a) Oceňovanie dlhodobého hmotného majetku </w:t>
            </w:r>
          </w:p>
          <w:p w14:paraId="1CB6B608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Oceňovanie nakúpeného dlhodobého hmotného majetku </w:t>
            </w:r>
          </w:p>
          <w:p w14:paraId="0C307D78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Oceňovanie dlhodobého hmotného majetku obstaraného vlastnou činnosťou </w:t>
            </w:r>
          </w:p>
          <w:p w14:paraId="2F88CB16">
            <w:pPr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Informácie o prijatých postupoch </w:t>
            </w:r>
          </w:p>
          <w:p w14:paraId="20A29271"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</w:tr>
    </w:tbl>
    <w:p w14:paraId="61882A83">
      <w:pPr>
        <w:spacing w:before="100" w:beforeAutospacing="1" w:after="100" w:afterAutospacing="1"/>
        <w:rPr>
          <w:rFonts w:ascii="Times New Roman" w:hAnsi="Times New Roman" w:eastAsia="Times New Roman" w:cs="Times New Roman"/>
          <w:lang w:eastAsia="sk-SK"/>
        </w:rPr>
      </w:pPr>
      <w:r>
        <w:rPr>
          <w:rFonts w:ascii="CIDFont+F1" w:hAnsi="CIDFont+F1" w:eastAsia="Times New Roman" w:cs="Times New Roman"/>
          <w:sz w:val="18"/>
          <w:szCs w:val="18"/>
          <w:lang w:eastAsia="sk-SK"/>
        </w:rPr>
        <w:t>Spracované systémom Money S3</w:t>
      </w:r>
      <w:r>
        <w:rPr>
          <w:rFonts w:ascii="CIDFont+F1" w:hAnsi="CIDFont+F1" w:eastAsia="Times New Roman" w:cs="Times New Roman"/>
          <w:sz w:val="18"/>
          <w:szCs w:val="18"/>
          <w:lang w:eastAsia="sk-SK"/>
        </w:rPr>
        <w:br w:type="textWrapping"/>
      </w:r>
      <w:r>
        <w:rPr>
          <w:rFonts w:ascii="CIDFont+F1" w:hAnsi="CIDFont+F1" w:eastAsia="Times New Roman" w:cs="Times New Roman"/>
          <w:sz w:val="18"/>
          <w:szCs w:val="18"/>
          <w:lang w:eastAsia="sk-SK"/>
        </w:rPr>
        <w:t xml:space="preserve">www.money.sk </w:t>
      </w:r>
      <w:r>
        <w:rPr>
          <w:rFonts w:ascii="CIDFont+F1" w:hAnsi="CIDFont+F1" w:eastAsia="Times New Roman" w:cs="Times New Roman"/>
          <w:position w:val="2"/>
          <w:sz w:val="18"/>
          <w:szCs w:val="18"/>
          <w:lang w:eastAsia="sk-SK"/>
        </w:rPr>
        <w:t xml:space="preserve">2 </w:t>
      </w:r>
    </w:p>
    <w:p w14:paraId="13030501">
      <w:pPr>
        <w:spacing w:before="100" w:beforeAutospacing="1" w:after="100" w:afterAutospacing="1"/>
        <w:rPr>
          <w:rFonts w:ascii="Times New Roman" w:hAnsi="Times New Roman" w:eastAsia="Times New Roman" w:cs="Times New Roman"/>
          <w:lang w:eastAsia="sk-SK"/>
        </w:rPr>
      </w:pPr>
      <w:r>
        <w:rPr>
          <w:rFonts w:ascii="CIDFont+F1" w:hAnsi="CIDFont+F1" w:eastAsia="Times New Roman" w:cs="Times New Roman"/>
          <w:sz w:val="18"/>
          <w:szCs w:val="18"/>
          <w:lang w:eastAsia="sk-SK"/>
        </w:rPr>
        <w:t xml:space="preserve">Poznámky Úč MÚJ 3 - 01 IČO 52937437 DIČ 2121184637 </w:t>
      </w:r>
    </w:p>
    <w:p w14:paraId="003D98C2">
      <w:pPr>
        <w:shd w:val="clear" w:color="auto" w:fill="FFFFFF"/>
        <w:spacing w:before="100" w:beforeAutospacing="1" w:after="100" w:afterAutospacing="1"/>
        <w:rPr>
          <w:rFonts w:ascii="Times New Roman" w:hAnsi="Times New Roman" w:eastAsia="Times New Roman" w:cs="Times New Roman"/>
          <w:lang w:eastAsia="sk-SK"/>
        </w:rPr>
      </w:pPr>
      <w:r>
        <w:rPr>
          <w:rFonts w:ascii="CIDFont+F1" w:hAnsi="CIDFont+F1" w:eastAsia="Times New Roman" w:cs="Times New Roman"/>
          <w:sz w:val="22"/>
          <w:szCs w:val="22"/>
          <w:lang w:eastAsia="sk-SK"/>
        </w:rPr>
        <w:t xml:space="preserve">* tieto účtovné prípady sa v bežnom účtovnom období nevyskytli Oceňovanie dlhodobého hmotného majetku obstaraného iným spôsobom </w:t>
      </w:r>
    </w:p>
    <w:p w14:paraId="7CD970E9">
      <w:pPr>
        <w:shd w:val="clear" w:color="auto" w:fill="FFFFFF"/>
        <w:spacing w:before="100" w:beforeAutospacing="1" w:after="100" w:afterAutospacing="1"/>
        <w:rPr>
          <w:rFonts w:ascii="Times New Roman" w:hAnsi="Times New Roman" w:eastAsia="Times New Roman" w:cs="Times New Roman"/>
          <w:lang w:eastAsia="sk-SK"/>
        </w:rPr>
      </w:pPr>
      <w:r>
        <w:rPr>
          <w:rFonts w:ascii="CIDFont+F1" w:hAnsi="CIDFont+F1" w:eastAsia="Times New Roman" w:cs="Times New Roman"/>
          <w:sz w:val="22"/>
          <w:szCs w:val="22"/>
          <w:lang w:eastAsia="sk-SK"/>
        </w:rPr>
        <w:t xml:space="preserve">* tieto účtovné prípady sa v bežnom účtovnom období nevyskytli </w:t>
      </w:r>
    </w:p>
    <w:p w14:paraId="3411B46C">
      <w:pPr>
        <w:shd w:val="clear" w:color="auto" w:fill="FFFFFF"/>
        <w:spacing w:before="100" w:beforeAutospacing="1" w:after="100" w:afterAutospacing="1"/>
        <w:rPr>
          <w:rFonts w:ascii="Times New Roman" w:hAnsi="Times New Roman" w:eastAsia="Times New Roman" w:cs="Times New Roman"/>
          <w:lang w:eastAsia="sk-SK"/>
        </w:rPr>
      </w:pPr>
      <w:r>
        <w:rPr>
          <w:rFonts w:ascii="CIDFont+F2" w:hAnsi="CIDFont+F2" w:eastAsia="Times New Roman" w:cs="Times New Roman"/>
          <w:sz w:val="22"/>
          <w:szCs w:val="22"/>
          <w:lang w:eastAsia="sk-SK"/>
        </w:rPr>
        <w:t xml:space="preserve">a) Oceňovanie dlhodobého finančného majetku </w:t>
      </w:r>
    </w:p>
    <w:p w14:paraId="464E4DA3">
      <w:pPr>
        <w:shd w:val="clear" w:color="auto" w:fill="FFFFFF"/>
        <w:spacing w:before="100" w:beforeAutospacing="1" w:after="100" w:afterAutospacing="1"/>
        <w:rPr>
          <w:rFonts w:ascii="Times New Roman" w:hAnsi="Times New Roman" w:eastAsia="Times New Roman" w:cs="Times New Roman"/>
          <w:lang w:eastAsia="sk-SK"/>
        </w:rPr>
      </w:pPr>
      <w:r>
        <w:rPr>
          <w:rFonts w:ascii="CIDFont+F1" w:hAnsi="CIDFont+F1" w:eastAsia="Times New Roman" w:cs="Times New Roman"/>
          <w:sz w:val="22"/>
          <w:szCs w:val="22"/>
          <w:lang w:eastAsia="sk-SK"/>
        </w:rPr>
        <w:t xml:space="preserve">Účtovná jednotka oceňovala dlhodobý finančný majetok </w:t>
      </w:r>
    </w:p>
    <w:p w14:paraId="18F09876">
      <w:pPr>
        <w:shd w:val="clear" w:color="auto" w:fill="FFFFFF"/>
        <w:spacing w:before="100" w:beforeAutospacing="1" w:after="100" w:afterAutospacing="1"/>
        <w:rPr>
          <w:rFonts w:ascii="Times New Roman" w:hAnsi="Times New Roman" w:eastAsia="Times New Roman" w:cs="Times New Roman"/>
          <w:lang w:eastAsia="sk-SK"/>
        </w:rPr>
      </w:pPr>
      <w:r>
        <w:rPr>
          <w:rFonts w:ascii="CIDFont+F2" w:hAnsi="CIDFont+F2" w:eastAsia="Times New Roman" w:cs="Times New Roman"/>
          <w:sz w:val="22"/>
          <w:szCs w:val="22"/>
          <w:lang w:eastAsia="sk-SK"/>
        </w:rPr>
        <w:t xml:space="preserve">b) Oceňovanie zásob </w:t>
      </w:r>
    </w:p>
    <w:p w14:paraId="5199E2E6">
      <w:pPr>
        <w:shd w:val="clear" w:color="auto" w:fill="FFFFFF"/>
        <w:spacing w:before="100" w:beforeAutospacing="1" w:after="100" w:afterAutospacing="1"/>
        <w:rPr>
          <w:rFonts w:ascii="Times New Roman" w:hAnsi="Times New Roman" w:eastAsia="Times New Roman" w:cs="Times New Roman"/>
          <w:lang w:eastAsia="sk-SK"/>
        </w:rPr>
      </w:pPr>
      <w:r>
        <w:rPr>
          <w:rFonts w:ascii="CIDFont+F1" w:hAnsi="CIDFont+F1" w:eastAsia="Times New Roman" w:cs="Times New Roman"/>
          <w:sz w:val="22"/>
          <w:szCs w:val="22"/>
          <w:lang w:eastAsia="sk-SK"/>
        </w:rPr>
        <w:t>Oceňovanie zásob obstaraných kúpou</w:t>
      </w:r>
      <w:r>
        <w:rPr>
          <w:rFonts w:ascii="CIDFont+F1" w:hAnsi="CIDFont+F1" w:eastAsia="Times New Roman" w:cs="Times New Roman"/>
          <w:sz w:val="22"/>
          <w:szCs w:val="22"/>
          <w:lang w:eastAsia="sk-SK"/>
        </w:rPr>
        <w:br w:type="textWrapping"/>
      </w:r>
      <w:r>
        <w:rPr>
          <w:rFonts w:ascii="CIDFont+F1" w:hAnsi="CIDFont+F1" w:eastAsia="Times New Roman" w:cs="Times New Roman"/>
          <w:sz w:val="22"/>
          <w:szCs w:val="22"/>
          <w:lang w:eastAsia="sk-SK"/>
        </w:rPr>
        <w:t>* Zásoby obstarané kúpou účtovná jednotka oceňovala obstarávacou cenou, ktorá zahrňuje cenu obstarania a náklady súvisiace s obstaraním</w:t>
      </w:r>
      <w:r>
        <w:rPr>
          <w:rFonts w:ascii="CIDFont+F1" w:hAnsi="CIDFont+F1" w:eastAsia="Times New Roman" w:cs="Times New Roman"/>
          <w:sz w:val="22"/>
          <w:szCs w:val="22"/>
          <w:lang w:eastAsia="sk-SK"/>
        </w:rPr>
        <w:br w:type="textWrapping"/>
      </w:r>
      <w:r>
        <w:rPr>
          <w:rFonts w:ascii="CIDFont+F1" w:hAnsi="CIDFont+F1" w:eastAsia="Times New Roman" w:cs="Times New Roman"/>
          <w:sz w:val="22"/>
          <w:szCs w:val="22"/>
          <w:lang w:eastAsia="sk-SK"/>
        </w:rPr>
        <w:t>Oceňovanie zásob vytvorených vlastnou činnosťou</w:t>
      </w:r>
      <w:r>
        <w:rPr>
          <w:rFonts w:ascii="CIDFont+F1" w:hAnsi="CIDFont+F1" w:eastAsia="Times New Roman" w:cs="Times New Roman"/>
          <w:sz w:val="22"/>
          <w:szCs w:val="22"/>
          <w:lang w:eastAsia="sk-SK"/>
        </w:rPr>
        <w:br w:type="textWrapping"/>
      </w:r>
      <w:r>
        <w:rPr>
          <w:rFonts w:ascii="CIDFont+F1" w:hAnsi="CIDFont+F1" w:eastAsia="Times New Roman" w:cs="Times New Roman"/>
          <w:sz w:val="22"/>
          <w:szCs w:val="22"/>
          <w:lang w:eastAsia="sk-SK"/>
        </w:rPr>
        <w:t>Účtovná jednotka oceňovala zásoby obstarané vlastnou činnosťou vlastnými nákladmi v zložení</w:t>
      </w:r>
      <w:r>
        <w:rPr>
          <w:rFonts w:ascii="CIDFont+F1" w:hAnsi="CIDFont+F1" w:eastAsia="Times New Roman" w:cs="Times New Roman"/>
          <w:sz w:val="22"/>
          <w:szCs w:val="22"/>
          <w:lang w:eastAsia="sk-SK"/>
        </w:rPr>
        <w:br w:type="textWrapping"/>
      </w:r>
      <w:r>
        <w:rPr>
          <w:rFonts w:ascii="CIDFont+F1" w:hAnsi="CIDFont+F1" w:eastAsia="Times New Roman" w:cs="Times New Roman"/>
          <w:sz w:val="22"/>
          <w:szCs w:val="22"/>
          <w:lang w:eastAsia="sk-SK"/>
        </w:rPr>
        <w:t>* priame náklady</w:t>
      </w:r>
      <w:r>
        <w:rPr>
          <w:rFonts w:ascii="CIDFont+F1" w:hAnsi="CIDFont+F1" w:eastAsia="Times New Roman" w:cs="Times New Roman"/>
          <w:sz w:val="22"/>
          <w:szCs w:val="22"/>
          <w:lang w:eastAsia="sk-SK"/>
        </w:rPr>
        <w:br w:type="textWrapping"/>
      </w:r>
      <w:r>
        <w:rPr>
          <w:rFonts w:ascii="CIDFont+F1" w:hAnsi="CIDFont+F1" w:eastAsia="Times New Roman" w:cs="Times New Roman"/>
          <w:sz w:val="22"/>
          <w:szCs w:val="22"/>
          <w:lang w:eastAsia="sk-SK"/>
        </w:rPr>
        <w:t>Pri vyskladnení zásob sa používala</w:t>
      </w:r>
      <w:r>
        <w:rPr>
          <w:rFonts w:ascii="CIDFont+F1" w:hAnsi="CIDFont+F1" w:eastAsia="Times New Roman" w:cs="Times New Roman"/>
          <w:sz w:val="22"/>
          <w:szCs w:val="22"/>
          <w:lang w:eastAsia="sk-SK"/>
        </w:rPr>
        <w:br w:type="textWrapping"/>
      </w:r>
      <w:r>
        <w:rPr>
          <w:rFonts w:ascii="CIDFont+F1" w:hAnsi="CIDFont+F1" w:eastAsia="Times New Roman" w:cs="Times New Roman"/>
          <w:sz w:val="22"/>
          <w:szCs w:val="22"/>
          <w:lang w:eastAsia="sk-SK"/>
        </w:rPr>
        <w:t>* metóda váženého aritmetického priemeru</w:t>
      </w:r>
      <w:r>
        <w:rPr>
          <w:rFonts w:ascii="CIDFont+F1" w:hAnsi="CIDFont+F1" w:eastAsia="Times New Roman" w:cs="Times New Roman"/>
          <w:sz w:val="22"/>
          <w:szCs w:val="22"/>
          <w:lang w:eastAsia="sk-SK"/>
        </w:rPr>
        <w:br w:type="textWrapping"/>
      </w:r>
      <w:r>
        <w:rPr>
          <w:rFonts w:ascii="CIDFont+F1" w:hAnsi="CIDFont+F1" w:eastAsia="Times New Roman" w:cs="Times New Roman"/>
          <w:sz w:val="22"/>
          <w:szCs w:val="22"/>
          <w:lang w:eastAsia="sk-SK"/>
        </w:rPr>
        <w:t xml:space="preserve">* tieto účtovné prípady sa v bežnom účtovnom období nevyskytli </w:t>
      </w:r>
    </w:p>
    <w:p w14:paraId="75D852F0">
      <w:pPr>
        <w:shd w:val="clear" w:color="auto" w:fill="FFFFFF"/>
        <w:spacing w:before="100" w:beforeAutospacing="1" w:after="100" w:afterAutospacing="1"/>
        <w:rPr>
          <w:rFonts w:ascii="Times New Roman" w:hAnsi="Times New Roman" w:eastAsia="Times New Roman" w:cs="Times New Roman"/>
          <w:lang w:eastAsia="sk-SK"/>
        </w:rPr>
      </w:pPr>
      <w:r>
        <w:rPr>
          <w:rFonts w:ascii="CIDFont+F2" w:hAnsi="CIDFont+F2" w:eastAsia="Times New Roman" w:cs="Times New Roman"/>
          <w:sz w:val="22"/>
          <w:szCs w:val="22"/>
          <w:lang w:eastAsia="sk-SK"/>
        </w:rPr>
        <w:t xml:space="preserve">c) Oceňovanie pohľadávok </w:t>
      </w:r>
    </w:p>
    <w:p w14:paraId="4F541C3D">
      <w:pPr>
        <w:shd w:val="clear" w:color="auto" w:fill="FFFFFF"/>
        <w:spacing w:before="100" w:beforeAutospacing="1" w:after="100" w:afterAutospacing="1"/>
        <w:rPr>
          <w:rFonts w:ascii="Times New Roman" w:hAnsi="Times New Roman" w:eastAsia="Times New Roman" w:cs="Times New Roman"/>
          <w:lang w:eastAsia="sk-SK"/>
        </w:rPr>
      </w:pPr>
      <w:r>
        <w:rPr>
          <w:rFonts w:ascii="CIDFont+F1" w:hAnsi="CIDFont+F1" w:eastAsia="Times New Roman" w:cs="Times New Roman"/>
          <w:sz w:val="22"/>
          <w:szCs w:val="22"/>
          <w:lang w:eastAsia="sk-SK"/>
        </w:rPr>
        <w:t xml:space="preserve">* Pohľadávky sa pri ich vzniku oceňovali nominálnou hodnotou </w:t>
      </w:r>
    </w:p>
    <w:p w14:paraId="573E76B3">
      <w:pPr>
        <w:shd w:val="clear" w:color="auto" w:fill="FFFFFF"/>
        <w:spacing w:before="100" w:beforeAutospacing="1" w:after="100" w:afterAutospacing="1"/>
        <w:rPr>
          <w:rFonts w:ascii="Times New Roman" w:hAnsi="Times New Roman" w:eastAsia="Times New Roman" w:cs="Times New Roman"/>
          <w:lang w:eastAsia="sk-SK"/>
        </w:rPr>
      </w:pPr>
      <w:r>
        <w:rPr>
          <w:rFonts w:ascii="CIDFont+F2" w:hAnsi="CIDFont+F2" w:eastAsia="Times New Roman" w:cs="Times New Roman"/>
          <w:sz w:val="22"/>
          <w:szCs w:val="22"/>
          <w:lang w:eastAsia="sk-SK"/>
        </w:rPr>
        <w:t xml:space="preserve">d) Oceňovanie krátkodobého finančného majetku </w:t>
      </w:r>
    </w:p>
    <w:p w14:paraId="6A69EF89">
      <w:pPr>
        <w:shd w:val="clear" w:color="auto" w:fill="FFFFFF"/>
        <w:spacing w:before="100" w:beforeAutospacing="1" w:after="100" w:afterAutospacing="1"/>
        <w:rPr>
          <w:rFonts w:ascii="Times New Roman" w:hAnsi="Times New Roman" w:eastAsia="Times New Roman" w:cs="Times New Roman"/>
          <w:lang w:eastAsia="sk-SK"/>
        </w:rPr>
      </w:pPr>
      <w:r>
        <w:rPr>
          <w:rFonts w:ascii="CIDFont+F1" w:hAnsi="CIDFont+F1" w:eastAsia="Times New Roman" w:cs="Times New Roman"/>
          <w:sz w:val="22"/>
          <w:szCs w:val="22"/>
          <w:lang w:eastAsia="sk-SK"/>
        </w:rPr>
        <w:t>* Krátkodobý finančný maj</w:t>
      </w:r>
      <w:bookmarkStart w:id="0" w:name="_GoBack"/>
      <w:bookmarkEnd w:id="0"/>
      <w:r>
        <w:rPr>
          <w:rFonts w:ascii="CIDFont+F1" w:hAnsi="CIDFont+F1" w:eastAsia="Times New Roman" w:cs="Times New Roman"/>
          <w:sz w:val="22"/>
          <w:szCs w:val="22"/>
          <w:lang w:eastAsia="sk-SK"/>
        </w:rPr>
        <w:t xml:space="preserve">etok sa oceňoval nominálnou hodnotou </w:t>
      </w:r>
    </w:p>
    <w:p w14:paraId="7B1D2720">
      <w:pPr>
        <w:shd w:val="clear" w:color="auto" w:fill="FFFFFF"/>
        <w:spacing w:before="100" w:beforeAutospacing="1" w:after="100" w:afterAutospacing="1"/>
        <w:rPr>
          <w:rFonts w:ascii="Times New Roman" w:hAnsi="Times New Roman" w:eastAsia="Times New Roman" w:cs="Times New Roman"/>
          <w:lang w:eastAsia="sk-SK"/>
        </w:rPr>
      </w:pPr>
      <w:r>
        <w:rPr>
          <w:rFonts w:ascii="CIDFont+F2" w:hAnsi="CIDFont+F2" w:eastAsia="Times New Roman" w:cs="Times New Roman"/>
          <w:sz w:val="22"/>
          <w:szCs w:val="22"/>
          <w:lang w:eastAsia="sk-SK"/>
        </w:rPr>
        <w:t xml:space="preserve">e) Oceňovanie záväzkov, vrátane rezerv, dlhopisov, pôžičiek a úverov </w:t>
      </w:r>
    </w:p>
    <w:p w14:paraId="64D1EE65">
      <w:pPr>
        <w:shd w:val="clear" w:color="auto" w:fill="FFFFFF"/>
        <w:spacing w:before="100" w:beforeAutospacing="1" w:after="100" w:afterAutospacing="1"/>
        <w:rPr>
          <w:rFonts w:ascii="Times New Roman" w:hAnsi="Times New Roman" w:eastAsia="Times New Roman" w:cs="Times New Roman"/>
          <w:lang w:eastAsia="sk-SK"/>
        </w:rPr>
      </w:pPr>
      <w:r>
        <w:rPr>
          <w:rFonts w:ascii="CIDFont+F1" w:hAnsi="CIDFont+F1" w:eastAsia="Times New Roman" w:cs="Times New Roman"/>
          <w:sz w:val="22"/>
          <w:szCs w:val="22"/>
          <w:lang w:eastAsia="sk-SK"/>
        </w:rPr>
        <w:t>* Rezervy sa oceňovali v očakávanej výške záväzkov</w:t>
      </w:r>
      <w:r>
        <w:rPr>
          <w:rFonts w:ascii="CIDFont+F1" w:hAnsi="CIDFont+F1" w:eastAsia="Times New Roman" w:cs="Times New Roman"/>
          <w:sz w:val="22"/>
          <w:szCs w:val="22"/>
          <w:lang w:eastAsia="sk-SK"/>
        </w:rPr>
        <w:br w:type="textWrapping"/>
      </w:r>
      <w:r>
        <w:rPr>
          <w:rFonts w:ascii="CIDFont+F1" w:hAnsi="CIDFont+F1" w:eastAsia="Times New Roman" w:cs="Times New Roman"/>
          <w:sz w:val="22"/>
          <w:szCs w:val="22"/>
          <w:lang w:eastAsia="sk-SK"/>
        </w:rPr>
        <w:t xml:space="preserve">* Záväzky sa pri ich vzniku oceňovali nominálnou hodnotou </w:t>
      </w:r>
    </w:p>
    <w:p w14:paraId="4BFF3614">
      <w:pPr>
        <w:shd w:val="clear" w:color="auto" w:fill="FFFFFF"/>
        <w:spacing w:before="100" w:beforeAutospacing="1" w:after="100" w:afterAutospacing="1"/>
        <w:rPr>
          <w:rFonts w:ascii="Times New Roman" w:hAnsi="Times New Roman" w:eastAsia="Times New Roman" w:cs="Times New Roman"/>
          <w:lang w:eastAsia="sk-SK"/>
        </w:rPr>
      </w:pPr>
      <w:r>
        <w:rPr>
          <w:rFonts w:ascii="CIDFont+F1" w:hAnsi="CIDFont+F1" w:eastAsia="Times New Roman" w:cs="Times New Roman"/>
          <w:sz w:val="22"/>
          <w:szCs w:val="22"/>
          <w:lang w:eastAsia="sk-SK"/>
        </w:rPr>
        <w:t>* Pôžičky sa oceňovali nominálnou hodnotou</w:t>
      </w:r>
      <w:r>
        <w:rPr>
          <w:rFonts w:ascii="CIDFont+F1" w:hAnsi="CIDFont+F1" w:eastAsia="Times New Roman" w:cs="Times New Roman"/>
          <w:sz w:val="22"/>
          <w:szCs w:val="22"/>
          <w:lang w:eastAsia="sk-SK"/>
        </w:rPr>
        <w:br w:type="textWrapping"/>
      </w:r>
      <w:r>
        <w:rPr>
          <w:rFonts w:ascii="CIDFont+F1" w:hAnsi="CIDFont+F1" w:eastAsia="Times New Roman" w:cs="Times New Roman"/>
          <w:sz w:val="22"/>
          <w:szCs w:val="22"/>
          <w:lang w:eastAsia="sk-SK"/>
        </w:rPr>
        <w:t xml:space="preserve">* Dlhopisy sa oceňovali nominálnou hodnotou </w:t>
      </w:r>
    </w:p>
    <w:p w14:paraId="25FD20BF">
      <w:pPr>
        <w:shd w:val="clear" w:color="auto" w:fill="FFFFFF"/>
        <w:spacing w:before="100" w:beforeAutospacing="1" w:after="100" w:afterAutospacing="1"/>
        <w:rPr>
          <w:rFonts w:ascii="Times New Roman" w:hAnsi="Times New Roman" w:eastAsia="Times New Roman" w:cs="Times New Roman"/>
          <w:lang w:eastAsia="sk-SK"/>
        </w:rPr>
      </w:pPr>
      <w:r>
        <w:rPr>
          <w:rFonts w:ascii="CIDFont+F1" w:hAnsi="CIDFont+F1" w:eastAsia="Times New Roman" w:cs="Times New Roman"/>
          <w:sz w:val="22"/>
          <w:szCs w:val="22"/>
          <w:lang w:eastAsia="sk-SK"/>
        </w:rPr>
        <w:t xml:space="preserve">* Úvery sa oceňovali nominálnou hodnotou </w:t>
      </w:r>
    </w:p>
    <w:p w14:paraId="0B793AFB">
      <w:pPr>
        <w:shd w:val="clear" w:color="auto" w:fill="FFFFFF"/>
        <w:spacing w:before="100" w:beforeAutospacing="1" w:after="100" w:afterAutospacing="1"/>
        <w:rPr>
          <w:rFonts w:ascii="Times New Roman" w:hAnsi="Times New Roman" w:eastAsia="Times New Roman" w:cs="Times New Roman"/>
          <w:lang w:eastAsia="sk-SK"/>
        </w:rPr>
      </w:pPr>
      <w:r>
        <w:rPr>
          <w:rFonts w:ascii="CIDFont+F2" w:hAnsi="CIDFont+F2" w:eastAsia="Times New Roman" w:cs="Times New Roman"/>
          <w:sz w:val="22"/>
          <w:szCs w:val="22"/>
          <w:lang w:eastAsia="sk-SK"/>
        </w:rPr>
        <w:t xml:space="preserve">(3) Spôsob zostavenia odpisového plánu pre dlhodobý majetok </w:t>
      </w:r>
    </w:p>
    <w:p w14:paraId="24E5CA2D">
      <w:pPr>
        <w:shd w:val="clear" w:color="auto" w:fill="FFFFFF"/>
        <w:spacing w:before="100" w:beforeAutospacing="1" w:after="100" w:afterAutospacing="1"/>
        <w:rPr>
          <w:rFonts w:hint="default" w:ascii="Times New Roman" w:hAnsi="Times New Roman" w:eastAsia="Times New Roman" w:cs="Times New Roman"/>
          <w:lang w:val="en-US" w:eastAsia="sk-SK"/>
        </w:rPr>
      </w:pPr>
      <w:r>
        <w:rPr>
          <w:rFonts w:ascii="CIDFont+F1" w:hAnsi="CIDFont+F1" w:eastAsia="Times New Roman" w:cs="Times New Roman"/>
          <w:sz w:val="22"/>
          <w:szCs w:val="22"/>
          <w:lang w:eastAsia="sk-SK"/>
        </w:rPr>
        <w:t>Spôsob odpisovania dlhodobého majetku</w:t>
      </w:r>
      <w:r>
        <w:rPr>
          <w:rFonts w:ascii="CIDFont+F1" w:hAnsi="CIDFont+F1" w:eastAsia="Times New Roman" w:cs="Times New Roman"/>
          <w:sz w:val="22"/>
          <w:szCs w:val="22"/>
          <w:lang w:eastAsia="sk-SK"/>
        </w:rPr>
        <w:br w:type="textWrapping"/>
      </w:r>
      <w:r>
        <w:rPr>
          <w:rFonts w:ascii="CIDFont+F1" w:hAnsi="CIDFont+F1" w:eastAsia="Times New Roman" w:cs="Times New Roman"/>
          <w:sz w:val="22"/>
          <w:szCs w:val="22"/>
          <w:lang w:eastAsia="sk-SK"/>
        </w:rPr>
        <w:t>* Odpisový plán účtovných odpisov dlhodobého majetku zostavila účtovná jednotka v interných smerniciah, kde vychádza z predpokladaného opotrebenia zaraďovaného majetku zodpovedajeho bežným podmienkam jeho používania - účtovné a daňové odpisy sa nerovna</w:t>
      </w:r>
      <w:r>
        <w:rPr>
          <w:rFonts w:hint="default" w:ascii="CIDFont+F1" w:hAnsi="CIDFont+F1" w:eastAsia="Times New Roman" w:cs="Times New Roman"/>
          <w:sz w:val="22"/>
          <w:szCs w:val="22"/>
          <w:lang w:val="en-US" w:eastAsia="sk-SK"/>
        </w:rPr>
        <w:t>jú.</w:t>
      </w:r>
    </w:p>
    <w:tbl>
      <w:tblPr>
        <w:tblStyle w:val="3"/>
        <w:tblW w:w="0" w:type="auto"/>
        <w:tblInd w:w="0" w:type="dxa"/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758"/>
        <w:gridCol w:w="1275"/>
        <w:gridCol w:w="1465"/>
        <w:gridCol w:w="3604"/>
      </w:tblGrid>
      <w:tr w14:paraId="5681F5FD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4"/>
            <w:tcBorders>
              <w:top w:val="single" w:color="auto" w:sz="2" w:space="0"/>
              <w:left w:val="single" w:color="000000" w:sz="12" w:space="0"/>
              <w:bottom w:val="single" w:color="000000" w:sz="18" w:space="0"/>
              <w:right w:val="single" w:color="000000" w:sz="12" w:space="0"/>
            </w:tcBorders>
            <w:shd w:val="clear" w:color="auto" w:fill="FFFFFF"/>
            <w:vAlign w:val="center"/>
          </w:tcPr>
          <w:p w14:paraId="2CD14A62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Tvorba odpisového plánu pre jednotlivé druhy dlhodobého majetku </w:t>
            </w:r>
          </w:p>
        </w:tc>
      </w:tr>
      <w:tr w14:paraId="00D9823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18" w:space="0"/>
              <w:left w:val="single" w:color="000000" w:sz="12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 w14:paraId="67DB45F2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Druh dlhodobého majetku </w:t>
            </w: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 w14:paraId="4E220842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Doba odpisova nia </w:t>
            </w: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 w14:paraId="485FC3DD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Ročná odpisová sadzba </w:t>
            </w: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18" w:space="0"/>
              <w:right w:val="single" w:color="000000" w:sz="12" w:space="0"/>
            </w:tcBorders>
            <w:shd w:val="clear" w:color="auto" w:fill="FFFFFF"/>
            <w:vAlign w:val="center"/>
          </w:tcPr>
          <w:p w14:paraId="2AF41542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Metóda odpisovania </w:t>
            </w:r>
          </w:p>
        </w:tc>
      </w:tr>
      <w:tr w14:paraId="602AA17B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18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9397214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Aktivované náklady na vývoj </w:t>
            </w: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717B6B5"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338A7DE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44C5022B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</w:tr>
      <w:tr w14:paraId="7A485A4E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DCDE781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Softvér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7C74498"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97FFC59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25FE4058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</w:tr>
      <w:tr w14:paraId="551A0423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7B89085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Oceniteľné práva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946A497"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E1A088D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689C68E4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</w:tr>
      <w:tr w14:paraId="6B99EC7E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A12F874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Goodwill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A8E9F24"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15378DA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4CE2347D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</w:tr>
      <w:tr w14:paraId="57CB0579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9B21B85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Ostatný dlhodobý nehmotný majetok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61550D9"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C8AB552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34D1B0C9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</w:tr>
      <w:tr w14:paraId="25D3BC74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6CC3CB7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Stavby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6AB4861"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679B63C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2478024E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</w:tr>
      <w:tr w14:paraId="48D1831C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3603DBA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Samostatné hnuteľné veci a súbory hnuteľných vecí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77743D1"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59A91DB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2EF71BC5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</w:tr>
      <w:tr w14:paraId="009AF23B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8E1C1E0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Základné stádo a ťažné zvieratá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A560BD7"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C1ACA3B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47304BC2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</w:tr>
      <w:tr w14:paraId="364E400C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12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vAlign w:val="center"/>
          </w:tcPr>
          <w:p w14:paraId="2B5B631B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Ostatný dlhodobý hmotný majetok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vAlign w:val="center"/>
          </w:tcPr>
          <w:p w14:paraId="62550E7B"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vAlign w:val="center"/>
          </w:tcPr>
          <w:p w14:paraId="4E357868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6664C2EF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</w:tr>
      <w:tr w14:paraId="0945946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4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35BB3CF6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>(4) Významné zmeny účtovných zásad a účtovných metód</w:t>
            </w: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br w:type="textWrapping"/>
            </w: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Zmeny účtovných zásad a metód s uvedením dôvodu ich uplatnenia a ich vplyvu na hodnotu majetku, záväzkov, vlastného imania a výsledku hospodárenia účtovnej jednotky </w:t>
            </w:r>
          </w:p>
        </w:tc>
      </w:tr>
      <w:tr w14:paraId="0B462D01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12" w:space="0"/>
              <w:left w:val="single" w:color="000000" w:sz="12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 w14:paraId="29D7B8FB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Druh zmeny </w:t>
            </w:r>
          </w:p>
        </w:tc>
        <w:tc>
          <w:tcPr>
            <w:tcW w:w="0" w:type="auto"/>
            <w:gridSpan w:val="2"/>
            <w:tcBorders>
              <w:top w:val="single" w:color="000000" w:sz="12" w:space="0"/>
              <w:left w:val="single" w:color="000000" w:sz="6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 w14:paraId="1610A3FA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Dôvod zmeny </w:t>
            </w:r>
          </w:p>
        </w:tc>
        <w:tc>
          <w:tcPr>
            <w:tcW w:w="0" w:type="auto"/>
            <w:tcBorders>
              <w:top w:val="single" w:color="000000" w:sz="12" w:space="0"/>
              <w:left w:val="single" w:color="000000" w:sz="6" w:space="0"/>
              <w:bottom w:val="single" w:color="000000" w:sz="18" w:space="0"/>
              <w:right w:val="single" w:color="000000" w:sz="12" w:space="0"/>
            </w:tcBorders>
            <w:shd w:val="clear" w:color="auto" w:fill="FFFFFF"/>
            <w:vAlign w:val="center"/>
          </w:tcPr>
          <w:p w14:paraId="385DB597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Vplyv na hodnotu zložky majetku a záväzky </w:t>
            </w:r>
          </w:p>
        </w:tc>
      </w:tr>
      <w:tr w14:paraId="5133B162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18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DD43B5B"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gridSpan w:val="2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2C2C72A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15D5B557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</w:tr>
      <w:tr w14:paraId="3B9A0F67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0F400B5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95F3FFE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02F3F69C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</w:tr>
      <w:tr w14:paraId="789C2E1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882695A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C8CB919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25E61298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</w:tr>
      <w:tr w14:paraId="3AA43914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2543BA6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B704ED2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6CEC40D2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</w:tr>
      <w:tr w14:paraId="7569BC16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12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vAlign w:val="center"/>
          </w:tcPr>
          <w:p w14:paraId="3DE985E5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vAlign w:val="center"/>
          </w:tcPr>
          <w:p w14:paraId="0F6D8E81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50568CA1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</w:tr>
      <w:tr w14:paraId="2FC26325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4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14CF6933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(5) Informácie o poskytnutých dotáciách </w:t>
            </w:r>
          </w:p>
        </w:tc>
      </w:tr>
      <w:tr w14:paraId="30EBB637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12" w:space="0"/>
              <w:left w:val="single" w:color="000000" w:sz="12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 w14:paraId="267771B0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Majetok </w:t>
            </w:r>
          </w:p>
        </w:tc>
        <w:tc>
          <w:tcPr>
            <w:tcW w:w="0" w:type="auto"/>
            <w:gridSpan w:val="2"/>
            <w:tcBorders>
              <w:top w:val="single" w:color="000000" w:sz="12" w:space="0"/>
              <w:left w:val="single" w:color="000000" w:sz="6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 w14:paraId="6A184C20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Spôsob ocenenia </w:t>
            </w:r>
          </w:p>
        </w:tc>
        <w:tc>
          <w:tcPr>
            <w:tcW w:w="0" w:type="auto"/>
            <w:tcBorders>
              <w:top w:val="single" w:color="000000" w:sz="12" w:space="0"/>
              <w:left w:val="single" w:color="000000" w:sz="6" w:space="0"/>
              <w:bottom w:val="single" w:color="000000" w:sz="18" w:space="0"/>
              <w:right w:val="single" w:color="000000" w:sz="12" w:space="0"/>
            </w:tcBorders>
            <w:shd w:val="clear" w:color="auto" w:fill="FFFFFF"/>
            <w:vAlign w:val="center"/>
          </w:tcPr>
          <w:p w14:paraId="5D502410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Výška dotácie </w:t>
            </w:r>
          </w:p>
        </w:tc>
      </w:tr>
      <w:tr w14:paraId="4244A25B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18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513839D"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gridSpan w:val="2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BC8B501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14DEC13E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14:paraId="63C4DA57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67E06E2"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35D9008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0548CCF1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14:paraId="342F362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3624884"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242C436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0E4725BE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14:paraId="69F56D37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69C2D21"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068E487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7F78D7AA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14:paraId="146CB43F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12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vAlign w:val="center"/>
          </w:tcPr>
          <w:p w14:paraId="65D32E4F"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vAlign w:val="center"/>
          </w:tcPr>
          <w:p w14:paraId="7B0D0B4F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4A29D57B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14:paraId="175F0C9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4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1E12DEB7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>(6) Opravy významných chýb minulých účtovných období</w:t>
            </w: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br w:type="textWrapping"/>
            </w: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Opravy významných chýb minulých účtovných období účtovaných v bežnom účt. období s uvedením sumy vplyvu na nerozdelený zisk alebo neuhradenú stratu minulých rokov </w:t>
            </w:r>
          </w:p>
        </w:tc>
      </w:tr>
      <w:tr w14:paraId="725698FE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12" w:space="0"/>
              <w:left w:val="single" w:color="000000" w:sz="12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 w14:paraId="1142C6FB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Druh chyby </w:t>
            </w:r>
          </w:p>
        </w:tc>
        <w:tc>
          <w:tcPr>
            <w:tcW w:w="0" w:type="auto"/>
            <w:tcBorders>
              <w:top w:val="single" w:color="000000" w:sz="12" w:space="0"/>
              <w:left w:val="single" w:color="000000" w:sz="6" w:space="0"/>
              <w:bottom w:val="single" w:color="000000" w:sz="18" w:space="0"/>
              <w:right w:val="single" w:color="000000" w:sz="12" w:space="0"/>
            </w:tcBorders>
            <w:shd w:val="clear" w:color="auto" w:fill="FFFFFF"/>
            <w:vAlign w:val="center"/>
          </w:tcPr>
          <w:p w14:paraId="507CC27B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Suma vplyvu na nerozdelený zisk /neuhradenú stratu minulých období </w:t>
            </w:r>
          </w:p>
        </w:tc>
      </w:tr>
      <w:tr w14:paraId="79128A88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18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0E5C800"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63295850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</w:tr>
      <w:tr w14:paraId="6568952C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0351061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0EC8994B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</w:tr>
      <w:tr w14:paraId="7242E793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055E3A7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118568B5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</w:tr>
      <w:tr w14:paraId="1D002CE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698C6D5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6BFA9EF1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</w:tr>
      <w:tr w14:paraId="1E76C35C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6" w:space="0"/>
              <w:left w:val="single" w:color="000000" w:sz="12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vAlign w:val="center"/>
          </w:tcPr>
          <w:p w14:paraId="07186728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14BA5E1F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</w:tr>
      <w:tr w14:paraId="4D55FDC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4"/>
            <w:tcBorders>
              <w:top w:val="single" w:color="000000" w:sz="12" w:space="0"/>
              <w:left w:val="single" w:color="000000" w:sz="12" w:space="0"/>
              <w:bottom w:val="single" w:color="auto" w:sz="2" w:space="0"/>
              <w:right w:val="single" w:color="000000" w:sz="12" w:space="0"/>
            </w:tcBorders>
            <w:shd w:val="clear" w:color="auto" w:fill="FFFFFF"/>
            <w:vAlign w:val="center"/>
          </w:tcPr>
          <w:p w14:paraId="26E72A59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0CD24F0B">
      <w:pPr>
        <w:spacing w:before="100" w:beforeAutospacing="1" w:after="100" w:afterAutospacing="1"/>
        <w:rPr>
          <w:rFonts w:ascii="Times New Roman" w:hAnsi="Times New Roman" w:eastAsia="Times New Roman" w:cs="Times New Roman"/>
          <w:lang w:eastAsia="sk-SK"/>
        </w:rPr>
      </w:pPr>
      <w:r>
        <w:rPr>
          <w:rFonts w:ascii="CIDFont+F1" w:hAnsi="CIDFont+F1" w:eastAsia="Times New Roman" w:cs="Times New Roman"/>
          <w:sz w:val="18"/>
          <w:szCs w:val="18"/>
          <w:lang w:eastAsia="sk-SK"/>
        </w:rPr>
        <w:t>Spracované systémom Money S3</w:t>
      </w:r>
      <w:r>
        <w:rPr>
          <w:rFonts w:ascii="CIDFont+F1" w:hAnsi="CIDFont+F1" w:eastAsia="Times New Roman" w:cs="Times New Roman"/>
          <w:sz w:val="18"/>
          <w:szCs w:val="18"/>
          <w:lang w:eastAsia="sk-SK"/>
        </w:rPr>
        <w:br w:type="textWrapping"/>
      </w:r>
      <w:r>
        <w:rPr>
          <w:rFonts w:ascii="CIDFont+F1" w:hAnsi="CIDFont+F1" w:eastAsia="Times New Roman" w:cs="Times New Roman"/>
          <w:sz w:val="18"/>
          <w:szCs w:val="18"/>
          <w:lang w:eastAsia="sk-SK"/>
        </w:rPr>
        <w:t xml:space="preserve">www.money.sk </w:t>
      </w:r>
      <w:r>
        <w:rPr>
          <w:rFonts w:ascii="CIDFont+F1" w:hAnsi="CIDFont+F1" w:eastAsia="Times New Roman" w:cs="Times New Roman"/>
          <w:position w:val="2"/>
          <w:sz w:val="18"/>
          <w:szCs w:val="18"/>
          <w:lang w:eastAsia="sk-SK"/>
        </w:rPr>
        <w:t xml:space="preserve">4 </w:t>
      </w:r>
    </w:p>
    <w:p w14:paraId="6BB69570">
      <w:pPr>
        <w:spacing w:before="100" w:beforeAutospacing="1" w:after="100" w:afterAutospacing="1"/>
        <w:rPr>
          <w:rFonts w:ascii="Times New Roman" w:hAnsi="Times New Roman" w:eastAsia="Times New Roman" w:cs="Times New Roman"/>
          <w:lang w:eastAsia="sk-SK"/>
        </w:rPr>
      </w:pPr>
      <w:r>
        <w:rPr>
          <w:rFonts w:ascii="CIDFont+F1" w:hAnsi="CIDFont+F1" w:eastAsia="Times New Roman" w:cs="Times New Roman"/>
          <w:sz w:val="18"/>
          <w:szCs w:val="18"/>
          <w:lang w:eastAsia="sk-SK"/>
        </w:rPr>
        <w:t xml:space="preserve">Poznámky Úč MÚJ 3 - 01 IČO 52937437 DIČ 2121184637 </w:t>
      </w:r>
    </w:p>
    <w:tbl>
      <w:tblPr>
        <w:tblStyle w:val="3"/>
        <w:tblW w:w="0" w:type="auto"/>
        <w:tblInd w:w="0" w:type="dxa"/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06"/>
        <w:gridCol w:w="3040"/>
        <w:gridCol w:w="1063"/>
        <w:gridCol w:w="1063"/>
        <w:gridCol w:w="2830"/>
      </w:tblGrid>
      <w:tr w14:paraId="6B91426F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5"/>
            <w:tcBorders>
              <w:top w:val="single" w:color="auto" w:sz="2" w:space="0"/>
              <w:left w:val="single" w:color="000000" w:sz="12" w:space="0"/>
              <w:bottom w:val="single" w:color="000000" w:sz="18" w:space="0"/>
              <w:right w:val="single" w:color="000000" w:sz="12" w:space="0"/>
            </w:tcBorders>
            <w:shd w:val="clear" w:color="auto" w:fill="FFFFFF"/>
            <w:vAlign w:val="center"/>
          </w:tcPr>
          <w:p w14:paraId="43F87E5B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Článok III </w:t>
            </w:r>
          </w:p>
          <w:p w14:paraId="7B960761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Informácie, ktoré vysvetľujú a dopĺňajú súvahu a výkaz ziskov a strát </w:t>
            </w:r>
          </w:p>
          <w:p w14:paraId="133B6251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(1) Informácie o položkách nákladov alebo výnosov výnimočného rozsahu alebo výskytu </w:t>
            </w:r>
          </w:p>
          <w:p w14:paraId="6E12AB54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Informácie o nákladoch, ktoré majú výnimočný charakter alebo rozsah </w:t>
            </w:r>
          </w:p>
        </w:tc>
      </w:tr>
      <w:tr w14:paraId="53C47ACE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4"/>
            <w:tcBorders>
              <w:top w:val="single" w:color="000000" w:sz="18" w:space="0"/>
              <w:left w:val="single" w:color="000000" w:sz="12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 w14:paraId="2891EEF3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Dôvod vzniku </w:t>
            </w: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18" w:space="0"/>
              <w:right w:val="single" w:color="000000" w:sz="12" w:space="0"/>
            </w:tcBorders>
            <w:shd w:val="clear" w:color="auto" w:fill="FFFFFF"/>
            <w:vAlign w:val="center"/>
          </w:tcPr>
          <w:p w14:paraId="30B6A26A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Suma </w:t>
            </w:r>
          </w:p>
        </w:tc>
      </w:tr>
      <w:tr w14:paraId="27E993BB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4"/>
            <w:tcBorders>
              <w:top w:val="single" w:color="000000" w:sz="18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F0C42DE"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0674E37E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14:paraId="783F2692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4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1D70A43"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44FFDFF2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14:paraId="021F636D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4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BF24457"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5A70A9FF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14:paraId="13BD66AC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4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D87327F"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70548ABE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14:paraId="210E4EC3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4"/>
            <w:tcBorders>
              <w:top w:val="single" w:color="000000" w:sz="6" w:space="0"/>
              <w:left w:val="single" w:color="000000" w:sz="12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vAlign w:val="center"/>
          </w:tcPr>
          <w:p w14:paraId="5FBBBFD4"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0B3E854A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14:paraId="18BD73F0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5"/>
            <w:tcBorders>
              <w:top w:val="single" w:color="000000" w:sz="12" w:space="0"/>
              <w:left w:val="single" w:color="000000" w:sz="12" w:space="0"/>
              <w:bottom w:val="single" w:color="000000" w:sz="18" w:space="0"/>
              <w:right w:val="single" w:color="000000" w:sz="12" w:space="0"/>
            </w:tcBorders>
            <w:shd w:val="clear" w:color="auto" w:fill="FFFFFF"/>
            <w:vAlign w:val="center"/>
          </w:tcPr>
          <w:p w14:paraId="047D338A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Informácie o výnosoch, ktoré majú výnimočný charakter alebo rozsah </w:t>
            </w:r>
          </w:p>
        </w:tc>
      </w:tr>
      <w:tr w14:paraId="45EA77F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4"/>
            <w:tcBorders>
              <w:top w:val="single" w:color="000000" w:sz="18" w:space="0"/>
              <w:left w:val="single" w:color="000000" w:sz="12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 w14:paraId="19F9295D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Dôvod vzniku </w:t>
            </w: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18" w:space="0"/>
              <w:right w:val="single" w:color="000000" w:sz="12" w:space="0"/>
            </w:tcBorders>
            <w:shd w:val="clear" w:color="auto" w:fill="FFFFFF"/>
            <w:vAlign w:val="center"/>
          </w:tcPr>
          <w:p w14:paraId="5AF80BDF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Suma </w:t>
            </w:r>
          </w:p>
        </w:tc>
      </w:tr>
      <w:tr w14:paraId="514FA74D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4"/>
            <w:tcBorders>
              <w:top w:val="single" w:color="000000" w:sz="18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D96BC0D"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7C116016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14:paraId="2239338B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4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1CBC37C"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35CA93A1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14:paraId="6672A3E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4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7B8C00A"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72A9F5EE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14:paraId="6024473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4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C0B11F9"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62E6C60B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14:paraId="7A2274BF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4"/>
            <w:tcBorders>
              <w:top w:val="single" w:color="000000" w:sz="6" w:space="0"/>
              <w:left w:val="single" w:color="000000" w:sz="12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vAlign w:val="center"/>
          </w:tcPr>
          <w:p w14:paraId="6AE15050"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7D0F0B93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14:paraId="03803FB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5"/>
            <w:tcBorders>
              <w:top w:val="single" w:color="000000" w:sz="12" w:space="0"/>
              <w:left w:val="single" w:color="000000" w:sz="12" w:space="0"/>
              <w:bottom w:val="single" w:color="000000" w:sz="18" w:space="0"/>
              <w:right w:val="single" w:color="000000" w:sz="12" w:space="0"/>
            </w:tcBorders>
            <w:shd w:val="clear" w:color="auto" w:fill="FFFFFF"/>
            <w:vAlign w:val="center"/>
          </w:tcPr>
          <w:p w14:paraId="0BC385C3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(2) Informácie o záväzkoch </w:t>
            </w:r>
          </w:p>
          <w:p w14:paraId="7CE0BE6D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a) Informácie o celkovej sume záväzkoch so zostatkovou dobou splatnosti dlhšou ako päť rokov </w:t>
            </w:r>
          </w:p>
        </w:tc>
      </w:tr>
      <w:tr w14:paraId="2DD7A84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4"/>
            <w:tcBorders>
              <w:top w:val="single" w:color="000000" w:sz="18" w:space="0"/>
              <w:left w:val="single" w:color="000000" w:sz="12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 w14:paraId="38945EDA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Názov položky </w:t>
            </w: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18" w:space="0"/>
              <w:right w:val="single" w:color="000000" w:sz="12" w:space="0"/>
            </w:tcBorders>
            <w:shd w:val="clear" w:color="auto" w:fill="FFFFFF"/>
            <w:vAlign w:val="center"/>
          </w:tcPr>
          <w:p w14:paraId="5C58C66C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Suma </w:t>
            </w:r>
          </w:p>
        </w:tc>
      </w:tr>
      <w:tr w14:paraId="47E8926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4"/>
            <w:tcBorders>
              <w:top w:val="single" w:color="000000" w:sz="18" w:space="0"/>
              <w:left w:val="single" w:color="000000" w:sz="12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vAlign w:val="center"/>
          </w:tcPr>
          <w:p w14:paraId="24859133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Celková suma záväzkov so zostatkovou dobou splatnosti dlhšou ako päť rokov </w:t>
            </w: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60FFE0EA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14:paraId="43075F0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5"/>
            <w:tcBorders>
              <w:top w:val="single" w:color="000000" w:sz="12" w:space="0"/>
              <w:left w:val="single" w:color="000000" w:sz="12" w:space="0"/>
              <w:bottom w:val="single" w:color="000000" w:sz="18" w:space="0"/>
              <w:right w:val="single" w:color="000000" w:sz="12" w:space="0"/>
            </w:tcBorders>
            <w:shd w:val="clear" w:color="auto" w:fill="FFFFFF"/>
            <w:vAlign w:val="center"/>
          </w:tcPr>
          <w:p w14:paraId="21D5D42F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b) Informácie o celkovej sume zabezpečených záväzkov, opis a spôsoby zabezpečenia záväzkov </w:t>
            </w:r>
          </w:p>
        </w:tc>
      </w:tr>
      <w:tr w14:paraId="037702C6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18" w:space="0"/>
              <w:left w:val="single" w:color="000000" w:sz="12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 w14:paraId="169C5A5D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Záväzky </w:t>
            </w:r>
          </w:p>
        </w:tc>
        <w:tc>
          <w:tcPr>
            <w:tcW w:w="0" w:type="auto"/>
            <w:gridSpan w:val="2"/>
            <w:tcBorders>
              <w:top w:val="single" w:color="000000" w:sz="18" w:space="0"/>
              <w:left w:val="single" w:color="000000" w:sz="6" w:space="0"/>
              <w:bottom w:val="single" w:color="000000" w:sz="18" w:space="0"/>
              <w:right w:val="single" w:color="000000" w:sz="12" w:space="0"/>
            </w:tcBorders>
            <w:shd w:val="clear" w:color="auto" w:fill="FFFFFF"/>
            <w:vAlign w:val="center"/>
          </w:tcPr>
          <w:p w14:paraId="359F6A79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Hodnota za bežné účtovné obdobie </w:t>
            </w:r>
          </w:p>
        </w:tc>
      </w:tr>
      <w:tr w14:paraId="33366529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18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0C0A080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Záväzky, na ktoré boli zabezpečené záložné práva </w:t>
            </w:r>
          </w:p>
        </w:tc>
        <w:tc>
          <w:tcPr>
            <w:tcW w:w="0" w:type="auto"/>
            <w:gridSpan w:val="2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0A03F3B9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14:paraId="46B367C4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9E2DE2C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Záväzky, na ktoré boli zabezpečené obmedzené práva s nimi nakladať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58CD089A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14:paraId="13C26973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DE5BF23"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4AF466AA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14:paraId="4DE9C791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6" w:space="0"/>
              <w:left w:val="single" w:color="000000" w:sz="12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 w14:paraId="582BFED7"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18" w:space="0"/>
              <w:right w:val="single" w:color="000000" w:sz="12" w:space="0"/>
            </w:tcBorders>
            <w:shd w:val="clear" w:color="auto" w:fill="FFFFFF"/>
            <w:vAlign w:val="center"/>
          </w:tcPr>
          <w:p w14:paraId="6393E9B8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14:paraId="459F580E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18" w:space="0"/>
              <w:left w:val="single" w:color="000000" w:sz="12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vAlign w:val="center"/>
          </w:tcPr>
          <w:p w14:paraId="4576FF4E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Celková suma </w:t>
            </w:r>
          </w:p>
        </w:tc>
        <w:tc>
          <w:tcPr>
            <w:tcW w:w="0" w:type="auto"/>
            <w:gridSpan w:val="2"/>
            <w:tcBorders>
              <w:top w:val="single" w:color="000000" w:sz="18" w:space="0"/>
              <w:left w:val="single" w:color="000000" w:sz="6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5D06F680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14:paraId="333A5698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5"/>
            <w:tcBorders>
              <w:top w:val="single" w:color="000000" w:sz="12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631E9F4B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(3) Informácie o vlastných akciách Dôvod nadobudnutia vlastných akcií: </w:t>
            </w:r>
          </w:p>
          <w:p w14:paraId="1410D8B9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Informácie o počte, menovitej hodnote nadobudnutých vlastných akcií počas účtovného obdobia a hodnote, za ktorú </w:t>
            </w:r>
          </w:p>
        </w:tc>
      </w:tr>
      <w:tr w14:paraId="17E51C4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5"/>
            <w:tcBorders>
              <w:top w:val="single" w:color="000000" w:sz="6" w:space="0"/>
              <w:left w:val="single" w:color="000000" w:sz="12" w:space="0"/>
              <w:bottom w:val="single" w:color="000000" w:sz="18" w:space="0"/>
              <w:right w:val="single" w:color="000000" w:sz="12" w:space="0"/>
            </w:tcBorders>
            <w:shd w:val="clear" w:color="auto" w:fill="FFFFFF"/>
            <w:vAlign w:val="center"/>
          </w:tcPr>
          <w:p w14:paraId="2B6A91E6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sa nadobudli </w:t>
            </w:r>
          </w:p>
        </w:tc>
      </w:tr>
      <w:tr w14:paraId="617F3901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18" w:space="0"/>
              <w:left w:val="single" w:color="000000" w:sz="12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 w14:paraId="4A54A8B6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Počet </w:t>
            </w: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 w14:paraId="2619EF9F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Menovitá hodnota </w:t>
            </w:r>
          </w:p>
        </w:tc>
        <w:tc>
          <w:tcPr>
            <w:tcW w:w="0" w:type="auto"/>
            <w:gridSpan w:val="2"/>
            <w:tcBorders>
              <w:top w:val="single" w:color="000000" w:sz="18" w:space="0"/>
              <w:left w:val="single" w:color="000000" w:sz="6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 w14:paraId="011EE224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Hodnota, za ktorú sa akcie nadobudli </w:t>
            </w: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18" w:space="0"/>
              <w:right w:val="single" w:color="000000" w:sz="12" w:space="0"/>
            </w:tcBorders>
            <w:shd w:val="clear" w:color="auto" w:fill="FFFFFF"/>
            <w:vAlign w:val="center"/>
          </w:tcPr>
          <w:p w14:paraId="2E79225D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% podiel na základnom imaní </w:t>
            </w:r>
          </w:p>
        </w:tc>
      </w:tr>
      <w:tr w14:paraId="63A80AE4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18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3EB1149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E1D4465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0,00 </w:t>
            </w:r>
          </w:p>
        </w:tc>
        <w:tc>
          <w:tcPr>
            <w:tcW w:w="0" w:type="auto"/>
            <w:gridSpan w:val="2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37242B7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141DA042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0,00 </w:t>
            </w:r>
          </w:p>
        </w:tc>
      </w:tr>
      <w:tr w14:paraId="4AE11490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8EF1876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C4563B0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0,00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8617394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56496755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0,00 </w:t>
            </w:r>
          </w:p>
        </w:tc>
      </w:tr>
      <w:tr w14:paraId="06AED074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AE7D590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D26169E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0,00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686724D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4A0E61F5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0,00 </w:t>
            </w:r>
          </w:p>
        </w:tc>
      </w:tr>
      <w:tr w14:paraId="3E6680C4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12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vAlign w:val="center"/>
          </w:tcPr>
          <w:p w14:paraId="7D14D30D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vAlign w:val="center"/>
          </w:tcPr>
          <w:p w14:paraId="6E47F51F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0,00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vAlign w:val="center"/>
          </w:tcPr>
          <w:p w14:paraId="400351F2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40606A3B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0,00 </w:t>
            </w:r>
          </w:p>
        </w:tc>
      </w:tr>
      <w:tr w14:paraId="1250DCA9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5"/>
            <w:tcBorders>
              <w:top w:val="single" w:color="000000" w:sz="12" w:space="0"/>
              <w:left w:val="single" w:color="000000" w:sz="12" w:space="0"/>
              <w:bottom w:val="single" w:color="auto" w:sz="2" w:space="0"/>
              <w:right w:val="single" w:color="000000" w:sz="12" w:space="0"/>
            </w:tcBorders>
            <w:shd w:val="clear" w:color="auto" w:fill="FFFFFF"/>
            <w:vAlign w:val="center"/>
          </w:tcPr>
          <w:p w14:paraId="2711BC0E"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</w:tr>
    </w:tbl>
    <w:p w14:paraId="3E6C6B3E">
      <w:pPr>
        <w:spacing w:before="100" w:beforeAutospacing="1" w:after="100" w:afterAutospacing="1"/>
        <w:rPr>
          <w:rFonts w:ascii="Times New Roman" w:hAnsi="Times New Roman" w:eastAsia="Times New Roman" w:cs="Times New Roman"/>
          <w:lang w:eastAsia="sk-SK"/>
        </w:rPr>
      </w:pPr>
      <w:r>
        <w:rPr>
          <w:rFonts w:ascii="CIDFont+F1" w:hAnsi="CIDFont+F1" w:eastAsia="Times New Roman" w:cs="Times New Roman"/>
          <w:sz w:val="18"/>
          <w:szCs w:val="18"/>
          <w:lang w:eastAsia="sk-SK"/>
        </w:rPr>
        <w:t>Spracované systémom Money S3</w:t>
      </w:r>
      <w:r>
        <w:rPr>
          <w:rFonts w:ascii="CIDFont+F1" w:hAnsi="CIDFont+F1" w:eastAsia="Times New Roman" w:cs="Times New Roman"/>
          <w:sz w:val="18"/>
          <w:szCs w:val="18"/>
          <w:lang w:eastAsia="sk-SK"/>
        </w:rPr>
        <w:br w:type="textWrapping"/>
      </w:r>
      <w:r>
        <w:rPr>
          <w:rFonts w:ascii="CIDFont+F1" w:hAnsi="CIDFont+F1" w:eastAsia="Times New Roman" w:cs="Times New Roman"/>
          <w:sz w:val="18"/>
          <w:szCs w:val="18"/>
          <w:lang w:eastAsia="sk-SK"/>
        </w:rPr>
        <w:t xml:space="preserve">www.money.sk </w:t>
      </w:r>
      <w:r>
        <w:rPr>
          <w:rFonts w:ascii="CIDFont+F1" w:hAnsi="CIDFont+F1" w:eastAsia="Times New Roman" w:cs="Times New Roman"/>
          <w:position w:val="2"/>
          <w:sz w:val="18"/>
          <w:szCs w:val="18"/>
          <w:lang w:eastAsia="sk-SK"/>
        </w:rPr>
        <w:t xml:space="preserve">5 </w:t>
      </w:r>
    </w:p>
    <w:p w14:paraId="30D91937">
      <w:pPr>
        <w:spacing w:before="100" w:beforeAutospacing="1" w:after="100" w:afterAutospacing="1"/>
        <w:rPr>
          <w:rFonts w:ascii="Times New Roman" w:hAnsi="Times New Roman" w:eastAsia="Times New Roman" w:cs="Times New Roman"/>
          <w:lang w:eastAsia="sk-SK"/>
        </w:rPr>
      </w:pPr>
      <w:r>
        <w:rPr>
          <w:rFonts w:ascii="CIDFont+F1" w:hAnsi="CIDFont+F1" w:eastAsia="Times New Roman" w:cs="Times New Roman"/>
          <w:sz w:val="18"/>
          <w:szCs w:val="18"/>
          <w:lang w:eastAsia="sk-SK"/>
        </w:rPr>
        <w:t xml:space="preserve">Poznámky Úč MÚJ 3 - 01 IČO 52937437 DIČ 2121184637 </w:t>
      </w:r>
    </w:p>
    <w:tbl>
      <w:tblPr>
        <w:tblStyle w:val="3"/>
        <w:tblW w:w="0" w:type="auto"/>
        <w:tblInd w:w="0" w:type="dxa"/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62"/>
        <w:gridCol w:w="2833"/>
        <w:gridCol w:w="2475"/>
        <w:gridCol w:w="515"/>
        <w:gridCol w:w="514"/>
        <w:gridCol w:w="1703"/>
      </w:tblGrid>
      <w:tr w14:paraId="41BC4A3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6"/>
            <w:tcBorders>
              <w:top w:val="single" w:color="auto" w:sz="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1853AE07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Informácie o počte a menovitej hodnote vlastných akcií prevedených počas účtovného obdobia na inú osobu a hodnote, za ktorú sa previedli na inú osobu </w:t>
            </w:r>
          </w:p>
        </w:tc>
      </w:tr>
      <w:tr w14:paraId="0B6F62B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12" w:space="0"/>
              <w:left w:val="single" w:color="000000" w:sz="12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 w14:paraId="3842F7D7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Počet </w:t>
            </w:r>
          </w:p>
        </w:tc>
        <w:tc>
          <w:tcPr>
            <w:tcW w:w="0" w:type="auto"/>
            <w:tcBorders>
              <w:top w:val="single" w:color="000000" w:sz="12" w:space="0"/>
              <w:left w:val="single" w:color="000000" w:sz="6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 w14:paraId="620792C9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Menovitá hodnota </w:t>
            </w:r>
          </w:p>
        </w:tc>
        <w:tc>
          <w:tcPr>
            <w:tcW w:w="0" w:type="auto"/>
            <w:gridSpan w:val="2"/>
            <w:tcBorders>
              <w:top w:val="single" w:color="000000" w:sz="12" w:space="0"/>
              <w:left w:val="single" w:color="000000" w:sz="6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 w14:paraId="3A10CF06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Hodnota, za ktorú sa akcie previedli na inú osobu </w:t>
            </w:r>
          </w:p>
        </w:tc>
        <w:tc>
          <w:tcPr>
            <w:tcW w:w="0" w:type="auto"/>
            <w:gridSpan w:val="2"/>
            <w:tcBorders>
              <w:top w:val="single" w:color="000000" w:sz="12" w:space="0"/>
              <w:left w:val="single" w:color="000000" w:sz="6" w:space="0"/>
              <w:bottom w:val="single" w:color="000000" w:sz="18" w:space="0"/>
              <w:right w:val="single" w:color="000000" w:sz="12" w:space="0"/>
            </w:tcBorders>
            <w:shd w:val="clear" w:color="auto" w:fill="FFFFFF"/>
            <w:vAlign w:val="center"/>
          </w:tcPr>
          <w:p w14:paraId="19AFEAA3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% podiel na základnom imaní </w:t>
            </w:r>
          </w:p>
        </w:tc>
      </w:tr>
      <w:tr w14:paraId="2E1A7148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18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E890987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538D49D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0,00 </w:t>
            </w:r>
          </w:p>
        </w:tc>
        <w:tc>
          <w:tcPr>
            <w:tcW w:w="0" w:type="auto"/>
            <w:gridSpan w:val="2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3C448E3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gridSpan w:val="2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4BDFAC2A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0,00 </w:t>
            </w:r>
          </w:p>
        </w:tc>
      </w:tr>
      <w:tr w14:paraId="6EE6707A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83A20C2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AD5669C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0,00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F9F605D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6CA97C95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0,00 </w:t>
            </w:r>
          </w:p>
        </w:tc>
      </w:tr>
      <w:tr w14:paraId="7F35AAB6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BE91202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9148032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0,00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81B29A7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793E20B5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0,00 </w:t>
            </w:r>
          </w:p>
        </w:tc>
      </w:tr>
      <w:tr w14:paraId="48A867CF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12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vAlign w:val="center"/>
          </w:tcPr>
          <w:p w14:paraId="243169B1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vAlign w:val="center"/>
          </w:tcPr>
          <w:p w14:paraId="084C64D1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0,00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vAlign w:val="center"/>
          </w:tcPr>
          <w:p w14:paraId="10D8E1AA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331D05B3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0,00 </w:t>
            </w:r>
          </w:p>
        </w:tc>
      </w:tr>
      <w:tr w14:paraId="37DB5F95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6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72AB5B25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Informácie o počte, menovitej hodnote a hodnote, za ktorú sa vlastné akcie nadobudli a ktoré má účtovná jednotka v držbe k poslednému dňu účtovného obdobia </w:t>
            </w:r>
          </w:p>
        </w:tc>
      </w:tr>
      <w:tr w14:paraId="3C5ABFF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12" w:space="0"/>
              <w:left w:val="single" w:color="000000" w:sz="12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 w14:paraId="0AF8D842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Počet </w:t>
            </w:r>
          </w:p>
        </w:tc>
        <w:tc>
          <w:tcPr>
            <w:tcW w:w="0" w:type="auto"/>
            <w:tcBorders>
              <w:top w:val="single" w:color="000000" w:sz="12" w:space="0"/>
              <w:left w:val="single" w:color="000000" w:sz="6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 w14:paraId="39D6DD98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Menovitá hodnota </w:t>
            </w:r>
          </w:p>
        </w:tc>
        <w:tc>
          <w:tcPr>
            <w:tcW w:w="0" w:type="auto"/>
            <w:gridSpan w:val="2"/>
            <w:tcBorders>
              <w:top w:val="single" w:color="000000" w:sz="12" w:space="0"/>
              <w:left w:val="single" w:color="000000" w:sz="6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 w14:paraId="4D48D8A7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Hodnota, za ktorú sa akcie nadobudli </w:t>
            </w:r>
          </w:p>
        </w:tc>
        <w:tc>
          <w:tcPr>
            <w:tcW w:w="0" w:type="auto"/>
            <w:gridSpan w:val="2"/>
            <w:tcBorders>
              <w:top w:val="single" w:color="000000" w:sz="12" w:space="0"/>
              <w:left w:val="single" w:color="000000" w:sz="6" w:space="0"/>
              <w:bottom w:val="single" w:color="000000" w:sz="18" w:space="0"/>
              <w:right w:val="single" w:color="000000" w:sz="12" w:space="0"/>
            </w:tcBorders>
            <w:shd w:val="clear" w:color="auto" w:fill="FFFFFF"/>
            <w:vAlign w:val="center"/>
          </w:tcPr>
          <w:p w14:paraId="07F590EF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% podiel na základnom imaní </w:t>
            </w:r>
          </w:p>
        </w:tc>
      </w:tr>
      <w:tr w14:paraId="70E98C34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18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C031F6F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F865424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0,00 </w:t>
            </w:r>
          </w:p>
        </w:tc>
        <w:tc>
          <w:tcPr>
            <w:tcW w:w="0" w:type="auto"/>
            <w:gridSpan w:val="2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F6951BF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gridSpan w:val="2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1AF86D9A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0,00 </w:t>
            </w:r>
          </w:p>
        </w:tc>
      </w:tr>
      <w:tr w14:paraId="2B3422B8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E7B6FCE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7D8E396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0,00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C64349D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2D67C0FA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0,00 </w:t>
            </w:r>
          </w:p>
        </w:tc>
      </w:tr>
      <w:tr w14:paraId="49F0383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F8775C6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F3472DD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0,00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B039D13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6FD04FE3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0,00 </w:t>
            </w:r>
          </w:p>
        </w:tc>
      </w:tr>
      <w:tr w14:paraId="1D13767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12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vAlign w:val="center"/>
          </w:tcPr>
          <w:p w14:paraId="6AAE8D1B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vAlign w:val="center"/>
          </w:tcPr>
          <w:p w14:paraId="627C694E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0,00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vAlign w:val="center"/>
          </w:tcPr>
          <w:p w14:paraId="78909BEF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5A06BD24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0,00 </w:t>
            </w:r>
          </w:p>
        </w:tc>
      </w:tr>
      <w:tr w14:paraId="3B437149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6"/>
            <w:tcBorders>
              <w:top w:val="single" w:color="000000" w:sz="12" w:space="0"/>
              <w:left w:val="single" w:color="000000" w:sz="12" w:space="0"/>
              <w:bottom w:val="single" w:color="000000" w:sz="18" w:space="0"/>
              <w:right w:val="single" w:color="000000" w:sz="12" w:space="0"/>
            </w:tcBorders>
            <w:shd w:val="clear" w:color="auto" w:fill="FFFFFF"/>
            <w:vAlign w:val="center"/>
          </w:tcPr>
          <w:p w14:paraId="2BF17DA1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(4) Informácie o vytvorení kapitálového fondu z príspevkov </w:t>
            </w:r>
          </w:p>
          <w:p w14:paraId="297AF12E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Informácie, či účtovná jednotka vytvorila kapitálový fond z príspevkov podľa § 123 ods. 2 a § 217a Obchodného zákonníka </w:t>
            </w:r>
          </w:p>
          <w:p w14:paraId="7E4C4654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(5) Informácie o orgánoch účtovnej jednotky </w:t>
            </w:r>
          </w:p>
          <w:p w14:paraId="6D60CEEB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a) Informácie o poskytnutých zárukách alebo inom zabezpečení pre členov orgánov </w:t>
            </w:r>
          </w:p>
          <w:p w14:paraId="18FCE5A8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Záruky alebo iné zabezpečenia poskytnuté členom orgánov účtovnej jednotky </w:t>
            </w:r>
          </w:p>
          <w:p w14:paraId="5153C1E7"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</w:tr>
      <w:tr w14:paraId="315937F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2"/>
            <w:tcBorders>
              <w:top w:val="single" w:color="000000" w:sz="18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0F41D0B"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gridSpan w:val="4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3FD777E7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Výška záruky/zabezpečenia pre členov orgánov </w:t>
            </w:r>
          </w:p>
        </w:tc>
      </w:tr>
      <w:tr w14:paraId="30B5A896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2"/>
            <w:tcBorders>
              <w:top w:val="single" w:color="000000" w:sz="6" w:space="0"/>
              <w:left w:val="single" w:color="000000" w:sz="12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 w14:paraId="37503293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Druh záruky / zabezpečenia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 w14:paraId="1FD21C8B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štatutárnych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 w14:paraId="585F1514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dozorných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18" w:space="0"/>
              <w:right w:val="single" w:color="000000" w:sz="12" w:space="0"/>
            </w:tcBorders>
            <w:shd w:val="clear" w:color="auto" w:fill="FFFFFF"/>
            <w:vAlign w:val="center"/>
          </w:tcPr>
          <w:p w14:paraId="1C695F98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iných </w:t>
            </w:r>
          </w:p>
        </w:tc>
      </w:tr>
      <w:tr w14:paraId="33A21A0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2"/>
            <w:tcBorders>
              <w:top w:val="single" w:color="000000" w:sz="18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22AAC97"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E6667C4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gridSpan w:val="2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DA813CC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340DB50E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14:paraId="6328E723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2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A91A71C"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C899060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28AA053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01A02435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14:paraId="06F8430C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2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2F9CF67"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0CE1DCE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6628AD8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58AD92E7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14:paraId="0ECF1406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2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43CB5E2"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97F59E8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F1DB26E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78FB503B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14:paraId="34B618C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2"/>
            <w:tcBorders>
              <w:top w:val="single" w:color="000000" w:sz="6" w:space="0"/>
              <w:left w:val="single" w:color="000000" w:sz="12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vAlign w:val="center"/>
          </w:tcPr>
          <w:p w14:paraId="2CEFF54D"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vAlign w:val="center"/>
          </w:tcPr>
          <w:p w14:paraId="761AD9E6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vAlign w:val="center"/>
          </w:tcPr>
          <w:p w14:paraId="4B49E395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62BD7D39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14:paraId="7CB54DE1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6"/>
            <w:tcBorders>
              <w:top w:val="single" w:color="000000" w:sz="12" w:space="0"/>
              <w:left w:val="single" w:color="000000" w:sz="12" w:space="0"/>
              <w:bottom w:val="single" w:color="000000" w:sz="18" w:space="0"/>
              <w:right w:val="single" w:color="000000" w:sz="12" w:space="0"/>
            </w:tcBorders>
            <w:shd w:val="clear" w:color="auto" w:fill="FFFFFF"/>
            <w:vAlign w:val="center"/>
          </w:tcPr>
          <w:p w14:paraId="1B5171CC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b) Informácie o pôžičkách poskytnutých členom orgánov </w:t>
            </w:r>
          </w:p>
          <w:p w14:paraId="3F682F7D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Pôžičky poskytnuté členom orgánov účtovnej jednotky </w:t>
            </w:r>
          </w:p>
        </w:tc>
      </w:tr>
      <w:tr w14:paraId="625EEAA8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2"/>
            <w:tcBorders>
              <w:top w:val="single" w:color="000000" w:sz="18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96B4D89"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gridSpan w:val="4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32DFE66A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Celková suma pôžičiek k poslednému dňu účt. obd. v členení podľa orgánov </w:t>
            </w:r>
          </w:p>
        </w:tc>
      </w:tr>
      <w:tr w14:paraId="71368E19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2"/>
            <w:tcBorders>
              <w:top w:val="single" w:color="000000" w:sz="6" w:space="0"/>
              <w:left w:val="single" w:color="000000" w:sz="12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 w14:paraId="01E12EF9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Názov položky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 w14:paraId="5936C11B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štatutárnych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 w14:paraId="00948DE8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dozorných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18" w:space="0"/>
              <w:right w:val="single" w:color="000000" w:sz="12" w:space="0"/>
            </w:tcBorders>
            <w:shd w:val="clear" w:color="auto" w:fill="FFFFFF"/>
            <w:vAlign w:val="center"/>
          </w:tcPr>
          <w:p w14:paraId="3ADAE9CE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iných </w:t>
            </w:r>
          </w:p>
        </w:tc>
      </w:tr>
      <w:tr w14:paraId="5BDECC76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2"/>
            <w:tcBorders>
              <w:top w:val="single" w:color="000000" w:sz="18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A211E95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Poskytnuté pôžičky </w:t>
            </w: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55871BB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gridSpan w:val="2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C9890A6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72ABCD35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14:paraId="6983F3F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2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A42AD0A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Splatené pôžičky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60BAA49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CFC68FF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6D7C709B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14:paraId="5522B393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2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C3E1062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Odpustené pôžičky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781A04B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B426152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4FCF1E93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14:paraId="51F7938E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2"/>
            <w:tcBorders>
              <w:top w:val="single" w:color="000000" w:sz="6" w:space="0"/>
              <w:left w:val="single" w:color="000000" w:sz="12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vAlign w:val="center"/>
          </w:tcPr>
          <w:p w14:paraId="26C94696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Odpísané pôžičky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vAlign w:val="center"/>
          </w:tcPr>
          <w:p w14:paraId="771CAAB1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vAlign w:val="center"/>
          </w:tcPr>
          <w:p w14:paraId="6E9BB552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20DC1F07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14:paraId="73CF6A43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6"/>
            <w:tcBorders>
              <w:top w:val="single" w:color="000000" w:sz="12" w:space="0"/>
              <w:left w:val="single" w:color="000000" w:sz="12" w:space="0"/>
              <w:bottom w:val="single" w:color="auto" w:sz="2" w:space="0"/>
              <w:right w:val="single" w:color="000000" w:sz="12" w:space="0"/>
            </w:tcBorders>
            <w:shd w:val="clear" w:color="auto" w:fill="FFFFFF"/>
            <w:vAlign w:val="center"/>
          </w:tcPr>
          <w:p w14:paraId="053C17E2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c) Informácie o hlavných podmienkach, na základe ktorých boli záruky poskytnuté </w:t>
            </w:r>
          </w:p>
          <w:p w14:paraId="5CF09266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Hlavné podmienky, na základe ktorých boli záruky, iné zabezpečenie a pôžičky poskytnuté </w:t>
            </w:r>
          </w:p>
          <w:p w14:paraId="389FAA89"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</w:tr>
    </w:tbl>
    <w:p w14:paraId="54D6E971">
      <w:pPr>
        <w:spacing w:before="100" w:beforeAutospacing="1" w:after="100" w:afterAutospacing="1"/>
        <w:rPr>
          <w:rFonts w:ascii="Times New Roman" w:hAnsi="Times New Roman" w:eastAsia="Times New Roman" w:cs="Times New Roman"/>
          <w:lang w:eastAsia="sk-SK"/>
        </w:rPr>
      </w:pPr>
      <w:r>
        <w:rPr>
          <w:rFonts w:ascii="CIDFont+F1" w:hAnsi="CIDFont+F1" w:eastAsia="Times New Roman" w:cs="Times New Roman"/>
          <w:sz w:val="18"/>
          <w:szCs w:val="18"/>
          <w:lang w:eastAsia="sk-SK"/>
        </w:rPr>
        <w:t>Spracované systémom Money S3</w:t>
      </w:r>
      <w:r>
        <w:rPr>
          <w:rFonts w:ascii="CIDFont+F1" w:hAnsi="CIDFont+F1" w:eastAsia="Times New Roman" w:cs="Times New Roman"/>
          <w:sz w:val="18"/>
          <w:szCs w:val="18"/>
          <w:lang w:eastAsia="sk-SK"/>
        </w:rPr>
        <w:br w:type="textWrapping"/>
      </w:r>
      <w:r>
        <w:rPr>
          <w:rFonts w:ascii="CIDFont+F1" w:hAnsi="CIDFont+F1" w:eastAsia="Times New Roman" w:cs="Times New Roman"/>
          <w:sz w:val="18"/>
          <w:szCs w:val="18"/>
          <w:lang w:eastAsia="sk-SK"/>
        </w:rPr>
        <w:t xml:space="preserve">www.money.sk </w:t>
      </w:r>
      <w:r>
        <w:rPr>
          <w:rFonts w:ascii="CIDFont+F1" w:hAnsi="CIDFont+F1" w:eastAsia="Times New Roman" w:cs="Times New Roman"/>
          <w:position w:val="2"/>
          <w:sz w:val="18"/>
          <w:szCs w:val="18"/>
          <w:lang w:eastAsia="sk-SK"/>
        </w:rPr>
        <w:t xml:space="preserve">6 </w:t>
      </w:r>
    </w:p>
    <w:p w14:paraId="58B69634">
      <w:pPr>
        <w:spacing w:before="100" w:beforeAutospacing="1" w:after="100" w:afterAutospacing="1"/>
        <w:rPr>
          <w:rFonts w:ascii="Times New Roman" w:hAnsi="Times New Roman" w:eastAsia="Times New Roman" w:cs="Times New Roman"/>
          <w:lang w:eastAsia="sk-SK"/>
        </w:rPr>
      </w:pPr>
      <w:r>
        <w:rPr>
          <w:rFonts w:ascii="CIDFont+F1" w:hAnsi="CIDFont+F1" w:eastAsia="Times New Roman" w:cs="Times New Roman"/>
          <w:sz w:val="18"/>
          <w:szCs w:val="18"/>
          <w:lang w:eastAsia="sk-SK"/>
        </w:rPr>
        <w:t xml:space="preserve">Poznámky Úč MÚJ 3 - 01 IČO 52937437 DIČ 2121184637 </w:t>
      </w:r>
    </w:p>
    <w:tbl>
      <w:tblPr>
        <w:tblStyle w:val="3"/>
        <w:tblW w:w="0" w:type="auto"/>
        <w:tblInd w:w="0" w:type="dxa"/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131"/>
        <w:gridCol w:w="2134"/>
        <w:gridCol w:w="1789"/>
        <w:gridCol w:w="2048"/>
      </w:tblGrid>
      <w:tr w14:paraId="1F9E3D11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4"/>
            <w:tcBorders>
              <w:top w:val="single" w:color="auto" w:sz="2" w:space="0"/>
              <w:left w:val="single" w:color="000000" w:sz="12" w:space="0"/>
              <w:bottom w:val="single" w:color="000000" w:sz="18" w:space="0"/>
              <w:right w:val="single" w:color="000000" w:sz="12" w:space="0"/>
            </w:tcBorders>
            <w:shd w:val="clear" w:color="auto" w:fill="FFFFFF"/>
            <w:vAlign w:val="center"/>
          </w:tcPr>
          <w:p w14:paraId="16B686AD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>d) Informácie o celkovej sume použitých finančných prostriedkov alebo iného plnenia na súkromné účely</w:t>
            </w: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br w:type="textWrapping"/>
            </w: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Finančné prostriedky alebo iné plnenia použité na súkromné účely orgánmi účtovnej jednotky, ktoré sa vyúčtovávajú </w:t>
            </w:r>
          </w:p>
        </w:tc>
      </w:tr>
      <w:tr w14:paraId="540FF78A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18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D8F09A4"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gridSpan w:val="3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74F4536A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Celková suma podľa orgánov účtovnej jednotky </w:t>
            </w:r>
          </w:p>
        </w:tc>
      </w:tr>
      <w:tr w14:paraId="7B52FA3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12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 w14:paraId="5340E520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Názov položky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 w14:paraId="432765F7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štatutárnych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 w14:paraId="125C4F80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dozorných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18" w:space="0"/>
              <w:right w:val="single" w:color="000000" w:sz="12" w:space="0"/>
            </w:tcBorders>
            <w:shd w:val="clear" w:color="auto" w:fill="FFFFFF"/>
            <w:vAlign w:val="center"/>
          </w:tcPr>
          <w:p w14:paraId="6A89F850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iných </w:t>
            </w:r>
          </w:p>
        </w:tc>
      </w:tr>
      <w:tr w14:paraId="6EABD95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18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B35BBD6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Finančné prostriedky </w:t>
            </w: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6F231BA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A4836B3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766CFA29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14:paraId="01B5E1BD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E9803F2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Iné plnenia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53C3722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B5C0D34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66E8D489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14:paraId="6717B8B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ECB69A2"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D08EBF2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0BB5445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2C3E3A89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14:paraId="76473B28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12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 w14:paraId="024E10F9"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 w14:paraId="78F6F901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 w14:paraId="7A4B3E44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18" w:space="0"/>
              <w:right w:val="single" w:color="000000" w:sz="12" w:space="0"/>
            </w:tcBorders>
            <w:shd w:val="clear" w:color="auto" w:fill="FFFFFF"/>
            <w:vAlign w:val="center"/>
          </w:tcPr>
          <w:p w14:paraId="5FC0EBFC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14:paraId="4EF3B687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18" w:space="0"/>
              <w:left w:val="single" w:color="000000" w:sz="12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vAlign w:val="center"/>
          </w:tcPr>
          <w:p w14:paraId="69F89DB8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Spolu </w:t>
            </w: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vAlign w:val="center"/>
          </w:tcPr>
          <w:p w14:paraId="599BABD4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vAlign w:val="center"/>
          </w:tcPr>
          <w:p w14:paraId="39D8A07A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1E213513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14:paraId="497AF954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4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1048A48F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(6) Informácie o povinnostiach účtovnej jednotky </w:t>
            </w:r>
          </w:p>
          <w:p w14:paraId="30A4B750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a), c) Informácie o finančných povinnostiach, ktoré sa nevykazujú v súvahe, ale sú významné na posúdenie finančnej situácie účtovnej jednotky </w:t>
            </w:r>
          </w:p>
        </w:tc>
      </w:tr>
      <w:tr w14:paraId="75CCC7C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12" w:space="0"/>
              <w:left w:val="single" w:color="000000" w:sz="12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 w14:paraId="49E0C9C0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Opis </w:t>
            </w:r>
          </w:p>
        </w:tc>
        <w:tc>
          <w:tcPr>
            <w:tcW w:w="0" w:type="auto"/>
            <w:tcBorders>
              <w:top w:val="single" w:color="000000" w:sz="12" w:space="0"/>
              <w:left w:val="single" w:color="000000" w:sz="6" w:space="0"/>
              <w:bottom w:val="single" w:color="000000" w:sz="18" w:space="0"/>
              <w:right w:val="single" w:color="000000" w:sz="12" w:space="0"/>
            </w:tcBorders>
            <w:shd w:val="clear" w:color="auto" w:fill="FFFFFF"/>
            <w:vAlign w:val="center"/>
          </w:tcPr>
          <w:p w14:paraId="7366F4EC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Suma </w:t>
            </w:r>
          </w:p>
        </w:tc>
      </w:tr>
      <w:tr w14:paraId="79AF1F5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18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9B5607A"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6B965BE0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14:paraId="7999837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EC3107F"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40B367B0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14:paraId="5F238E96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70645FD"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45130D32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14:paraId="0791ACD5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1DDB3F3"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6FD4532E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14:paraId="1ED86CA3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6" w:space="0"/>
              <w:left w:val="single" w:color="000000" w:sz="12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 w14:paraId="2C72039E"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18" w:space="0"/>
              <w:right w:val="single" w:color="000000" w:sz="12" w:space="0"/>
            </w:tcBorders>
            <w:shd w:val="clear" w:color="auto" w:fill="FFFFFF"/>
            <w:vAlign w:val="center"/>
          </w:tcPr>
          <w:p w14:paraId="28189DA3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14:paraId="4CC062F2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18" w:space="0"/>
              <w:left w:val="single" w:color="000000" w:sz="12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vAlign w:val="center"/>
          </w:tcPr>
          <w:p w14:paraId="3DA979DD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SPOLU </w:t>
            </w: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6AC0DCF9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14:paraId="676DF8C2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4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5EC0A2A2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b), c) Informácie o významných podmienených záväzkoch </w:t>
            </w:r>
          </w:p>
        </w:tc>
      </w:tr>
      <w:tr w14:paraId="3BBCE20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12" w:space="0"/>
              <w:left w:val="single" w:color="000000" w:sz="12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 w14:paraId="01DBFDAA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Opis </w:t>
            </w:r>
          </w:p>
        </w:tc>
        <w:tc>
          <w:tcPr>
            <w:tcW w:w="0" w:type="auto"/>
            <w:tcBorders>
              <w:top w:val="single" w:color="000000" w:sz="12" w:space="0"/>
              <w:left w:val="single" w:color="000000" w:sz="6" w:space="0"/>
              <w:bottom w:val="single" w:color="000000" w:sz="18" w:space="0"/>
              <w:right w:val="single" w:color="000000" w:sz="12" w:space="0"/>
            </w:tcBorders>
            <w:shd w:val="clear" w:color="auto" w:fill="FFFFFF"/>
            <w:vAlign w:val="center"/>
          </w:tcPr>
          <w:p w14:paraId="32201288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Suma </w:t>
            </w:r>
          </w:p>
        </w:tc>
      </w:tr>
      <w:tr w14:paraId="0FDE0719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18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34F0DC9"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206C44AB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14:paraId="0B938700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24915E8"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568FC24F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14:paraId="35F2B489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0C2F62E"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4765C745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14:paraId="1738AC2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C821833"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29690B05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14:paraId="78CF31B1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6" w:space="0"/>
              <w:left w:val="single" w:color="000000" w:sz="12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 w14:paraId="72E099A2"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18" w:space="0"/>
              <w:right w:val="single" w:color="000000" w:sz="12" w:space="0"/>
            </w:tcBorders>
            <w:shd w:val="clear" w:color="auto" w:fill="FFFFFF"/>
            <w:vAlign w:val="center"/>
          </w:tcPr>
          <w:p w14:paraId="2542EE4E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14:paraId="09C4DA4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18" w:space="0"/>
              <w:left w:val="single" w:color="000000" w:sz="12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vAlign w:val="center"/>
          </w:tcPr>
          <w:p w14:paraId="2B54FC8F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SPOLU </w:t>
            </w: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4F60E4B8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14:paraId="4B1E433D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4"/>
            <w:tcBorders>
              <w:top w:val="single" w:color="000000" w:sz="12" w:space="0"/>
              <w:left w:val="single" w:color="000000" w:sz="12" w:space="0"/>
              <w:bottom w:val="single" w:color="000000" w:sz="18" w:space="0"/>
              <w:right w:val="single" w:color="000000" w:sz="12" w:space="0"/>
            </w:tcBorders>
            <w:shd w:val="clear" w:color="auto" w:fill="FFFFFF"/>
            <w:vAlign w:val="center"/>
          </w:tcPr>
          <w:p w14:paraId="292D7E28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>d) Informácie o významných povinnostiach podmienených záväzkoch voči dcérskej ÚJ alebo ÚJ s podstatným vplyvom</w:t>
            </w: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br w:type="textWrapping"/>
            </w: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Celková suma významných finannčných povinností a významných podmienených záväzkov voči dcérskej účtovnej jednotke </w:t>
            </w:r>
          </w:p>
          <w:p w14:paraId="59F4435A"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</w:tr>
      <w:tr w14:paraId="62D63B09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18" w:space="0"/>
              <w:left w:val="single" w:color="000000" w:sz="12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 w14:paraId="7CCFE380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Názov položky </w:t>
            </w: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18" w:space="0"/>
              <w:right w:val="single" w:color="000000" w:sz="12" w:space="0"/>
            </w:tcBorders>
            <w:shd w:val="clear" w:color="auto" w:fill="FFFFFF"/>
            <w:vAlign w:val="center"/>
          </w:tcPr>
          <w:p w14:paraId="5EB616CF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Celková suma </w:t>
            </w:r>
          </w:p>
        </w:tc>
      </w:tr>
      <w:tr w14:paraId="3FD2AB2A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18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706DF7F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Významné finančné povinnosti </w:t>
            </w: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2656878A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14:paraId="64F56708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6" w:space="0"/>
              <w:left w:val="single" w:color="000000" w:sz="12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 w14:paraId="737CEE0C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Významné podmienené záväzky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18" w:space="0"/>
              <w:right w:val="single" w:color="000000" w:sz="12" w:space="0"/>
            </w:tcBorders>
            <w:shd w:val="clear" w:color="auto" w:fill="FFFFFF"/>
            <w:vAlign w:val="center"/>
          </w:tcPr>
          <w:p w14:paraId="4099FA65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14:paraId="1F1E8A68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18" w:space="0"/>
              <w:left w:val="single" w:color="000000" w:sz="12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vAlign w:val="center"/>
          </w:tcPr>
          <w:p w14:paraId="2B137050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SPOLU </w:t>
            </w: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1CCA3B70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14:paraId="17A55998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4"/>
            <w:tcBorders>
              <w:top w:val="single" w:color="000000" w:sz="12" w:space="0"/>
              <w:left w:val="single" w:color="000000" w:sz="12" w:space="0"/>
              <w:bottom w:val="single" w:color="auto" w:sz="2" w:space="0"/>
              <w:right w:val="single" w:color="000000" w:sz="12" w:space="0"/>
            </w:tcBorders>
            <w:shd w:val="clear" w:color="auto" w:fill="FFFFFF"/>
            <w:vAlign w:val="center"/>
          </w:tcPr>
          <w:p w14:paraId="5BAA5E28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>e) Významné povinnosti povinností účtovnej jednotky vyplývajúcich z dôchodkových programov pre zamestnancov</w:t>
            </w: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br w:type="textWrapping"/>
            </w: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Opis významných povinností účtovnej jednotky vyplývajúcich z dôchodkových programov pre zamestnancov </w:t>
            </w:r>
          </w:p>
        </w:tc>
      </w:tr>
    </w:tbl>
    <w:p w14:paraId="01CB19FB">
      <w:pPr>
        <w:spacing w:before="100" w:beforeAutospacing="1" w:after="100" w:afterAutospacing="1"/>
        <w:rPr>
          <w:rFonts w:ascii="Times New Roman" w:hAnsi="Times New Roman" w:eastAsia="Times New Roman" w:cs="Times New Roman"/>
          <w:lang w:eastAsia="sk-SK"/>
        </w:rPr>
      </w:pPr>
      <w:r>
        <w:rPr>
          <w:rFonts w:ascii="CIDFont+F1" w:hAnsi="CIDFont+F1" w:eastAsia="Times New Roman" w:cs="Times New Roman"/>
          <w:sz w:val="18"/>
          <w:szCs w:val="18"/>
          <w:lang w:eastAsia="sk-SK"/>
        </w:rPr>
        <w:t>Spracované systémom Money S3</w:t>
      </w:r>
      <w:r>
        <w:rPr>
          <w:rFonts w:ascii="CIDFont+F1" w:hAnsi="CIDFont+F1" w:eastAsia="Times New Roman" w:cs="Times New Roman"/>
          <w:sz w:val="18"/>
          <w:szCs w:val="18"/>
          <w:lang w:eastAsia="sk-SK"/>
        </w:rPr>
        <w:br w:type="textWrapping"/>
      </w:r>
      <w:r>
        <w:rPr>
          <w:rFonts w:ascii="CIDFont+F1" w:hAnsi="CIDFont+F1" w:eastAsia="Times New Roman" w:cs="Times New Roman"/>
          <w:sz w:val="18"/>
          <w:szCs w:val="18"/>
          <w:lang w:eastAsia="sk-SK"/>
        </w:rPr>
        <w:t xml:space="preserve">www.money.sk </w:t>
      </w:r>
      <w:r>
        <w:rPr>
          <w:rFonts w:ascii="CIDFont+F1" w:hAnsi="CIDFont+F1" w:eastAsia="Times New Roman" w:cs="Times New Roman"/>
          <w:position w:val="2"/>
          <w:sz w:val="18"/>
          <w:szCs w:val="18"/>
          <w:lang w:eastAsia="sk-SK"/>
        </w:rPr>
        <w:t xml:space="preserve">7 </w:t>
      </w:r>
    </w:p>
    <w:p w14:paraId="02071D6B">
      <w:pPr>
        <w:spacing w:before="100" w:beforeAutospacing="1" w:after="100" w:afterAutospacing="1"/>
        <w:rPr>
          <w:rFonts w:ascii="Times New Roman" w:hAnsi="Times New Roman" w:eastAsia="Times New Roman" w:cs="Times New Roman"/>
          <w:lang w:eastAsia="sk-SK"/>
        </w:rPr>
      </w:pPr>
      <w:r>
        <w:rPr>
          <w:rFonts w:ascii="CIDFont+F1" w:hAnsi="CIDFont+F1" w:eastAsia="Times New Roman" w:cs="Times New Roman"/>
          <w:sz w:val="18"/>
          <w:szCs w:val="18"/>
          <w:lang w:eastAsia="sk-SK"/>
        </w:rPr>
        <w:t xml:space="preserve">Poznámky Úč MÚJ 3 - 01 IČO 52937437 DIČ 2121184637 </w:t>
      </w:r>
    </w:p>
    <w:p w14:paraId="1D8EA770">
      <w:pPr>
        <w:shd w:val="clear" w:color="auto" w:fill="FFFFFF"/>
        <w:spacing w:before="100" w:beforeAutospacing="1" w:after="100" w:afterAutospacing="1"/>
        <w:rPr>
          <w:rFonts w:ascii="Times New Roman" w:hAnsi="Times New Roman" w:eastAsia="Times New Roman" w:cs="Times New Roman"/>
          <w:lang w:eastAsia="sk-SK"/>
        </w:rPr>
      </w:pPr>
      <w:r>
        <w:rPr>
          <w:rFonts w:ascii="CIDFont+F2" w:hAnsi="CIDFont+F2" w:eastAsia="Times New Roman" w:cs="Times New Roman"/>
          <w:sz w:val="22"/>
          <w:szCs w:val="22"/>
          <w:lang w:eastAsia="sk-SK"/>
        </w:rPr>
        <w:t>(7) Informácie o udelení výlučného práva alebo osobitného práva poskytovať služby vo verejnom záujme</w:t>
      </w:r>
      <w:r>
        <w:rPr>
          <w:rFonts w:ascii="CIDFont+F2" w:hAnsi="CIDFont+F2" w:eastAsia="Times New Roman" w:cs="Times New Roman"/>
          <w:sz w:val="22"/>
          <w:szCs w:val="22"/>
          <w:lang w:eastAsia="sk-SK"/>
        </w:rPr>
        <w:br w:type="textWrapping"/>
      </w:r>
      <w:r>
        <w:rPr>
          <w:rFonts w:ascii="CIDFont+F1" w:hAnsi="CIDFont+F1" w:eastAsia="Times New Roman" w:cs="Times New Roman"/>
          <w:sz w:val="22"/>
          <w:szCs w:val="22"/>
          <w:lang w:eastAsia="sk-SK"/>
        </w:rPr>
        <w:t xml:space="preserve">a) Informácie o formách prijatej náhrady </w:t>
      </w:r>
    </w:p>
    <w:p w14:paraId="3D665717">
      <w:pPr>
        <w:shd w:val="clear" w:color="auto" w:fill="FFFFFF"/>
        <w:spacing w:before="100" w:beforeAutospacing="1" w:after="100" w:afterAutospacing="1"/>
        <w:rPr>
          <w:rFonts w:ascii="Times New Roman" w:hAnsi="Times New Roman" w:eastAsia="Times New Roman" w:cs="Times New Roman"/>
          <w:lang w:eastAsia="sk-SK"/>
        </w:rPr>
      </w:pPr>
      <w:r>
        <w:rPr>
          <w:rFonts w:ascii="CIDFont+F1" w:hAnsi="CIDFont+F1" w:eastAsia="Times New Roman" w:cs="Times New Roman"/>
          <w:sz w:val="22"/>
          <w:szCs w:val="22"/>
          <w:lang w:eastAsia="sk-SK"/>
        </w:rPr>
        <w:t xml:space="preserve">b) Informácie o účtovných zásadách použitých pri prideľovaní nákladov a výnosov c) Informácie o druhoch činností účtovnej jednotky </w:t>
      </w:r>
    </w:p>
    <w:p w14:paraId="2D588283">
      <w:pPr>
        <w:shd w:val="clear" w:color="auto" w:fill="FFFFFF"/>
        <w:rPr>
          <w:rFonts w:ascii="Times New Roman" w:hAnsi="Times New Roman" w:eastAsia="Times New Roman" w:cs="Times New Roman"/>
          <w:lang w:eastAsia="sk-SK"/>
        </w:rPr>
      </w:pPr>
    </w:p>
    <w:p w14:paraId="668C6E03"/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IDFont+F1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IDFont+F2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675AA90"/>
    <w:multiLevelType w:val="singleLevel"/>
    <w:tmpl w:val="3675AA90"/>
    <w:lvl w:ilvl="0" w:tentative="0">
      <w:start w:val="1"/>
      <w:numFmt w:val="decimal"/>
      <w:suff w:val="space"/>
      <w:lvlText w:val="(%1)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C88"/>
    <w:rsid w:val="00363C88"/>
    <w:rsid w:val="008A2432"/>
    <w:rsid w:val="008C4A93"/>
    <w:rsid w:val="043B3113"/>
    <w:rsid w:val="4CCD45F3"/>
    <w:rsid w:val="6DC40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HAnsi" w:cstheme="minorBidi"/>
      <w:sz w:val="24"/>
      <w:szCs w:val="24"/>
      <w:lang w:val="sk-SK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semiHidden/>
    <w:unhideWhenUsed/>
    <w:qFormat/>
    <w:uiPriority w:val="99"/>
    <w:pPr>
      <w:spacing w:before="100" w:beforeAutospacing="1" w:after="100" w:afterAutospacing="1"/>
    </w:pPr>
    <w:rPr>
      <w:rFonts w:ascii="Times New Roman" w:hAnsi="Times New Roman" w:eastAsia="Times New Roman" w:cs="Times New Roman"/>
      <w:lang w:eastAsia="sk-SK"/>
    </w:rPr>
  </w:style>
  <w:style w:type="paragraph" w:customStyle="1" w:styleId="5">
    <w:name w:val="msonormal"/>
    <w:basedOn w:val="1"/>
    <w:qFormat/>
    <w:uiPriority w:val="0"/>
    <w:pPr>
      <w:spacing w:before="100" w:beforeAutospacing="1" w:after="100" w:afterAutospacing="1"/>
    </w:pPr>
    <w:rPr>
      <w:rFonts w:ascii="Times New Roman" w:hAnsi="Times New Roman" w:eastAsia="Times New Roman" w:cs="Times New Roman"/>
      <w:lang w:eastAsia="sk-SK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1876</Words>
  <Characters>10698</Characters>
  <Lines>89</Lines>
  <Paragraphs>25</Paragraphs>
  <TotalTime>13</TotalTime>
  <ScaleCrop>false</ScaleCrop>
  <LinksUpToDate>false</LinksUpToDate>
  <CharactersWithSpaces>12549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2022-06-26T09:22:00Z</dcterms:created>
  <dc:creator>Dávid Iván</dc:creator>
  <cp:lastModifiedBy>Denisa Mihalovičová</cp:lastModifiedBy>
  <dcterms:modified xsi:type="dcterms:W3CDTF">2025-06-30T12:36:57Z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1033-12.2.0.21546</vt:lpwstr>
  </property>
  <property fmtid="{D5CDD505-2E9C-101B-9397-08002B2CF9AE}" pid="3" name="ICV">
    <vt:lpwstr>BC3580395F6D496D88CE2A3097152F29_13</vt:lpwstr>
  </property>
</Properties>
</file>