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7584AD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319"/>
        <w:gridCol w:w="899"/>
        <w:gridCol w:w="3884"/>
      </w:tblGrid>
      <w:tr w14:paraId="0ABC959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879FF0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 </w:t>
            </w:r>
          </w:p>
          <w:p w14:paraId="56CB4493">
            <w:pPr>
              <w:spacing w:before="100" w:beforeAutospacing="1" w:after="100" w:afterAutospacing="1"/>
              <w:rPr>
                <w:rFonts w:hint="default" w:ascii="CIDFont+F2" w:hAnsi="CIDFont+F2" w:eastAsia="Times New Roman" w:cs="Times New Roman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>POZNÁMKY k účtovnej závierke mikro účtovnej jednotky k 31.12.202</w:t>
            </w:r>
            <w:r>
              <w:rPr>
                <w:rFonts w:hint="default" w:ascii="CIDFont+F2" w:hAnsi="CIDFont+F2" w:eastAsia="Times New Roman" w:cs="Times New Roman"/>
                <w:lang w:val="en-US" w:eastAsia="sk-SK"/>
              </w:rPr>
              <w:t>4</w:t>
            </w:r>
          </w:p>
          <w:p w14:paraId="7153CBC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 xml:space="preserve"> 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Všeobecné údaje </w:t>
            </w:r>
          </w:p>
          <w:p w14:paraId="62A5A7CA"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begin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"C:\\var\\folders\\sg\\vl4mv1wn3857n76rdpsrfp_c0000gn\\T\\com.microsoft.Word\\WebArchiveCopyPasteTempFiles\\page1image4389696" \* MERGEFORMAT </w:instrText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separate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drawing>
                <wp:inline distT="0" distB="0" distL="0" distR="0">
                  <wp:extent cx="558800" cy="12700"/>
                  <wp:effectExtent l="0" t="0" r="0" b="0"/>
                  <wp:docPr id="20" name="Obrázok 20" descr="page1image43896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Obrázok 20" descr="page1image43896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8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end"/>
            </w:r>
          </w:p>
          <w:p w14:paraId="46589439">
            <w:pPr>
              <w:numPr>
                <w:ilvl w:val="0"/>
                <w:numId w:val="1"/>
              </w:num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Názov a sídlo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Obchodné meno (názov) účtovnej jednotky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Physiopet, s. r. o. </w:t>
            </w:r>
          </w:p>
          <w:p w14:paraId="0296A628">
            <w:pPr>
              <w:spacing w:before="100" w:beforeAutospacing="1" w:after="100" w:afterAutospacing="1"/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účtovnej jednotky </w:t>
            </w:r>
          </w:p>
          <w:p w14:paraId="3D1295E1">
            <w:pPr>
              <w:spacing w:before="100" w:beforeAutospacing="1" w:after="100" w:afterAutospacing="1"/>
              <w:ind w:left="110" w:hanging="110" w:hangingChars="50"/>
              <w:rPr>
                <w:rFonts w:hint="default" w:ascii="CIDFont+F1" w:hAnsi="CIDFont+F1" w:eastAsia="Times New Roman" w:cs="Times New Roman"/>
                <w:sz w:val="22"/>
                <w:szCs w:val="22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Ulica a číslo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Dunajský Klátov 456</w:t>
            </w:r>
          </w:p>
          <w:p w14:paraId="1BE23191">
            <w:pPr>
              <w:spacing w:before="100" w:beforeAutospacing="1" w:after="100" w:afterAutospacing="1"/>
              <w:ind w:left="110" w:hanging="110" w:hangingChars="5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PSČ Názov obce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930 21 Dunajský Klátov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 </w:t>
            </w:r>
          </w:p>
          <w:p w14:paraId="00C19D1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IČO DIČ </w:t>
            </w:r>
          </w:p>
          <w:p w14:paraId="19B9D96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52937437 2121184637 </w:t>
            </w:r>
          </w:p>
          <w:p w14:paraId="37ABE11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Údaje o konsolidovanom celku </w:t>
            </w:r>
          </w:p>
          <w:p w14:paraId="3573C27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Obchodné meno a sídlo konsolidujúcej účtovnej jednotky, ktorá zostavuje konsolidovanú účtovnú závierku za tú skupinu účtovných jednotiek konsolidovaného celku, ktorého súčasťou je aj účtovná jednotka </w:t>
            </w:r>
          </w:p>
          <w:p w14:paraId="3F476CD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Obchodné meno a sídlo ÚJ, ktorá je bezprostredne konsolidujúcou účtovnou jednotkou </w:t>
            </w:r>
          </w:p>
          <w:p w14:paraId="34A80AD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Obchodné meno: Sídlo: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Ulica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Obec </w:t>
            </w:r>
          </w:p>
          <w:p w14:paraId="504DE47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PSC Štát IČO: </w:t>
            </w:r>
          </w:p>
          <w:p w14:paraId="0D2E89D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oslobodení od zostavenia konsolidovanej účtovnej závierky </w:t>
            </w:r>
          </w:p>
          <w:p w14:paraId="17D98AA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Názov a sídlo dcérskych účtovných jednotiek </w:t>
            </w:r>
          </w:p>
        </w:tc>
      </w:tr>
      <w:tr w14:paraId="48C9F42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0E6B68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dcérskej účtovnej jednotky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6F2DB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3DC902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Ostatné dôležité skutočnosti </w:t>
            </w:r>
          </w:p>
        </w:tc>
      </w:tr>
      <w:tr w14:paraId="16D55C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2CC590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C5A62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4267C9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10C28E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E8FBE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712B1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EC2D1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847675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4CD9AB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118B290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0980C9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61F86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311368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F2AB4A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C2E041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6838DF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0DB41D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6DEA6C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06AC493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684C3E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A910A7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Priemerný prepočítaný počet zamestnancov účtovnej jednotky </w:t>
            </w:r>
          </w:p>
        </w:tc>
      </w:tr>
    </w:tbl>
    <w:p w14:paraId="3047E0F0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1 </w:t>
      </w:r>
    </w:p>
    <w:p w14:paraId="61446B0E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076"/>
        <w:gridCol w:w="1838"/>
        <w:gridCol w:w="3188"/>
      </w:tblGrid>
      <w:tr w14:paraId="63DFD3D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6D7DC2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B5AF81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Bežné účtovné obdobie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1BD976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Bezprostredne predchádzajúc e obdobie </w:t>
            </w:r>
          </w:p>
        </w:tc>
      </w:tr>
      <w:tr w14:paraId="4E858DF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0CA76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Priemerný prepočítaný počet zamestnancov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3BF905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AED3AC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56FA05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5CDFC0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 zamestnancov ku dňu zostavenia závierky, z toho: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9E20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844A73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353F2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B332C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počet vedúcich zamestnancov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813248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2BF4779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0952F6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6DA749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Článok II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Predpoklad nepretržitého pokračovania v činnosti </w:t>
            </w:r>
          </w:p>
          <w:p w14:paraId="35FAA0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Účtovná závierka bola zostavená za predpokladu nepretržitého trvania spoločnosti. </w:t>
            </w:r>
          </w:p>
          <w:p w14:paraId="73D119D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Spôsob oceňovania jednotlivých zložiek majetku a záväzkov a) Oceňovanie dlhodobého nehmotného majetku </w:t>
            </w:r>
          </w:p>
          <w:p w14:paraId="4981AD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nehmotného majetku </w:t>
            </w:r>
          </w:p>
          <w:p w14:paraId="5ADB9D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* tieto účtovné prípady sa v bežnom účtovnom období nevyskytli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nehmotného majetku obstaraného vlastnou činnosťou </w:t>
            </w:r>
          </w:p>
          <w:p w14:paraId="48497B8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Oceňovanie dlhodobého nehmotného majetku obstaraného iným spôsobom </w:t>
            </w:r>
          </w:p>
          <w:p w14:paraId="45DE9DB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</w:t>
            </w:r>
          </w:p>
          <w:p w14:paraId="7EF146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Oceňovanie dlhodobého hmotného majetku </w:t>
            </w:r>
          </w:p>
          <w:p w14:paraId="1CB6B60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hmotného majetku </w:t>
            </w:r>
          </w:p>
          <w:p w14:paraId="0C307D7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hmotného majetku obstaraného vlastnou činnosťou </w:t>
            </w:r>
          </w:p>
          <w:p w14:paraId="2F88CB16"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prijatých postupoch </w:t>
            </w:r>
          </w:p>
          <w:p w14:paraId="20A2927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61882A83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2 </w:t>
      </w:r>
    </w:p>
    <w:p w14:paraId="13030501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 w14:paraId="003D98C2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Oceňovanie dlhodobého hmotného majetku obstaraného iným spôsobom </w:t>
      </w:r>
    </w:p>
    <w:p w14:paraId="7CD970E9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 w14:paraId="3411B46C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a) Oceňovanie dlhodobého finančného majetku </w:t>
      </w:r>
    </w:p>
    <w:p w14:paraId="464E4DA3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Účtovná jednotka oceňovala dlhodobý finančný majetok </w:t>
      </w:r>
    </w:p>
    <w:p w14:paraId="18F09876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b) Oceňovanie zásob </w:t>
      </w:r>
    </w:p>
    <w:p w14:paraId="5199E2E6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obstaraných kúpou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Zásoby obstarané kúpou účtovná jednotka oceňovala obstarávacou cenou, ktorá zahrňuje cenu obstarania a náklady súvisiace s obstaraním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vytvorených vlastnou činnosťou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Účtovná jednotka oceňovala zásoby obstarané vlastnou činnosťou vlastnými nákladmi v zložení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priame náklady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Pri vyskladnení zásob sa používala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metóda váženého aritmetického priemeru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 w14:paraId="75D852F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c) Oceňovanie pohľadávok </w:t>
      </w:r>
    </w:p>
    <w:p w14:paraId="4F541C3D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Pohľadávky sa pri ich vzniku oceňovali nominálnou hodnotou </w:t>
      </w:r>
    </w:p>
    <w:p w14:paraId="573E76B3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d) Oceňovanie krátkodobého finančného majetku </w:t>
      </w:r>
    </w:p>
    <w:p w14:paraId="6A69EF89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Krátkodobý finančný maj</w:t>
      </w:r>
      <w:bookmarkStart w:id="0" w:name="_GoBack"/>
      <w:bookmarkEnd w:id="0"/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etok sa oceňoval nominálnou hodnotou </w:t>
      </w:r>
    </w:p>
    <w:p w14:paraId="7B1D272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e) Oceňovanie záväzkov, vrátane rezerv, dlhopisov, pôžičiek a úverov </w:t>
      </w:r>
    </w:p>
    <w:p w14:paraId="64D1EE65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Rezervy sa oceňovali v očakávanej výške záväzkov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Záväzky sa pri ich vzniku oceňovali nominálnou hodnotou </w:t>
      </w:r>
    </w:p>
    <w:p w14:paraId="4BFF3614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Pôžičky sa oceňovali nominálnou hodnotou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Dlhopisy sa oceňovali nominálnou hodnotou </w:t>
      </w:r>
    </w:p>
    <w:p w14:paraId="25FD20BF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Úvery sa oceňovali nominálnou hodnotou </w:t>
      </w:r>
    </w:p>
    <w:p w14:paraId="0B793AFB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(3) Spôsob zostavenia odpisového plánu pre dlhodobý majetok </w:t>
      </w:r>
    </w:p>
    <w:p w14:paraId="24E5CA2D">
      <w:pPr>
        <w:shd w:val="clear" w:color="auto" w:fill="FFFFFF"/>
        <w:spacing w:before="100" w:beforeAutospacing="1" w:after="100" w:afterAutospacing="1"/>
        <w:rPr>
          <w:rFonts w:hint="default" w:ascii="Times New Roman" w:hAnsi="Times New Roman" w:eastAsia="Times New Roman" w:cs="Times New Roman"/>
          <w:lang w:val="en-US"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Spôsob odpisovania dlhodobého majetku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Odpisový plán účtovných odpisov dlhodobého majetku zostavila účtovná jednotka v interných smerniciah, kde vychádza z predpokladaného opotrebenia zaraďovaného majetku zodpovedajeho bežným podmienkam jeho používania - účtovné a daňové odpisy sa nerovna</w:t>
      </w:r>
      <w:r>
        <w:rPr>
          <w:rFonts w:hint="default" w:ascii="CIDFont+F1" w:hAnsi="CIDFont+F1" w:eastAsia="Times New Roman" w:cs="Times New Roman"/>
          <w:sz w:val="22"/>
          <w:szCs w:val="22"/>
          <w:lang w:val="en-US" w:eastAsia="sk-SK"/>
        </w:rPr>
        <w:t>jú.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58"/>
        <w:gridCol w:w="1275"/>
        <w:gridCol w:w="1465"/>
        <w:gridCol w:w="3604"/>
      </w:tblGrid>
      <w:tr w14:paraId="5681F5F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CD14A6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Tvorba odpisového plánu pre jednotlivé druhy dlhodobého majetku </w:t>
            </w:r>
          </w:p>
        </w:tc>
      </w:tr>
      <w:tr w14:paraId="00D982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7DB45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dlhodobého majetku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E2208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Doba odpisova nia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85FC3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Ročná odpisová sadzba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AF415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Metóda odpisovania </w:t>
            </w:r>
          </w:p>
        </w:tc>
      </w:tr>
      <w:tr w14:paraId="602AA17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39721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Aktivované náklady na vývoj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717B6B5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338A7D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4C5022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A485A4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DCDE78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Softvér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C74498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7FFC5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5FE405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551A042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7B8908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Oceniteľné práva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946A49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1A088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89C68E4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B99EC7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A12F87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Goodwill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A8E9F2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15378D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CE2347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57CB057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9B21B8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nehmotný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61550D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8AB55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4D1B0C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25D3BC7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CC3C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Stavby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6AB486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79B63C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478024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48D1831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3603D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Samostatné hnuteľné veci a súbory hnuteľných vecí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77743D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9A91D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EF71BC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09AF23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8E1C1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Základné stádo a ťažné zvieratá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A560BD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1ACA3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7304BC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64E400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5B63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2550E7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E35786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664C2E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94594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35BB3CF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(4) Významné zmeny účtovných zásad a účtovných metód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Zmeny účtovných zásad a metód s uvedením dôvodu ich uplatnenia a ich vplyvu na hodnotu majetku, záväzkov, vlastného imania a výsledku hospodárenia účtovnej jednotky </w:t>
            </w:r>
          </w:p>
        </w:tc>
      </w:tr>
      <w:tr w14:paraId="0B462D0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9D7B8F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zmeny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610A3F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zmeny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85DB59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Vplyv na hodnotu zložky majetku a záväzky </w:t>
            </w:r>
          </w:p>
        </w:tc>
      </w:tr>
      <w:tr w14:paraId="5133B16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DD43B5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C2C72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5D5B55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B9A0F6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0F400B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95F3FF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2F3F69C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89C2E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88269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C8CB91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5E6129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AA4391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2543BA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704ED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CEC40D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569BC1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E985E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F6D8E8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0568CA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2FC2632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4CF693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poskytnutých dotáciách </w:t>
            </w:r>
          </w:p>
        </w:tc>
      </w:tr>
      <w:tr w14:paraId="30EBB63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67771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Majetok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A184C2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Spôsob ocenenia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D50241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dotácie </w:t>
            </w:r>
          </w:p>
        </w:tc>
      </w:tr>
      <w:tr w14:paraId="4244A25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13839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BC8B50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4DEC13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3C4DA5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67E06E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5D900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548CCF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42F36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362488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242C43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4725B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9F56D3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69C2D2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068E48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F78D7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46CB43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5D32E4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B0D0B4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A29D57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5F0C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E12DE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(6) Opravy významných chýb minulých účtovných období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Opravy významných chýb minulých účtovných období účtovaných v bežnom účt. období s uvedením sumy vplyvu na nerozdelený zisk alebo neuhradenú stratu minulých rokov </w:t>
            </w:r>
          </w:p>
        </w:tc>
      </w:tr>
      <w:tr w14:paraId="725698F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142C6F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chyby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07CC27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vplyvu na nerozdelený zisk /neuhradenú stratu minulých období </w:t>
            </w:r>
          </w:p>
        </w:tc>
      </w:tr>
      <w:tr w14:paraId="79128A8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E5C800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3295850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568952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35106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C8994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242E79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055E3A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18568B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1D002CE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98C6D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BFA9EF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1E76C35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718672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4BA5E1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4D55FD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6E72A5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D24F0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4 </w:t>
      </w:r>
    </w:p>
    <w:p w14:paraId="6BB69570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6"/>
        <w:gridCol w:w="3040"/>
        <w:gridCol w:w="1063"/>
        <w:gridCol w:w="1063"/>
        <w:gridCol w:w="2830"/>
      </w:tblGrid>
      <w:tr w14:paraId="6B91426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3F87E5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III </w:t>
            </w:r>
          </w:p>
          <w:p w14:paraId="7B96076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Informácie, ktoré vysvetľujú a dopĺňajú súvahu a výkaz ziskov a strát </w:t>
            </w:r>
          </w:p>
          <w:p w14:paraId="133B625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Informácie o položkách nákladov alebo výnosov výnimočného rozsahu alebo výskytu </w:t>
            </w:r>
          </w:p>
          <w:p w14:paraId="6E12AB5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nákladoch, ktoré majú výnimočný charakter alebo rozsah </w:t>
            </w:r>
          </w:p>
        </w:tc>
      </w:tr>
      <w:tr w14:paraId="53C47AC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891EEF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0B6A2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27E993B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F0C42D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674E37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83F269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1D70A4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4FFDF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21F636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F2445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A70A9F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3BD66A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D87327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0548AB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10E4EC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5FBBBFD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0B3E854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8BD73F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47D338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výnosoch, ktoré majú výnimočný charakter alebo rozsah </w:t>
            </w:r>
          </w:p>
        </w:tc>
      </w:tr>
      <w:tr w14:paraId="45EA77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9F929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AF80BD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514FA74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D96BC0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C11601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239338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1CBC37C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5CA93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672A3E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B8C00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2A9F5E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024473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0B11F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2E6C60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A2274B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AE15050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7D0F0B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3803FB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BC385C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Informácie o záväzkoch </w:t>
            </w:r>
          </w:p>
          <w:p w14:paraId="7CE0BE6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a) Informácie o celkovej sume záväzkoch so zostatkovou dobou splatnosti dlhšou ako päť rokov </w:t>
            </w:r>
          </w:p>
        </w:tc>
      </w:tr>
      <w:tr w14:paraId="2DD7A8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8945ED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C58C66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47E892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485913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záväzkov so zostatkovou dobou splatnosti dlhšou ako päť rokov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0FFE0E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3075F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1D5D42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b) Informácie o celkovej sume zabezpečených záväzkov, opis a spôsoby zabezpečenia záväzkov </w:t>
            </w:r>
          </w:p>
        </w:tc>
      </w:tr>
      <w:tr w14:paraId="037702C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69C5A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Záväzky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59F6A7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 za bežné účtovné obdobie </w:t>
            </w:r>
          </w:p>
        </w:tc>
      </w:tr>
      <w:tr w14:paraId="3336652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C0A0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záložné práva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A03F3B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6B367C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9E2DE2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obmedzené práva s nimi nakladať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CD089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3C2697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DE5BF2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AF466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DE9C79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82BFED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6393E9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59F580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576FF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D06F6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33A569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31E9F4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Informácie o vlastných akciách Dôvod nadobudnutia vlastných akcií: </w:t>
            </w:r>
          </w:p>
          <w:p w14:paraId="1410D8B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počte, menovitej hodnote nadobudnutých vlastných akcií počas účtovného obdobia a hodnote, za ktorú </w:t>
            </w:r>
          </w:p>
        </w:tc>
      </w:tr>
      <w:tr w14:paraId="17E51C4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B6A91E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 nadobudli </w:t>
            </w:r>
          </w:p>
        </w:tc>
      </w:tr>
      <w:tr w14:paraId="617F390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A54A8B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619EF9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1EE2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E7922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63A80AE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EB114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E1D446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37242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41DA0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AE1149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8EF187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4563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861739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649675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06AED07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AE7D59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D26169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86724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A0E61F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E6680C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D14D30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E47F51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00351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0606A3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1250DCA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711BC0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3E6C6B3E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5 </w:t>
      </w:r>
    </w:p>
    <w:p w14:paraId="30D91937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2"/>
        <w:gridCol w:w="2833"/>
        <w:gridCol w:w="2475"/>
        <w:gridCol w:w="515"/>
        <w:gridCol w:w="514"/>
        <w:gridCol w:w="1703"/>
      </w:tblGrid>
      <w:tr w14:paraId="41BC4A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auto" w:sz="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853AE0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 a menovitej hodnote vlastných akcií prevedených počas účtovného obdobia na inú osobu a hodnote, za ktorú sa previedli na inú osobu </w:t>
            </w:r>
          </w:p>
        </w:tc>
      </w:tr>
      <w:tr w14:paraId="0B6F62B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842F7D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20792C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A10CF0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previedli na inú osobu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9AFEA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2E1A714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E89098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538D49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C448E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BDFAC2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6EE6707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83A20C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AD5669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F9F60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CA97C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7F35AAB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BE9120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14803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81B29A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93E20B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8A867C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43169B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84C64D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10D8E1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331D05B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7DB5F9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72AB5B2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počte, menovitej hodnote a hodnote, za ktorú sa vlastné akcie nadobudli a ktoré má účtovná jednotka v držbe k poslednému dňu účtovného obdobia </w:t>
            </w:r>
          </w:p>
        </w:tc>
      </w:tr>
      <w:tr w14:paraId="3C5ABF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AF8D8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9D6DD9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D48D8A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7F590E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70E98C3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031F6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8654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6951B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AF86D9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2B3422B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E7B6F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D8E39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64349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D67C0F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9F038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F8775C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3472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B039D1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FD04FE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1D1376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AAE8D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27C69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8909BE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A06BD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B43714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BF17D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(4) Informácie o vytvorení kapitálového fondu z príspevkov </w:t>
            </w:r>
          </w:p>
          <w:p w14:paraId="297AF12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Informácie, či účtovná jednotka vytvorila kapitálový fond z príspevkov podľa § 123 ods. 2 a § 217a Obchodného zákonníka </w:t>
            </w:r>
          </w:p>
          <w:p w14:paraId="7E4C465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orgánoch účtovnej jednotky </w:t>
            </w:r>
          </w:p>
          <w:p w14:paraId="6D60CEE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Informácie o poskytnutých zárukách alebo inom zabezpečení pre členov orgánov </w:t>
            </w:r>
          </w:p>
          <w:p w14:paraId="18FCE5A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Záruky alebo iné zabezpečenia poskytnuté členom orgánov účtovnej jednotky </w:t>
            </w:r>
          </w:p>
          <w:p w14:paraId="5153C1E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 w14:paraId="315937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F41D0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FD777E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záruky/zabezpečenia pre členov orgánov </w:t>
            </w:r>
          </w:p>
        </w:tc>
      </w:tr>
      <w:tr w14:paraId="30B5A89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75032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záruky / zabezpečenia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FD21C8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85F151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C695F9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33A21A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22AAC9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6667C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DA813C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40DB50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328E72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A91A71C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89906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8AA05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1A0243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6F8430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2F9CF6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CE1D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6628AD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AD92E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ECF140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43CB5E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97F59E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F1DB26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8FB503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4B618C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CEFF54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61AD9E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B49E3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2BD7D3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CB54DE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B5171C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pôžičkách poskytnutých členom orgánov </w:t>
            </w:r>
          </w:p>
          <w:p w14:paraId="3F682F7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Pôžičky poskytnuté členom orgánov účtovnej jednotky </w:t>
            </w:r>
          </w:p>
        </w:tc>
      </w:tr>
      <w:tr w14:paraId="625EEAA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96B4D8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2DFE6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pôžičiek k poslednému dňu účt. obd. v členení podľa orgánov </w:t>
            </w:r>
          </w:p>
        </w:tc>
      </w:tr>
      <w:tr w14:paraId="71368E1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E12EF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936C1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0948DE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ADAE9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5BDECC7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A211E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Poskytnuté pôžičky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55871B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9890A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2ABCD3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983F3F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A42AD0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Splatené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0BAA4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CFC68F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D7C709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522B39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3E106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Odpustené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781A04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B42615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FCF1E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1F7938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6C9469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Odpísané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71CAAB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E9BB55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20DC1F0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3CF6A4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053C17E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c) Informácie o hlavných podmienkach, na základe ktorých boli záruky poskytnuté </w:t>
            </w:r>
          </w:p>
          <w:p w14:paraId="5CF0926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Hlavné podmienky, na základe ktorých boli záruky, iné zabezpečenie a pôžičky poskytnuté </w:t>
            </w:r>
          </w:p>
          <w:p w14:paraId="389FAA8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54D6E971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6 </w:t>
      </w:r>
    </w:p>
    <w:p w14:paraId="58B69634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31"/>
        <w:gridCol w:w="2134"/>
        <w:gridCol w:w="1789"/>
        <w:gridCol w:w="2048"/>
      </w:tblGrid>
      <w:tr w14:paraId="1F9E3D1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6B686A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celkovej sume použitých finančných prostriedkov alebo iného plnenia na súkromné účely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alebo iné plnenia použité na súkromné účely orgánmi účtovnej jednotky, ktoré sa vyúčtovávajú </w:t>
            </w:r>
          </w:p>
        </w:tc>
      </w:tr>
      <w:tr w14:paraId="540FF78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D8F09A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4F453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podľa orgánov účtovnej jednotky </w:t>
            </w:r>
          </w:p>
        </w:tc>
      </w:tr>
      <w:tr w14:paraId="7B52FA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340E52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32765F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25C4F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6A89F8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6EABD9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35BBD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F231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A4836B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66CFA2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1B5E1B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9803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Iné plnenia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3C372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B5C0D3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6E8D48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717B8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ECB69A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D08EB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0BB544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C3E3A8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6473B2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24E10F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8F6F90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A4B3E4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FC0EBF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EF3B68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9F89D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599BABD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9D8A07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E21351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97AF95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048A48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(6) Informácie o povinnostiach účtovnej jednotky </w:t>
            </w:r>
          </w:p>
          <w:p w14:paraId="30A4B7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a), c) Informácie o finančných povinnostiach, ktoré sa nevykazujú v súvahe, ale sú významné na posúdenie finančnej situácie účtovnej jednotky </w:t>
            </w:r>
          </w:p>
        </w:tc>
      </w:tr>
      <w:tr w14:paraId="75CCC7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9E0C9C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7366F4E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79AF1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9B5607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B965B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99983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C3107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0B367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F238E9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70645F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5130D3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791ACD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1DDB3F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FD4532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ED86CA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C72039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8189D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CC062F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A979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AC0DCF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76DF8C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EC0A2A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b), c) Informácie o významných podmienených záväzkoch </w:t>
            </w:r>
          </w:p>
        </w:tc>
      </w:tr>
      <w:tr w14:paraId="3BBCE2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DBFD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220128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0FDE071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34F0DC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06C44A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B93870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4915E8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68FC24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5F2B48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C2F62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765C74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38AC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C82183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9690B0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8CF31B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2E099A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542EE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9C4DA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54FC8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F60E4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B1E433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92D7E2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významných povinnostiach podmienených záväzkoch voči dcérskej ÚJ alebo ÚJ s podstatným vplyvom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významných finannčných povinností a významných podmienených záväzkov voči dcérskej účtovnej jednotke </w:t>
            </w:r>
          </w:p>
          <w:p w14:paraId="59F4435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 w14:paraId="62D63B0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CCFE3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EB616C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</w:tr>
      <w:tr w14:paraId="3FD2AB2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706DF7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finančné povinnosti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656878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4F5670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37CEE0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podmienené záväzky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099FA6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F1E8A6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1370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CCA3B7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A5599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5BAA5E2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e) Významné povinnosti povinností účtovnej jednotky vyplývajúcich z dôchodkových programov pre zamestnancov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Opis významných povinností účtovnej jednotky vyplývajúcich z dôchodkových programov pre zamestnancov </w:t>
            </w:r>
          </w:p>
        </w:tc>
      </w:tr>
    </w:tbl>
    <w:p w14:paraId="01CB19F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7 </w:t>
      </w:r>
    </w:p>
    <w:p w14:paraId="02071D6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 w14:paraId="1D8EA77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>(7) Informácie o udelení výlučného práva alebo osobitného práva poskytovať služby vo verejnom záujme</w:t>
      </w:r>
      <w:r>
        <w:rPr>
          <w:rFonts w:ascii="CIDFont+F2" w:hAnsi="CIDFont+F2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a) Informácie o formách prijatej náhrady </w:t>
      </w:r>
    </w:p>
    <w:p w14:paraId="3D665717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b) Informácie o účtovných zásadách použitých pri prideľovaní nákladov a výnosov c) Informácie o druhoch činností účtovnej jednotky </w:t>
      </w:r>
    </w:p>
    <w:p w14:paraId="2D588283">
      <w:pPr>
        <w:shd w:val="clear" w:color="auto" w:fill="FFFFFF"/>
        <w:rPr>
          <w:rFonts w:ascii="Times New Roman" w:hAnsi="Times New Roman" w:eastAsia="Times New Roman" w:cs="Times New Roman"/>
          <w:lang w:eastAsia="sk-SK"/>
        </w:rPr>
      </w:pPr>
    </w:p>
    <w:p w14:paraId="668C6E03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IDFont+F1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IDFont+F2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5AA90"/>
    <w:multiLevelType w:val="singleLevel"/>
    <w:tmpl w:val="3675AA90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C88"/>
    <w:rsid w:val="00363C88"/>
    <w:rsid w:val="008A2432"/>
    <w:rsid w:val="008C4A93"/>
    <w:rsid w:val="043B3113"/>
    <w:rsid w:val="4CCD45F3"/>
    <w:rsid w:val="6DC4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qFormat/>
    <w:uiPriority w:val="99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  <w:style w:type="paragraph" w:customStyle="1" w:styleId="5">
    <w:name w:val="msonormal"/>
    <w:basedOn w:val="1"/>
    <w:qFormat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1876</Words>
  <Characters>10698</Characters>
  <Lines>89</Lines>
  <Paragraphs>25</Paragraphs>
  <TotalTime>13</TotalTime>
  <ScaleCrop>false</ScaleCrop>
  <LinksUpToDate>false</LinksUpToDate>
  <CharactersWithSpaces>12549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2022-06-26T09:22:00Z</dcterms:created>
  <dc:creator>Dávid Iván</dc:creator>
  <cp:lastModifiedBy>Denisa Mihalovičová</cp:lastModifiedBy>
  <dcterms:modified xsi:type="dcterms:W3CDTF">2025-06-30T12:36:57Z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BC3580395F6D496D88CE2A3097152F29_13</vt:lpwstr>
  </property>
</Properties>
</file>