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9E8E1" w14:textId="11AAD75A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40"/>
          <w:szCs w:val="40"/>
        </w:rPr>
      </w:pPr>
      <w:r w:rsidRPr="00693C1D">
        <w:rPr>
          <w:rFonts w:ascii="Arial" w:hAnsi="Arial" w:cs="Arial"/>
          <w:b/>
          <w:bCs/>
          <w:sz w:val="40"/>
          <w:szCs w:val="40"/>
        </w:rPr>
        <w:t>POZNÁMKY k 31.12.</w:t>
      </w:r>
      <w:r w:rsidR="004A47CF">
        <w:rPr>
          <w:rFonts w:ascii="Arial" w:hAnsi="Arial" w:cs="Arial"/>
          <w:b/>
          <w:bCs/>
          <w:sz w:val="40"/>
          <w:szCs w:val="40"/>
        </w:rPr>
        <w:t>2024</w:t>
      </w:r>
    </w:p>
    <w:p w14:paraId="22D39749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</w:p>
    <w:p w14:paraId="2E9D3708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</w:p>
    <w:p w14:paraId="37175314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3B66E700" w14:textId="6054FA68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693C1D">
        <w:rPr>
          <w:rFonts w:ascii="Arial" w:hAnsi="Arial" w:cs="Arial"/>
          <w:sz w:val="28"/>
          <w:szCs w:val="28"/>
        </w:rPr>
        <w:t xml:space="preserve">Poznámky </w:t>
      </w:r>
      <w:proofErr w:type="spellStart"/>
      <w:r w:rsidRPr="00693C1D">
        <w:rPr>
          <w:rFonts w:ascii="Arial" w:hAnsi="Arial" w:cs="Arial"/>
          <w:sz w:val="28"/>
          <w:szCs w:val="28"/>
        </w:rPr>
        <w:t>Úč</w:t>
      </w:r>
      <w:proofErr w:type="spellEnd"/>
      <w:r w:rsidRPr="00693C1D">
        <w:rPr>
          <w:rFonts w:ascii="Arial" w:hAnsi="Arial" w:cs="Arial"/>
          <w:sz w:val="28"/>
          <w:szCs w:val="28"/>
        </w:rPr>
        <w:t xml:space="preserve"> PODV 3-01 IČO 5 0 7 5 8 5 4 3 DIČ 2 1 2 0 4 6 0 5 0 7</w:t>
      </w:r>
    </w:p>
    <w:p w14:paraId="75B8BE18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14:paraId="4B61896B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14:paraId="77E19A8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 (5)</w:t>
      </w:r>
    </w:p>
    <w:p w14:paraId="24F1D98D" w14:textId="0D4772F9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 xml:space="preserve">Priemerný počet zamestnancov počas účtovného obdobia    </w:t>
      </w:r>
      <w:r w:rsidRPr="00693C1D">
        <w:rPr>
          <w:rFonts w:ascii="Arial" w:hAnsi="Arial" w:cs="Arial"/>
          <w:color w:val="0070C0"/>
        </w:rPr>
        <w:t>2 osoby</w:t>
      </w:r>
    </w:p>
    <w:p w14:paraId="6D33CC2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Opis hospodárskej činnosti v nadväznosti na predmet podnikania</w:t>
      </w:r>
    </w:p>
    <w:p w14:paraId="772C4E3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služby pre subdodávateľov v automobilovom priemysle</w:t>
      </w:r>
    </w:p>
    <w:p w14:paraId="79C1374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 xml:space="preserve">Sídlo účtovnej jednotky: </w:t>
      </w:r>
      <w:r w:rsidRPr="00693C1D">
        <w:rPr>
          <w:rFonts w:ascii="Arial" w:hAnsi="Arial" w:cs="Arial"/>
          <w:color w:val="0070C0"/>
        </w:rPr>
        <w:t>Antická 1084/9, 85110, Bratislava - mestská časť Rusovce</w:t>
      </w:r>
    </w:p>
    <w:p w14:paraId="04724130" w14:textId="69A13E8C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</w:rPr>
        <w:t>Obchodné meno účtovnej jednotky</w:t>
      </w:r>
      <w:r w:rsidRPr="00693C1D">
        <w:rPr>
          <w:rFonts w:ascii="Arial" w:hAnsi="Arial" w:cs="Arial"/>
          <w:color w:val="0070C0"/>
        </w:rPr>
        <w:t xml:space="preserve"> :</w:t>
      </w:r>
      <w:r w:rsidRPr="001F4A26">
        <w:rPr>
          <w:rFonts w:ascii="Arial" w:hAnsi="Arial" w:cs="Arial"/>
          <w:b/>
          <w:bCs/>
          <w:color w:val="0070C0"/>
        </w:rPr>
        <w:t xml:space="preserve">MDM </w:t>
      </w:r>
      <w:proofErr w:type="spellStart"/>
      <w:r w:rsidRPr="001F4A26">
        <w:rPr>
          <w:rFonts w:ascii="Arial" w:hAnsi="Arial" w:cs="Arial"/>
          <w:b/>
          <w:bCs/>
          <w:color w:val="0070C0"/>
        </w:rPr>
        <w:t>Automotive</w:t>
      </w:r>
      <w:proofErr w:type="spellEnd"/>
      <w:r w:rsidRPr="001F4A26">
        <w:rPr>
          <w:rFonts w:ascii="Arial" w:hAnsi="Arial" w:cs="Arial"/>
          <w:b/>
          <w:bCs/>
          <w:color w:val="0070C0"/>
        </w:rPr>
        <w:t xml:space="preserve"> s.r.o.</w:t>
      </w:r>
    </w:p>
    <w:p w14:paraId="3E1BA6D9" w14:textId="3A6B7E21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 (1)</w:t>
      </w:r>
    </w:p>
    <w:p w14:paraId="4EC45F9F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 xml:space="preserve">Názov položky </w:t>
      </w:r>
    </w:p>
    <w:p w14:paraId="45DCBA9C" w14:textId="48D281A5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Bežné účtovné obdobie</w:t>
      </w:r>
    </w:p>
    <w:p w14:paraId="1D9008F2" w14:textId="32BF2621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Priemerný prepočítaný počet zamestnancov : 2</w:t>
      </w:r>
    </w:p>
    <w:p w14:paraId="16AA0BE4" w14:textId="4354BD76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Stav zamestnancov ku dňu, ku ktorému sa zostavuje účtovná závierka, z toho: </w:t>
      </w:r>
      <w:r w:rsidR="004A47CF">
        <w:rPr>
          <w:rFonts w:ascii="Arial" w:hAnsi="Arial" w:cs="Arial"/>
          <w:color w:val="0070C0"/>
        </w:rPr>
        <w:t>1</w:t>
      </w:r>
    </w:p>
    <w:p w14:paraId="1496EF37" w14:textId="080B74BB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Počet vedúcich zamestnancov 1</w:t>
      </w:r>
    </w:p>
    <w:p w14:paraId="63AC256C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color w:val="0070C0"/>
        </w:rPr>
      </w:pPr>
    </w:p>
    <w:p w14:paraId="3FEFBC1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Bezprostredne</w:t>
      </w:r>
    </w:p>
    <w:p w14:paraId="6B100B9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predchádzajúce účtovné</w:t>
      </w:r>
    </w:p>
    <w:p w14:paraId="619940AC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obdobie</w:t>
      </w:r>
    </w:p>
    <w:p w14:paraId="4F52F5E7" w14:textId="3A89D3D2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Priemerný prepočítaný počet zamestnancov 2 </w:t>
      </w:r>
    </w:p>
    <w:p w14:paraId="3CB07C94" w14:textId="548FE75F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Stav zamestnancov ku dňu, ku ktorému sa zostavuje účtovná závierka, z toho: 2 </w:t>
      </w:r>
    </w:p>
    <w:p w14:paraId="59A8158D" w14:textId="2FABF750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Počet vedúcich zamestnancov 1 </w:t>
      </w:r>
    </w:p>
    <w:p w14:paraId="204FAF9F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14:paraId="2C1121BB" w14:textId="5D5D9CC6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 xml:space="preserve">Čl. I (2) Dátum schválenia účtovnej závierky za predchádzajúce obdobie: </w:t>
      </w:r>
      <w:r w:rsidR="004A47CF">
        <w:rPr>
          <w:rFonts w:ascii="Arial" w:hAnsi="Arial" w:cs="Arial"/>
          <w:color w:val="0070C0"/>
        </w:rPr>
        <w:t>30.6.2024</w:t>
      </w:r>
    </w:p>
    <w:p w14:paraId="2847DAE7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 (3) Právny dôvod na zostavenie účtovnej závierky</w:t>
      </w:r>
    </w:p>
    <w:p w14:paraId="67A58CD5" w14:textId="31B030F9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  <w:color w:val="0070C0"/>
        </w:rPr>
        <w:t>riadna</w:t>
      </w:r>
      <w:r w:rsidRPr="00693C1D">
        <w:rPr>
          <w:rFonts w:ascii="Arial" w:hAnsi="Arial" w:cs="Arial"/>
        </w:rPr>
        <w:t xml:space="preserve"> </w:t>
      </w:r>
    </w:p>
    <w:p w14:paraId="5518BB11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14:paraId="30CD6666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14:paraId="52DE2E1F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III (1) Účtovná jednotka bude nepretržite pokračovať vo svojej činnosti:</w:t>
      </w:r>
    </w:p>
    <w:p w14:paraId="309C37A6" w14:textId="4191A018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 xml:space="preserve">Áno </w:t>
      </w:r>
    </w:p>
    <w:p w14:paraId="3A28660D" w14:textId="3ADFE2A8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14:paraId="00C92D3E" w14:textId="132A0FDE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14:paraId="40D95D4B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III (3) Informácie o transakciách, ktoré sa neuvádzajú v súvahe a ich finančný vplyv</w:t>
      </w:r>
    </w:p>
    <w:p w14:paraId="3B2C36F3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14:paraId="2A44EC29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obstarávacia cena, vlastné náklady,</w:t>
      </w:r>
    </w:p>
    <w:p w14:paraId="3124993E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menovitá hodnota</w:t>
      </w:r>
    </w:p>
    <w:p w14:paraId="6417A9C7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III (4) a) Spôsob oceňovania majetku a záväzkov - obstarávacia cena, vlastné náklady, menovitá hodnota</w:t>
      </w:r>
    </w:p>
    <w:p w14:paraId="7AD9115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Ocenenie majetku a záväzkov ÚJ má náplň (x) Poznámka k oceneniu</w:t>
      </w:r>
    </w:p>
    <w:p w14:paraId="747BB6A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Obstarávacou cenou</w:t>
      </w:r>
    </w:p>
    <w:p w14:paraId="0F249ADD" w14:textId="0A55D30D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Hmotný majetok s výnimkou hmotného majetku vytvoreného vlastnou činnosťou  X</w:t>
      </w:r>
    </w:p>
    <w:p w14:paraId="12BAF1D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Zásoby s výnimkou zásob vytvorených vlastnou činnosťou</w:t>
      </w:r>
    </w:p>
    <w:p w14:paraId="28DBC953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Podiely na základnom imaní obchodných spoločností, deriváty a cenné papiere</w:t>
      </w:r>
    </w:p>
    <w:p w14:paraId="12C74C4C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Pohľadávky pri odplatnom nadobudnutí alebo pohľadávky nadobudnuté vkladom do ZI</w:t>
      </w:r>
    </w:p>
    <w:p w14:paraId="02C6BC9B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Nehmotný majetok s výnimkou nehmotného majetku vytvoreného vlastnou činnosťou</w:t>
      </w:r>
    </w:p>
    <w:p w14:paraId="1D3E343E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Záväzky pri ich prevzatí</w:t>
      </w:r>
    </w:p>
    <w:p w14:paraId="7666EF43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Vlastnými nákladmi</w:t>
      </w:r>
    </w:p>
    <w:p w14:paraId="65F5CBC8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Hmotný majetok vytvorený vlastnou činnosťou</w:t>
      </w:r>
    </w:p>
    <w:p w14:paraId="2197ADF8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lastRenderedPageBreak/>
        <w:t>Zásoby vytvorené vlastnou činnosťou</w:t>
      </w:r>
    </w:p>
    <w:p w14:paraId="52F9D5A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Nehmotný majetok vytvorený vlastnou činnosťou</w:t>
      </w:r>
    </w:p>
    <w:p w14:paraId="5586BB0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Príchovky a prírastky zvierat</w:t>
      </w:r>
    </w:p>
    <w:p w14:paraId="2CC2582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Menovitou hodnotou</w:t>
      </w:r>
    </w:p>
    <w:p w14:paraId="36BBE09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Peňažné prostriedky a ceniny x</w:t>
      </w:r>
    </w:p>
    <w:p w14:paraId="60A43C06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Pohľadávky pri ich vzniku x</w:t>
      </w:r>
    </w:p>
    <w:p w14:paraId="179FA858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Záväzky pri ich vzniku x</w:t>
      </w:r>
    </w:p>
    <w:p w14:paraId="6309FC9A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14:paraId="112C8879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Čl. III (4) g) Tvorba odpisového plánu</w:t>
      </w:r>
    </w:p>
    <w:p w14:paraId="747C4C57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Dlhodobý nehmotný majetok</w:t>
      </w:r>
    </w:p>
    <w:p w14:paraId="5F89A34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Dlhodobý hmotný majetok:</w:t>
      </w:r>
    </w:p>
    <w:p w14:paraId="3E490C58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Dlhodobý hmotný majetok:</w:t>
      </w:r>
    </w:p>
    <w:p w14:paraId="136B5EFE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93C1D">
        <w:rPr>
          <w:rFonts w:ascii="Arial" w:hAnsi="Arial" w:cs="Arial"/>
        </w:rPr>
        <w:t>Odpisový plán bol ovplyvnený týmito skutočnosťami</w:t>
      </w:r>
    </w:p>
    <w:p w14:paraId="1927F3A4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Spôsob zostavenia odpisového plánu pre jednotlivé druhy dlhodobého hmotného a nehmotného majetku</w:t>
      </w:r>
    </w:p>
    <w:p w14:paraId="2CBAAB5A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odpisový plán účtovných odpisov vychádzal z požiadavky zákona č. 431/2002 o účtovníctve. Majetok sa odpisoval počas</w:t>
      </w:r>
    </w:p>
    <w:p w14:paraId="104C6E3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predpokladanej doby používania zodpovedajúcej spotrebe budúcich ekonomických úžitkov z majetku. Odpisové sadzby pre</w:t>
      </w:r>
    </w:p>
    <w:p w14:paraId="5F2C271D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účtovné a daňové odpisy dlhodobého nehmotného majetku sa rovnajú.</w:t>
      </w:r>
    </w:p>
    <w:p w14:paraId="7617F062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odpisový plán účtovných odpisov sa zostavil interným predpisom, v ktorom sa vychádzalo z metód používaných pri vyčíslovaní</w:t>
      </w:r>
    </w:p>
    <w:p w14:paraId="0F6DC415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daňových odpisov. Účtovné a daňové odpisy sa rovnajú.</w:t>
      </w:r>
    </w:p>
    <w:p w14:paraId="01082370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693C1D">
        <w:rPr>
          <w:rFonts w:ascii="Arial,Bold" w:hAnsi="Arial,Bold" w:cs="Arial,Bold"/>
          <w:b/>
          <w:bCs/>
        </w:rPr>
        <w:t>Druh majetku Doba odpisovania Sadzba odpisov Odpisová metóda</w:t>
      </w:r>
    </w:p>
    <w:p w14:paraId="30442FF1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automobily 4 roky 1/4 rovnomerná</w:t>
      </w:r>
    </w:p>
    <w:p w14:paraId="42F0097E" w14:textId="77777777" w:rsidR="00693C1D" w:rsidRP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70C0"/>
        </w:rPr>
      </w:pPr>
      <w:r w:rsidRPr="00693C1D">
        <w:rPr>
          <w:rFonts w:ascii="Arial" w:hAnsi="Arial" w:cs="Arial"/>
          <w:color w:val="0070C0"/>
        </w:rPr>
        <w:t>klimatizácia 12 rokov 1/12 rovnomerná</w:t>
      </w:r>
    </w:p>
    <w:p w14:paraId="0DA8FD0F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V Informácie o iných aktívach a iných pasívach</w:t>
      </w:r>
    </w:p>
    <w:p w14:paraId="2700CED0" w14:textId="77777777" w:rsidR="00693C1D" w:rsidRDefault="00693C1D" w:rsidP="00693C1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sectPr w:rsidR="00693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2F0E"/>
    <w:rsid w:val="000E773B"/>
    <w:rsid w:val="001F2F0E"/>
    <w:rsid w:val="001F4A26"/>
    <w:rsid w:val="004A47CF"/>
    <w:rsid w:val="005309EC"/>
    <w:rsid w:val="00657100"/>
    <w:rsid w:val="00693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BE6E6"/>
  <w15:chartTrackingRefBased/>
  <w15:docId w15:val="{35EC95AB-3D2F-44B3-B3A9-9AF057083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3C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531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Jagnesakova</dc:creator>
  <cp:keywords/>
  <dc:description/>
  <cp:lastModifiedBy>Zdenka</cp:lastModifiedBy>
  <cp:revision>2</cp:revision>
  <dcterms:created xsi:type="dcterms:W3CDTF">2025-06-30T19:47:00Z</dcterms:created>
  <dcterms:modified xsi:type="dcterms:W3CDTF">2025-06-30T19:47:00Z</dcterms:modified>
</cp:coreProperties>
</file>