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0000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200" w:line="276" w:lineRule="auto"/>
        <w:ind w:left="0" w:right="0" w:firstLine="0"/>
        <w:jc w:val="center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Čl. I Všeobecné údaje</w:t>
      </w:r>
    </w:p>
    <w:p w14:paraId="0000000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42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(1)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účtovnej jednotke</w:t>
      </w:r>
    </w:p>
    <w:p w14:paraId="0000000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</w:tabs>
        <w:spacing w:before="0" w:after="0" w:line="276" w:lineRule="auto"/>
        <w:ind w:left="0" w:right="0" w:firstLine="0"/>
        <w:jc w:val="left"/>
        <w:rPr>
          <w:rFonts w:hint="default"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lang w:val="sk-SK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a)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Zápis do OR: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 xml:space="preserve"> Prešov</w:t>
      </w:r>
    </w:p>
    <w:p w14:paraId="0000000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Dátum zápisu: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30.04.2022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Oddiel: Sro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Vložka číslo: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44029/P</w:t>
      </w:r>
    </w:p>
    <w:p w14:paraId="79BBCC2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Hlavné činnosti: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Prípravné práce k realizácii stavby.</w:t>
      </w:r>
    </w:p>
    <w:p w14:paraId="0000000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Uskutočňovanie stavieb a ich zmien.</w:t>
      </w:r>
    </w:p>
    <w:p w14:paraId="1D9025F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  <w:t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  <w:t>Dokončovacie stavebné práce pri realizácii exteriérov a interiérov.</w:t>
      </w:r>
    </w:p>
    <w:p w14:paraId="1030E2F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</w:p>
    <w:p w14:paraId="0000000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Neobmedzenie ručiacim spoločníkom v inej účtovnej jednotke:</w:t>
      </w:r>
    </w:p>
    <w:p w14:paraId="0000000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Obchodná spoločnosť nie je neobmedzene ručiacim spoločníkom v žiadnej spoločnosti.</w:t>
      </w:r>
    </w:p>
    <w:p w14:paraId="0000000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0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c)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Právne dôvody na zostavenie účtovnej závierky:</w:t>
      </w:r>
    </w:p>
    <w:p w14:paraId="0000000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Účtovná závierka obchodnej spoločnosti zostavená k 31. decembru 2024 je zostavená ako riadna účtovná závierka pod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ľa § 17 ods. 6 zákona č. 431/2002 Z. z. o účtovníctve v znení neskorších predpisov. Účtovná závierka za rok 2023 bola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schválená valným zhromaždením dňa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01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.0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4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.2024.</w:t>
      </w:r>
    </w:p>
    <w:p w14:paraId="0000000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72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val="clear" w:fill="auto"/>
          <w:vertAlign w:val="baseline"/>
          <w:rtl w:val="0"/>
        </w:rPr>
        <w:t> </w:t>
      </w:r>
    </w:p>
    <w:p w14:paraId="0000000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(2)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orgánoch účtovnej jednotky:</w:t>
      </w:r>
    </w:p>
    <w:p w14:paraId="0000000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a)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štatutárny orgán</w:t>
      </w:r>
    </w:p>
    <w:p w14:paraId="0000001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konateľ: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Ján Badovský, 059 02  Slovenská Ves 474</w:t>
      </w:r>
    </w:p>
    <w:p w14:paraId="45A031B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  <w:t/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  <w:t>Marek Stolár, Hlavná 592/70, 059 07  Lendak</w:t>
      </w:r>
    </w:p>
    <w:p w14:paraId="0000001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</w:t>
      </w:r>
    </w:p>
    <w:p w14:paraId="23116DF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spoločníci: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Ján Badovský, 059 02  Slovenská Ves 474</w:t>
      </w:r>
    </w:p>
    <w:p w14:paraId="3E8DBEB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</w:pP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  <w:t xml:space="preserve">    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ab/>
        <w:t>Marek Stolár, Hlavná 592/70, 059 07  Lendak</w:t>
      </w:r>
    </w:p>
    <w:p w14:paraId="0000001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                 </w:t>
      </w:r>
    </w:p>
    <w:p w14:paraId="0000001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k časti 2, písm. b) o štruktúre spoločníkov, akcionárov ku dňu, ku ktorému sa zostavuje účtovná závierka o štruktúre spoločníkov, akcionárov do dňa jej zmeny vzniknutej v priebehu účtovného obdobia</w:t>
      </w:r>
    </w:p>
    <w:p w14:paraId="0000001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1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4"/>
        <w:tblW w:w="9293" w:type="dxa"/>
        <w:tblInd w:w="10" w:type="dxa"/>
        <w:tblBorders>
          <w:top w:val="single" w:color="000000" w:sz="8" w:space="0"/>
          <w:left w:val="single" w:color="000000" w:sz="8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2795"/>
        <w:gridCol w:w="1576"/>
        <w:gridCol w:w="1576"/>
        <w:gridCol w:w="1720"/>
        <w:gridCol w:w="1626"/>
      </w:tblGrid>
      <w:tr w14:paraId="312C5D10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cantSplit/>
          <w:trHeight w:val="231" w:hRule="atLeast"/>
        </w:trPr>
        <w:tc>
          <w:tcPr>
            <w:vMerge w:val="restart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Spoločník, akcionár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000000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Výška podielu na základnom imaní</w:t>
            </w:r>
          </w:p>
        </w:tc>
        <w:tc>
          <w:tcPr>
            <w:vMerge w:val="restart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Podiel na hlasovacích právach v %</w:t>
            </w:r>
          </w:p>
        </w:tc>
        <w:tc>
          <w:tcPr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Iný podiel na ostatných položkách VI ako na ZI</w:t>
            </w:r>
          </w:p>
          <w:p w14:paraId="000000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%</w:t>
            </w:r>
          </w:p>
        </w:tc>
      </w:tr>
      <w:tr w14:paraId="14B0A7F2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cantSplit/>
          <w:trHeight w:val="231" w:hRule="atLeast"/>
        </w:trPr>
        <w:tc>
          <w:tcPr>
            <w:vMerge w:val="continue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D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absolútne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%</w:t>
            </w:r>
          </w:p>
        </w:tc>
        <w:tc>
          <w:tcPr>
            <w:vMerge w:val="continue"/>
            <w:tcBorders>
              <w:top w:val="single" w:color="000000" w:sz="8" w:space="0"/>
              <w:left w:val="single" w:color="000000" w:sz="8" w:space="0"/>
            </w:tcBorders>
            <w:shd w:val="clear" w:color="auto" w:fill="auto"/>
            <w:vAlign w:val="center"/>
          </w:tcPr>
          <w:p w14:paraId="00000020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vMerge w:val="continue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21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8AFCA0A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0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 w14:paraId="000000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 w14:paraId="000000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0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</w:t>
            </w:r>
          </w:p>
        </w:tc>
        <w:tc>
          <w:tcPr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2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e</w:t>
            </w:r>
          </w:p>
        </w:tc>
      </w:tr>
      <w:tr w14:paraId="42B95249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0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Ján Badovský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14:paraId="000000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2500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50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2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50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2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00DFFED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02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Marek Stolár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  <w:vAlign w:val="bottom"/>
          </w:tcPr>
          <w:p w14:paraId="0000002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2500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2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50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50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3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DA66E5A">
        <w:tblPrEx>
          <w:tblBorders>
            <w:top w:val="single" w:color="000000" w:sz="8" w:space="0"/>
            <w:left w:val="single" w:color="000000" w:sz="8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03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Spolu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bottom"/>
          </w:tcPr>
          <w:p w14:paraId="0000003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5000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bottom"/>
          </w:tcPr>
          <w:p w14:paraId="0000003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03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3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3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(3)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konsolidovanom celku:</w:t>
      </w:r>
    </w:p>
    <w:p w14:paraId="0000003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Obchodná spoločnosť nie je súčasťou konsolidovaného celku.</w:t>
      </w:r>
    </w:p>
    <w:p w14:paraId="0000003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3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(4)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Priemerný prepočítaný počet zamestnancov</w:t>
      </w:r>
    </w:p>
    <w:tbl>
      <w:tblPr>
        <w:tblStyle w:val="15"/>
        <w:tblW w:w="9484" w:type="dxa"/>
        <w:tblInd w:w="-11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Layout w:type="fixed"/>
        <w:tblCellMar>
          <w:top w:w="0" w:type="dxa"/>
          <w:left w:w="103" w:type="dxa"/>
          <w:bottom w:w="0" w:type="dxa"/>
          <w:right w:w="108" w:type="dxa"/>
        </w:tblCellMar>
      </w:tblPr>
      <w:tblGrid>
        <w:gridCol w:w="3936"/>
        <w:gridCol w:w="2408"/>
        <w:gridCol w:w="3140"/>
      </w:tblGrid>
      <w:tr w14:paraId="7BE096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3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 účtovné obdobie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0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Bezprostredne predchádzajúce účtovné obdobie</w:t>
            </w:r>
          </w:p>
        </w:tc>
      </w:tr>
      <w:tr w14:paraId="5E72FE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Priemerný prepočítaný počet zamestnancov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4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2</w:t>
            </w:r>
          </w:p>
        </w:tc>
      </w:tr>
      <w:tr w14:paraId="7A5A4A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Stav zamestnancov ku dňu, ku ktorému sa zostavuje účtovná závierka, z toho: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2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2</w:t>
            </w:r>
          </w:p>
        </w:tc>
      </w:tr>
      <w:tr w14:paraId="686CB0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počet vedúcich zamestnancov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04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4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142"/>
                <w:tab w:val="left" w:pos="426"/>
                <w:tab w:val="left" w:pos="3828"/>
                <w:tab w:val="left" w:pos="6946"/>
              </w:tabs>
              <w:spacing w:before="0" w:after="0" w:line="276" w:lineRule="auto"/>
              <w:ind w:left="0" w:right="0" w:firstLine="0"/>
              <w:jc w:val="left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0</w:t>
            </w:r>
          </w:p>
        </w:tc>
      </w:tr>
    </w:tbl>
    <w:p w14:paraId="0000004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Komentár</w:t>
      </w:r>
    </w:p>
    <w:p w14:paraId="0000004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4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61A1D77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54279C2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4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center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Čl. II  Informácie o prijatých postupoch</w:t>
      </w:r>
    </w:p>
    <w:p w14:paraId="0000004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(1)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Informácia, či je účtovná závierka zostavená za splnenia predpokladu, že účtovná jednotka bude nepretržite pokračovať vo svojej činnosti</w:t>
      </w:r>
    </w:p>
    <w:p w14:paraId="0000004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účtovná závierka bola zostavená za predpokladu nepretržitého pokračovania v činnosti</w:t>
      </w:r>
    </w:p>
    <w:p w14:paraId="0000004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  <w:tab w:val="left" w:pos="4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14:paraId="0000004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4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Cudzia mena</w:t>
      </w:r>
    </w:p>
    <w:p w14:paraId="0000005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Majetok a záväzky v cudzej mene sa prepočítavajú na eurá kurzom vyhláseným </w:t>
      </w:r>
      <w:r>
        <w:rPr>
          <w:rFonts w:hint="default"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  <w:lang w:val="sk-SK"/>
        </w:rPr>
        <w:t>ECB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v deň predchádzajúci dňu uskutočnenia účtovného prípadu, v účtovnej závierke platným ku dňu, ku ktorému sa zostavuje. Účtujú sa s vplyvom na výsledok hospodárenia.</w:t>
      </w:r>
    </w:p>
    <w:p w14:paraId="0000005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5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50"/>
          <w:tab w:val="left" w:pos="440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(2)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Spôsob oceňovania jednotlivých položiek majetku a záväzkov,</w:t>
      </w:r>
    </w:p>
    <w:p w14:paraId="0000005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dlhodobého nehmotného majetku, dlhodobého hmotného majetku a dlhodobého finančného majetku,</w:t>
      </w:r>
    </w:p>
    <w:p w14:paraId="0000005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1)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 Dlhodobý nehmotný majetok</w:t>
      </w:r>
    </w:p>
    <w:p w14:paraId="0000005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nehmotný majetok nakupovaný sa oceňuje obstarávacou cenou, ktorá zahrňuje cenu obstarania a náklady súvisiace s obstaraním (preprava, montáž .....)</w:t>
      </w:r>
    </w:p>
    <w:p w14:paraId="0000005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nehmotný majetok, ktorého obstarávacia cena je menej ako 2 400,- € sa účtuje ako nakúpená služba – účet 518.</w:t>
      </w:r>
    </w:p>
    <w:p w14:paraId="0000005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</w:p>
    <w:p w14:paraId="0000005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before="0" w:after="0" w:line="276" w:lineRule="auto"/>
        <w:ind w:left="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2)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hmotný majetok</w:t>
      </w:r>
    </w:p>
    <w:p w14:paraId="0000005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Dlhodobý hmotný majetok nakupovaný sa oceňuje obstarávacou cenou, ktorá zahrňuje cenu obstarania a náklady súvisiace s obstaraním (preprava, montáž .....)</w:t>
      </w:r>
    </w:p>
    <w:p w14:paraId="0000005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Odpisy dlhodobého hmotného majetku sú stanovené vychádzajúc z predpokladanej doby jeho používania a predpokladaného priebehu jeho opotrebovania. Odpisovať sa začína prvým dňom mesiaca, v ktorom bol majetok zaradený do používania. Dlhodobý hmotný majetok, ktorého obstarávacia cena (resp. vlastné náklady ) je vyššia ako 1 700,- € sa odpisuje jednorázovo pri uvedení do používania. Predpokladaná doba používania, metóda odpisovania a odpisová sadza sú uvedené v tabuľke v bode (3).</w:t>
      </w:r>
    </w:p>
    <w:p w14:paraId="0000005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1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5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zásob obstaraných kúpou, zásob vytvorených vlastnou činnosťou,</w:t>
      </w:r>
    </w:p>
    <w:p w14:paraId="0000005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Zásoby   vykázané  ku dňu účtovnej závierky sú ocenené v obstarávacej cene. </w:t>
      </w:r>
    </w:p>
    <w:p w14:paraId="0000005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5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pohľadávok,</w:t>
      </w:r>
    </w:p>
    <w:p w14:paraId="0000006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Pohľadávky pri ich vzniku sa oceňujú menovitou hodnotou</w:t>
      </w:r>
    </w:p>
    <w:p w14:paraId="0000006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krátkodobého finančného majetku,</w:t>
      </w:r>
    </w:p>
    <w:p w14:paraId="0000006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Peňažné prostriedky a ceniny sa oceňujú ich menovitou hodnotou. Zníženie ich hodnoty sa vyjadruje opravnou položkou.</w:t>
      </w:r>
    </w:p>
    <w:p w14:paraId="0000006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Arial Narrow" w:hAnsi="Arial Narrow" w:eastAsia="Arial Narrow" w:cs="Arial Narrow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e)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záväzkov vrátane rezerv, dlhopisov, pôžičiek a úverov,</w:t>
      </w:r>
    </w:p>
    <w:p w14:paraId="0000006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Záväzky</w:t>
      </w:r>
    </w:p>
    <w:p w14:paraId="0000006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Záväzky pri ich vzniku sa oceňujú menovitou hodnotou. Ak sa pri inventarizácii zistí, že suma záväzkov je iná ako ich výška v účtovníctve, uvedú sa záväzky v účtovníctve  a v účtovnej závierke v tomto zistenom ocenení.</w:t>
      </w:r>
    </w:p>
    <w:p w14:paraId="0000006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Rezervy</w:t>
      </w:r>
    </w:p>
    <w:p w14:paraId="0000006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Rezervy sú záväzky s neurčitým časovým vymedzením alebo výškou, tvoria sa na krytie známych rizík alebo strát z podnikania. Oceňujú sa v očakávanej výške záväzku.</w:t>
      </w:r>
    </w:p>
    <w:p w14:paraId="0000006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f)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Prenajatý majetok a majetok obstaraný na základe zmluvy o kúpe prenajatej veci</w:t>
      </w:r>
    </w:p>
    <w:p w14:paraId="0000006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Majetok prenajatý na základe operatívneho prenájmu sa uvádza len v poznámkach účtovnej závierky. Majetok obstaraný na základe zmluvy o finančnom prenájme sa účtuje na vecne príslušných účtoch majetku</w:t>
      </w:r>
    </w:p>
    <w:p w14:paraId="0000006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6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g)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Daň z príjmov</w:t>
      </w:r>
    </w:p>
    <w:p w14:paraId="0000006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Daň z príjmu splatná</w:t>
      </w:r>
    </w:p>
    <w:p w14:paraId="0000007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Podľa slovenského zákona o daniach z príjmov sa splatné dane určujú z účtovného zisku pri sadzbe 21 % po úpravách o niektoré položky na daňové účely.</w:t>
      </w:r>
    </w:p>
    <w:p w14:paraId="0000007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159DCC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6A7600D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5EC49B4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7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(3)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Spôsob zostavenia odpisového plánu pre jednotlivé druhy dlhodobého hmotného majetku a dlhodobého nehmotného majetku</w:t>
      </w:r>
    </w:p>
    <w:p w14:paraId="0000007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6"/>
        <w:tblW w:w="9309" w:type="dxa"/>
        <w:tblInd w:w="-11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none" w:color="auto" w:sz="0" w:space="0"/>
          <w:insideH w:val="single" w:color="000000" w:sz="4" w:space="0"/>
          <w:insideV w:val="none" w:color="auto" w:sz="0" w:space="0"/>
        </w:tblBorders>
        <w:tblLayout w:type="fixed"/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49"/>
        <w:gridCol w:w="1552"/>
        <w:gridCol w:w="1274"/>
        <w:gridCol w:w="1694"/>
        <w:gridCol w:w="1040"/>
        <w:gridCol w:w="652"/>
        <w:gridCol w:w="48"/>
      </w:tblGrid>
      <w:tr w14:paraId="2A5CFC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investičného majetku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Odpisová</w:t>
            </w:r>
          </w:p>
          <w:p w14:paraId="000000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metóda</w:t>
            </w:r>
          </w:p>
          <w:p w14:paraId="0000007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doba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ročná</w:t>
            </w:r>
          </w:p>
          <w:p w14:paraId="0000007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odpis.</w:t>
            </w:r>
          </w:p>
          <w:p w14:paraId="000000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sadzba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spôsob stanovenia</w:t>
            </w:r>
          </w:p>
          <w:p w14:paraId="000000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odpisovej sadzby</w:t>
            </w:r>
          </w:p>
        </w:tc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ED34A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tcMar>
              <w:left w:w="-5" w:type="dxa"/>
              <w:right w:w="0" w:type="dxa"/>
            </w:tcMar>
            <w:vAlign w:val="bottom"/>
          </w:tcPr>
          <w:p w14:paraId="0000008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Dlhodobý nehmotný majetok</w:t>
            </w:r>
          </w:p>
        </w:tc>
        <w:tc>
          <w:tcPr>
            <w:shd w:val="clear" w:color="auto" w:fill="auto"/>
            <w:tcMar>
              <w:left w:w="0" w:type="dxa"/>
              <w:right w:w="0" w:type="dxa"/>
            </w:tcMar>
          </w:tcPr>
          <w:p w14:paraId="000000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shd w:val="clear" w:color="auto" w:fill="auto"/>
            <w:tcMar>
              <w:left w:w="10" w:type="dxa"/>
              <w:right w:w="10" w:type="dxa"/>
            </w:tcMar>
          </w:tcPr>
          <w:p w14:paraId="0000008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2959D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7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obstaráv. cena do 2 400 €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jednorázovo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100 %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ako nakupov.služba - 518</w:t>
            </w:r>
          </w:p>
        </w:tc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súlade s účt. zásadami a účt. metódami</w:t>
            </w:r>
          </w:p>
        </w:tc>
      </w:tr>
      <w:tr w14:paraId="5F1147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8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 w14:paraId="0000009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DF73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tcMar>
              <w:left w:w="-5" w:type="dxa"/>
              <w:right w:w="0" w:type="dxa"/>
            </w:tcMar>
            <w:vAlign w:val="bottom"/>
          </w:tcPr>
          <w:p w14:paraId="0000009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Dlhodobý hmotný majetok</w:t>
            </w:r>
          </w:p>
        </w:tc>
        <w:tc>
          <w:tcPr>
            <w:shd w:val="clear" w:color="auto" w:fill="auto"/>
            <w:tcMar>
              <w:left w:w="0" w:type="dxa"/>
              <w:right w:w="0" w:type="dxa"/>
            </w:tcMar>
          </w:tcPr>
          <w:p w14:paraId="0000009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shd w:val="clear" w:color="auto" w:fill="auto"/>
            <w:tcMar>
              <w:left w:w="10" w:type="dxa"/>
              <w:right w:w="10" w:type="dxa"/>
            </w:tcMar>
          </w:tcPr>
          <w:p w14:paraId="0000009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4EA38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9C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stroje, prístroje a zariadenia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rovnomerne</w:t>
            </w:r>
          </w:p>
          <w:p w14:paraId="000000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4 – 6 rokov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25% - 17%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000000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 ohľadom na opotrebovanie zodpovedajúce bežným podmienkam jeho používania</w:t>
            </w:r>
          </w:p>
        </w:tc>
      </w:tr>
      <w:tr w14:paraId="56A668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budovy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rovnomerné</w:t>
            </w:r>
          </w:p>
          <w:p w14:paraId="000000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20 rokov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5 %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A9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C4B3D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none" w:color="auto" w:sz="0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3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C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</w:tabs>
              <w:spacing w:before="0" w:after="0" w:line="276" w:lineRule="auto"/>
              <w:ind w:left="720" w:right="74" w:hanging="36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drobný dlhodobý majetok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jednorázový odpis</w:t>
            </w:r>
          </w:p>
          <w:p w14:paraId="000000A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A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100 %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00000B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B1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B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B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(4)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Zmeny účtovných zásad a zmeny účtovných metód </w:t>
      </w:r>
    </w:p>
    <w:p w14:paraId="000000B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Účtovné metódy a zásady boli aplikované v rámci platného zákona o účtovníctve počas celého účtovného obdobia, s osobitosťami:</w:t>
      </w:r>
    </w:p>
    <w:p w14:paraId="0B7192E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V účtovnej jednotke sa zmenila štruktúra účtovnej závierky z dôvodu prechodu na mikro účtovnú jednotku.</w:t>
      </w:r>
    </w:p>
    <w:p w14:paraId="000000B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B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7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6B39312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B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zmeny účtovnej zásady</w:t>
            </w:r>
          </w:p>
          <w:p w14:paraId="000000B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alebo účtovnej metódy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Dôvod zmeny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B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vplyvu na príslušnú zložku majetku, záväzkov, vlastného imania a výsledku hospodárenia účtovnej jednotky</w:t>
            </w:r>
          </w:p>
          <w:p w14:paraId="000000B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39F049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B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7778A7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EFC47E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2E1B5D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C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D8AC1D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C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C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C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C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D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D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(5)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dotáciách a ich oceňovanie v účtovníctve</w:t>
      </w:r>
    </w:p>
    <w:p w14:paraId="000000D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8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35CBB78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Majetok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Ocenenie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Výška dotácie</w:t>
            </w:r>
          </w:p>
        </w:tc>
      </w:tr>
      <w:tr w14:paraId="191CBFF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C48AB1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CED1B9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D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D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E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E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E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(6)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účtovaní významných opráv chýb minulých účtovných období v bežnom účtovnom období vplyvu na nerozdelený zisk minulých rokov alebo neuhradenú stratu minulých rokov</w:t>
      </w:r>
    </w:p>
    <w:p w14:paraId="000000E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19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56CC24E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opravy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Suma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Popis chyby a vplyvu opravy</w:t>
            </w:r>
          </w:p>
        </w:tc>
      </w:tr>
      <w:tr w14:paraId="32BCC6D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Oprava </w:t>
            </w: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významných </w:t>
            </w: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chýb</w:t>
            </w:r>
          </w:p>
          <w:p w14:paraId="000000E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minulých účtovných období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E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E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6C3458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E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Oprava </w:t>
            </w: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nevýznamných </w:t>
            </w: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chýb</w:t>
            </w:r>
          </w:p>
          <w:p w14:paraId="000000E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minulých účtovných období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0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0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0E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2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center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Čl. III  Informácie, ktoré vysvetľujú a dopĺňajú súvahu a výkaz ziskov a strát</w:t>
      </w:r>
    </w:p>
    <w:p w14:paraId="000000F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0F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(1)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Významné informácie o sume a dôvodoch vzniku jednotlivých položiek nákladov alebo výnosov (napr. predaj podniku, škody ...)</w:t>
      </w:r>
    </w:p>
    <w:tbl>
      <w:tblPr>
        <w:tblStyle w:val="20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7FE63AF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Udalosť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0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Dôvod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0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</w:t>
            </w:r>
          </w:p>
        </w:tc>
      </w:tr>
      <w:tr w14:paraId="3AE7A3A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F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A19278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0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C04F86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0F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E205D8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0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0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B9CFC2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0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0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0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(2)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záväzkoch</w:t>
      </w:r>
    </w:p>
    <w:p w14:paraId="0000010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a) celkovej sume záväzkov </w:t>
      </w:r>
    </w:p>
    <w:tbl>
      <w:tblPr>
        <w:tblStyle w:val="21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19E0C6C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10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1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 účtovné obdobie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0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Bezprostredne</w:t>
            </w:r>
          </w:p>
          <w:p w14:paraId="000001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predchádzajúce účtovné</w:t>
            </w:r>
          </w:p>
          <w:p w14:paraId="000001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obdobie</w:t>
            </w:r>
          </w:p>
        </w:tc>
      </w:tr>
      <w:tr w14:paraId="713F2A2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Dlhodobé záväzky spolu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310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1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120</w:t>
            </w:r>
          </w:p>
        </w:tc>
      </w:tr>
      <w:tr w14:paraId="5C945BA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Záväzky so zostatkovou dobou</w:t>
            </w:r>
          </w:p>
          <w:p w14:paraId="000001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splatnosti nad päť rokov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1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665FC2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Záväzky so zostatkovou dobou</w:t>
            </w:r>
          </w:p>
          <w:p w14:paraId="000001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splatnosti jeden rok až päť rokov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310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6B845C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</w:p>
          <w:p w14:paraId="000001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120</w:t>
            </w:r>
          </w:p>
        </w:tc>
      </w:tr>
      <w:tr w14:paraId="7DD0BE5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Krátkodobé záväzky spolu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31580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62885</w:t>
            </w:r>
          </w:p>
        </w:tc>
      </w:tr>
      <w:tr w14:paraId="2C5C342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Záväzky so zostatkovou dobou </w:t>
            </w:r>
          </w:p>
          <w:p w14:paraId="000001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splatnosti do jedného roka vrátane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  <w:t>31580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lang w:val="sk-SK"/>
              </w:rPr>
            </w:pPr>
            <w:r>
              <w:rPr>
                <w:rFonts w:hint="default"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  <w:lang w:val="sk-SK"/>
              </w:rPr>
              <w:t>62885</w:t>
            </w:r>
          </w:p>
        </w:tc>
      </w:tr>
      <w:tr w14:paraId="5AB4915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2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Záväzky po lehote splatnosti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2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2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2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2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bookmarkStart w:id="0" w:name="_GoBack"/>
      <w:bookmarkEnd w:id="0"/>
    </w:p>
    <w:p w14:paraId="0000012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2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 hodnota záväzkov zabezpečená záložným právom</w:t>
      </w:r>
    </w:p>
    <w:tbl>
      <w:tblPr>
        <w:tblStyle w:val="22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4361"/>
        <w:gridCol w:w="2410"/>
        <w:gridCol w:w="2441"/>
      </w:tblGrid>
      <w:tr w14:paraId="2D9CB84F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formy zabezpečenia záväzku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3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záväzku zabezpečená</w:t>
            </w:r>
          </w:p>
        </w:tc>
      </w:tr>
      <w:tr w14:paraId="5A1A3F1F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32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3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Záložným právom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3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Inou formou</w:t>
            </w:r>
          </w:p>
          <w:p w14:paraId="000001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zabezpečenia</w:t>
            </w:r>
          </w:p>
        </w:tc>
      </w:tr>
      <w:tr w14:paraId="250EE252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3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44BE025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3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30A87B01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F270312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40EF765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4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4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4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</w:p>
    <w:p w14:paraId="0000014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(3)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vlastných akciách, a to</w:t>
      </w:r>
    </w:p>
    <w:p w14:paraId="0000014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dôvode nadobudnutia vlastných akcií počas účtovného obdobia,</w:t>
      </w:r>
    </w:p>
    <w:tbl>
      <w:tblPr>
        <w:tblStyle w:val="23"/>
        <w:tblW w:w="9352" w:type="dxa"/>
        <w:tblInd w:w="-10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none" w:color="auto" w:sz="0" w:space="0"/>
          <w:insideH w:val="single" w:color="000000" w:sz="8" w:space="0"/>
          <w:insideV w:val="none" w:color="auto" w:sz="0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216"/>
        <w:gridCol w:w="990"/>
        <w:gridCol w:w="990"/>
        <w:gridCol w:w="992"/>
        <w:gridCol w:w="1413"/>
        <w:gridCol w:w="1711"/>
        <w:gridCol w:w="40"/>
      </w:tblGrid>
      <w:tr w14:paraId="7ABD93E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 w14:paraId="0000014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  <w:p w14:paraId="000001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4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4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Mena</w:t>
            </w:r>
          </w:p>
          <w:p w14:paraId="0000014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5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p.a.</w:t>
            </w:r>
          </w:p>
          <w:p w14:paraId="0000015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%</w:t>
            </w:r>
          </w:p>
          <w:p w14:paraId="0000015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5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c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Počet</w:t>
            </w:r>
          </w:p>
          <w:p w14:paraId="0000015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akcií</w:t>
            </w:r>
          </w:p>
          <w:p w14:paraId="0000015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5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shd w:val="clear" w:color="auto" w:fill="auto"/>
            <w:vAlign w:val="center"/>
          </w:tcPr>
          <w:p w14:paraId="000001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Menovitá</w:t>
            </w:r>
          </w:p>
          <w:p w14:paraId="0000015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</w:t>
            </w:r>
          </w:p>
          <w:p w14:paraId="0000015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  <w:p w14:paraId="000001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e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5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</w:t>
            </w:r>
          </w:p>
          <w:p w14:paraId="0000015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účtovné</w:t>
            </w:r>
          </w:p>
          <w:p w14:paraId="000001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obdobie</w:t>
            </w:r>
          </w:p>
          <w:p w14:paraId="0000015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f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6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BC80AD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gridSpan w:val="6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6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Nadobudnuté vlastné akcie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6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C29148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6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6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6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BA0341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7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7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FCA048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1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48706E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gridSpan w:val="6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Vlastné akcie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1CF83B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8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2AFEB4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8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9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FB1DA7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1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9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23C27E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gridSpan w:val="6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  <w:vAlign w:val="bottom"/>
          </w:tcPr>
          <w:p w14:paraId="0000019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Calibri" w:hAnsi="Calibri" w:eastAsia="Calibri" w:cs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V držbe vlastné akcie k poslednému dňu účtovného obdobia</w:t>
            </w: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-10" w:type="dxa"/>
              <w:right w:w="0" w:type="dxa"/>
            </w:tcMar>
          </w:tcPr>
          <w:p w14:paraId="000001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20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43EA59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57B759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shd w:val="clear" w:color="auto" w:fill="auto"/>
          </w:tcPr>
          <w:p w14:paraId="000001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001A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EC232A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none" w:color="auto" w:sz="0" w:space="0"/>
            <w:insideH w:val="single" w:color="000000" w:sz="8" w:space="0"/>
            <w:insideV w:val="none" w:color="auto" w:sz="0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</w:tcPr>
          <w:p w14:paraId="000001A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A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B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B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</w:tcBorders>
            <w:shd w:val="clear" w:color="auto" w:fill="auto"/>
          </w:tcPr>
          <w:p w14:paraId="000001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B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left w:val="single" w:color="000000" w:sz="8" w:space="0"/>
            </w:tcBorders>
            <w:shd w:val="clear" w:color="auto" w:fill="auto"/>
            <w:tcMar>
              <w:left w:w="0" w:type="dxa"/>
              <w:right w:w="10" w:type="dxa"/>
            </w:tcMar>
          </w:tcPr>
          <w:p w14:paraId="000001B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B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B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(4)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orgánoch účtovnej jednotky, a to</w:t>
      </w:r>
    </w:p>
    <w:tbl>
      <w:tblPr>
        <w:tblStyle w:val="24"/>
        <w:tblW w:w="907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2736"/>
        <w:gridCol w:w="1056"/>
        <w:gridCol w:w="1056"/>
        <w:gridCol w:w="934"/>
        <w:gridCol w:w="1178"/>
        <w:gridCol w:w="1056"/>
        <w:gridCol w:w="1056"/>
      </w:tblGrid>
      <w:tr w14:paraId="38ADFF2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B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príjmu, výhody</w:t>
            </w:r>
          </w:p>
        </w:tc>
        <w:tc>
          <w:tcPr>
            <w:gridSpan w:val="3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B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príjmu, výhody</w:t>
            </w:r>
          </w:p>
          <w:p w14:paraId="000001B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súčasných členov orgánov</w:t>
            </w:r>
          </w:p>
        </w:tc>
        <w:tc>
          <w:tcPr>
            <w:gridSpan w:val="3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príjmu, výhody</w:t>
            </w:r>
          </w:p>
          <w:p w14:paraId="000001B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bývalých členov orgánov</w:t>
            </w:r>
          </w:p>
        </w:tc>
      </w:tr>
      <w:tr w14:paraId="15A227F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1C0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štatutárnych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dozorných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iných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 xml:space="preserve">štatutárnych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dozorných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C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val="clear" w:fill="auto"/>
                <w:vertAlign w:val="baseline"/>
                <w:rtl w:val="0"/>
              </w:rPr>
              <w:t>iných</w:t>
            </w:r>
          </w:p>
        </w:tc>
      </w:tr>
      <w:tr w14:paraId="14894AC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Poskytnuté záruky alebo zabezp.</w:t>
            </w: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4D151A3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C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Poskytnuté pôžičky (ku dňu ÚZ)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C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2C50EA1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Splatené pôžičky (ku dňu ÚZ)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93B34C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Odpustené alebo odpísané pôžičky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E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E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916142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Finančné prostriedky a iné plnenie</w:t>
            </w:r>
          </w:p>
          <w:p w14:paraId="000001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left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použité na súkromné účely na vyúčtovanie</w:t>
            </w: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1E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1E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1E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E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E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d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hlavných podmienkach, na základe ktorých im boli záruky alebo iné zabezpečenie a pôžičky poskytnuté; pri pôžičkách sa uvádzajú úrokové sadzby,</w:t>
      </w:r>
    </w:p>
    <w:p w14:paraId="000001EE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EF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1F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(5)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Informácie o povinnostiach účtovnej jednotky, a to</w:t>
      </w:r>
    </w:p>
    <w:p w14:paraId="000001F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a)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celkovej sume finančných povinností, ktoré sa nevykazujú v súvahe, ale sú významné na posúdenie finančnej situácie účtovnej jednotky</w:t>
      </w:r>
    </w:p>
    <w:tbl>
      <w:tblPr>
        <w:tblStyle w:val="25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154F29F6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F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Názov položky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001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celkom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1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voči dcérskej ÚJ</w:t>
            </w:r>
          </w:p>
          <w:p w14:paraId="000001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 ÚJ s podstatným vplyvom</w:t>
            </w:r>
          </w:p>
        </w:tc>
      </w:tr>
      <w:tr w14:paraId="042CDA1A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Povinnosti nájomcu z operat. pren.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F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C867FF0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Povinnosti z uzatv. úverov. zmlúv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8337BDD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Povinnosti z licenčných zmlúv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1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B81316F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1F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Povinnosti z koncesionársk. zmlúv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0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0CD8F1A6">
        <w:tblPrEx>
          <w:tblBorders>
            <w:top w:val="single" w:color="000000" w:sz="8" w:space="0"/>
            <w:left w:val="single" w:color="000000" w:sz="8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0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Ostatné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2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20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0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 xml:space="preserve">Opis významných finančných povinností: </w:t>
      </w:r>
    </w:p>
    <w:p w14:paraId="0000020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br w:type="page"/>
      </w:r>
    </w:p>
    <w:p w14:paraId="0000020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b)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celkovej sume významných podmienených záväzkov</w:t>
      </w:r>
    </w:p>
    <w:p w14:paraId="0000020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</w:p>
    <w:p w14:paraId="0000020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0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tbl>
      <w:tblPr>
        <w:tblStyle w:val="26"/>
        <w:tblW w:w="9212" w:type="dxa"/>
        <w:tblInd w:w="-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4" w:space="0"/>
          <w:insideH w:val="single" w:color="000000" w:sz="8" w:space="0"/>
          <w:insideV w:val="single" w:color="000000" w:sz="4" w:space="0"/>
        </w:tblBorders>
        <w:tblLayout w:type="fixed"/>
        <w:tblCellMar>
          <w:top w:w="0" w:type="dxa"/>
          <w:left w:w="98" w:type="dxa"/>
          <w:bottom w:w="0" w:type="dxa"/>
          <w:right w:w="108" w:type="dxa"/>
        </w:tblCellMar>
      </w:tblPr>
      <w:tblGrid>
        <w:gridCol w:w="3070"/>
        <w:gridCol w:w="3071"/>
        <w:gridCol w:w="3071"/>
      </w:tblGrid>
      <w:tr w14:paraId="6C31981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2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Druh podmieneného záväzku</w:t>
            </w:r>
          </w:p>
        </w:tc>
        <w:tc>
          <w:tcPr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000020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Bežné účtovné obdobie</w:t>
            </w:r>
          </w:p>
        </w:tc>
      </w:tr>
      <w:tr w14:paraId="6C93B10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20F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76" w:lineRule="auto"/>
              <w:ind w:left="0" w:right="0" w:firstLine="0"/>
              <w:jc w:val="left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00002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celkom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00021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Hodnota voči dcérskej ÚJ</w:t>
            </w:r>
          </w:p>
          <w:p w14:paraId="0000021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center"/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a ÚJ s podstatným vplyvom</w:t>
            </w:r>
          </w:p>
        </w:tc>
      </w:tr>
      <w:tr w14:paraId="02915CB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Zo súdnych rozhodnutí</w:t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5930393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 poskytnutých záruk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714D798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 xml:space="preserve">Zo všeob. záväzn. právn. predp.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7C3461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Zo zmluvy o podriadenom záväzku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69DBF7A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Z ručenia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00002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</w:tcPr>
          <w:p w14:paraId="000002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  <w:tr w14:paraId="1AC56F2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4" w:space="0"/>
            <w:insideH w:val="single" w:color="000000" w:sz="8" w:space="0"/>
            <w:insideV w:val="single" w:color="000000" w:sz="4" w:space="0"/>
          </w:tblBorders>
          <w:tblCellMar>
            <w:top w:w="0" w:type="dxa"/>
            <w:left w:w="98" w:type="dxa"/>
            <w:bottom w:w="0" w:type="dxa"/>
            <w:right w:w="108" w:type="dxa"/>
          </w:tblCellMar>
        </w:tblPrEx>
        <w:tc>
          <w:tcPr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  <w:r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  <w:rtl w:val="0"/>
              </w:rPr>
              <w:t>Iné podmienené záväzky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</w:tcPr>
          <w:p w14:paraId="000002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</w:tcPr>
          <w:p w14:paraId="000002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tabs>
                <w:tab w:val="left" w:pos="0"/>
                <w:tab w:val="left" w:pos="142"/>
                <w:tab w:val="left" w:pos="426"/>
                <w:tab w:val="left" w:pos="709"/>
              </w:tabs>
              <w:spacing w:before="0" w:after="0" w:line="276" w:lineRule="auto"/>
              <w:ind w:left="0" w:right="74" w:firstLine="0"/>
              <w:jc w:val="both"/>
              <w:rPr>
                <w:rFonts w:ascii="Times New Roman" w:hAnsi="Times New Roman" w:eastAsia="Times New Roman" w:cs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val="clear" w:fill="auto"/>
                <w:vertAlign w:val="baseline"/>
              </w:rPr>
            </w:pPr>
          </w:p>
        </w:tc>
      </w:tr>
    </w:tbl>
    <w:p w14:paraId="0000022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2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27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76" w:lineRule="auto"/>
        <w:ind w:left="0" w:right="74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e)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  <w:rtl w:val="0"/>
        </w:rPr>
        <w:t>opis významných povinností účtovnej jednotky vyplývajúcich z dôchodkových programov pre zamestnancov:</w:t>
      </w:r>
    </w:p>
    <w:p w14:paraId="00000228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40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val="clear" w:fill="auto"/>
          <w:vertAlign w:val="baseline"/>
        </w:rPr>
      </w:pPr>
    </w:p>
    <w:p w14:paraId="00000229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  <w:tab w:val="left" w:pos="142"/>
          <w:tab w:val="left" w:pos="426"/>
          <w:tab w:val="left" w:pos="709"/>
        </w:tabs>
        <w:spacing w:before="0" w:after="0" w:line="240" w:lineRule="auto"/>
        <w:ind w:left="0" w:right="74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    ----</w:t>
      </w:r>
    </w:p>
    <w:sectPr>
      <w:headerReference r:id="rId3" w:type="default"/>
      <w:pgSz w:w="11906" w:h="16838"/>
      <w:pgMar w:top="1417" w:right="1417" w:bottom="708" w:left="1417" w:header="708" w:footer="0" w:gutter="0"/>
      <w:pgNumType w:start="1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Arial Narrow">
    <w:panose1 w:val="020B0606020202030204"/>
    <w:charset w:val="00"/>
    <w:family w:val="auto"/>
    <w:pitch w:val="default"/>
    <w:sig w:usb0="00000287" w:usb1="00000800" w:usb2="00000000" w:usb3="00000000" w:csb0="2000009F" w:csb1="DFD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0022A">
    <w:pPr>
      <w:keepNext w:val="0"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0" w:after="0" w:line="276" w:lineRule="auto"/>
      <w:ind w:left="0" w:right="0" w:firstLine="0"/>
      <w:jc w:val="left"/>
      <w:rPr>
        <w:rFonts w:ascii="Calibri" w:hAnsi="Calibri" w:eastAsia="Calibri" w:cs="Calibri"/>
        <w:b w:val="0"/>
        <w:i w:val="0"/>
        <w:smallCaps w:val="0"/>
        <w:strike w:val="0"/>
        <w:color w:val="000000"/>
        <w:sz w:val="18"/>
        <w:szCs w:val="18"/>
        <w:u w:val="none"/>
        <w:shd w:val="clear" w:fill="auto"/>
        <w:vertAlign w:val="baseline"/>
      </w:rPr>
    </w:pPr>
    <w:r>
      <w:rPr>
        <w:rFonts w:ascii="Calibri" w:hAnsi="Calibri" w:eastAsia="Calibri" w:cs="Calibri"/>
        <w:b w:val="0"/>
        <w:i w:val="0"/>
        <w:smallCaps w:val="0"/>
        <w:strike w:val="0"/>
        <w:color w:val="000000"/>
        <w:sz w:val="18"/>
        <w:szCs w:val="18"/>
        <w:u w:val="none"/>
        <w:shd w:val="clear" w:fill="auto"/>
        <w:vertAlign w:val="baseline"/>
        <w:rtl w:val="0"/>
      </w:rPr>
      <w:t>Poznámky Úč MÚJ 3 – 01</w:t>
    </w:r>
  </w:p>
  <w:tbl>
    <w:tblPr>
      <w:tblStyle w:val="27"/>
      <w:tblW w:w="9092" w:type="dxa"/>
      <w:tblInd w:w="0" w:type="dxa"/>
      <w:tblLayout w:type="fixed"/>
      <w:tblCellMar>
        <w:top w:w="55" w:type="dxa"/>
        <w:left w:w="55" w:type="dxa"/>
        <w:bottom w:w="55" w:type="dxa"/>
        <w:right w:w="55" w:type="dxa"/>
      </w:tblCellMar>
    </w:tblPr>
    <w:tblGrid>
      <w:gridCol w:w="350"/>
      <w:gridCol w:w="3970"/>
      <w:gridCol w:w="470"/>
      <w:gridCol w:w="1990"/>
      <w:gridCol w:w="420"/>
      <w:gridCol w:w="1892"/>
    </w:tblGrid>
    <w:tr w14:paraId="431B3001">
      <w:tblPrEx>
        <w:tblCellMar>
          <w:top w:w="55" w:type="dxa"/>
          <w:left w:w="55" w:type="dxa"/>
          <w:bottom w:w="55" w:type="dxa"/>
          <w:right w:w="55" w:type="dxa"/>
        </w:tblCellMar>
      </w:tblPrEx>
      <w:trPr>
        <w:trHeight w:val="350" w:hRule="atLeast"/>
      </w:trPr>
      <w:tc>
        <w:tcPr>
          <w:shd w:val="clear" w:color="auto" w:fill="auto"/>
          <w:vAlign w:val="bottom"/>
        </w:tcPr>
        <w:p w14:paraId="0000022B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</w:rPr>
          </w:pP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>ÚJ</w:t>
          </w:r>
        </w:p>
      </w:tc>
      <w:tc>
        <w:tcPr>
          <w:tcBorders>
            <w:top w:val="single" w:color="808080" w:sz="4" w:space="0"/>
            <w:left w:val="single" w:color="808080" w:sz="4" w:space="0"/>
            <w:bottom w:val="single" w:color="808080" w:sz="4" w:space="0"/>
          </w:tcBorders>
          <w:shd w:val="clear" w:color="auto" w:fill="auto"/>
          <w:vAlign w:val="bottom"/>
        </w:tcPr>
        <w:p w14:paraId="0000022C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</w:rPr>
          </w:pPr>
          <w:r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  <w:lang w:val="sk-SK"/>
            </w:rPr>
            <w:t>MJ Mart</w:t>
          </w: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 xml:space="preserve"> s.r.o.</w:t>
          </w:r>
        </w:p>
      </w:tc>
      <w:tc>
        <w:tcPr>
          <w:tcBorders>
            <w:left w:val="single" w:color="808080" w:sz="4" w:space="0"/>
          </w:tcBorders>
          <w:shd w:val="clear" w:color="auto" w:fill="auto"/>
          <w:vAlign w:val="bottom"/>
        </w:tcPr>
        <w:p w14:paraId="0000022D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</w:rPr>
          </w:pP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>IČO</w:t>
          </w:r>
        </w:p>
      </w:tc>
      <w:tc>
        <w:tcPr>
          <w:tcBorders>
            <w:top w:val="single" w:color="808080" w:sz="4" w:space="0"/>
            <w:left w:val="single" w:color="808080" w:sz="4" w:space="0"/>
            <w:bottom w:val="single" w:color="808080" w:sz="4" w:space="0"/>
          </w:tcBorders>
          <w:shd w:val="clear" w:color="auto" w:fill="auto"/>
          <w:vAlign w:val="bottom"/>
        </w:tcPr>
        <w:p w14:paraId="0000022E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lang w:val="sk-SK"/>
            </w:rPr>
          </w:pPr>
          <w:r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  <w:lang w:val="sk-SK"/>
            </w:rPr>
            <w:t>54562406</w:t>
          </w:r>
        </w:p>
      </w:tc>
      <w:tc>
        <w:tcPr>
          <w:tcBorders>
            <w:left w:val="single" w:color="808080" w:sz="4" w:space="0"/>
          </w:tcBorders>
          <w:shd w:val="clear" w:color="auto" w:fill="auto"/>
          <w:vAlign w:val="bottom"/>
        </w:tcPr>
        <w:p w14:paraId="0000022F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</w:rPr>
          </w:pP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>DIČ</w:t>
          </w:r>
        </w:p>
      </w:tc>
      <w:tc>
        <w:tcPr>
          <w:tcBorders>
            <w:top w:val="single" w:color="808080" w:sz="4" w:space="0"/>
            <w:left w:val="single" w:color="808080" w:sz="4" w:space="0"/>
            <w:bottom w:val="single" w:color="808080" w:sz="4" w:space="0"/>
            <w:right w:val="single" w:color="808080" w:sz="4" w:space="0"/>
          </w:tcBorders>
          <w:shd w:val="clear" w:color="auto" w:fill="auto"/>
          <w:vAlign w:val="bottom"/>
        </w:tcPr>
        <w:p w14:paraId="00000230">
          <w:pPr>
            <w:keepNext w:val="0"/>
            <w:keepLines w:val="0"/>
            <w:pageBreakBefore w:val="0"/>
            <w:widowControl/>
            <w:pBdr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between w:val="none" w:color="auto" w:sz="0" w:space="0"/>
            </w:pBdr>
            <w:shd w:val="clear" w:fill="auto"/>
            <w:spacing w:before="0" w:after="200" w:line="276" w:lineRule="auto"/>
            <w:ind w:left="0" w:right="0" w:firstLine="0"/>
            <w:jc w:val="left"/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lang w:val="sk-SK"/>
            </w:rPr>
          </w:pPr>
          <w:r>
            <w:rPr>
              <w:rFonts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</w:rPr>
            <w:t>21</w:t>
          </w:r>
          <w:r>
            <w:rPr>
              <w:rFonts w:hint="default" w:ascii="Calibri" w:hAnsi="Calibri" w:eastAsia="Calibri" w:cs="Calibri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val="clear" w:fill="auto"/>
              <w:vertAlign w:val="baseline"/>
              <w:rtl w:val="0"/>
              <w:lang w:val="sk-SK"/>
            </w:rPr>
            <w:t>21742326</w:t>
          </w:r>
        </w:p>
      </w:tc>
    </w:tr>
  </w:tbl>
  <w:p w14:paraId="00000231">
    <w:pPr>
      <w:keepNext w:val="0"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0" w:after="0" w:line="276" w:lineRule="auto"/>
      <w:ind w:left="0" w:right="0" w:firstLine="0"/>
      <w:jc w:val="left"/>
      <w:rPr>
        <w:rFonts w:ascii="Calibri" w:hAnsi="Calibri" w:eastAsia="Calibri" w:cs="Calibri"/>
        <w:b w:val="0"/>
        <w:i w:val="0"/>
        <w:smallCaps w:val="0"/>
        <w:strike w:val="0"/>
        <w:color w:val="000000"/>
        <w:sz w:val="22"/>
        <w:szCs w:val="22"/>
        <w:u w:val="none"/>
        <w:shd w:val="clear" w:fill="auto"/>
        <w:vertAlign w:val="baselin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1"/>
      <w:numFmt w:val="bullet"/>
      <w:lvlText w:val="-"/>
      <w:lvlJc w:val="left"/>
      <w:pPr>
        <w:ind w:left="720" w:hanging="360"/>
      </w:pPr>
    </w:lvl>
    <w:lvl w:ilvl="1" w:tentative="0">
      <w:start w:val="1"/>
      <w:numFmt w:val="bullet"/>
      <w:lvlText w:val="o"/>
      <w:lvlJc w:val="left"/>
      <w:pPr>
        <w:ind w:left="1440" w:hanging="360"/>
      </w:pPr>
    </w:lvl>
    <w:lvl w:ilvl="2" w:tentative="0">
      <w:start w:val="1"/>
      <w:numFmt w:val="bullet"/>
      <w:lvlText w:val=""/>
      <w:lvlJc w:val="left"/>
      <w:pPr>
        <w:ind w:left="2160" w:hanging="360"/>
      </w:pPr>
    </w:lvl>
    <w:lvl w:ilvl="3" w:tentative="0">
      <w:start w:val="1"/>
      <w:numFmt w:val="bullet"/>
      <w:lvlText w:val=""/>
      <w:lvlJc w:val="left"/>
      <w:pPr>
        <w:ind w:left="2880" w:hanging="360"/>
      </w:pPr>
    </w:lvl>
    <w:lvl w:ilvl="4" w:tentative="0">
      <w:start w:val="1"/>
      <w:numFmt w:val="bullet"/>
      <w:lvlText w:val="o"/>
      <w:lvlJc w:val="left"/>
      <w:pPr>
        <w:ind w:left="3600" w:hanging="360"/>
      </w:pPr>
    </w:lvl>
    <w:lvl w:ilvl="5" w:tentative="0">
      <w:start w:val="1"/>
      <w:numFmt w:val="bullet"/>
      <w:lvlText w:val=""/>
      <w:lvlJc w:val="left"/>
      <w:pPr>
        <w:ind w:left="4320" w:hanging="360"/>
      </w:pPr>
    </w:lvl>
    <w:lvl w:ilvl="6" w:tentative="0">
      <w:start w:val="1"/>
      <w:numFmt w:val="bullet"/>
      <w:lvlText w:val=""/>
      <w:lvlJc w:val="left"/>
      <w:pPr>
        <w:ind w:left="5040" w:hanging="360"/>
      </w:pPr>
    </w:lvl>
    <w:lvl w:ilvl="7" w:tentative="0">
      <w:start w:val="1"/>
      <w:numFmt w:val="bullet"/>
      <w:lvlText w:val="o"/>
      <w:lvlJc w:val="left"/>
      <w:pPr>
        <w:ind w:left="5760" w:hanging="360"/>
      </w:pPr>
    </w:lvl>
    <w:lvl w:ilvl="8" w:tentative="0">
      <w:start w:val="1"/>
      <w:numFmt w:val="bullet"/>
      <w:lvlText w:val=""/>
      <w:lvlJc w:val="left"/>
      <w:pPr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ompat>
    <w:compatSetting w:name="compatibilityMode" w:uri="http://schemas.microsoft.com/office/word" w:val="15"/>
  </w:compat>
  <w:rsids>
    <w:rsidRoot w:val="00000000"/>
    <w:rsid w:val="103E6BD6"/>
    <w:rsid w:val="158259B7"/>
    <w:rsid w:val="24422B2D"/>
    <w:rsid w:val="46F42D30"/>
    <w:rsid w:val="4C2819B6"/>
    <w:rsid w:val="4C8E14F5"/>
    <w:rsid w:val="54827AFD"/>
    <w:rsid w:val="616F34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sk"/>
    </w:rPr>
  </w:style>
  <w:style w:type="paragraph" w:styleId="2">
    <w:name w:val="heading 1"/>
    <w:basedOn w:val="1"/>
    <w:next w:val="1"/>
    <w:qFormat/>
    <w:uiPriority w:val="0"/>
    <w:pPr>
      <w:keepNext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240" w:after="60" w:line="276" w:lineRule="auto"/>
      <w:ind w:left="0" w:right="0" w:firstLine="0"/>
      <w:jc w:val="left"/>
    </w:pPr>
    <w:rPr>
      <w:rFonts w:ascii="Arial" w:hAnsi="Arial" w:eastAsia="Arial" w:cs="Arial"/>
      <w:b/>
      <w:color w:val="000000"/>
      <w:sz w:val="32"/>
      <w:szCs w:val="32"/>
      <w:u w:val="none"/>
      <w:shd w:val="clear" w:fill="auto"/>
      <w:vertAlign w:val="baseline"/>
    </w:rPr>
  </w:style>
  <w:style w:type="paragraph" w:styleId="3">
    <w:name w:val="heading 2"/>
    <w:basedOn w:val="1"/>
    <w:next w:val="1"/>
    <w:qFormat/>
    <w:uiPriority w:val="0"/>
    <w:pPr>
      <w:keepNext/>
      <w:keepLines w:val="0"/>
      <w:pageBreakBefore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spacing w:before="240" w:after="60" w:line="276" w:lineRule="auto"/>
      <w:ind w:left="0" w:right="0" w:firstLine="0"/>
      <w:jc w:val="left"/>
    </w:pPr>
    <w:rPr>
      <w:rFonts w:ascii="Arial" w:hAnsi="Arial" w:eastAsia="Arial" w:cs="Arial"/>
      <w:b/>
      <w:i/>
      <w:color w:val="000000"/>
      <w:sz w:val="28"/>
      <w:szCs w:val="28"/>
      <w:u w:val="none"/>
      <w:shd w:val="clear" w:fill="auto"/>
      <w:vertAlign w:val="baseline"/>
    </w:rPr>
  </w:style>
  <w:style w:type="paragraph" w:styleId="4">
    <w:name w:val="heading 3"/>
    <w:basedOn w:val="1"/>
    <w:next w:val="1"/>
    <w:qFormat/>
    <w:uiPriority w:val="0"/>
    <w:pPr>
      <w:keepNext/>
      <w:keepLines/>
      <w:pageBreakBefore w:val="0"/>
      <w:spacing w:before="280" w:after="80"/>
    </w:pPr>
    <w:rPr>
      <w:b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pageBreakBefore w:val="0"/>
      <w:spacing w:before="240" w:after="40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pageBreakBefore w:val="0"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uiPriority w:val="0"/>
    <w:pPr>
      <w:keepNext/>
      <w:keepLines/>
      <w:pageBreakBefore w:val="0"/>
      <w:spacing w:before="200" w:after="40"/>
    </w:pPr>
    <w:rPr>
      <w:b/>
      <w:sz w:val="20"/>
      <w:szCs w:val="20"/>
    </w:rPr>
  </w:style>
  <w:style w:type="character" w:default="1" w:styleId="8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Subtitle"/>
    <w:basedOn w:val="1"/>
    <w:next w:val="1"/>
    <w:qFormat/>
    <w:uiPriority w:val="0"/>
    <w:pPr>
      <w:keepNext/>
      <w:spacing w:before="240" w:after="120"/>
      <w:jc w:val="center"/>
    </w:pPr>
    <w:rPr>
      <w:rFonts w:ascii="Arial" w:hAnsi="Arial" w:eastAsia="Arial" w:cs="Arial"/>
      <w:i/>
      <w:sz w:val="28"/>
      <w:szCs w:val="28"/>
    </w:rPr>
  </w:style>
  <w:style w:type="paragraph" w:styleId="12">
    <w:name w:val="Title"/>
    <w:basedOn w:val="1"/>
    <w:next w:val="1"/>
    <w:qFormat/>
    <w:uiPriority w:val="0"/>
    <w:pPr>
      <w:keepNext/>
      <w:spacing w:before="240" w:after="120"/>
    </w:pPr>
    <w:rPr>
      <w:rFonts w:ascii="Arial" w:hAnsi="Arial" w:eastAsia="Arial" w:cs="Arial"/>
      <w:sz w:val="28"/>
      <w:szCs w:val="28"/>
    </w:rPr>
  </w:style>
  <w:style w:type="table" w:customStyle="1" w:styleId="13">
    <w:name w:val="TableNormal"/>
    <w:qFormat/>
    <w:uiPriority w:val="0"/>
  </w:style>
  <w:style w:type="table" w:customStyle="1" w:styleId="14">
    <w:name w:val="_Style 10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15">
    <w:name w:val="_Style 11"/>
    <w:basedOn w:val="13"/>
    <w:qFormat/>
    <w:uiPriority w:val="0"/>
    <w:tblPr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16">
    <w:name w:val="_Style 12"/>
    <w:basedOn w:val="13"/>
    <w:qFormat/>
    <w:uiPriority w:val="0"/>
    <w:tblPr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17">
    <w:name w:val="_Style 13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18">
    <w:name w:val="_Style 14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19">
    <w:name w:val="_Style 15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0">
    <w:name w:val="_Style 16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1">
    <w:name w:val="_Style 17"/>
    <w:basedOn w:val="13"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2">
    <w:name w:val="_Style 18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3">
    <w:name w:val="_Style 19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4">
    <w:name w:val="_Style 20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5">
    <w:name w:val="_Style 21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6">
    <w:name w:val="_Style 22"/>
    <w:basedOn w:val="13"/>
    <w:qFormat/>
    <w:uiPriority w:val="0"/>
    <w:tblPr>
      <w:tblCellMar>
        <w:top w:w="0" w:type="dxa"/>
        <w:left w:w="98" w:type="dxa"/>
        <w:bottom w:w="0" w:type="dxa"/>
        <w:right w:w="108" w:type="dxa"/>
      </w:tblCellMar>
    </w:tblPr>
  </w:style>
  <w:style w:type="table" w:customStyle="1" w:styleId="27">
    <w:name w:val="_Style 23"/>
    <w:basedOn w:val="13"/>
    <w:qFormat/>
    <w:uiPriority w:val="0"/>
    <w:tblPr>
      <w:tblCellMar>
        <w:top w:w="55" w:type="dxa"/>
        <w:left w:w="55" w:type="dxa"/>
        <w:bottom w:w="55" w:type="dxa"/>
        <w:right w:w="55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TotalTime>37</TotalTime>
  <ScaleCrop>false</ScaleCrop>
  <LinksUpToDate>false</LinksUpToDate>
  <Application>WPS Office_12.2.0.21546_F1E327BC-269C-435d-A152-05C5408002CA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2025-06-26T06:10:00Z</dcterms:created>
  <dc:creator>henri</dc:creator>
  <cp:lastModifiedBy>Henrieta Ilavská</cp:lastModifiedBy>
  <cp:lastPrinted>2025-06-26T08:26:46Z</cp:lastPrinted>
  <dcterms:modified xsi:type="dcterms:W3CDTF">2025-06-26T08:26:55Z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HyperlinksChanged">
    <vt:lpwstr>false</vt:lpwstr>
  </property>
  <property fmtid="{D5CDD505-2E9C-101B-9397-08002B2CF9AE}" pid="4" name="LinksUpToDate">
    <vt:lpwstr>false</vt:lpwstr>
  </property>
  <property fmtid="{D5CDD505-2E9C-101B-9397-08002B2CF9AE}" pid="5" name="ScaleCrop">
    <vt:lpwstr>false</vt:lpwstr>
  </property>
  <property fmtid="{D5CDD505-2E9C-101B-9397-08002B2CF9AE}" pid="6" name="ShareDoc">
    <vt:lpwstr>false</vt:lpwstr>
  </property>
  <property fmtid="{D5CDD505-2E9C-101B-9397-08002B2CF9AE}" pid="7" name="KSOProductBuildVer">
    <vt:lpwstr>1033-12.2.0.21546</vt:lpwstr>
  </property>
  <property fmtid="{D5CDD505-2E9C-101B-9397-08002B2CF9AE}" pid="8" name="ICV">
    <vt:lpwstr>A292F3C7D09E4277BC6834F3AA12B78B_13</vt:lpwstr>
  </property>
</Properties>
</file>