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</w:rPr>
        <w:t xml:space="preserve">POZNÁMKY K ÚČTOVNEJ ZÁVIERKE </w:t>
      </w:r>
      <w:r w:rsidR="000A7A8A">
        <w:rPr>
          <w:rFonts w:ascii="Arial Narrow" w:hAnsi="Arial Narrow" w:cs="Arial Narrow"/>
          <w:b/>
        </w:rPr>
        <w:t>20</w:t>
      </w:r>
      <w:r w:rsidR="00A417B2">
        <w:rPr>
          <w:rFonts w:ascii="Arial Narrow" w:hAnsi="Arial Narrow" w:cs="Arial Narrow"/>
          <w:b/>
        </w:rPr>
        <w:t>2</w:t>
      </w:r>
      <w:r w:rsidR="002A38CB">
        <w:rPr>
          <w:rFonts w:ascii="Arial Narrow" w:hAnsi="Arial Narrow" w:cs="Arial Narrow"/>
          <w:b/>
        </w:rPr>
        <w:t>4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42CFA" w:rsidRDefault="00B42CFA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0" w:type="dxa"/>
        <w:tblLayout w:type="fixed"/>
        <w:tblLook w:val="0000" w:firstRow="0" w:lastRow="0" w:firstColumn="0" w:lastColumn="0" w:noHBand="0" w:noVBand="0"/>
      </w:tblPr>
      <w:tblGrid>
        <w:gridCol w:w="2636"/>
        <w:gridCol w:w="6979"/>
        <w:gridCol w:w="10"/>
      </w:tblGrid>
      <w:tr w:rsidR="00B42CFA" w:rsidTr="006C5779">
        <w:trPr>
          <w:gridAfter w:val="1"/>
          <w:wAfter w:w="10" w:type="dxa"/>
          <w:trHeight w:val="374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8327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327B2">
              <w:rPr>
                <w:rFonts w:ascii="Arial Narrow" w:hAnsi="Arial Narrow" w:cs="Arial Narrow"/>
                <w:b/>
                <w:sz w:val="22"/>
                <w:szCs w:val="22"/>
              </w:rPr>
              <w:t>Prvá archívna a registratúrna, s.r.o.</w:t>
            </w:r>
          </w:p>
        </w:tc>
      </w:tr>
      <w:tr w:rsidR="00B42CFA">
        <w:trPr>
          <w:gridAfter w:val="1"/>
          <w:wAfter w:w="1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8327B2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327B2">
              <w:rPr>
                <w:rFonts w:ascii="Arial Narrow" w:hAnsi="Arial Narrow" w:cs="Arial Narrow"/>
                <w:sz w:val="22"/>
                <w:szCs w:val="22"/>
              </w:rPr>
              <w:t>Unionka 8250</w:t>
            </w:r>
            <w:r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Pr="008327B2">
              <w:rPr>
                <w:rFonts w:ascii="Arial Narrow" w:hAnsi="Arial Narrow" w:cs="Arial Narrow"/>
                <w:sz w:val="22"/>
                <w:szCs w:val="22"/>
              </w:rPr>
              <w:t xml:space="preserve"> 960 01 Zvolen</w:t>
            </w:r>
          </w:p>
        </w:tc>
      </w:tr>
      <w:tr w:rsidR="00B42CFA">
        <w:trPr>
          <w:gridAfter w:val="1"/>
          <w:wAfter w:w="1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6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763F1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63F1D">
              <w:rPr>
                <w:rFonts w:ascii="Arial Narrow" w:hAnsi="Arial Narrow" w:cs="Arial Narrow"/>
                <w:sz w:val="22"/>
                <w:szCs w:val="22"/>
              </w:rPr>
              <w:t>Spoločnosť s ručením obmedzeným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327B2" w:rsidRPr="008327B2">
              <w:rPr>
                <w:rFonts w:ascii="Arial Narrow" w:hAnsi="Arial Narrow" w:cs="Arial Narrow"/>
                <w:sz w:val="22"/>
                <w:szCs w:val="22"/>
              </w:rPr>
              <w:t>29.10.2011</w:t>
            </w:r>
          </w:p>
        </w:tc>
      </w:tr>
      <w:tr w:rsidR="00B42CFA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8327B2" w:rsidP="00634C5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327B2">
              <w:rPr>
                <w:rFonts w:ascii="Arial Narrow" w:hAnsi="Arial Narrow" w:cs="Arial Narrow"/>
                <w:sz w:val="22"/>
                <w:szCs w:val="22"/>
              </w:rPr>
              <w:t>správa registratúrnych záznamov bez trvalej dokumentárnej hodnoty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8327B2" w:rsidP="006C577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8327B2">
              <w:rPr>
                <w:rFonts w:ascii="Arial Narrow" w:hAnsi="Arial Narrow" w:cs="Arial Narrow"/>
                <w:b/>
                <w:sz w:val="22"/>
                <w:szCs w:val="22"/>
              </w:rPr>
              <w:t xml:space="preserve">Prvá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archívna a registratúrna, s.r.o</w:t>
            </w:r>
            <w:r w:rsidR="00634C5D" w:rsidRPr="00634C5D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634C5D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B42CFA">
              <w:rPr>
                <w:rFonts w:ascii="Arial Narrow" w:hAnsi="Arial Narrow" w:cs="Arial Narrow"/>
                <w:sz w:val="22"/>
                <w:szCs w:val="22"/>
              </w:rPr>
              <w:t>nie je subjektom verejného záujmu (§ 2/14 ZoU).</w:t>
            </w:r>
            <w:r w:rsidR="00763F1D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B42CFA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6989" w:type="dxa"/>
            <w:gridSpan w:val="2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B42CFA" w:rsidRDefault="00B42CFA" w:rsidP="002A38C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A7A8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A38CB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25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86"/>
      </w:tblGrid>
      <w:tr w:rsidR="00B42CFA" w:rsidTr="00860EE4">
        <w:trPr>
          <w:trHeight w:val="364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E208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473276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E208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479608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EA531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E2083" w:rsidP="00757B9D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13335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4E2083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12868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EA531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B42CFA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Pr="00860EE4" w:rsidRDefault="00EA531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60EE4" w:rsidRPr="00860EE4" w:rsidRDefault="00E45061" w:rsidP="00DC4730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EA531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B42CFA" w:rsidRDefault="00B42CFA">
      <w:pPr>
        <w:jc w:val="both"/>
      </w:pPr>
      <w:bookmarkStart w:id="0" w:name="_GoBack"/>
      <w:bookmarkEnd w:id="0"/>
    </w:p>
    <w:p w:rsidR="00E45061" w:rsidRDefault="00B42CFA" w:rsidP="00E4506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E45061">
        <w:rPr>
          <w:rFonts w:ascii="Arial Narrow" w:hAnsi="Arial Narrow" w:cs="Arial Narrow"/>
          <w:bCs/>
          <w:sz w:val="22"/>
          <w:szCs w:val="22"/>
        </w:rPr>
        <w:t xml:space="preserve">Účtovná jednotka, </w:t>
      </w:r>
      <w:r w:rsidR="00E45061" w:rsidRPr="002C303D">
        <w:rPr>
          <w:rFonts w:ascii="Arial Narrow" w:hAnsi="Arial Narrow" w:cs="Arial Narrow"/>
          <w:b/>
          <w:bCs/>
          <w:sz w:val="22"/>
          <w:szCs w:val="22"/>
        </w:rPr>
        <w:t>ktorá spĺňa podmienky pre mikro účtovnú jednotku, sa môže rozhodnúť, že bude postupovať ako malá účtovná jednotka</w:t>
      </w:r>
      <w:r w:rsidR="00E45061">
        <w:rPr>
          <w:rFonts w:ascii="Arial Narrow" w:hAnsi="Arial Narrow" w:cs="Arial Narrow"/>
          <w:bCs/>
          <w:sz w:val="22"/>
          <w:szCs w:val="22"/>
        </w:rPr>
        <w:t xml:space="preserve">. Účtovná jednotka </w:t>
      </w:r>
      <w:r w:rsidR="00E45061">
        <w:rPr>
          <w:rFonts w:ascii="Arial Narrow" w:hAnsi="Arial Narrow" w:cs="Arial Narrow"/>
          <w:sz w:val="22"/>
          <w:szCs w:val="22"/>
        </w:rPr>
        <w:t>sa rozhodla, že bude postupovať ako malá účtovná jednotka</w:t>
      </w:r>
      <w:r w:rsidR="00E45061">
        <w:rPr>
          <w:rFonts w:ascii="Arial Narrow" w:hAnsi="Arial Narrow" w:cs="Arial Narrow"/>
          <w:b/>
          <w:sz w:val="22"/>
          <w:szCs w:val="22"/>
        </w:rPr>
        <w:t xml:space="preserve">, </w:t>
      </w:r>
      <w:r w:rsidR="00E45061">
        <w:rPr>
          <w:rFonts w:ascii="Arial Narrow" w:hAnsi="Arial Narrow" w:cs="Arial Narrow"/>
          <w:sz w:val="22"/>
          <w:szCs w:val="22"/>
        </w:rPr>
        <w:t>preto zostavuje účtovnú závierku podľa metodiky pre túto veľkostnú skupinu (Opatrenie č.MF/23378/2014-74).</w:t>
      </w:r>
    </w:p>
    <w:p w:rsidR="00B42CFA" w:rsidRDefault="00B42CFA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F011E5" w:rsidRDefault="00B42CFA" w:rsidP="007A6CE2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D689E">
        <w:rPr>
          <w:rFonts w:ascii="Arial Narrow" w:hAnsi="Arial Narrow" w:cs="Arial Narrow"/>
          <w:sz w:val="22"/>
          <w:szCs w:val="22"/>
        </w:rPr>
        <w:t xml:space="preserve"> </w:t>
      </w:r>
      <w:r w:rsidR="002A38CB">
        <w:rPr>
          <w:rFonts w:ascii="Arial Narrow" w:hAnsi="Arial Narrow" w:cs="Arial Narrow"/>
          <w:b/>
          <w:sz w:val="22"/>
          <w:szCs w:val="22"/>
        </w:rPr>
        <w:t>01.07.2024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BD689E">
        <w:rPr>
          <w:rFonts w:ascii="Arial Narrow" w:hAnsi="Arial Narrow" w:cs="Arial Narrow"/>
          <w:sz w:val="22"/>
          <w:szCs w:val="22"/>
        </w:rPr>
        <w:t xml:space="preserve"> Riadna účtovná závierka k 31.12.</w:t>
      </w:r>
      <w:r w:rsidR="000A7A8A">
        <w:rPr>
          <w:rFonts w:ascii="Arial Narrow" w:hAnsi="Arial Narrow" w:cs="Arial Narrow"/>
          <w:sz w:val="22"/>
          <w:szCs w:val="22"/>
        </w:rPr>
        <w:t>20</w:t>
      </w:r>
      <w:r w:rsidR="00A417B2">
        <w:rPr>
          <w:rFonts w:ascii="Arial Narrow" w:hAnsi="Arial Narrow" w:cs="Arial Narrow"/>
          <w:sz w:val="22"/>
          <w:szCs w:val="22"/>
        </w:rPr>
        <w:t>2</w:t>
      </w:r>
      <w:r w:rsidR="002A38CB">
        <w:rPr>
          <w:rFonts w:ascii="Arial Narrow" w:hAnsi="Arial Narrow" w:cs="Arial Narrow"/>
          <w:sz w:val="22"/>
          <w:szCs w:val="22"/>
        </w:rPr>
        <w:t>4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</w:t>
      </w:r>
      <w:r>
        <w:rPr>
          <w:rFonts w:ascii="Arial Narrow" w:hAnsi="Arial Narrow" w:cs="Arial Narrow"/>
          <w:b/>
          <w:bCs/>
          <w:sz w:val="22"/>
          <w:szCs w:val="22"/>
        </w:rPr>
        <w:t>s konsolidáciou</w:t>
      </w:r>
      <w:r>
        <w:rPr>
          <w:rFonts w:ascii="Arial Narrow" w:hAnsi="Arial Narrow" w:cs="Arial Narrow"/>
          <w:bCs/>
          <w:sz w:val="22"/>
          <w:szCs w:val="22"/>
        </w:rPr>
        <w:t>:</w:t>
      </w:r>
    </w:p>
    <w:p w:rsidR="00B42CFA" w:rsidRDefault="00B42CFA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najväčšiu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Obchodné meno a sídlo účtovnej jednotky, ktorá zostavuje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za </w:t>
      </w:r>
      <w:r>
        <w:rPr>
          <w:rFonts w:ascii="Arial Narrow" w:hAnsi="Arial Narrow" w:cs="Arial Narrow"/>
          <w:sz w:val="22"/>
          <w:szCs w:val="22"/>
          <w:u w:val="single"/>
        </w:rPr>
        <w:t>najmenšiu skupinu</w:t>
      </w:r>
      <w:r>
        <w:rPr>
          <w:rFonts w:ascii="Arial Narrow" w:hAnsi="Arial Narrow" w:cs="Arial Narrow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Adresa, kde sa môže vyžiadať kópia vyššie uvedených </w:t>
      </w:r>
      <w:r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Údaj, či účtovná jednotka je materskou účtovnou jednotkou a údaj, či je oslobodená od povinnosti zostaviť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a konsolidovanú výročnú správu podľa § 22 zákona o účtovníctve, pričom sa uvádzajú: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1. pri oslobodení podľa § 22 ods. 8 zákona o účtovníctve obchodné meno a sídlo materskej účtovnej jednotky zostavujúcej </w:t>
      </w:r>
      <w:r>
        <w:rPr>
          <w:rFonts w:ascii="Arial Narrow" w:hAnsi="Arial Narrow" w:cs="Arial Narrow"/>
          <w:b/>
          <w:sz w:val="22"/>
          <w:szCs w:val="22"/>
        </w:rPr>
        <w:t>konsolidovanú účtovnú závierku</w:t>
      </w:r>
      <w:r>
        <w:rPr>
          <w:rFonts w:ascii="Arial Narrow" w:hAnsi="Arial Narrow" w:cs="Arial Narrow"/>
          <w:sz w:val="22"/>
          <w:szCs w:val="22"/>
        </w:rPr>
        <w:t xml:space="preserve"> podľa osobitných predpisov (IFRS/EÚ):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77"/>
      </w:tblGrid>
      <w:tr w:rsidR="00B42CFA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42CFA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:rsidR="00DC4730" w:rsidRDefault="00B42CFA" w:rsidP="00EA53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A531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B42CFA" w:rsidRDefault="00B42CFA" w:rsidP="00EA531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EA531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11"/>
      </w:tblGrid>
      <w:tr w:rsidR="00B42CFA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numPr>
                <w:ilvl w:val="0"/>
                <w:numId w:val="5"/>
              </w:num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:rsidR="00B42CFA" w:rsidRDefault="00B42CFA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Pr="00686498" w:rsidRDefault="00B42CFA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="00D96A4B" w:rsidRPr="00686498">
        <w:rPr>
          <w:rFonts w:ascii="Arial Narrow" w:hAnsi="Arial Narrow" w:cs="Arial Narrow"/>
          <w:b/>
          <w:sz w:val="22"/>
          <w:szCs w:val="22"/>
        </w:rPr>
        <w:t>Účtovná závierka je zostavená za splnenia predpokladu, že účtovná jednotka bude nepretržite pokračovať vo svojej činnosti.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B42CFA" w:rsidRPr="00945E58" w:rsidRDefault="00945E58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945E58">
        <w:rPr>
          <w:rFonts w:ascii="Arial Narrow" w:hAnsi="Arial Narrow" w:cs="Arial Narrow"/>
          <w:b/>
          <w:sz w:val="22"/>
          <w:szCs w:val="22"/>
        </w:rPr>
        <w:t>V roku 201</w:t>
      </w:r>
      <w:r w:rsidR="00AE7E78">
        <w:rPr>
          <w:rFonts w:ascii="Arial Narrow" w:hAnsi="Arial Narrow" w:cs="Arial Narrow"/>
          <w:b/>
          <w:sz w:val="22"/>
          <w:szCs w:val="22"/>
        </w:rPr>
        <w:t>6</w:t>
      </w:r>
      <w:r w:rsidRPr="00945E58">
        <w:rPr>
          <w:rFonts w:ascii="Arial Narrow" w:hAnsi="Arial Narrow" w:cs="Arial Narrow"/>
          <w:b/>
          <w:sz w:val="22"/>
          <w:szCs w:val="22"/>
        </w:rPr>
        <w:t xml:space="preserve"> v účtovnej jednotky nenastali zmeny účtovných zásad.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</w:p>
    <w:p w:rsidR="00B42CFA" w:rsidRDefault="00B42CFA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:rsidR="00B42CFA" w:rsidRDefault="00B42CFA">
      <w:pPr>
        <w:ind w:right="-141"/>
        <w:jc w:val="both"/>
        <w:rPr>
          <w:rFonts w:ascii="Arial" w:hAnsi="Arial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Spôsob oceňovania majetku a záväzkov (§ 25 ZoU):</w:t>
      </w:r>
    </w:p>
    <w:p w:rsidR="00B42CFA" w:rsidRDefault="00B42CF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10"/>
      </w:tblGrid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D</w:t>
            </w:r>
            <w:r>
              <w:rPr>
                <w:rFonts w:ascii="Arial Narrow" w:hAnsi="Arial Narrow" w:cs="Arial"/>
                <w:spacing w:val="-1"/>
                <w:sz w:val="22"/>
                <w:szCs w:val="22"/>
                <w:lang w:val="en-AU"/>
              </w:rPr>
              <w:t>e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riv</w:t>
            </w:r>
            <w:r>
              <w:rPr>
                <w:rFonts w:ascii="Arial Narrow" w:hAnsi="Arial Narrow" w:cs="Arial"/>
                <w:spacing w:val="-2"/>
                <w:sz w:val="22"/>
                <w:szCs w:val="22"/>
                <w:lang w:val="en-AU"/>
              </w:rPr>
              <w:t>á</w:t>
            </w: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ty: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B42CFA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en-AU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oceňovaniu majetku a záväzkov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Finančné nástroje</w:t>
      </w:r>
      <w:r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Opravné položky</w:t>
      </w:r>
      <w:r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Rezervy</w:t>
      </w:r>
      <w:r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="0059191A">
        <w:rPr>
          <w:rFonts w:ascii="Arial Narrow" w:hAnsi="Arial Narrow" w:cs="Arial Narrow"/>
          <w:sz w:val="22"/>
          <w:szCs w:val="22"/>
        </w:rPr>
        <w:t>FIFO metódu</w:t>
      </w:r>
      <w:r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prírastku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>
        <w:rPr>
          <w:rFonts w:ascii="Arial Narrow" w:hAnsi="Arial Narrow" w:cs="Arial Narrow"/>
          <w:sz w:val="22"/>
          <w:szCs w:val="22"/>
          <w:u w:val="single"/>
        </w:rPr>
        <w:t>zmenárenský kurz</w:t>
      </w:r>
      <w:r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B42CFA" w:rsidRDefault="00B42CFA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>
        <w:rPr>
          <w:rFonts w:ascii="Arial Narrow" w:hAnsi="Arial Narrow" w:cs="Arial Narrow"/>
          <w:sz w:val="22"/>
          <w:szCs w:val="22"/>
          <w:u w:val="single"/>
        </w:rPr>
        <w:t>úbytku</w:t>
      </w:r>
      <w:r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>
        <w:rPr>
          <w:rFonts w:ascii="Arial Narrow" w:hAnsi="Arial Narrow" w:cs="Arial Narrow"/>
          <w:sz w:val="22"/>
          <w:szCs w:val="22"/>
          <w:u w:val="single"/>
        </w:rPr>
        <w:t>základné pravidlo</w:t>
      </w:r>
      <w:r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B42CFA" w:rsidRDefault="00B42CFA"/>
    <w:p w:rsidR="00B42CFA" w:rsidRDefault="00B42CFA">
      <w:pPr>
        <w:pStyle w:val="Nadpis2"/>
        <w:tabs>
          <w:tab w:val="left" w:pos="1005"/>
        </w:tabs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78"/>
      </w:tblGrid>
      <w:tr w:rsidR="00B42CFA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B42CFA" w:rsidRDefault="00B42CFA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7150B2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150B2" w:rsidRDefault="007150B2" w:rsidP="007150B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>
        <w:rPr>
          <w:rFonts w:ascii="Arial Narrow" w:hAnsi="Arial Narrow" w:cs="Arial"/>
          <w:sz w:val="22"/>
          <w:szCs w:val="22"/>
        </w:rPr>
        <w:t xml:space="preserve"> </w:t>
      </w:r>
    </w:p>
    <w:p w:rsidR="00B42CFA" w:rsidRDefault="00B42CFA">
      <w:pPr>
        <w:spacing w:after="120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 w:rsidR="00401BCD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"/>
          <w:sz w:val="22"/>
          <w:szCs w:val="22"/>
          <w:u w:val="single"/>
        </w:rPr>
        <w:t>zaradený do užívania</w:t>
      </w:r>
      <w:r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59191A">
        <w:rPr>
          <w:rFonts w:ascii="Arial Narrow" w:hAnsi="Arial Narrow" w:cs="Arial"/>
          <w:sz w:val="22"/>
          <w:szCs w:val="22"/>
        </w:rPr>
        <w:t>5</w:t>
      </w:r>
      <w:r>
        <w:rPr>
          <w:rFonts w:ascii="Arial Narrow" w:hAnsi="Arial Narrow" w:cs="Arial"/>
          <w:sz w:val="22"/>
          <w:szCs w:val="22"/>
        </w:rPr>
        <w:t xml:space="preserve"> rokov od jeho obstarania.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používa </w:t>
      </w:r>
      <w:r>
        <w:rPr>
          <w:rFonts w:ascii="Arial Narrow" w:hAnsi="Arial Narrow" w:cs="Arial"/>
          <w:sz w:val="22"/>
          <w:szCs w:val="22"/>
          <w:u w:val="single"/>
        </w:rPr>
        <w:t>rovnomerné odpisovanie</w:t>
      </w:r>
      <w:r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</w:t>
      </w:r>
      <w:r w:rsidR="0059191A">
        <w:rPr>
          <w:rFonts w:ascii="Arial Narrow" w:hAnsi="Arial Narrow" w:cs="Arial"/>
          <w:sz w:val="22"/>
          <w:szCs w:val="22"/>
        </w:rPr>
        <w:t>Pohoda</w:t>
      </w:r>
      <w:r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>
        <w:rPr>
          <w:rFonts w:ascii="Arial Narrow" w:hAnsi="Arial Narrow" w:cs="Arial"/>
          <w:sz w:val="22"/>
          <w:szCs w:val="22"/>
          <w:u w:val="single"/>
        </w:rPr>
        <w:t>súbory hnuteľných vecí</w:t>
      </w:r>
      <w:r>
        <w:rPr>
          <w:rFonts w:ascii="Arial Narrow" w:hAnsi="Arial Narrow" w:cs="Arial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UJ nepoužila </w:t>
      </w:r>
      <w:r>
        <w:rPr>
          <w:rFonts w:ascii="Arial Narrow" w:hAnsi="Arial Narrow" w:cs="Arial Narrow"/>
          <w:sz w:val="22"/>
          <w:szCs w:val="22"/>
          <w:u w:val="single"/>
        </w:rPr>
        <w:t>jednorazový odpis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dlhodobého majetku z dôvodu jednorazového trvalého zníženia hodnoty majetku (§ 21/5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2 400 eur jednotkovej ceny so životnosťou nad jeden rok (§ 13/2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hAnsi="Arial Narrow" w:cs="Arial Narrow"/>
          <w:sz w:val="22"/>
          <w:szCs w:val="22"/>
        </w:rPr>
        <w:t xml:space="preserve"> - položky pod 1 700 eur jednotkovej ceny so životnosťou nad jeden rok (§ 13/6 PU).</w:t>
      </w:r>
    </w:p>
    <w:p w:rsidR="00B42CFA" w:rsidRDefault="00B42CFA">
      <w:pPr>
        <w:numPr>
          <w:ilvl w:val="0"/>
          <w:numId w:val="2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hAnsi="Arial Narrow" w:cs="Arial Narrow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B42CFA" w:rsidRDefault="00B42CFA">
      <w:pPr>
        <w:numPr>
          <w:ilvl w:val="0"/>
          <w:numId w:val="2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>
        <w:rPr>
          <w:rFonts w:ascii="Arial Narrow" w:hAnsi="Arial Narrow" w:cs="Arial Narrow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B42CFA" w:rsidRDefault="00B42CFA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B42CFA" w:rsidRDefault="00B42CFA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29"/>
      </w:tblGrid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 schválení účtovnej závierky na valnom zhromaždení už nemožno otvárať účtovné knihy minulých účtovných období a prípadné opravy sa vykonajú v bežnom účtovnom období (§ 16/10,11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ukladaní pokuty za nesprávnosti v účtovníctve prihliadne daňový úrad aj na to, či UJ písomne ohlásila obsah a sumu vykonanej opravy chýb minulých účtovných období (§ 38/5 ZoU).</w:t>
      </w:r>
    </w:p>
    <w:p w:rsidR="00B42CFA" w:rsidRDefault="00B42CFA">
      <w:pPr>
        <w:numPr>
          <w:ilvl w:val="0"/>
          <w:numId w:val="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Pritom sa uvádza forma tohto zabezpečenia a uvádza sa zmena reálnej hodnoty v priebehu účtovného obdobia (§ 27 ZoU).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hAnsi="Arial Narrow" w:cs="Arial Narrow"/>
          <w:sz w:val="22"/>
          <w:szCs w:val="22"/>
          <w:u w:val="single"/>
        </w:rPr>
        <w:t>v tabuľkovej forme</w:t>
      </w:r>
      <w:r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46"/>
      </w:tblGrid>
      <w:tr w:rsidR="00B42CFA">
        <w:trPr>
          <w:trHeight w:val="153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 derivátov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B42CFA">
        <w:trPr>
          <w:trHeight w:val="62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09"/>
        </w:trPr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2CFA" w:rsidRDefault="00B42CFA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  <w:u w:val="single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 – sa k závierkovému dňu oceňujú, okrem iného, aj deriváty a majetok a záväzky zabezpečené derivátmi (§ 27/1 ZoU); precenenie na reálnu hodnotu k závierkovému dňu sa účtuje (§ 16 PU) - výsledkovo (účty 56x, 66x) alebo súvahovo (účet 414)].</w:t>
      </w:r>
    </w:p>
    <w:p w:rsidR="00B42CFA" w:rsidRDefault="00B42CFA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86"/>
      </w:tblGrid>
      <w:tr w:rsidR="00B42CFA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3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59191A">
            <w:pPr>
              <w:snapToGri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B42CFA" w:rsidRDefault="00B42CFA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 w:rsidR="00B42CFA" w:rsidRDefault="00B42CFA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21"/>
      </w:tblGrid>
      <w:tr w:rsidR="00B42CFA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Zabezpečené záväzky</w:t>
            </w:r>
          </w:p>
        </w:tc>
        <w:tc>
          <w:tcPr>
            <w:tcW w:w="5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</w:tr>
      <w:tr w:rsidR="00B42CFA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 xml:space="preserve">Spôsob </w:t>
            </w:r>
          </w:p>
          <w:p w:rsidR="00B42CFA" w:rsidRDefault="00B42CFA">
            <w:pPr>
              <w:pStyle w:val="TopHeader"/>
            </w:pPr>
            <w:r>
              <w:t>zabezpečenia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Hodnota záväzkov</w:t>
            </w:r>
          </w:p>
        </w:tc>
      </w:tr>
      <w:tr w:rsidR="00B42CFA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B42CFA" w:rsidRDefault="00B42CFA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B42CFA" w:rsidRDefault="00B42CFA">
      <w:pPr>
        <w:numPr>
          <w:ilvl w:val="0"/>
          <w:numId w:val="6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B42CFA" w:rsidRDefault="00B42CFA">
      <w:pPr>
        <w:numPr>
          <w:ilvl w:val="0"/>
          <w:numId w:val="6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603"/>
      </w:tblGrid>
      <w:tr w:rsidR="00B42CFA">
        <w:trPr>
          <w:trHeight w:val="780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Názov podsúvahovej položky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Bežné účtovné obdobie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pStyle w:val="TopHeader"/>
            </w:pPr>
            <w:r>
              <w:t>Bezprostredne predchádzajúce účtovné obdobie</w:t>
            </w:r>
          </w:p>
        </w:tc>
      </w:tr>
      <w:tr w:rsidR="00B42CFA">
        <w:trPr>
          <w:trHeight w:val="267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44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42CFA">
        <w:trPr>
          <w:trHeight w:val="161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2CFA" w:rsidRDefault="00B42CFA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strát, napríklad:</w:t>
      </w:r>
    </w:p>
    <w:p w:rsidR="00B42CFA" w:rsidRPr="00E965C1" w:rsidRDefault="00B42CFA">
      <w:pPr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>
        <w:rPr>
          <w:rFonts w:ascii="Arial Narrow" w:hAnsi="Arial Narrow" w:cs="Arial Narrow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  <w:r w:rsidR="00E965C1">
        <w:rPr>
          <w:rFonts w:ascii="Arial Narrow" w:hAnsi="Arial Narrow" w:cs="Arial Narrow"/>
          <w:sz w:val="22"/>
          <w:szCs w:val="22"/>
        </w:rPr>
        <w:t xml:space="preserve"> </w:t>
      </w:r>
      <w:r w:rsidR="00E965C1" w:rsidRPr="00E965C1">
        <w:rPr>
          <w:rFonts w:ascii="Arial Narrow" w:hAnsi="Arial Narrow" w:cs="Arial Narrow"/>
          <w:b/>
          <w:sz w:val="22"/>
          <w:szCs w:val="22"/>
        </w:rPr>
        <w:t>Nenastal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E965C1">
        <w:rPr>
          <w:rFonts w:ascii="Arial Narrow" w:hAnsi="Arial Narrow" w:cs="Arial Narrow"/>
          <w:sz w:val="22"/>
          <w:szCs w:val="22"/>
        </w:rPr>
        <w:t xml:space="preserve"> nenastali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965C1">
        <w:rPr>
          <w:rFonts w:ascii="Arial Narrow" w:hAnsi="Arial Narrow" w:cs="Arial Narrow"/>
          <w:sz w:val="22"/>
          <w:szCs w:val="22"/>
        </w:rPr>
        <w:t>nebola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965C1">
        <w:rPr>
          <w:rFonts w:ascii="Arial Narrow" w:hAnsi="Arial Narrow" w:cs="Arial Narrow"/>
          <w:sz w:val="22"/>
          <w:szCs w:val="22"/>
        </w:rPr>
        <w:t xml:space="preserve"> neboli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E965C1">
        <w:rPr>
          <w:rFonts w:ascii="Arial Narrow" w:hAnsi="Arial Narrow" w:cs="Arial Narrow"/>
          <w:sz w:val="22"/>
          <w:szCs w:val="22"/>
        </w:rPr>
        <w:t>nie</w:t>
      </w:r>
    </w:p>
    <w:p w:rsidR="00B42CFA" w:rsidRDefault="00B42CFA">
      <w:pPr>
        <w:jc w:val="both"/>
        <w:rPr>
          <w:rFonts w:ascii="Arial Narrow" w:hAnsi="Arial Narrow" w:cs="Arial Narrow"/>
          <w:sz w:val="22"/>
          <w:szCs w:val="22"/>
        </w:rPr>
      </w:pPr>
    </w:p>
    <w:p w:rsidR="00B42CFA" w:rsidRDefault="00B42CFA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:rsidR="00B42CFA" w:rsidRDefault="00B42CFA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 Informácie o výlučnom práve poskytovať služby vo verejnom záujme: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965C1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42CFA" w:rsidRDefault="00B42CFA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965C1">
        <w:rPr>
          <w:rFonts w:ascii="Arial Narrow" w:hAnsi="Arial Narrow" w:cs="Arial Narrow"/>
          <w:bCs/>
          <w:sz w:val="22"/>
          <w:szCs w:val="22"/>
        </w:rPr>
        <w:t>nie</w:t>
      </w:r>
    </w:p>
    <w:sectPr w:rsidR="00B42CFA">
      <w:headerReference w:type="default" r:id="rId8"/>
      <w:footerReference w:type="default" r:id="rId9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01FE" w:rsidRDefault="007201FE">
      <w:r>
        <w:separator/>
      </w:r>
    </w:p>
  </w:endnote>
  <w:endnote w:type="continuationSeparator" w:id="0">
    <w:p w:rsidR="007201FE" w:rsidRDefault="007201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 w:rsidR="004E2083">
      <w:rPr>
        <w:noProof/>
      </w:rPr>
      <w:t>2</w:t>
    </w:r>
    <w:r>
      <w:fldChar w:fldCharType="end"/>
    </w:r>
  </w:p>
  <w:p w:rsidR="00B42CFA" w:rsidRDefault="00B42CF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01FE" w:rsidRDefault="007201FE">
      <w:r>
        <w:separator/>
      </w:r>
    </w:p>
  </w:footnote>
  <w:footnote w:type="continuationSeparator" w:id="0">
    <w:p w:rsidR="007201FE" w:rsidRDefault="007201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2CFA" w:rsidRDefault="00B42CF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</w:t>
    </w:r>
    <w:r w:rsidR="008327B2" w:rsidRPr="008327B2">
      <w:rPr>
        <w:rFonts w:ascii="Arial" w:hAnsi="Arial" w:cs="Arial"/>
        <w:sz w:val="22"/>
        <w:szCs w:val="22"/>
      </w:rPr>
      <w:t>46402934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Č: </w:t>
    </w:r>
    <w:r w:rsidR="008327B2" w:rsidRPr="008327B2">
      <w:rPr>
        <w:rFonts w:ascii="Arial" w:hAnsi="Arial" w:cs="Arial"/>
        <w:sz w:val="22"/>
        <w:szCs w:val="22"/>
      </w:rPr>
      <w:t>2023363276</w:t>
    </w:r>
  </w:p>
  <w:p w:rsidR="006C5779" w:rsidRDefault="006C5779">
    <w:pPr>
      <w:pStyle w:val="Zkladntext"/>
      <w:tabs>
        <w:tab w:val="left" w:pos="2990"/>
        <w:tab w:val="left" w:pos="6348"/>
      </w:tabs>
      <w:ind w:left="-397" w:firstLine="0"/>
      <w:jc w:val="center"/>
    </w:pPr>
  </w:p>
  <w:p w:rsidR="00B42CFA" w:rsidRDefault="00B42CF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1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2" w15:restartNumberingAfterBreak="0">
    <w:nsid w:val="00000003"/>
    <w:multiLevelType w:val="singleLevel"/>
    <w:tmpl w:val="00000003"/>
    <w:name w:val="WW8Num5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3" w15:restartNumberingAfterBreak="0">
    <w:nsid w:val="00000004"/>
    <w:multiLevelType w:val="singleLevel"/>
    <w:tmpl w:val="00000004"/>
    <w:name w:val="WW8Num7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</w:rPr>
    </w:lvl>
  </w:abstractNum>
  <w:abstractNum w:abstractNumId="4" w15:restartNumberingAfterBreak="0">
    <w:nsid w:val="00000005"/>
    <w:multiLevelType w:val="singleLevel"/>
    <w:tmpl w:val="00000005"/>
    <w:name w:val="WW8Num10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5" w15:restartNumberingAfterBreak="0">
    <w:nsid w:val="00000006"/>
    <w:multiLevelType w:val="singleLevel"/>
    <w:tmpl w:val="00000006"/>
    <w:name w:val="WW8Num13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22087"/>
    <w:rsid w:val="00042950"/>
    <w:rsid w:val="000452CC"/>
    <w:rsid w:val="000A7A8A"/>
    <w:rsid w:val="00100E94"/>
    <w:rsid w:val="00122087"/>
    <w:rsid w:val="00126913"/>
    <w:rsid w:val="0020519D"/>
    <w:rsid w:val="00223338"/>
    <w:rsid w:val="00241FBA"/>
    <w:rsid w:val="00242812"/>
    <w:rsid w:val="00250687"/>
    <w:rsid w:val="002974CB"/>
    <w:rsid w:val="002A38CB"/>
    <w:rsid w:val="002C303D"/>
    <w:rsid w:val="002D3DD1"/>
    <w:rsid w:val="003046F3"/>
    <w:rsid w:val="003A1C6C"/>
    <w:rsid w:val="003E4345"/>
    <w:rsid w:val="00401BCD"/>
    <w:rsid w:val="00403074"/>
    <w:rsid w:val="00460682"/>
    <w:rsid w:val="00474CDB"/>
    <w:rsid w:val="0048303C"/>
    <w:rsid w:val="004E2083"/>
    <w:rsid w:val="004F0239"/>
    <w:rsid w:val="00503F74"/>
    <w:rsid w:val="00512727"/>
    <w:rsid w:val="0059191A"/>
    <w:rsid w:val="00602C3E"/>
    <w:rsid w:val="00616D19"/>
    <w:rsid w:val="00622C2B"/>
    <w:rsid w:val="00634C5D"/>
    <w:rsid w:val="00686498"/>
    <w:rsid w:val="006943AF"/>
    <w:rsid w:val="006C5779"/>
    <w:rsid w:val="007150B2"/>
    <w:rsid w:val="007201FE"/>
    <w:rsid w:val="00757B9D"/>
    <w:rsid w:val="00763F1D"/>
    <w:rsid w:val="007A6CE2"/>
    <w:rsid w:val="007A7A03"/>
    <w:rsid w:val="007E3295"/>
    <w:rsid w:val="007F0B7C"/>
    <w:rsid w:val="008327B2"/>
    <w:rsid w:val="00860EE4"/>
    <w:rsid w:val="00877D2D"/>
    <w:rsid w:val="00881179"/>
    <w:rsid w:val="00903CCB"/>
    <w:rsid w:val="00945E58"/>
    <w:rsid w:val="00A364AB"/>
    <w:rsid w:val="00A417B2"/>
    <w:rsid w:val="00AA7C05"/>
    <w:rsid w:val="00AE7E78"/>
    <w:rsid w:val="00B3352B"/>
    <w:rsid w:val="00B42CFA"/>
    <w:rsid w:val="00BD689E"/>
    <w:rsid w:val="00C36ACC"/>
    <w:rsid w:val="00C85252"/>
    <w:rsid w:val="00CD11E1"/>
    <w:rsid w:val="00D71732"/>
    <w:rsid w:val="00D96A4B"/>
    <w:rsid w:val="00DC4730"/>
    <w:rsid w:val="00DE4EB4"/>
    <w:rsid w:val="00DF1309"/>
    <w:rsid w:val="00E45061"/>
    <w:rsid w:val="00E52F5E"/>
    <w:rsid w:val="00E965C1"/>
    <w:rsid w:val="00EA5317"/>
    <w:rsid w:val="00F011E5"/>
    <w:rsid w:val="00F15BDE"/>
    <w:rsid w:val="00F84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2EA9DF1"/>
  <w15:chartTrackingRefBased/>
  <w15:docId w15:val="{EAADEFF7-DE46-42A1-8F59-DEB3CD2D57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1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cs="Times New Roman"/>
    </w:rPr>
  </w:style>
  <w:style w:type="character" w:customStyle="1" w:styleId="WW8Num2z0">
    <w:name w:val="WW8Num2z0"/>
    <w:rPr>
      <w:rFonts w:ascii="Wingdings" w:hAnsi="Wingdings" w:cs="Wingdings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0">
    <w:name w:val="WW8Num3z0"/>
    <w:rPr>
      <w:rFonts w:ascii="Wingdings" w:hAnsi="Wingdings" w:cs="Wingdings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5z0">
    <w:name w:val="WW8Num5z0"/>
    <w:rPr>
      <w:rFonts w:ascii="Wingdings" w:hAnsi="Wingdings" w:cs="Wingdings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0">
    <w:name w:val="WW8Num6z0"/>
    <w:rPr>
      <w:rFonts w:ascii="Wingdings" w:hAnsi="Wingdings" w:cs="Wingdings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0">
    <w:name w:val="WW8Num7z0"/>
    <w:rPr>
      <w:rFonts w:ascii="Wingdings" w:hAnsi="Wingdings" w:cs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1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1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opoznmkupodarou">
    <w:name w:val="Znaky pro poznámku pod č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1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Arial Unicode MS" w:hAnsi="Arial" w:cs="Mangal"/>
      <w:sz w:val="28"/>
      <w:szCs w:val="28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ar-SA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styleId="Nzov">
    <w:name w:val="Title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1"/>
      <w:sz w:val="22"/>
      <w:szCs w:val="22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5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0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6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8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9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17C84BF-F5AA-4B08-B06F-0A1C9CDEB6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2954</Words>
  <Characters>16841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19756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juhaniakova</cp:lastModifiedBy>
  <cp:revision>2</cp:revision>
  <cp:lastPrinted>2015-07-22T08:26:00Z</cp:lastPrinted>
  <dcterms:created xsi:type="dcterms:W3CDTF">2025-06-27T16:48:00Z</dcterms:created>
  <dcterms:modified xsi:type="dcterms:W3CDTF">2025-06-27T16:48:00Z</dcterms:modified>
</cp:coreProperties>
</file>