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A.)  Všeobecná časť</w:t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widowControl/>
        <w:numPr>
          <w:ilvl w:val="0"/>
          <w:numId w:val="4"/>
        </w:numPr>
        <w:tabs>
          <w:tab w:val="clear" w:pos="708"/>
          <w:tab w:val="left" w:pos="284" w:leader="none"/>
        </w:tabs>
        <w:jc w:val="both"/>
        <w:rPr>
          <w:rFonts w:ascii="Arial Narrow" w:hAnsi="Arial Narrow" w:eastAsia="SimSun" w:cs="Arial Narrow"/>
          <w:color w:val="auto"/>
          <w:kern w:val="2"/>
          <w:sz w:val="22"/>
          <w:szCs w:val="22"/>
          <w:lang w:val="sk-SK" w:eastAsia="zh-CN" w:bidi="hi-IN"/>
        </w:rPr>
      </w:pP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Hemima, s.r.o.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Jánošíkova 67/17</w:t>
      </w:r>
    </w:p>
    <w:p>
      <w:pPr>
        <w:pStyle w:val="Standard"/>
        <w:widowControl/>
        <w:tabs>
          <w:tab w:val="clear" w:pos="708"/>
          <w:tab w:val="left" w:pos="284" w:leader="none"/>
        </w:tabs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9</w:t>
      </w:r>
      <w:r>
        <w:rPr>
          <w:rFonts w:cs="Arial Narrow" w:ascii="Arial Narrow" w:hAnsi="Arial Narrow"/>
          <w:sz w:val="22"/>
          <w:szCs w:val="22"/>
        </w:rPr>
        <w:t>80 52 Hrachovo</w:t>
      </w:r>
    </w:p>
    <w:p>
      <w:pPr>
        <w:pStyle w:val="Standard"/>
        <w:ind w:left="4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bola založená a vznikla  13.5.2009</w:t>
      </w:r>
    </w:p>
    <w:p>
      <w:pPr>
        <w:pStyle w:val="Standard"/>
        <w:keepNext w:val="true"/>
        <w:spacing w:before="0" w:after="60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Standard"/>
        <w:numPr>
          <w:ilvl w:val="0"/>
          <w:numId w:val="4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Predmet podnikania:     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7"/>
      </w:tblGrid>
      <w:tr>
        <w:trPr/>
        <w:tc>
          <w:tcPr>
            <w:tcW w:w="9637" w:type="dxa"/>
            <w:tcBorders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Kúpa tovaru na účely jeho predaja konečnému spotrebiteľovi(maloobchod) alebo iným prevádzkovateľom živnosti(veľkoobchod)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28. 4. 2016)Sprostredkovateľská činnosť v oblasti obchodu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28. 4. 2016)Sprostredkovateľská činnosť v oblasti služieb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28. 4. 2016)Reklamné a marketingové služby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28. 4. 2016)Poskytovanie služieb vedenia cudzieho motorového vozidla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28. 4. 2016)Sprostredkovateľská činnosť v oblasti výroby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2017)Prípravné práce k realizácii stavieb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2017)Uskutočňovanie stavieb a ich zmien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2017)Dokončovacie stavebné práce pri realizácii exteriérov a interiérov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2017)Ubytovacie služby bez poskytovania pohostinských činností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2017)Poskytovanie služieb rýchleho občerstvenia v spojení s predajom na priamu konzumáciu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2017)Vydavateľská činnosť, polygrafická výroba a knihárske práce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2017)Počítačové služby a služby súvisiace s počítačovým spracovaním údajov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2017)Vedenie účtu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2017)Činnosť podnikateľských, organizačných a ekonomických poradcov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2017)Prieskum trhu a verejnej mienky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2017)Čistiace a upratovacie služby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2017)Administratívne služby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2017)Vykonávanie mimoškolskej vzdelávacej činnosti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2017)Prevádzkovanie kultúrnych, spoločenských a zábavných zariadení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2017)Prevádzkovanie športových zariadení a zariadení slúžiacich na regeneráciu a rekondíciu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2017)Organizovanie športových, kultúrnych a iných spoločenských podujatí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br/>
              <w:t>  </w:t>
            </w:r>
            <w:r>
              <w:rPr>
                <w:rFonts w:eastAsia="Times New Roman" w:cs="Times New Roman" w:ascii="Arial CE;Helvetica CE;Arial;sans-serif" w:hAnsi="Arial CE;Helvetica CE;Arial;sans-serif"/>
                <w:b/>
                <w:color w:val="000000"/>
                <w:kern w:val="0"/>
                <w:lang w:eastAsia="sk-SK" w:bidi="ar-SA"/>
              </w:rPr>
              <w:t>(od: 25. 11. 2017)Prevádzkovanie taxislužieb</w:t>
            </w:r>
            <w:r>
              <w:rPr>
                <w:rFonts w:eastAsia="Times New Roman" w:cs="Times New Roman"/>
                <w:kern w:val="0"/>
                <w:lang w:eastAsia="sk-SK" w:bidi="ar-SA"/>
              </w:rPr>
              <w:t xml:space="preserve"> </w:t>
            </w:r>
          </w:p>
        </w:tc>
      </w:tr>
    </w:tbl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p>
      <w:pPr>
        <w:pStyle w:val="ListParagraph"/>
        <w:numPr>
          <w:ilvl w:val="0"/>
          <w:numId w:val="4"/>
        </w:numPr>
        <w:suppressAutoHyphens w:val="false"/>
        <w:rPr>
          <w:rFonts w:eastAsia="Times New Roman"/>
          <w:vanish/>
          <w:kern w:val="0"/>
          <w:lang w:eastAsia="sk-SK"/>
        </w:rPr>
      </w:pPr>
      <w:r>
        <w:rPr>
          <w:rFonts w:eastAsia="Times New Roman"/>
          <w:vanish/>
          <w:kern w:val="0"/>
          <w:lang w:eastAsia="sk-SK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638"/>
      </w:tblGrid>
      <w:tr>
        <w:trPr/>
        <w:tc>
          <w:tcPr>
            <w:tcW w:w="9638" w:type="dxa"/>
            <w:tcBorders/>
            <w:vAlign w:val="center"/>
          </w:tcPr>
          <w:p>
            <w:pPr>
              <w:pStyle w:val="Normal"/>
              <w:widowControl w:val="false"/>
              <w:suppressAutoHyphens w:val="false"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>
              <w:rPr>
                <w:rFonts w:eastAsia="Times New Roman" w:cs="Times New Roman"/>
                <w:kern w:val="0"/>
                <w:lang w:eastAsia="sk-SK" w:bidi="ar-SA"/>
              </w:rPr>
            </w:r>
          </w:p>
        </w:tc>
      </w:tr>
    </w:tbl>
    <w:p>
      <w:pPr>
        <w:pStyle w:val="Standard"/>
        <w:ind w:left="72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    </w:t>
      </w:r>
    </w:p>
    <w:p>
      <w:pPr>
        <w:pStyle w:val="Nzov"/>
        <w:numPr>
          <w:ilvl w:val="0"/>
          <w:numId w:val="54"/>
        </w:numPr>
        <w:ind w:left="36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665"/>
        <w:gridCol w:w="2621"/>
        <w:gridCol w:w="2856"/>
      </w:tblGrid>
      <w:tr>
        <w:trPr/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</w:t>
            </w:r>
          </w:p>
        </w:tc>
      </w:tr>
      <w:tr>
        <w:trPr>
          <w:trHeight w:val="285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0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  <w:t>4</w:t>
            </w:r>
          </w:p>
        </w:tc>
      </w:tr>
      <w:tr>
        <w:trPr>
          <w:trHeight w:val="397" w:hRule="atLeast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1</w:t>
            </w:r>
          </w:p>
        </w:tc>
      </w:tr>
    </w:tbl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4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Spoločnosť  nevlastnila a nevlastní žiadne majetkové podiely v iných firmách.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  Angara s.r.o. predkladá riadnu účtovnú závierku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v zmysle zákona č.431/2002 Z. z. o účtovníctve v znení neskorších predpisov.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993" w:leader="none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0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B.)   Ďalšie informácie</w:t>
      </w:r>
    </w:p>
    <w:p>
      <w:pPr>
        <w:pStyle w:val="Standard"/>
        <w:jc w:val="both"/>
        <w:rPr>
          <w:rFonts w:ascii="Arial Narrow" w:hAnsi="Arial Narrow" w:cs="Arial Narrow"/>
          <w:i/>
          <w:i/>
          <w:iCs/>
          <w:sz w:val="22"/>
          <w:szCs w:val="22"/>
        </w:rPr>
      </w:pPr>
      <w:r>
        <w:rPr>
          <w:rFonts w:cs="Arial Narrow" w:ascii="Arial Narrow" w:hAnsi="Arial Narrow"/>
          <w:i/>
          <w:iCs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</w:t>
        <w:tab/>
        <w:t>V priebehu účtovného obdobia za rok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v plnom znení .</w:t>
      </w:r>
    </w:p>
    <w:p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rámci uvedených predpisov hlavný dôraz bol kladený na základné účtovné zásady, a to najmä na: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časovú a vecnú súvislosť účtovných prípadov,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nepretržitosť vedenia účtovníctva,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zásadu vecného a pravdivého obrazu účtovnej závierky,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celistvosť účtovníctva – vedenie účtovníctva za firmu ako celok,</w:t>
      </w:r>
    </w:p>
    <w:p>
      <w:pPr>
        <w:pStyle w:val="Standard"/>
        <w:numPr>
          <w:ilvl w:val="0"/>
          <w:numId w:val="1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formou sústavy účtovných zápisov, podložených účtovnými dokladmi,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vedenie účtovníctva a  zostavenie účtovnej závierky v peňažných jednotkách v mene euro a v štátnom jazyku,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inventarizovania majetku, záväzkov a rozdielu majetku a záväzkov,</w:t>
      </w:r>
    </w:p>
    <w:p>
      <w:pPr>
        <w:pStyle w:val="Standard"/>
        <w:numPr>
          <w:ilvl w:val="0"/>
          <w:numId w:val="1"/>
        </w:numPr>
        <w:tabs>
          <w:tab w:val="clear" w:pos="708"/>
          <w:tab w:val="left" w:pos="2127" w:leader="none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 xml:space="preserve">C.)    Konkretizácia použitých účtovných zásad a účtovných metód  </w:t>
      </w:r>
    </w:p>
    <w:p>
      <w:pPr>
        <w:pStyle w:val="Nadpis1"/>
        <w:numPr>
          <w:ilvl w:val="0"/>
          <w:numId w:val="55"/>
        </w:numPr>
        <w:ind w:left="426" w:hanging="426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>
      <w:pPr>
        <w:pStyle w:val="Nadpis1"/>
        <w:numPr>
          <w:ilvl w:val="0"/>
          <w:numId w:val="56"/>
        </w:numPr>
        <w:tabs>
          <w:tab w:val="clear" w:pos="708"/>
          <w:tab w:val="left" w:pos="1135" w:leader="none"/>
        </w:tabs>
        <w:ind w:left="426" w:hanging="426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nenastali zmeny účtovných zásad a účtovných metód.</w:t>
      </w:r>
    </w:p>
    <w:p>
      <w:pPr>
        <w:pStyle w:val="Nadpis1"/>
        <w:numPr>
          <w:ilvl w:val="0"/>
          <w:numId w:val="57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Spôsob oceňovania jednotlivých zložiek majetku :</w:t>
      </w:r>
    </w:p>
    <w:p>
      <w:pPr>
        <w:pStyle w:val="Nadpis1"/>
        <w:tabs>
          <w:tab w:val="clear" w:pos="708"/>
          <w:tab w:val="left" w:pos="1560" w:leader="none"/>
        </w:tabs>
        <w:ind w:left="780" w:hanging="360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1.</w:t>
        <w:tab/>
        <w:t>Dlhodobý nehmotný majetok spoločnosť v roku 202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>4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nebol obstaraný.</w:t>
      </w:r>
    </w:p>
    <w:p>
      <w:pPr>
        <w:pStyle w:val="Standard"/>
        <w:tabs>
          <w:tab w:val="clear" w:pos="708"/>
          <w:tab w:val="left" w:pos="5786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ab/>
      </w:r>
    </w:p>
    <w:p>
      <w:pPr>
        <w:pStyle w:val="Standard"/>
        <w:tabs>
          <w:tab w:val="clear" w:pos="708"/>
          <w:tab w:val="left" w:pos="360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104" w:leader="none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05" w:leader="none"/>
        </w:tabs>
        <w:ind w:left="445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073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1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    Údaje vykázané na strane aktív súvahy</w:t>
      </w:r>
    </w:p>
    <w:p>
      <w:pPr>
        <w:pStyle w:val="Standard"/>
        <w:keepNext w:val="true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nehmotnom majetku</w:t>
      </w:r>
    </w:p>
    <w:p>
      <w:pPr>
        <w:pStyle w:val="Standard"/>
        <w:numPr>
          <w:ilvl w:val="0"/>
          <w:numId w:val="58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pohybe dlhodobého majetku v €</w:t>
      </w:r>
    </w:p>
    <w:p>
      <w:pPr>
        <w:pStyle w:val="Standard"/>
        <w:numPr>
          <w:ilvl w:val="0"/>
          <w:numId w:val="59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oprávok a opravných položiek  dlhodobého majetku v  €</w:t>
      </w:r>
    </w:p>
    <w:p>
      <w:pPr>
        <w:pStyle w:val="Standard"/>
        <w:numPr>
          <w:ilvl w:val="0"/>
          <w:numId w:val="60"/>
        </w:numPr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Prehľad o zostatkových hodnotách dlhodobého majetku v  €</w:t>
      </w:r>
    </w:p>
    <w:p>
      <w:pPr>
        <w:pStyle w:val="Nzov"/>
        <w:numPr>
          <w:ilvl w:val="0"/>
          <w:numId w:val="6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706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05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851"/>
        <w:gridCol w:w="997"/>
        <w:gridCol w:w="851"/>
        <w:gridCol w:w="862"/>
        <w:gridCol w:w="975"/>
        <w:gridCol w:w="669"/>
        <w:gridCol w:w="37"/>
        <w:gridCol w:w="848"/>
        <w:gridCol w:w="1069"/>
        <w:gridCol w:w="945"/>
      </w:tblGrid>
      <w:tr>
        <w:trPr>
          <w:trHeight w:val="334" w:hRule="atLeast"/>
        </w:trPr>
        <w:tc>
          <w:tcPr>
            <w:tcW w:w="185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3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5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6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5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6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650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104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5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27" w:hRule="atLeast"/>
        </w:trPr>
        <w:tc>
          <w:tcPr>
            <w:tcW w:w="185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62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6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Standard"/>
        <w:spacing w:lineRule="auto" w:line="276"/>
        <w:rPr>
          <w:szCs w:val="36"/>
        </w:rPr>
      </w:pPr>
      <w:r>
        <w:rPr>
          <w:szCs w:val="36"/>
        </w:rPr>
      </w:r>
    </w:p>
    <w:p>
      <w:pPr>
        <w:pStyle w:val="Nzov"/>
        <w:numPr>
          <w:ilvl w:val="0"/>
          <w:numId w:val="62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c) o dlhodobom nehmotnom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399"/>
        <w:gridCol w:w="2742"/>
      </w:tblGrid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                           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55" w:leader="none"/>
        </w:tabs>
        <w:spacing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55" w:leader="none"/>
        </w:tabs>
        <w:spacing w:lineRule="auto" w:line="276" w:before="0" w:after="200"/>
        <w:ind w:left="15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>
      <w:pPr>
        <w:pStyle w:val="Nadpis1"/>
        <w:tabs>
          <w:tab w:val="clear" w:pos="708"/>
          <w:tab w:val="left" w:pos="360" w:leader="none"/>
        </w:tabs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  <w:t>F.)</w:t>
      </w:r>
    </w:p>
    <w:p>
      <w:pPr>
        <w:pStyle w:val="Standard"/>
        <w:tabs>
          <w:tab w:val="clear" w:pos="708"/>
          <w:tab w:val="left" w:pos="360" w:leader="none"/>
        </w:tabs>
        <w:rPr/>
      </w:pPr>
      <w:r>
        <w:rPr>
          <w:rFonts w:cs="Arial Narrow" w:ascii="Arial Narrow" w:hAnsi="Arial Narrow"/>
          <w:bCs/>
          <w:sz w:val="22"/>
          <w:szCs w:val="22"/>
        </w:rPr>
        <w:t>a)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dlhodobom hmotnom majetku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1) Prehľad o pohybe dlhodobého majetku v €</w:t>
      </w:r>
    </w:p>
    <w:p>
      <w:pPr>
        <w:pStyle w:val="Standard"/>
        <w:tabs>
          <w:tab w:val="clear" w:pos="708"/>
          <w:tab w:val="left" w:pos="1680" w:leader="none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Prehľad oprávok a opravných položiek  dlhodobého majetku v  €</w:t>
      </w:r>
    </w:p>
    <w:p>
      <w:pPr>
        <w:pStyle w:val="Standard"/>
        <w:tabs>
          <w:tab w:val="clear" w:pos="708"/>
          <w:tab w:val="left" w:pos="1680" w:leader="none"/>
        </w:tabs>
        <w:spacing w:lineRule="auto" w:line="276" w:before="0" w:after="200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3) Prehľad o zostatkových hodnotách dlhodobého majetku v  €</w:t>
      </w:r>
    </w:p>
    <w:p>
      <w:pPr>
        <w:pStyle w:val="Nzov"/>
        <w:numPr>
          <w:ilvl w:val="0"/>
          <w:numId w:val="6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0" w:type="dxa"/>
        </w:tblCellMar>
        <w:tblLook w:val="0000"/>
      </w:tblPr>
      <w:tblGrid>
        <w:gridCol w:w="1533"/>
        <w:gridCol w:w="1038"/>
        <w:gridCol w:w="846"/>
        <w:gridCol w:w="847"/>
        <w:gridCol w:w="25"/>
        <w:gridCol w:w="856"/>
        <w:gridCol w:w="965"/>
        <w:gridCol w:w="745"/>
        <w:gridCol w:w="690"/>
        <w:gridCol w:w="779"/>
        <w:gridCol w:w="888"/>
      </w:tblGrid>
      <w:tr>
        <w:trPr>
          <w:trHeight w:val="278" w:hRule="atLeast"/>
        </w:trPr>
        <w:tc>
          <w:tcPr>
            <w:tcW w:w="1533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9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278" w:hRule="atLeast"/>
        </w:trPr>
        <w:tc>
          <w:tcPr>
            <w:tcW w:w="1533" w:type="dxa"/>
            <w:vMerge w:val="continue"/>
            <w:tcBorders>
              <w:top w:val="single" w:sz="6" w:space="0" w:color="000001"/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038" w:type="dxa"/>
            <w:tcBorders>
              <w:lef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7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Samos-tatné hnuteľné veci 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5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79" w:type="dxa"/>
            <w:tcBorders>
              <w:lef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Poskyt-nuté pred-davky na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7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1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5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79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038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7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1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15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rPr/>
              <w:br/>
            </w: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7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85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6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7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p>
      <w:pPr>
        <w:pStyle w:val="Textbody"/>
        <w:rPr/>
      </w:pPr>
      <w:r>
        <w:rPr/>
      </w:r>
    </w:p>
    <w:p>
      <w:pPr>
        <w:pStyle w:val="ListParagraph"/>
        <w:numPr>
          <w:ilvl w:val="0"/>
          <w:numId w:val="64"/>
        </w:numPr>
        <w:ind w:left="360" w:hanging="360"/>
        <w:rPr>
          <w:b/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117"/>
        <w:gridCol w:w="3024"/>
      </w:tblGrid>
      <w:tr>
        <w:trPr/>
        <w:tc>
          <w:tcPr>
            <w:tcW w:w="61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Textbody"/>
        <w:rPr/>
      </w:pPr>
      <w:r>
        <w:rPr/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hanging="142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>F .)</w:t>
      </w:r>
    </w:p>
    <w:p>
      <w:pPr>
        <w:pStyle w:val="Standard"/>
        <w:ind w:hanging="142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   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e)</w:t>
        <w:tab/>
        <w:t>Spoločnosť neevidovala ani nevyužívala dlhodobý nehnuteľný majetok, pri ktorom nebolo vlastnícke právo zapísané vkladom do katastra nehnuteľností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ani v  bezprostredne predchádzajúcom účtovnom období.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f)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nevlastnila ani neevidovala nehmotný majetok – goodwil.</w:t>
      </w:r>
    </w:p>
    <w:p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g)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nepoužívala účet 097 – opravná položka k nadobudnutému majetku.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h)</w:t>
        <w:tab/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výskumnú a vývojovú činnosť.</w:t>
      </w:r>
    </w:p>
    <w:p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i – n) 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nevlastnila ani neevidovala dlhodobý finančný majetok.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zov"/>
        <w:ind w:left="360" w:hanging="36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65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  <w:t>Tabuľka č. 2</w:t>
      </w:r>
    </w:p>
    <w:tbl>
      <w:tblPr>
        <w:tblW w:w="9213" w:type="dxa"/>
        <w:jc w:val="left"/>
        <w:tblInd w:w="-45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299"/>
        <w:gridCol w:w="1129"/>
        <w:gridCol w:w="1085"/>
        <w:gridCol w:w="45"/>
        <w:gridCol w:w="885"/>
        <w:gridCol w:w="103"/>
        <w:gridCol w:w="849"/>
        <w:gridCol w:w="705"/>
        <w:gridCol w:w="848"/>
        <w:gridCol w:w="661"/>
        <w:gridCol w:w="883"/>
        <w:gridCol w:w="720"/>
      </w:tblGrid>
      <w:tr>
        <w:trPr>
          <w:trHeight w:val="277" w:hRule="atLeast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9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  <w:br/>
              <w:t>v kons. celku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Ob-stará-vaný</w:t>
              <w:br/>
              <w:t>DFM</w:t>
            </w:r>
          </w:p>
        </w:tc>
        <w:tc>
          <w:tcPr>
            <w:tcW w:w="8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Poskyt-nuté pred-davky na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8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h</w:t>
            </w:r>
          </w:p>
        </w:tc>
        <w:tc>
          <w:tcPr>
            <w:tcW w:w="8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78" w:hRule="atLeast"/>
        </w:trPr>
        <w:tc>
          <w:tcPr>
            <w:tcW w:w="9212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2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290" w:hRule="atLeast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2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66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8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66"/>
        </w:numPr>
        <w:ind w:left="36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>časti F. písm. m) o dlhodobom finančnom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257"/>
        <w:gridCol w:w="2884"/>
      </w:tblGrid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>
                <w:color w:val="666666"/>
              </w:rPr>
              <w:t xml:space="preserve">Hodnota </w:t>
            </w:r>
            <w:r>
              <w:rPr>
                <w:bCs w:val="false"/>
                <w:color w:val="666666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5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Nzov"/>
        <w:numPr>
          <w:ilvl w:val="0"/>
          <w:numId w:val="6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907"/>
        <w:gridCol w:w="1116"/>
        <w:gridCol w:w="1686"/>
        <w:gridCol w:w="1441"/>
        <w:gridCol w:w="1655"/>
        <w:gridCol w:w="1336"/>
      </w:tblGrid>
      <w:tr>
        <w:trPr/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4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6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6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33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2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9141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33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5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6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Nzov"/>
        <w:widowControl w:val="false"/>
        <w:numPr>
          <w:ilvl w:val="0"/>
          <w:numId w:val="6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39"/>
        <w:gridCol w:w="725"/>
        <w:gridCol w:w="1266"/>
        <w:gridCol w:w="1123"/>
        <w:gridCol w:w="1127"/>
        <w:gridCol w:w="1407"/>
        <w:gridCol w:w="1054"/>
      </w:tblGrid>
      <w:tr>
        <w:trPr>
          <w:trHeight w:val="644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Dlhové CP</w:t>
              <w:br/>
              <w:t xml:space="preserve"> držané do splatnosti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7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  <w:tc>
          <w:tcPr>
            <w:tcW w:w="10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43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spacing w:before="0" w:after="120"/>
        <w:rPr/>
      </w:pPr>
      <w:r>
        <w:rPr/>
      </w:r>
    </w:p>
    <w:p>
      <w:pPr>
        <w:pStyle w:val="Nzov"/>
        <w:widowControl w:val="false"/>
        <w:numPr>
          <w:ilvl w:val="0"/>
          <w:numId w:val="6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156" w:type="dxa"/>
        <w:jc w:val="left"/>
        <w:tblInd w:w="-71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59"/>
        <w:gridCol w:w="1449"/>
        <w:gridCol w:w="1131"/>
        <w:gridCol w:w="1104"/>
        <w:gridCol w:w="1512"/>
        <w:gridCol w:w="1200"/>
      </w:tblGrid>
      <w:tr>
        <w:trPr>
          <w:trHeight w:val="996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 začiatku účtovného obdobia</w:t>
            </w:r>
          </w:p>
        </w:tc>
        <w:tc>
          <w:tcPr>
            <w:tcW w:w="113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113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1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7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o)</w:t>
        <w:tab/>
      </w:r>
    </w:p>
    <w:p>
      <w:pPr>
        <w:pStyle w:val="Nzov"/>
        <w:numPr>
          <w:ilvl w:val="0"/>
          <w:numId w:val="70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330"/>
        <w:gridCol w:w="1396"/>
        <w:gridCol w:w="983"/>
        <w:gridCol w:w="1687"/>
        <w:gridCol w:w="1558"/>
        <w:gridCol w:w="1187"/>
      </w:tblGrid>
      <w:tr>
        <w:trPr/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1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>
        <w:trPr/>
        <w:tc>
          <w:tcPr>
            <w:tcW w:w="233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5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Účtovná jednotka k 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nevytvárala opravné položky k zásobám.</w:t>
      </w:r>
    </w:p>
    <w:p>
      <w:pPr>
        <w:pStyle w:val="Standard"/>
        <w:tabs>
          <w:tab w:val="clear" w:pos="708"/>
          <w:tab w:val="left" w:pos="440" w:leader="none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69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  <w:r>
        <w:br w:type="page"/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p)</w:t>
        <w:tab/>
      </w:r>
    </w:p>
    <w:p>
      <w:pPr>
        <w:pStyle w:val="Nzov"/>
        <w:numPr>
          <w:ilvl w:val="0"/>
          <w:numId w:val="71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960"/>
        <w:gridCol w:w="2181"/>
      </w:tblGrid>
      <w:tr>
        <w:trPr/>
        <w:tc>
          <w:tcPr>
            <w:tcW w:w="6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Na zásoby vykazované v účtovníctve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nebolo zriadené záložné právo ani obmedzené právo s nimi nakladať.</w:t>
      </w:r>
    </w:p>
    <w:p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50" w:hanging="4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 xml:space="preserve"> q)</w:t>
        <w:tab/>
      </w:r>
    </w:p>
    <w:p>
      <w:pPr>
        <w:pStyle w:val="Nzov"/>
        <w:numPr>
          <w:ilvl w:val="0"/>
          <w:numId w:val="7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189"/>
        <w:gridCol w:w="1680"/>
        <w:gridCol w:w="2135"/>
        <w:gridCol w:w="2175"/>
      </w:tblGrid>
      <w:tr>
        <w:trPr/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029"/>
        <w:gridCol w:w="2381"/>
        <w:gridCol w:w="2770"/>
      </w:tblGrid>
      <w:tr>
        <w:trPr/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963"/>
        <w:gridCol w:w="1821"/>
        <w:gridCol w:w="2630"/>
      </w:tblGrid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/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>
          <w:szCs w:val="22"/>
        </w:rPr>
      </w:pPr>
      <w:r>
        <w:rPr>
          <w:szCs w:val="22"/>
        </w:rPr>
      </w:r>
      <w:r>
        <w:br w:type="page"/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</w:r>
    </w:p>
    <w:p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jc w:val="left"/>
        <w:tblInd w:w="-112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290"/>
        <w:gridCol w:w="2383"/>
        <w:gridCol w:w="2492"/>
      </w:tblGrid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/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/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nerealizovala zákazkovú výrobu ani zákazkovú  výstavbu nehnuteľnosti určenej na predaj.</w:t>
      </w:r>
    </w:p>
    <w:p>
      <w:pPr>
        <w:pStyle w:val="Standard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>
      <w:pPr>
        <w:pStyle w:val="Nzov"/>
        <w:numPr>
          <w:ilvl w:val="0"/>
          <w:numId w:val="7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035"/>
        <w:gridCol w:w="1268"/>
        <w:gridCol w:w="1211"/>
        <w:gridCol w:w="1678"/>
        <w:gridCol w:w="1650"/>
        <w:gridCol w:w="1299"/>
      </w:tblGrid>
      <w:tr>
        <w:trPr/>
        <w:tc>
          <w:tcPr>
            <w:tcW w:w="203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106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3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fill="FFFFFF" w:val="clear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shd w:fill="FFFFFF" w:val="clear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20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0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1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Nzov"/>
        <w:widowControl w:val="false"/>
        <w:jc w:val="left"/>
        <w:rPr>
          <w:szCs w:val="22"/>
        </w:rPr>
      </w:pPr>
      <w:r>
        <w:rPr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Opravná položka k nekonkurzným nedobytným pohľadávkam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nebola  evidovaná.</w:t>
      </w:r>
    </w:p>
    <w:p>
      <w:pPr>
        <w:pStyle w:val="Standard"/>
        <w:rPr/>
      </w:pPr>
      <w:r>
        <w:rPr/>
      </w:r>
    </w:p>
    <w:p>
      <w:pPr>
        <w:pStyle w:val="Standard"/>
        <w:rPr>
          <w:rFonts w:ascii="Arial Narrow" w:hAnsi="Arial Narrow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Veková štruktúra pohľadávok rok 202</w:t>
      </w:r>
      <w:r>
        <w:rPr>
          <w:rFonts w:ascii="Arial Narrow" w:hAnsi="Arial Narrow"/>
          <w:szCs w:val="22"/>
        </w:rPr>
        <w:t>4</w:t>
      </w:r>
    </w:p>
    <w:p>
      <w:pPr>
        <w:pStyle w:val="Standard"/>
        <w:rPr/>
      </w:pPr>
      <w:r>
        <w:rPr/>
      </w:r>
    </w:p>
    <w:p>
      <w:pPr>
        <w:pStyle w:val="Nzov"/>
        <w:widowControl w:val="false"/>
        <w:numPr>
          <w:ilvl w:val="0"/>
          <w:numId w:val="7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468"/>
        <w:gridCol w:w="1961"/>
        <w:gridCol w:w="1821"/>
        <w:gridCol w:w="1929"/>
      </w:tblGrid>
      <w:tr>
        <w:trPr/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9179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92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</w:r>
    </w:p>
    <w:p>
      <w:pPr>
        <w:pStyle w:val="Nzov"/>
        <w:numPr>
          <w:ilvl w:val="0"/>
          <w:numId w:val="75"/>
        </w:numPr>
        <w:ind w:left="360" w:hanging="360"/>
        <w:jc w:val="both"/>
        <w:rPr>
          <w:i/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>
        <w:rPr>
          <w:i/>
          <w:szCs w:val="22"/>
        </w:rPr>
        <w:t>formou zabezpečenia 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Standard"/>
        <w:ind w:left="220" w:hanging="22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-</w:t>
            </w:r>
          </w:p>
        </w:tc>
      </w:tr>
    </w:tbl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  <w:r>
        <w:br w:type="page"/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Pohľadávky, zabezpečené záložným právom alebo inou formou zabezpečenia v roku 202</w:t>
      </w:r>
      <w:r>
        <w:rPr>
          <w:rFonts w:cs="Arial Narrow" w:ascii="Arial Narrow" w:hAnsi="Arial Narrow"/>
          <w:sz w:val="22"/>
          <w:szCs w:val="22"/>
        </w:rPr>
        <w:t>4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709"/>
        <w:gridCol w:w="2248"/>
        <w:gridCol w:w="2185"/>
      </w:tblGrid>
      <w:tr>
        <w:trPr/>
        <w:tc>
          <w:tcPr>
            <w:tcW w:w="470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433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470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0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600" w:hanging="63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 </w:t>
      </w:r>
      <w:r>
        <w:rPr>
          <w:rFonts w:cs="Arial Narrow" w:ascii="Arial Narrow" w:hAnsi="Arial Narrow"/>
          <w:sz w:val="22"/>
          <w:szCs w:val="22"/>
        </w:rPr>
        <w:t>v) Spoločnosť neeviduje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daňovú pohľadávku ani odložený daňový záväzok.</w:t>
      </w:r>
    </w:p>
    <w:p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220" w:hanging="2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w)</w:t>
      </w:r>
    </w:p>
    <w:p>
      <w:pPr>
        <w:pStyle w:val="Nzov"/>
        <w:numPr>
          <w:ilvl w:val="0"/>
          <w:numId w:val="7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w) o krátkodobom finančnom majetku</w:t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186"/>
        <w:gridCol w:w="2616"/>
        <w:gridCol w:w="2378"/>
      </w:tblGrid>
      <w:tr>
        <w:trPr/>
        <w:tc>
          <w:tcPr>
            <w:tcW w:w="41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52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8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Tabuľka č. 2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802"/>
        <w:gridCol w:w="1455"/>
        <w:gridCol w:w="1152"/>
        <w:gridCol w:w="930"/>
        <w:gridCol w:w="1204"/>
        <w:gridCol w:w="1598"/>
      </w:tblGrid>
      <w:tr>
        <w:trPr/>
        <w:tc>
          <w:tcPr>
            <w:tcW w:w="28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Krátkodobý finančný majetok</w:t>
            </w:r>
          </w:p>
        </w:tc>
        <w:tc>
          <w:tcPr>
            <w:tcW w:w="6339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Bežné účtovné obdobie</w:t>
            </w:r>
          </w:p>
        </w:tc>
      </w:tr>
      <w:tr>
        <w:trPr/>
        <w:tc>
          <w:tcPr>
            <w:tcW w:w="2802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</w:t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Prírastky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Úbytky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Presuny</w:t>
            </w:r>
          </w:p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000000"/>
              </w:rPr>
            </w:pPr>
            <w:r>
              <w:rPr>
                <w:color w:val="000000"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e</w:t>
            </w:r>
          </w:p>
        </w:tc>
        <w:tc>
          <w:tcPr>
            <w:tcW w:w="15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000000"/>
              </w:rPr>
            </w:pPr>
            <w:r>
              <w:rPr>
                <w:b w:val="false"/>
                <w:color w:val="000000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>
              <w:rPr>
                <w:color w:val="000000"/>
              </w:rPr>
              <w:br/>
            </w: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25" w:hRule="atLeast"/>
        </w:trPr>
        <w:tc>
          <w:tcPr>
            <w:tcW w:w="28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  <w:tc>
          <w:tcPr>
            <w:tcW w:w="15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000000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highlight w:val="yellow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highlight w:val="yellow"/>
          <w:lang w:eastAsia="sk-SK"/>
        </w:rPr>
      </w:r>
    </w:p>
    <w:p>
      <w:pPr>
        <w:pStyle w:val="Textbody"/>
        <w:widowControl w:val="false"/>
        <w:jc w:val="left"/>
        <w:rPr>
          <w:rFonts w:ascii="Arial Narrow" w:hAnsi="Arial Narrow" w:cs="Arial Narrow"/>
          <w:i/>
          <w:i/>
          <w:sz w:val="22"/>
          <w:szCs w:val="22"/>
          <w:lang w:eastAsia="sk-SK"/>
        </w:rPr>
      </w:pPr>
      <w:r>
        <w:rPr>
          <w:rFonts w:cs="Arial Narrow" w:ascii="Arial Narrow" w:hAnsi="Arial Narrow"/>
          <w:i/>
          <w:sz w:val="22"/>
          <w:szCs w:val="22"/>
          <w:lang w:eastAsia="sk-SK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  <w:lang w:eastAsia="sk-SK"/>
        </w:rPr>
        <w:t xml:space="preserve">F .) </w:t>
      </w:r>
      <w:r>
        <w:rPr>
          <w:b w:val="false"/>
          <w:bCs w:val="false"/>
          <w:szCs w:val="22"/>
          <w:lang w:eastAsia="sk-SK"/>
        </w:rPr>
        <w:t>x)</w:t>
      </w:r>
    </w:p>
    <w:p>
      <w:pPr>
        <w:pStyle w:val="Nzov"/>
        <w:widowControl w:val="false"/>
        <w:numPr>
          <w:ilvl w:val="0"/>
          <w:numId w:val="77"/>
        </w:numPr>
        <w:ind w:left="36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21"/>
        <w:gridCol w:w="1426"/>
        <w:gridCol w:w="985"/>
        <w:gridCol w:w="1407"/>
        <w:gridCol w:w="1409"/>
        <w:gridCol w:w="1193"/>
      </w:tblGrid>
      <w:tr>
        <w:trPr/>
        <w:tc>
          <w:tcPr>
            <w:tcW w:w="27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na začiatku účtovného obdobia</w:t>
            </w:r>
          </w:p>
        </w:tc>
        <w:tc>
          <w:tcPr>
            <w:tcW w:w="9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Tvorba </w:t>
              <w:br/>
              <w:t>OP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opodstatne-nosti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Zúčtovanie OP z dôvodu vyradenia majetku z účtovníctva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Stav  OP na konci účtovného obdobia</w:t>
            </w:r>
          </w:p>
        </w:tc>
      </w:tr>
      <w:tr>
        <w:trPr/>
        <w:tc>
          <w:tcPr>
            <w:tcW w:w="27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9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  <w:tc>
          <w:tcPr>
            <w:tcW w:w="14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2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8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/>
        <w:tc>
          <w:tcPr>
            <w:tcW w:w="27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Spoločnosť v roku 2023  netvorila opravné položky ku krátkodobému finančnému majetku.</w:t>
      </w:r>
    </w:p>
    <w:p>
      <w:pPr>
        <w:pStyle w:val="Nadpis4"/>
        <w:rPr/>
      </w:pPr>
      <w:r>
        <w:rPr>
          <w:rFonts w:cs="Arial Narrow"/>
          <w:i/>
          <w:sz w:val="22"/>
          <w:szCs w:val="22"/>
        </w:rPr>
        <w:t xml:space="preserve">F .) </w:t>
      </w:r>
      <w:r>
        <w:rPr>
          <w:b w:val="false"/>
          <w:bCs w:val="false"/>
          <w:sz w:val="22"/>
          <w:szCs w:val="22"/>
        </w:rPr>
        <w:t>y)</w:t>
      </w:r>
    </w:p>
    <w:p>
      <w:pPr>
        <w:pStyle w:val="Nzov"/>
        <w:numPr>
          <w:ilvl w:val="0"/>
          <w:numId w:val="7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jc w:val="left"/>
        <w:tblInd w:w="-84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819"/>
        <w:gridCol w:w="2322"/>
      </w:tblGrid>
      <w:tr>
        <w:trPr>
          <w:trHeight w:val="397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1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852" w:leader="none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426" w:leader="none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V roku 2023 nevzniklo záložné právo na finančnom majetku ani obmedzenie práva s ním nakladať.</w:t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80" w:leader="none"/>
        </w:tabs>
        <w:ind w:left="440" w:hanging="44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F .) </w:t>
      </w:r>
      <w:r>
        <w:rPr>
          <w:rFonts w:cs="Arial Narrow" w:ascii="Arial Narrow" w:hAnsi="Arial Narrow"/>
          <w:sz w:val="22"/>
          <w:szCs w:val="22"/>
        </w:rPr>
        <w:t>z)    a.)</w:t>
      </w:r>
    </w:p>
    <w:p>
      <w:pPr>
        <w:pStyle w:val="Nzov"/>
        <w:numPr>
          <w:ilvl w:val="0"/>
          <w:numId w:val="79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358"/>
        <w:gridCol w:w="1791"/>
        <w:gridCol w:w="2240"/>
        <w:gridCol w:w="1790"/>
      </w:tblGrid>
      <w:tr>
        <w:trPr/>
        <w:tc>
          <w:tcPr>
            <w:tcW w:w="33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Krátkodobý finančný  majetok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Zvýšenie/ zníženie hodnoty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(+/-)</w:t>
            </w:r>
          </w:p>
        </w:tc>
        <w:tc>
          <w:tcPr>
            <w:tcW w:w="22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Vplyv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3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a</w:t>
            </w:r>
          </w:p>
        </w:tc>
        <w:tc>
          <w:tcPr>
            <w:tcW w:w="179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b</w:t>
            </w:r>
          </w:p>
        </w:tc>
        <w:tc>
          <w:tcPr>
            <w:tcW w:w="22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  <w:color w:val="666666"/>
              </w:rPr>
            </w:pPr>
            <w:r>
              <w:rPr>
                <w:b w:val="false"/>
                <w:color w:val="666666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335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1125" w:hanging="117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  <w:highlight w:val="yellow"/>
        </w:rPr>
      </w:pPr>
      <w:r>
        <w:rPr>
          <w:rFonts w:cs="Arial Narrow" w:ascii="Arial Narrow" w:hAnsi="Arial Narrow"/>
          <w:b/>
          <w:bCs/>
          <w:i/>
          <w:sz w:val="22"/>
          <w:szCs w:val="22"/>
          <w:highlight w:val="yellow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36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F .) </w:t>
      </w:r>
    </w:p>
    <w:p>
      <w:pPr>
        <w:pStyle w:val="Nzov"/>
        <w:numPr>
          <w:ilvl w:val="0"/>
          <w:numId w:val="8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11"/>
        <w:gridCol w:w="1271"/>
        <w:gridCol w:w="1687"/>
        <w:gridCol w:w="1061"/>
        <w:gridCol w:w="1191"/>
        <w:gridCol w:w="1552"/>
        <w:gridCol w:w="906"/>
      </w:tblGrid>
      <w:tr>
        <w:trPr>
          <w:trHeight w:val="660" w:hRule="atLeast"/>
        </w:trPr>
        <w:tc>
          <w:tcPr>
            <w:tcW w:w="15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</w:t>
              <w:br/>
              <w:t>položky</w:t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401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49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1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1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7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6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7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52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906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15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7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7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61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9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2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06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567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567" w:leader="none"/>
        </w:tabs>
        <w:jc w:val="both"/>
        <w:rPr/>
      </w:pPr>
      <w:r>
        <w:rPr>
          <w:rFonts w:cs="Arial Narrow" w:ascii="Arial Narrow" w:hAnsi="Arial Narrow"/>
          <w:sz w:val="22"/>
          <w:szCs w:val="22"/>
        </w:rPr>
        <w:t>Účtovná jednotka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majetok daný do prenájmu</w:t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870" w:leader="none"/>
        </w:tabs>
        <w:ind w:left="435" w:hanging="43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  <w:t>G.)   Údaje vykázané na strane pasív súvahy</w:t>
      </w:r>
    </w:p>
    <w:p>
      <w:pPr>
        <w:pStyle w:val="Standard"/>
        <w:numPr>
          <w:ilvl w:val="0"/>
          <w:numId w:val="81"/>
        </w:numPr>
        <w:tabs>
          <w:tab w:val="clear" w:pos="708"/>
          <w:tab w:val="left" w:pos="720" w:leader="none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cs="Arial Narrow" w:ascii="Arial Narrow" w:hAnsi="Arial Narrow"/>
          <w:bCs/>
        </w:rPr>
        <w:t>Vlastné imanie</w:t>
      </w:r>
    </w:p>
    <w:p>
      <w:pPr>
        <w:pStyle w:val="Standard"/>
        <w:tabs>
          <w:tab w:val="clear" w:pos="708"/>
          <w:tab w:val="left" w:pos="1572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Stav základného imania k 31.12.202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tvoril </w:t>
      </w:r>
      <w:r>
        <w:rPr>
          <w:rFonts w:cs="Arial Narrow" w:ascii="Arial Narrow" w:hAnsi="Arial Narrow"/>
          <w:sz w:val="22"/>
          <w:szCs w:val="22"/>
        </w:rPr>
        <w:t>5</w:t>
      </w:r>
      <w:r>
        <w:rPr>
          <w:rFonts w:cs="Arial Narrow" w:ascii="Arial Narrow" w:hAnsi="Arial Narrow"/>
          <w:sz w:val="22"/>
          <w:szCs w:val="22"/>
        </w:rPr>
        <w:t xml:space="preserve">000,- € </w:t>
      </w:r>
      <w:r>
        <w:br w:type="page"/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tabs>
          <w:tab w:val="clear" w:pos="708"/>
          <w:tab w:val="left" w:pos="1572" w:leader="none"/>
        </w:tabs>
        <w:ind w:left="786" w:hanging="765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a) 3.</w:t>
      </w:r>
    </w:p>
    <w:p>
      <w:pPr>
        <w:pStyle w:val="Nzov"/>
        <w:numPr>
          <w:ilvl w:val="0"/>
          <w:numId w:val="8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76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8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6691"/>
        <w:gridCol w:w="2488"/>
      </w:tblGrid>
      <w:tr>
        <w:trPr>
          <w:trHeight w:val="330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425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tabs>
          <w:tab w:val="clear" w:pos="708"/>
          <w:tab w:val="left" w:pos="725" w:leader="none"/>
          <w:tab w:val="left" w:pos="1335" w:leader="none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tabs>
          <w:tab w:val="clear" w:pos="708"/>
          <w:tab w:val="left" w:pos="1556" w:leader="none"/>
        </w:tabs>
        <w:ind w:left="786" w:hanging="360"/>
        <w:jc w:val="both"/>
        <w:rPr/>
      </w:pPr>
      <w:r>
        <w:rPr/>
      </w:r>
    </w:p>
    <w:p>
      <w:pPr>
        <w:pStyle w:val="Standard"/>
        <w:jc w:val="both"/>
        <w:rPr/>
      </w:pPr>
      <w:r>
        <w:rPr>
          <w:rFonts w:eastAsia="Arial Narrow"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eastAsia="Arial Narrow" w:cs="Arial Narrow" w:ascii="Arial Narrow" w:hAnsi="Arial Narrow"/>
          <w:i/>
          <w:sz w:val="22"/>
          <w:szCs w:val="22"/>
        </w:rPr>
        <w:t>b</w:t>
      </w:r>
      <w:r>
        <w:rPr>
          <w:rFonts w:eastAsia="Arial Narrow" w:cs="Arial Narrow" w:ascii="Arial Narrow" w:hAnsi="Arial Narrow"/>
          <w:sz w:val="22"/>
          <w:szCs w:val="22"/>
        </w:rPr>
        <w:t xml:space="preserve">)  </w:t>
      </w:r>
    </w:p>
    <w:p>
      <w:pPr>
        <w:pStyle w:val="Nzov"/>
        <w:numPr>
          <w:ilvl w:val="0"/>
          <w:numId w:val="8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jc w:val="left"/>
        <w:tblInd w:w="-97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460"/>
        <w:gridCol w:w="1934"/>
        <w:gridCol w:w="1005"/>
        <w:gridCol w:w="1126"/>
        <w:gridCol w:w="1109"/>
        <w:gridCol w:w="1517"/>
      </w:tblGrid>
      <w:tr>
        <w:trPr>
          <w:trHeight w:val="330" w:hRule="atLeast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91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60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4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1"/>
              <w:bottom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2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120" w:after="0"/>
        <w:rPr/>
      </w:pPr>
      <w:r>
        <w:rPr/>
      </w:r>
    </w:p>
    <w:p>
      <w:pPr>
        <w:pStyle w:val="Standard"/>
        <w:spacing w:before="120" w:after="0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</w:t>
      </w:r>
      <w:r>
        <w:rPr>
          <w:rFonts w:cs="Arial Narrow" w:ascii="Arial Narrow" w:hAnsi="Arial Narrow"/>
          <w:i/>
          <w:sz w:val="22"/>
          <w:szCs w:val="22"/>
        </w:rPr>
        <w:t>c-d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4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706"/>
        <w:gridCol w:w="2887"/>
        <w:gridCol w:w="2587"/>
      </w:tblGrid>
      <w:tr>
        <w:trPr>
          <w:trHeight w:val="920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b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b/>
                <w:bCs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3706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2587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706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587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rPr/>
      </w:pPr>
      <w:r>
        <w:rPr/>
      </w:r>
    </w:p>
    <w:tbl>
      <w:tblPr>
        <w:tblW w:w="2219" w:type="dxa"/>
        <w:jc w:val="left"/>
        <w:tblInd w:w="12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219"/>
      </w:tblGrid>
      <w:tr>
        <w:trPr>
          <w:trHeight w:val="345" w:hRule="atLeast"/>
        </w:trPr>
        <w:tc>
          <w:tcPr>
            <w:tcW w:w="2219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e) Spoločnosť 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záväzky zabezpečené záložným právom, alebo inou formou zabezpečenia.</w:t>
      </w:r>
    </w:p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ind w:left="264" w:hanging="264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</w:t>
      </w:r>
      <w:r>
        <w:rPr>
          <w:b w:val="false"/>
          <w:sz w:val="22"/>
          <w:szCs w:val="22"/>
        </w:rPr>
        <w:t>f)</w:t>
      </w:r>
    </w:p>
    <w:p>
      <w:pPr>
        <w:pStyle w:val="Nzov"/>
        <w:widowControl w:val="false"/>
        <w:numPr>
          <w:ilvl w:val="0"/>
          <w:numId w:val="85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4925"/>
        <w:gridCol w:w="2183"/>
        <w:gridCol w:w="2072"/>
      </w:tblGrid>
      <w:tr>
        <w:trPr>
          <w:trHeight w:val="990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2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720" w:hanging="0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6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49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3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40" w:hRule="atLeast"/>
        </w:trPr>
        <w:tc>
          <w:tcPr>
            <w:tcW w:w="492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72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  <w:r>
        <w:rPr>
          <w:rFonts w:eastAsia="Arial Narrow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g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numPr>
          <w:ilvl w:val="0"/>
          <w:numId w:val="86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2618"/>
        <w:gridCol w:w="2655"/>
      </w:tblGrid>
      <w:tr>
        <w:trPr>
          <w:trHeight w:val="825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</w:tbl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>h</w:t>
      </w:r>
      <w:r>
        <w:rPr>
          <w:rFonts w:cs="Arial Narrow" w:ascii="Arial Narrow" w:hAnsi="Arial Narrow"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8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164"/>
        <w:gridCol w:w="1405"/>
        <w:gridCol w:w="1401"/>
        <w:gridCol w:w="1401"/>
        <w:gridCol w:w="1402"/>
        <w:gridCol w:w="1406"/>
      </w:tblGrid>
      <w:tr>
        <w:trPr>
          <w:trHeight w:val="345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6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Dlhopisy 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neemitovala.</w:t>
      </w:r>
    </w:p>
    <w:p>
      <w:pPr>
        <w:pStyle w:val="Textbody"/>
        <w:widowControl w:val="false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Standard"/>
        <w:ind w:left="1125" w:hanging="117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 </w:t>
      </w:r>
      <w:r>
        <w:rPr>
          <w:rFonts w:cs="Arial Narrow" w:ascii="Arial Narrow" w:hAnsi="Arial Narrow"/>
          <w:sz w:val="22"/>
          <w:szCs w:val="22"/>
        </w:rPr>
        <w:t>i )</w:t>
      </w:r>
    </w:p>
    <w:p>
      <w:pPr>
        <w:pStyle w:val="Nzov"/>
        <w:widowControl w:val="false"/>
        <w:numPr>
          <w:ilvl w:val="0"/>
          <w:numId w:val="88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40"/>
        <w:gridCol w:w="842"/>
        <w:gridCol w:w="1253"/>
        <w:gridCol w:w="1399"/>
        <w:gridCol w:w="1561"/>
        <w:gridCol w:w="1079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4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5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snapToGrid w:val="false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  <w:p>
            <w:pPr>
              <w:pStyle w:val="Textbody"/>
              <w:widowControl w:val="false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4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84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center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5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Textbody"/>
              <w:widowControl w:val="false"/>
              <w:jc w:val="left"/>
              <w:rPr>
                <w:rFonts w:ascii="Arial Narrow" w:hAnsi="Arial Narrow"/>
                <w:b w:val="false"/>
                <w:b w:val="false"/>
                <w:sz w:val="22"/>
                <w:szCs w:val="22"/>
              </w:rPr>
            </w:pPr>
            <w:r>
              <w:rPr>
                <w:rFonts w:ascii="Arial Narrow" w:hAnsi="Arial Narrow"/>
                <w:b w:val="false"/>
                <w:sz w:val="22"/>
                <w:szCs w:val="22"/>
              </w:rPr>
            </w:r>
          </w:p>
        </w:tc>
        <w:tc>
          <w:tcPr>
            <w:tcW w:w="107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Textbody"/>
        <w:widowControl w:val="false"/>
        <w:ind w:left="284" w:hanging="284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205"/>
        <w:gridCol w:w="870"/>
        <w:gridCol w:w="812"/>
        <w:gridCol w:w="1261"/>
        <w:gridCol w:w="1401"/>
        <w:gridCol w:w="1119"/>
        <w:gridCol w:w="1511"/>
      </w:tblGrid>
      <w:tr>
        <w:trPr>
          <w:trHeight w:val="990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 xml:space="preserve"> </w:t>
            </w:r>
            <w:r>
              <w:rPr>
                <w:color w:val="666666"/>
              </w:rPr>
              <w:t>za bežné účtovné obdobie</w:t>
            </w:r>
          </w:p>
        </w:tc>
        <w:tc>
          <w:tcPr>
            <w:tcW w:w="15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30" w:hRule="atLeast"/>
        </w:trPr>
        <w:tc>
          <w:tcPr>
            <w:tcW w:w="9179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45" w:hRule="atLeast"/>
        </w:trPr>
        <w:tc>
          <w:tcPr>
            <w:tcW w:w="9179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2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  <w:tc>
          <w:tcPr>
            <w:tcW w:w="151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color w:val="666666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ind w:left="1125" w:hanging="1170"/>
        <w:jc w:val="both"/>
        <w:rPr/>
      </w:pPr>
      <w:r>
        <w:rPr/>
      </w:r>
    </w:p>
    <w:p>
      <w:pPr>
        <w:pStyle w:val="Standard"/>
        <w:spacing w:before="0" w:after="120"/>
        <w:ind w:left="690" w:hanging="690"/>
        <w:jc w:val="both"/>
        <w:rPr>
          <w:rFonts w:ascii="Arial Narrow" w:hAnsi="Arial Narrow" w:cs="Arial Narrow"/>
          <w:b/>
          <w:b/>
          <w:bCs/>
          <w:i/>
          <w:i/>
          <w:sz w:val="22"/>
          <w:szCs w:val="22"/>
        </w:rPr>
      </w:pPr>
      <w:r>
        <w:rPr>
          <w:rFonts w:cs="Arial Narrow" w:ascii="Arial Narrow" w:hAnsi="Arial Narrow"/>
          <w:b/>
          <w:bCs/>
          <w:i/>
          <w:sz w:val="22"/>
          <w:szCs w:val="22"/>
        </w:rPr>
      </w:r>
    </w:p>
    <w:p>
      <w:pPr>
        <w:pStyle w:val="Standard"/>
        <w:spacing w:before="0" w:after="120"/>
        <w:ind w:left="690" w:hanging="69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G .)  </w:t>
      </w:r>
      <w:r>
        <w:rPr>
          <w:rFonts w:cs="Arial Narrow" w:ascii="Arial Narrow" w:hAnsi="Arial Narrow"/>
          <w:i/>
          <w:sz w:val="22"/>
          <w:szCs w:val="22"/>
        </w:rPr>
        <w:t xml:space="preserve">j </w:t>
      </w:r>
      <w:r>
        <w:rPr>
          <w:rFonts w:cs="Arial Narrow" w:ascii="Arial Narrow" w:hAnsi="Arial Narrow"/>
          <w:sz w:val="22"/>
          <w:szCs w:val="22"/>
        </w:rPr>
        <w:t xml:space="preserve">) </w:t>
      </w:r>
      <w:r>
        <w:rPr>
          <w:rFonts w:cs="Arial Narrow" w:ascii="Arial Narrow" w:hAnsi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>
      <w:pPr>
        <w:pStyle w:val="Nzov"/>
        <w:numPr>
          <w:ilvl w:val="0"/>
          <w:numId w:val="89"/>
        </w:numPr>
        <w:ind w:left="360" w:hanging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16"/>
        <w:gridCol w:w="1472"/>
        <w:gridCol w:w="1612"/>
        <w:gridCol w:w="2179"/>
      </w:tblGrid>
      <w:tr>
        <w:trPr>
          <w:trHeight w:val="278" w:hRule="atLeast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16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 obchodovanie, z toho:</w:t>
            </w:r>
          </w:p>
        </w:tc>
        <w:tc>
          <w:tcPr>
            <w:tcW w:w="147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Tabuľka č. 2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3907"/>
        <w:gridCol w:w="1664"/>
        <w:gridCol w:w="978"/>
        <w:gridCol w:w="1679"/>
        <w:gridCol w:w="952"/>
      </w:tblGrid>
      <w:tr>
        <w:trPr>
          <w:trHeight w:val="622" w:hRule="atLeast"/>
        </w:trPr>
        <w:tc>
          <w:tcPr>
            <w:tcW w:w="3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31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07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390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7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7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52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/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 neevidovala deriváty.</w:t>
      </w:r>
    </w:p>
    <w:p>
      <w:pPr>
        <w:pStyle w:val="Textbody"/>
        <w:widowControl w:val="false"/>
        <w:ind w:left="360" w:hanging="360"/>
        <w:jc w:val="left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 w:cs="Arial Narrow"/>
          <w:i/>
          <w:i/>
          <w:sz w:val="22"/>
          <w:szCs w:val="22"/>
        </w:rPr>
      </w:pPr>
      <w:r>
        <w:rPr>
          <w:rFonts w:cs="Arial Narrow" w:ascii="Arial Narrow" w:hAnsi="Arial Narrow"/>
          <w:i/>
          <w:sz w:val="22"/>
          <w:szCs w:val="22"/>
        </w:rPr>
      </w:r>
    </w:p>
    <w:p>
      <w:pPr>
        <w:pStyle w:val="Textbody"/>
        <w:widowControl w:val="false"/>
        <w:jc w:val="left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 xml:space="preserve">l)   </w:t>
      </w:r>
    </w:p>
    <w:p>
      <w:pPr>
        <w:pStyle w:val="Nzov"/>
        <w:widowControl w:val="false"/>
        <w:numPr>
          <w:ilvl w:val="0"/>
          <w:numId w:val="90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238"/>
        <w:gridCol w:w="1960"/>
        <w:gridCol w:w="1982"/>
      </w:tblGrid>
      <w:tr>
        <w:trPr>
          <w:trHeight w:val="352" w:hRule="atLeast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3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ind w:left="709" w:hanging="709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Majetok a záväzky zabezpečené derivátmi 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neevidovala.</w:t>
      </w:r>
    </w:p>
    <w:p>
      <w:pPr>
        <w:pStyle w:val="Textbody"/>
        <w:widowControl w:val="false"/>
        <w:ind w:left="360" w:hanging="360"/>
        <w:jc w:val="left"/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</w:r>
    </w:p>
    <w:p>
      <w:pPr>
        <w:pStyle w:val="Textbody"/>
        <w:ind w:left="709" w:hanging="709"/>
        <w:rPr/>
      </w:pPr>
      <w:r>
        <w:rPr>
          <w:rFonts w:cs="Arial Narrow" w:ascii="Arial Narrow" w:hAnsi="Arial Narrow"/>
          <w:i/>
          <w:sz w:val="22"/>
          <w:szCs w:val="22"/>
        </w:rPr>
        <w:t xml:space="preserve">G .)   </w:t>
      </w:r>
      <w:r>
        <w:rPr>
          <w:b w:val="false"/>
          <w:sz w:val="22"/>
          <w:szCs w:val="22"/>
        </w:rPr>
        <w:t>m)</w:t>
      </w:r>
    </w:p>
    <w:p>
      <w:pPr>
        <w:pStyle w:val="Nzov"/>
        <w:widowControl w:val="false"/>
        <w:numPr>
          <w:ilvl w:val="0"/>
          <w:numId w:val="91"/>
        </w:numPr>
        <w:ind w:left="36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1578"/>
        <w:gridCol w:w="1205"/>
        <w:gridCol w:w="1452"/>
        <w:gridCol w:w="1098"/>
        <w:gridCol w:w="1224"/>
        <w:gridCol w:w="1503"/>
        <w:gridCol w:w="1119"/>
      </w:tblGrid>
      <w:tr>
        <w:trPr>
          <w:trHeight w:val="571" w:hRule="atLeast"/>
        </w:trPr>
        <w:tc>
          <w:tcPr>
            <w:tcW w:w="157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3755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78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7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503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19" w:type="dxa"/>
            <w:tcBorders>
              <w:bottom w:val="single" w:sz="4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157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 </w:t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52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24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03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9" w:type="dxa"/>
            <w:tcBorders>
              <w:bottom w:val="single" w:sz="12" w:space="0" w:color="000001"/>
              <w:right w:val="single" w:sz="8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Normal"/>
        <w:rPr>
          <w:vanish/>
        </w:rPr>
      </w:pPr>
      <w:r>
        <w:rPr>
          <w:vanish/>
        </w:rPr>
      </w:r>
    </w:p>
    <w:p>
      <w:pPr>
        <w:pStyle w:val="Standard"/>
        <w:spacing w:before="0" w:after="120"/>
        <w:ind w:left="360" w:hanging="36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b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widowControl w:val="false"/>
        <w:numPr>
          <w:ilvl w:val="0"/>
          <w:numId w:val="92"/>
        </w:numPr>
        <w:ind w:left="36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501"/>
        <w:gridCol w:w="1127"/>
        <w:gridCol w:w="1243"/>
        <w:gridCol w:w="1399"/>
        <w:gridCol w:w="1121"/>
        <w:gridCol w:w="1894"/>
      </w:tblGrid>
      <w:tr>
        <w:trPr>
          <w:trHeight w:val="990" w:hRule="atLeast"/>
        </w:trPr>
        <w:tc>
          <w:tcPr>
            <w:tcW w:w="250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42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501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0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Nedokončená výroba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7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39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/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50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705" w:hRule="atLeast"/>
        </w:trPr>
        <w:tc>
          <w:tcPr>
            <w:tcW w:w="25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39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rPr/>
      </w:pPr>
      <w:r>
        <w:rPr/>
      </w:r>
    </w:p>
    <w:p>
      <w:pPr>
        <w:pStyle w:val="Standard"/>
        <w:rPr/>
      </w:pPr>
      <w:r>
        <w:rPr/>
      </w:r>
      <w:r>
        <w:br w:type="page"/>
      </w:r>
    </w:p>
    <w:p>
      <w:pPr>
        <w:pStyle w:val="Standard"/>
        <w:rPr/>
      </w:pPr>
      <w:r>
        <w:rPr/>
      </w:r>
    </w:p>
    <w:p>
      <w:pPr>
        <w:pStyle w:val="Standard"/>
        <w:rPr/>
      </w:pPr>
      <w:r>
        <w:rPr/>
        <w:t>Rok 2017</w:t>
      </w:r>
    </w:p>
    <w:tbl>
      <w:tblPr>
        <w:tblW w:w="9538" w:type="dxa"/>
        <w:jc w:val="left"/>
        <w:tblInd w:w="16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555"/>
        <w:gridCol w:w="1202"/>
        <w:gridCol w:w="1254"/>
        <w:gridCol w:w="1302"/>
        <w:gridCol w:w="1268"/>
        <w:gridCol w:w="1956"/>
      </w:tblGrid>
      <w:tr>
        <w:trPr>
          <w:trHeight w:val="729" w:hRule="atLeast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2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>
        <w:trPr>
          <w:trHeight w:val="796" w:hRule="atLeast"/>
        </w:trPr>
        <w:tc>
          <w:tcPr>
            <w:tcW w:w="255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02" w:type="dxa"/>
            <w:vMerge w:val="continue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4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f</w:t>
            </w:r>
          </w:p>
        </w:tc>
      </w:tr>
      <w:tr>
        <w:trPr>
          <w:trHeight w:val="349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ind w:left="360" w:hanging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  <w:tr>
        <w:trPr>
          <w:trHeight w:val="705" w:hRule="atLeast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2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5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215" w:after="221"/>
        <w:ind w:left="990" w:hanging="975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c – e)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>
      <w:pPr>
        <w:pStyle w:val="Standard"/>
        <w:keepNext w:val="true"/>
        <w:spacing w:before="0" w:after="2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2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sz w:val="22"/>
          <w:szCs w:val="22"/>
        </w:rPr>
        <w:t>f) O výnosoch, ktoré majú výnimočný rozsah alebo výskyt v roku 202</w:t>
      </w:r>
      <w:r>
        <w:rPr>
          <w:rFonts w:cs="Arial Narrow" w:ascii="Arial Narrow" w:hAnsi="Arial Narrow"/>
          <w:bCs/>
          <w:sz w:val="22"/>
          <w:szCs w:val="22"/>
        </w:rPr>
        <w:t>4</w:t>
      </w:r>
      <w:r>
        <w:rPr>
          <w:rFonts w:cs="Arial Narrow" w:ascii="Arial Narrow" w:hAnsi="Arial Narrow"/>
          <w:bCs/>
          <w:sz w:val="22"/>
          <w:szCs w:val="22"/>
        </w:rPr>
        <w:t xml:space="preserve"> účtovná jednotka neúčtovala.</w:t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Standard"/>
        <w:spacing w:before="0" w:after="120"/>
        <w:ind w:left="360" w:hanging="360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H.)</w:t>
      </w:r>
      <w:r>
        <w:rPr>
          <w:rFonts w:cs="Arial Narrow" w:ascii="Arial Narrow" w:hAnsi="Arial Narrow"/>
          <w:bCs/>
          <w:i/>
          <w:sz w:val="22"/>
          <w:szCs w:val="22"/>
        </w:rPr>
        <w:t xml:space="preserve">  g</w:t>
      </w:r>
      <w:r>
        <w:rPr>
          <w:rFonts w:cs="Arial Narrow" w:ascii="Arial Narrow" w:hAnsi="Arial Narrow"/>
          <w:bCs/>
          <w:sz w:val="22"/>
          <w:szCs w:val="22"/>
        </w:rPr>
        <w:t>)</w:t>
      </w:r>
    </w:p>
    <w:p>
      <w:pPr>
        <w:pStyle w:val="Nzov"/>
        <w:numPr>
          <w:ilvl w:val="0"/>
          <w:numId w:val="93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817"/>
        <w:gridCol w:w="1681"/>
        <w:gridCol w:w="1682"/>
      </w:tblGrid>
      <w:tr>
        <w:trPr>
          <w:trHeight w:val="1005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Arial Narrow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69" w:hRule="atLeast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b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</w:tbl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>
      <w:pPr>
        <w:pStyle w:val="Textbody"/>
        <w:rPr/>
      </w:pPr>
      <w:r>
        <w:rPr/>
      </w:r>
    </w:p>
    <w:p>
      <w:pPr>
        <w:pStyle w:val="Standard"/>
        <w:keepNext w:val="true"/>
        <w:rPr/>
      </w:pPr>
      <w:r>
        <w:rPr>
          <w:rFonts w:cs="Arial Narrow" w:ascii="Arial Narrow" w:hAnsi="Arial Narrow"/>
          <w:bCs/>
          <w:sz w:val="22"/>
          <w:szCs w:val="22"/>
        </w:rPr>
        <w:t>I)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Informácie k časti I. prílohy č. 3 o nákladoch</w:t>
      </w:r>
    </w:p>
    <w:p>
      <w:pPr>
        <w:pStyle w:val="Standard"/>
        <w:keepNext w:val="true"/>
        <w:ind w:left="284" w:hanging="0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Špecifikácia významných položiek nákladov na poskytnuté služby</w:t>
      </w:r>
    </w:p>
    <w:p>
      <w:pPr>
        <w:pStyle w:val="Standard"/>
        <w:keepNext w:val="true"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 Špecifikácia významných položiek ostatných nákladov z hosp. činností</w:t>
      </w:r>
    </w:p>
    <w:p>
      <w:pPr>
        <w:pStyle w:val="Textbody"/>
        <w:ind w:firstLine="284"/>
        <w:rPr/>
      </w:pPr>
      <w:r>
        <w:rPr>
          <w:b w:val="false"/>
          <w:sz w:val="22"/>
          <w:szCs w:val="22"/>
        </w:rPr>
        <w:t xml:space="preserve">c) </w:t>
      </w:r>
      <w:r>
        <w:rPr>
          <w:rFonts w:ascii="Arial Narrow" w:hAnsi="Arial Narrow"/>
          <w:b w:val="false"/>
          <w:sz w:val="22"/>
          <w:szCs w:val="22"/>
        </w:rPr>
        <w:t>Špecifikácia významných položiek finančných nákladov</w:t>
      </w:r>
    </w:p>
    <w:tbl>
      <w:tblPr>
        <w:tblW w:w="9571" w:type="dxa"/>
        <w:jc w:val="left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287"/>
        <w:gridCol w:w="2180"/>
        <w:gridCol w:w="2104"/>
      </w:tblGrid>
      <w:tr>
        <w:trPr>
          <w:trHeight w:val="85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  <w:t>Náklady za 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b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b/>
                <w:bCs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</w:tr>
      <w:tr>
        <w:trPr>
          <w:trHeight w:val="377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1046" w:right="7" w:hanging="1055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ind w:left="492" w:right="12" w:hanging="510"/>
              <w:rPr/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  <w:t>Spotreba materiálu, energie a nesklad. dodávok</w:t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SimSun" w:cs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pPr>
            <w:r>
              <w:rPr>
                <w:rFonts w:eastAsia="SimSun" w:cs="Arial Narrow" w:ascii="Arial Narrow" w:hAnsi="Arial Narrow"/>
                <w:color w:val="000000"/>
                <w:kern w:val="2"/>
                <w:sz w:val="22"/>
                <w:szCs w:val="22"/>
                <w:lang w:val="sk-SK" w:eastAsia="zh-CN" w:bidi="hi-IN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Times New Roman" w:hAnsi="Times New Roman"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pPr>
            <w:r>
              <w:rPr>
                <w:rFonts w:eastAsia="SimSun" w:cs="Mangal"/>
                <w:color w:val="auto"/>
                <w:kern w:val="2"/>
                <w:sz w:val="24"/>
                <w:szCs w:val="24"/>
                <w:lang w:val="sk-SK" w:eastAsia="zh-CN" w:bidi="hi-IN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eastAsia="Arial Narrow" w:cs="Arial Narrow"/>
                <w:color w:val="000000"/>
                <w:sz w:val="22"/>
                <w:szCs w:val="22"/>
              </w:rPr>
            </w:pPr>
            <w:r>
              <w:rPr>
                <w:rFonts w:eastAsia="Arial Narrow"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747" w:right="-3" w:hanging="0"/>
              <w:jc w:val="both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57" w:hRule="atLeast"/>
        </w:trPr>
        <w:tc>
          <w:tcPr>
            <w:tcW w:w="5287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ind w:left="522" w:right="-3" w:hanging="0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bottom"/>
          </w:tcPr>
          <w:p>
            <w:pPr>
              <w:pStyle w:val="Standard"/>
              <w:widowControl w:val="false"/>
              <w:jc w:val="center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/>
            </w:pPr>
            <w:r>
              <w:rPr/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5287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80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  <w:tc>
          <w:tcPr>
            <w:tcW w:w="2104" w:type="dxa"/>
            <w:tcBorders/>
            <w:shd w:color="auto" w:fill="auto" w:val="clear"/>
            <w:vAlign w:val="center"/>
          </w:tcPr>
          <w:p>
            <w:pPr>
              <w:pStyle w:val="Standard"/>
              <w:widowControl w:val="false"/>
              <w:snapToGrid w:val="false"/>
              <w:rPr>
                <w:rFonts w:ascii="Arial Narrow" w:hAnsi="Arial Narrow" w:cs="Arial Narrow"/>
                <w:b/>
                <w:b/>
                <w:bCs/>
                <w:color w:val="000000"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color w:val="000000"/>
                <w:sz w:val="22"/>
                <w:szCs w:val="22"/>
              </w:rPr>
            </w:r>
          </w:p>
        </w:tc>
      </w:tr>
    </w:tbl>
    <w:p>
      <w:pPr>
        <w:pStyle w:val="Textbody"/>
        <w:numPr>
          <w:ilvl w:val="0"/>
          <w:numId w:val="2"/>
        </w:numPr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 xml:space="preserve">J.)  </w:t>
      </w:r>
      <w:r>
        <w:rPr>
          <w:b w:val="false"/>
          <w:sz w:val="22"/>
          <w:szCs w:val="22"/>
        </w:rPr>
        <w:t>a-e)</w:t>
      </w:r>
    </w:p>
    <w:p>
      <w:pPr>
        <w:pStyle w:val="Nzov"/>
        <w:numPr>
          <w:ilvl w:val="0"/>
          <w:numId w:val="94"/>
        </w:numPr>
        <w:shd w:val="clear" w:color="auto" w:fill="FFFFFF"/>
        <w:ind w:left="36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5709"/>
        <w:gridCol w:w="1612"/>
        <w:gridCol w:w="34"/>
        <w:gridCol w:w="1825"/>
      </w:tblGrid>
      <w:tr>
        <w:trPr>
          <w:trHeight w:val="840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46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6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6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567" w:hRule="atLeast"/>
        </w:trPr>
        <w:tc>
          <w:tcPr>
            <w:tcW w:w="570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6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</w:tbl>
    <w:p>
      <w:pPr>
        <w:pStyle w:val="Textbody"/>
        <w:rPr>
          <w:b w:val="false"/>
          <w:b w:val="false"/>
          <w:sz w:val="22"/>
          <w:szCs w:val="22"/>
        </w:rPr>
      </w:pPr>
      <w:r>
        <w:rPr>
          <w:b w:val="false"/>
          <w:sz w:val="22"/>
          <w:szCs w:val="22"/>
        </w:rPr>
      </w:r>
    </w:p>
    <w:p>
      <w:pPr>
        <w:pStyle w:val="Textbody"/>
        <w:shd w:val="clear" w:color="auto" w:fill="FFFFFF"/>
        <w:rPr>
          <w:i/>
          <w:i/>
          <w:sz w:val="22"/>
          <w:szCs w:val="22"/>
        </w:rPr>
      </w:pPr>
      <w:r>
        <w:rPr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i/>
          <w:sz w:val="22"/>
          <w:szCs w:val="22"/>
        </w:rPr>
        <w:t>J.)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odloženú daňovú pohľadávku týkajúcu sa umorenia daňovej straty, nevyužitých daňových odpočtov, iných nárokov ako aj dočasných rozdielov z predchádzajúcich účtovných období neevidovala .</w:t>
      </w:r>
    </w:p>
    <w:p>
      <w:pPr>
        <w:pStyle w:val="Textbody"/>
        <w:numPr>
          <w:ilvl w:val="0"/>
          <w:numId w:val="3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Účtovná jednotka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>
      <w:pPr>
        <w:pStyle w:val="Textbody"/>
        <w:numPr>
          <w:ilvl w:val="0"/>
          <w:numId w:val="95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Spoločnosť  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>
      <w:pPr>
        <w:pStyle w:val="Textbody"/>
        <w:numPr>
          <w:ilvl w:val="0"/>
          <w:numId w:val="96"/>
        </w:numPr>
        <w:rPr>
          <w:rFonts w:ascii="Arial Narrow" w:hAnsi="Arial Narrow"/>
          <w:b w:val="false"/>
          <w:b w:val="false"/>
          <w:sz w:val="22"/>
          <w:szCs w:val="22"/>
        </w:rPr>
      </w:pPr>
      <w:r>
        <w:rPr>
          <w:rFonts w:ascii="Arial Narrow" w:hAnsi="Arial Narrow"/>
          <w:b w:val="false"/>
          <w:sz w:val="22"/>
          <w:szCs w:val="22"/>
        </w:rPr>
        <w:t>V roku 202</w:t>
      </w:r>
      <w:r>
        <w:rPr>
          <w:rFonts w:ascii="Arial Narrow" w:hAnsi="Arial Narrow"/>
          <w:b w:val="false"/>
          <w:sz w:val="22"/>
          <w:szCs w:val="22"/>
        </w:rPr>
        <w:t>4</w:t>
      </w:r>
      <w:r>
        <w:rPr>
          <w:rFonts w:ascii="Arial Narrow" w:hAnsi="Arial Narrow"/>
          <w:b w:val="false"/>
          <w:sz w:val="22"/>
          <w:szCs w:val="22"/>
        </w:rPr>
        <w:t xml:space="preserve"> nebola účtovaná odložená daň z príjmov, ktorá sa vzťahuje k položkám účtovaným priamo na účty vlastného imania bez účtovania na účty nákladov a výnosov.</w:t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>
          <w:rFonts w:ascii="Arial Narrow" w:hAnsi="Arial Narrow"/>
          <w:i/>
          <w:i/>
          <w:sz w:val="22"/>
          <w:szCs w:val="22"/>
        </w:rPr>
      </w:pPr>
      <w:r>
        <w:rPr>
          <w:rFonts w:ascii="Arial Narrow" w:hAnsi="Arial Narrow"/>
          <w:i/>
          <w:sz w:val="22"/>
          <w:szCs w:val="22"/>
        </w:rPr>
      </w:r>
    </w:p>
    <w:p>
      <w:pPr>
        <w:pStyle w:val="Textbody"/>
        <w:shd w:val="clear" w:color="auto" w:fill="FFFFFF"/>
        <w:rPr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false"/>
          <w:bCs w:val="false"/>
          <w:i/>
          <w:sz w:val="22"/>
          <w:szCs w:val="22"/>
        </w:rPr>
        <w:t>f ) a  g )</w:t>
      </w:r>
    </w:p>
    <w:p>
      <w:pPr>
        <w:pStyle w:val="Nzov"/>
        <w:widowControl w:val="false"/>
        <w:numPr>
          <w:ilvl w:val="0"/>
          <w:numId w:val="97"/>
        </w:numPr>
        <w:ind w:left="36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jc w:val="left"/>
        <w:tblInd w:w="-123" w:type="dxa"/>
        <w:tblLayout w:type="fixed"/>
        <w:tblCellMar>
          <w:top w:w="0" w:type="dxa"/>
          <w:left w:w="15" w:type="dxa"/>
          <w:bottom w:w="0" w:type="dxa"/>
          <w:right w:w="15" w:type="dxa"/>
        </w:tblCellMar>
        <w:tblLook w:val="0000"/>
      </w:tblPr>
      <w:tblGrid>
        <w:gridCol w:w="2765"/>
        <w:gridCol w:w="1683"/>
        <w:gridCol w:w="786"/>
        <w:gridCol w:w="657"/>
        <w:gridCol w:w="1923"/>
        <w:gridCol w:w="705"/>
        <w:gridCol w:w="660"/>
      </w:tblGrid>
      <w:tr>
        <w:trPr>
          <w:trHeight w:val="642" w:hRule="atLeast"/>
        </w:trPr>
        <w:tc>
          <w:tcPr>
            <w:tcW w:w="276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12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65" w:type="dxa"/>
            <w:vMerge w:val="continue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/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Výsledok hospodárenia </w:t>
            </w:r>
            <w:r>
              <w:rPr/>
              <w:br/>
            </w: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86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6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23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-</w:t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57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0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76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786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657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19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eastAsia="SimSun" w:cs="Times New Roman"/>
                <w:color w:val="auto"/>
                <w:kern w:val="2"/>
                <w:sz w:val="22"/>
                <w:szCs w:val="22"/>
                <w:lang w:val="sk-SK" w:eastAsia="en-US" w:bidi="ar-SA"/>
              </w:rPr>
            </w:pPr>
            <w:r>
              <w:rPr>
                <w:rFonts w:eastAsia="SimSun" w:cs="Times New Roman" w:ascii="Arial Narrow" w:hAnsi="Arial Narrow"/>
                <w:color w:val="auto"/>
                <w:kern w:val="2"/>
                <w:sz w:val="22"/>
                <w:szCs w:val="22"/>
                <w:lang w:val="sk-SK" w:eastAsia="en-US" w:bidi="ar-SA"/>
              </w:rPr>
            </w:r>
          </w:p>
        </w:tc>
        <w:tc>
          <w:tcPr>
            <w:tcW w:w="705" w:type="dxa"/>
            <w:tcBorders>
              <w:bottom w:val="single" w:sz="12" w:space="0" w:color="000001"/>
              <w:right w:val="single" w:sz="4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  <w:tc>
          <w:tcPr>
            <w:tcW w:w="660" w:type="dxa"/>
            <w:tcBorders>
              <w:bottom w:val="single" w:sz="12" w:space="0" w:color="000001"/>
              <w:right w:val="single" w:sz="12" w:space="0" w:color="000001"/>
            </w:tcBorders>
            <w:shd w:color="auto" w:fill="auto" w:val="clear"/>
            <w:vAlign w:val="center"/>
          </w:tcPr>
          <w:p>
            <w:pPr>
              <w:pStyle w:val="Standard"/>
              <w:widowControl w:val="false"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cs="Times New Roman" w:ascii="Arial Narrow" w:hAnsi="Arial Narrow"/>
                <w:sz w:val="22"/>
                <w:szCs w:val="22"/>
                <w:lang w:eastAsia="en-US" w:bidi="ar-SA"/>
              </w:rPr>
            </w:r>
          </w:p>
        </w:tc>
      </w:tr>
    </w:tbl>
    <w:p>
      <w:pPr>
        <w:pStyle w:val="Standard"/>
        <w:jc w:val="both"/>
        <w:rPr/>
      </w:pPr>
      <w:r>
        <w:rPr/>
        <w:tab/>
      </w:r>
    </w:p>
    <w:p>
      <w:pPr>
        <w:pStyle w:val="Standard"/>
        <w:ind w:left="284" w:hanging="284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</w:r>
    </w:p>
    <w:p>
      <w:pPr>
        <w:pStyle w:val="Standard"/>
        <w:ind w:left="720" w:hanging="720"/>
        <w:jc w:val="both"/>
        <w:rPr/>
      </w:pPr>
      <w:r>
        <w:rPr>
          <w:rFonts w:cs="Arial Narrow" w:ascii="Arial Narrow" w:hAnsi="Arial Narrow"/>
          <w:b/>
          <w:bCs/>
          <w:i/>
          <w:sz w:val="22"/>
          <w:szCs w:val="22"/>
        </w:rPr>
        <w:t xml:space="preserve">J.) </w:t>
      </w:r>
      <w:r>
        <w:rPr>
          <w:rFonts w:cs="Arial Narrow" w:ascii="Arial Narrow" w:hAnsi="Arial Narrow"/>
          <w:sz w:val="22"/>
          <w:szCs w:val="22"/>
        </w:rPr>
        <w:t>g)</w:t>
        <w:tab/>
        <w:t>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nenastali zmeny sadzby sadzby dane z príjmov a účtovná jednotka  o zmene sadzby dane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neúčtovala.</w:t>
      </w:r>
    </w:p>
    <w:p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sz w:val="22"/>
          <w:szCs w:val="22"/>
        </w:rPr>
        <w:t>a – c)   Účtovná jednotka  v roku 202</w:t>
      </w:r>
      <w:r>
        <w:rPr>
          <w:rFonts w:cs="Arial Narrow" w:ascii="Arial Narrow" w:hAnsi="Arial Narrow"/>
          <w:sz w:val="22"/>
          <w:szCs w:val="22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neevidovala  vo svojej činnosti spriaznené osoby.</w:t>
      </w:r>
    </w:p>
    <w:p>
      <w:pPr>
        <w:pStyle w:val="Standard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>
      <w:pPr>
        <w:pStyle w:val="Standard"/>
        <w:jc w:val="both"/>
        <w:rPr/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zostavenia účtovnej závierky.</w:t>
      </w:r>
    </w:p>
    <w:p>
      <w:pPr>
        <w:pStyle w:val="Standard"/>
        <w:ind w:left="709" w:hanging="709"/>
        <w:jc w:val="both"/>
        <w:rPr/>
      </w:pPr>
      <w:r>
        <w:rPr>
          <w:rFonts w:cs="Arial Narrow" w:ascii="Arial Narrow" w:hAnsi="Arial Narrow"/>
          <w:sz w:val="22"/>
          <w:szCs w:val="22"/>
        </w:rPr>
        <w:t>a– j) Od 01.01.2021 nastali udalosti /</w:t>
      </w:r>
      <w:r>
        <w:rPr>
          <w:rFonts w:cs="Arial Narrow" w:ascii="Arial Narrow" w:hAnsi="Arial Narrow"/>
          <w:i/>
          <w:iCs/>
          <w:sz w:val="22"/>
          <w:szCs w:val="22"/>
        </w:rPr>
        <w:t>Covid19/</w:t>
      </w:r>
      <w:r>
        <w:rPr>
          <w:rFonts w:cs="Arial Narrow" w:ascii="Arial Narrow" w:hAnsi="Arial Narrow"/>
          <w:sz w:val="22"/>
          <w:szCs w:val="22"/>
        </w:rPr>
        <w:t xml:space="preserve"> ktoré mali významný dopad na  ekonomickú alebo finančnú situáciu spoločnosti.</w:t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Textbody"/>
        <w:rPr>
          <w:lang w:eastAsia="en-US"/>
        </w:rPr>
      </w:pPr>
      <w:r>
        <w:rPr>
          <w:lang w:eastAsia="en-US"/>
        </w:rPr>
      </w:r>
    </w:p>
    <w:p>
      <w:pPr>
        <w:pStyle w:val="Standard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R.) Informácie o prehľade peňažných tokov</w:t>
      </w:r>
    </w:p>
    <w:p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a)</w:t>
        <w:tab/>
        <w:t>1 – 2 Účtovná jednotka v roku 202</w:t>
      </w:r>
      <w:r>
        <w:rPr>
          <w:rFonts w:eastAsia="SimSun" w:cs="Arial Narrow" w:ascii="Arial Narrow" w:hAnsi="Arial Narrow"/>
          <w:color w:val="auto"/>
          <w:kern w:val="2"/>
          <w:sz w:val="22"/>
          <w:szCs w:val="22"/>
          <w:lang w:val="sk-SK" w:eastAsia="zh-CN" w:bidi="hi-IN"/>
        </w:rPr>
        <w:t>4</w:t>
      </w:r>
      <w:r>
        <w:rPr>
          <w:rFonts w:cs="Arial Narrow" w:ascii="Arial Narrow" w:hAnsi="Arial Narrow"/>
          <w:sz w:val="22"/>
          <w:szCs w:val="22"/>
        </w:rPr>
        <w:t xml:space="preserve"> evidovala len pohyb peňažných prostriedkov bezpeňažných  ekvivalentov.</w:t>
      </w:r>
    </w:p>
    <w:p>
      <w:pPr>
        <w:pStyle w:val="Standard"/>
        <w:ind w:left="426" w:hanging="426"/>
        <w:jc w:val="both"/>
        <w:rPr/>
      </w:pPr>
      <w:r>
        <w:rPr/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b)</w:t>
        <w:tab/>
        <w:t>Prehľad  o peňažných tokoch bol spracovaný v členení: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peňažné toky z prevádzkových činností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2. peňažné toky z investičnej činnosti</w:t>
      </w:r>
    </w:p>
    <w:p>
      <w:pPr>
        <w:pStyle w:val="Standard"/>
        <w:tabs>
          <w:tab w:val="clear" w:pos="708"/>
          <w:tab w:val="left" w:pos="6186" w:leader="none"/>
        </w:tabs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3. peňažné toky z finančnej činnosti</w:t>
      </w:r>
    </w:p>
    <w:p>
      <w:pPr>
        <w:pStyle w:val="Standard"/>
        <w:ind w:left="426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  Stav, pohyb a štruktúra peňažných prostriedkov je totožná s položkami vykázanými      </w:t>
      </w:r>
    </w:p>
    <w:p>
      <w:pPr>
        <w:pStyle w:val="Standard"/>
        <w:ind w:left="426" w:hanging="426"/>
        <w:jc w:val="both"/>
        <w:rPr/>
      </w:pPr>
      <w:r>
        <w:rPr>
          <w:rFonts w:cs="Arial Narrow" w:ascii="Arial Narrow" w:hAnsi="Arial Narrow"/>
          <w:sz w:val="22"/>
          <w:szCs w:val="22"/>
        </w:rPr>
        <w:t>v súvahe.</w:t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Standard"/>
        <w:rPr/>
      </w:pPr>
      <w:r>
        <w:rPr/>
        <w:t>Vysvetlivky k poznámkam:</w:t>
      </w:r>
    </w:p>
    <w:p>
      <w:pPr>
        <w:pStyle w:val="ListParagraph"/>
        <w:numPr>
          <w:ilvl w:val="0"/>
          <w:numId w:val="98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99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00"/>
        </w:numPr>
        <w:tabs>
          <w:tab w:val="clear" w:pos="708"/>
          <w:tab w:val="left" w:pos="588" w:leader="none"/>
        </w:tabs>
        <w:ind w:left="294" w:hanging="308"/>
        <w:jc w:val="both"/>
        <w:rPr/>
      </w:pPr>
      <w:r>
        <w:rPr>
          <w:szCs w:val="22"/>
        </w:rPr>
        <w:t xml:space="preserve">Kód SK NACE sa vypĺňa podľa vyhlášky Štatistického úradu Slovenskej republiky </w:t>
      </w:r>
      <w:r>
        <w:rPr/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ListParagraph"/>
        <w:numPr>
          <w:ilvl w:val="0"/>
          <w:numId w:val="101"/>
        </w:numPr>
        <w:tabs>
          <w:tab w:val="clear" w:pos="708"/>
          <w:tab w:val="left" w:pos="588" w:leader="none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Standard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andard"/>
        <w:rPr>
          <w:szCs w:val="22"/>
        </w:rPr>
      </w:pPr>
      <w:r>
        <w:rPr>
          <w:szCs w:val="22"/>
        </w:rPr>
        <w:t>CP  - cenný papier</w:t>
      </w:r>
    </w:p>
    <w:p>
      <w:pPr>
        <w:pStyle w:val="Standard"/>
        <w:rPr>
          <w:szCs w:val="22"/>
        </w:rPr>
      </w:pPr>
      <w:r>
        <w:rPr>
          <w:szCs w:val="22"/>
        </w:rPr>
        <w:t>č. - číslo</w:t>
      </w:r>
    </w:p>
    <w:p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>
      <w:pPr>
        <w:pStyle w:val="Standard"/>
        <w:rPr>
          <w:szCs w:val="22"/>
        </w:rPr>
      </w:pPr>
      <w:r>
        <w:rPr>
          <w:szCs w:val="22"/>
        </w:rPr>
        <w:t>p. a. – per annum</w:t>
      </w:r>
    </w:p>
    <w:p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>
      <w:pPr>
        <w:pStyle w:val="Standard"/>
        <w:rPr>
          <w:szCs w:val="22"/>
        </w:rPr>
      </w:pPr>
      <w:r>
        <w:rPr>
          <w:szCs w:val="22"/>
        </w:rPr>
        <w:t>ZI – základné imanie</w:t>
      </w:r>
      <w:r>
        <w:br w:type="page"/>
      </w:r>
    </w:p>
    <w:p>
      <w:pPr>
        <w:pStyle w:val="Standard"/>
        <w:rPr>
          <w:szCs w:val="22"/>
        </w:rPr>
      </w:pPr>
      <w:r>
        <w:rPr/>
      </w:r>
    </w:p>
    <w:sectPr>
      <w:headerReference w:type="default" r:id="rId2"/>
      <w:headerReference w:type="first" r:id="rId3"/>
      <w:footerReference w:type="first" r:id="rId4"/>
      <w:type w:val="nextPage"/>
      <w:pgSz w:w="11906" w:h="16838"/>
      <w:pgMar w:left="1134" w:right="1134" w:header="630" w:top="1215" w:footer="1135" w:bottom="1583" w:gutter="0"/>
      <w:pgNumType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mbria">
    <w:charset w:val="ee"/>
    <w:family w:val="swiss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Arial Narrow">
    <w:charset w:val="ee"/>
    <w:family w:val="roman"/>
    <w:pitch w:val="variable"/>
  </w:font>
  <w:font w:name="Symbol">
    <w:charset w:val="ee"/>
    <w:family w:val="roman"/>
    <w:pitch w:val="variable"/>
  </w:font>
  <w:font w:name="Arial">
    <w:charset w:val="ee"/>
    <w:family w:val="roman"/>
    <w:pitch w:val="variable"/>
  </w:font>
  <w:font w:name="Arial CE">
    <w:altName w:val="Helvetica CE"/>
    <w:charset w:val="ee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eastAsia="SimSun" w:cs="Times New Roman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</w:pPr>
                <w:r>
                  <w:rPr>
                    <w:rFonts w:eastAsia="SimSun" w:cs="Times New Roman" w:ascii="Arial Narrow" w:hAnsi="Arial Narrow"/>
                    <w:color w:val="auto"/>
                    <w:kern w:val="2"/>
                    <w:sz w:val="22"/>
                    <w:szCs w:val="22"/>
                    <w:lang w:val="sk-SK" w:eastAsia="zh-CN" w:bidi="hi-IN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8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eastAsia="SimSun" w:cs="Times New Roman"/>
              <w:color w:val="auto"/>
              <w:kern w:val="2"/>
              <w:sz w:val="22"/>
              <w:szCs w:val="22"/>
              <w:lang w:val="sk-SK" w:eastAsia="sk-SK" w:bidi="ar-SA"/>
            </w:rPr>
          </w:pPr>
          <w:r>
            <w:rPr>
              <w:rFonts w:eastAsia="SimSun" w:cs="Times New Roman" w:ascii="Arial Narrow" w:hAnsi="Arial Narrow"/>
              <w:color w:val="auto"/>
              <w:kern w:val="2"/>
              <w:sz w:val="22"/>
              <w:szCs w:val="22"/>
              <w:lang w:val="sk-SK"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</w:tr>
  </w:tbl>
  <w:p>
    <w:pPr>
      <w:pStyle w:val="Zhlavi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674" w:type="dxa"/>
      <w:jc w:val="left"/>
      <w:tblInd w:w="-25" w:type="dxa"/>
      <w:tblLayout w:type="fixed"/>
      <w:tblCellMar>
        <w:top w:w="0" w:type="dxa"/>
        <w:left w:w="5" w:type="dxa"/>
        <w:bottom w:w="0" w:type="dxa"/>
        <w:right w:w="5" w:type="dxa"/>
      </w:tblCellMar>
      <w:tblLook w:val="0000"/>
    </w:tblPr>
    <w:tblGrid>
      <w:gridCol w:w="2769"/>
      <w:gridCol w:w="3806"/>
      <w:gridCol w:w="389"/>
      <w:gridCol w:w="275"/>
      <w:gridCol w:w="268"/>
      <w:gridCol w:w="269"/>
      <w:gridCol w:w="271"/>
      <w:gridCol w:w="271"/>
      <w:gridCol w:w="271"/>
      <w:gridCol w:w="276"/>
      <w:gridCol w:w="271"/>
      <w:gridCol w:w="270"/>
      <w:gridCol w:w="267"/>
    </w:tblGrid>
    <w:tr>
      <w:trPr>
        <w:trHeight w:val="343" w:hRule="atLeast"/>
      </w:trPr>
      <w:tc>
        <w:tcPr>
          <w:tcW w:w="2769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bottom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6" w:type="dxa"/>
          <w:tcBorders/>
          <w:shd w:color="auto" w:fill="auto" w:val="clear"/>
          <w:vAlign w:val="bottom"/>
        </w:tcPr>
        <w:tbl>
          <w:tblPr>
            <w:tblW w:w="2765" w:type="dxa"/>
            <w:jc w:val="left"/>
            <w:tblInd w:w="921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5"/>
            <w:gridCol w:w="285"/>
            <w:gridCol w:w="286"/>
            <w:gridCol w:w="285"/>
            <w:gridCol w:w="277"/>
          </w:tblGrid>
          <w:tr>
            <w:trPr>
              <w:trHeight w:val="204" w:hRule="atLeast"/>
            </w:trPr>
            <w:tc>
              <w:tcPr>
                <w:tcW w:w="44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5</w:t>
                </w:r>
              </w:p>
            </w:tc>
            <w:tc>
              <w:tcPr>
                <w:tcW w:w="3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3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2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4</w:t>
                </w:r>
              </w:p>
            </w:tc>
            <w:tc>
              <w:tcPr>
                <w:tcW w:w="28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3</w:t>
                </w:r>
              </w:p>
            </w:tc>
            <w:tc>
              <w:tcPr>
                <w:tcW w:w="285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  <w:tc>
              <w:tcPr>
                <w:tcW w:w="27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  <w:t>9</w:t>
                </w:r>
              </w:p>
            </w:tc>
          </w:tr>
          <w:tr>
            <w:trPr>
              <w:trHeight w:val="204" w:hRule="atLeast"/>
            </w:trPr>
            <w:tc>
              <w:tcPr>
                <w:tcW w:w="449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  <w:vAlign w:val="bottom"/>
              </w:tcPr>
              <w:p>
                <w:pPr>
                  <w:pStyle w:val="Normal"/>
                  <w:widowControl w:val="false"/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cs="Times New Roman" w:ascii="Arial Narrow" w:hAnsi="Arial Narrow"/>
                    <w:color w:val="000000"/>
                    <w:sz w:val="22"/>
                    <w:szCs w:val="22"/>
                    <w:lang w:eastAsia="sk-SK" w:bidi="ar-SA"/>
                  </w:rPr>
                </w:r>
              </w:p>
            </w:tc>
            <w:tc>
              <w:tcPr>
                <w:tcW w:w="285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328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344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225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285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286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285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  <w:tc>
              <w:tcPr>
                <w:tcW w:w="277" w:type="dxa"/>
                <w:tcBorders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  <w:shd w:color="auto" w:fill="auto" w:val="clear"/>
              </w:tcPr>
              <w:p>
                <w:pPr>
                  <w:pStyle w:val="Normal"/>
                  <w:widowControl w:val="false"/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cs="Times New Roman" w:ascii="Arial Narrow" w:hAnsi="Arial Narrow"/>
                    <w:sz w:val="22"/>
                    <w:szCs w:val="22"/>
                  </w:rPr>
                </w:r>
              </w:p>
            </w:tc>
          </w:tr>
        </w:tbl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</w:r>
        </w:p>
      </w:tc>
      <w:tc>
        <w:tcPr>
          <w:tcW w:w="389" w:type="dxa"/>
          <w:tcBorders/>
          <w:shd w:color="auto" w:fill="auto" w:val="clear"/>
          <w:vAlign w:val="center"/>
        </w:tcPr>
        <w:p>
          <w:pPr>
            <w:pStyle w:val="Normal"/>
            <w:widowControl w:val="false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275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6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69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8</w:t>
          </w:r>
        </w:p>
      </w:tc>
      <w:tc>
        <w:tcPr>
          <w:tcW w:w="276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1</w:t>
          </w:r>
        </w:p>
      </w:tc>
      <w:tc>
        <w:tcPr>
          <w:tcW w:w="270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5</w:t>
          </w:r>
        </w:p>
      </w:tc>
      <w:tc>
        <w:tcPr>
          <w:tcW w:w="267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color="auto" w:fill="auto" w:val="clear"/>
          <w:vAlign w:val="center"/>
        </w:tcPr>
        <w:p>
          <w:pPr>
            <w:pStyle w:val="Normal"/>
            <w:widowControl w:val="false"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cs="Times New Roman" w:ascii="Arial Narrow" w:hAnsi="Arial Narrow"/>
              <w:sz w:val="22"/>
              <w:szCs w:val="22"/>
              <w:lang w:eastAsia="sk-SK" w:bidi="ar-SA"/>
            </w:rPr>
            <w:t>2</w:t>
          </w:r>
        </w:p>
      </w:tc>
    </w:tr>
  </w:tbl>
  <w:p>
    <w:pPr>
      <w:pStyle w:val="Standard"/>
      <w:rPr/>
    </w:pPr>
    <w:r>
      <w:rPr/>
    </w:r>
  </w:p>
  <w:p>
    <w:pPr>
      <w:pStyle w:val="Standard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numFmt w:val="bullet"/>
      <w:lvlText w:val=""/>
      <w:lvlJc w:val="left"/>
      <w:pPr>
        <w:tabs>
          <w:tab w:val="num" w:pos="0"/>
        </w:tabs>
        <w:ind w:left="0" w:hanging="0"/>
      </w:pPr>
      <w:rPr>
        <w:rFonts w:ascii="Symbol" w:hAnsi="Symbol" w:cs="Symbol" w:hint="default"/>
        <w:sz w:val="22"/>
        <w:b w:val="false"/>
        <w:szCs w:val="22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2">
    <w:lvl w:ilvl="0">
      <w:start w:val="10"/>
      <w:numFmt w:val="upperLetter"/>
      <w:lvlText w:val="%1.)"/>
      <w:lvlJc w:val="left"/>
      <w:pPr>
        <w:tabs>
          <w:tab w:val="num" w:pos="0"/>
        </w:tabs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6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8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kern w:val="2"/>
        <w:szCs w:val="22"/>
        <w:rFonts w:ascii="Arial Narrow" w:hAnsi="Arial Narrow" w:eastAsia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9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0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1">
    <w:lvl w:ilvl="0">
      <w:start w:val="1"/>
      <w:numFmt w:val="decimal"/>
      <w:lvlText w:val="%1)"/>
      <w:lvlJc w:val="left"/>
      <w:pPr>
        <w:tabs>
          <w:tab w:val="num" w:pos="0"/>
        </w:tabs>
        <w:ind w:left="0" w:hanging="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1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2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2">
    <w:lvl w:ilvl="0">
      <w:start w:val="1"/>
      <w:numFmt w:val="lowerLetter"/>
      <w:lvlText w:val="%1)"/>
      <w:lvlJc w:val="left"/>
      <w:pPr>
        <w:tabs>
          <w:tab w:val="num" w:pos="0"/>
        </w:tabs>
        <w:ind w:left="0" w:hanging="0"/>
      </w:pPr>
      <w:rPr>
        <w:sz w:val="22"/>
        <w:b w:val="false"/>
        <w:kern w:val="2"/>
        <w:szCs w:val="22"/>
        <w:bCs w:val="false"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3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6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7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3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3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4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5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6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7">
    <w:lvl w:ilvl="0">
      <w:start w:val="4"/>
      <w:numFmt w:val="lowerLetter"/>
      <w:lvlText w:val="%1)"/>
      <w:lvlJc w:val="left"/>
      <w:pPr>
        <w:tabs>
          <w:tab w:val="num" w:pos="0"/>
        </w:tabs>
        <w:ind w:left="360" w:hanging="360"/>
      </w:pPr>
      <w:rPr>
        <w:kern w:val="2"/>
        <w:bCs/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0"/>
        </w:tabs>
        <w:ind w:left="3600" w:hanging="360"/>
      </w:pPr>
    </w:lvl>
  </w:abstractNum>
  <w:abstractNum w:abstractNumId="48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49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0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</w:lvl>
  </w:abstractNum>
  <w:abstractNum w:abstractNumId="5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  <w:num w:numId="21">
    <w:abstractNumId w:val="21"/>
  </w:num>
  <w:num w:numId="22">
    <w:abstractNumId w:val="22"/>
  </w:num>
  <w:num w:numId="23">
    <w:abstractNumId w:val="23"/>
  </w:num>
  <w:num w:numId="24">
    <w:abstractNumId w:val="24"/>
  </w:num>
  <w:num w:numId="25">
    <w:abstractNumId w:val="25"/>
  </w:num>
  <w:num w:numId="26">
    <w:abstractNumId w:val="26"/>
  </w:num>
  <w:num w:numId="27">
    <w:abstractNumId w:val="27"/>
  </w:num>
  <w:num w:numId="28">
    <w:abstractNumId w:val="28"/>
  </w:num>
  <w:num w:numId="29">
    <w:abstractNumId w:val="29"/>
  </w:num>
  <w:num w:numId="30">
    <w:abstractNumId w:val="30"/>
  </w:num>
  <w:num w:numId="31">
    <w:abstractNumId w:val="31"/>
  </w:num>
  <w:num w:numId="32">
    <w:abstractNumId w:val="32"/>
  </w:num>
  <w:num w:numId="33">
    <w:abstractNumId w:val="33"/>
  </w:num>
  <w:num w:numId="34">
    <w:abstractNumId w:val="34"/>
  </w:num>
  <w:num w:numId="35">
    <w:abstractNumId w:val="35"/>
  </w:num>
  <w:num w:numId="36">
    <w:abstractNumId w:val="36"/>
  </w:num>
  <w:num w:numId="37">
    <w:abstractNumId w:val="37"/>
  </w:num>
  <w:num w:numId="38">
    <w:abstractNumId w:val="38"/>
  </w:num>
  <w:num w:numId="39">
    <w:abstractNumId w:val="39"/>
  </w:num>
  <w:num w:numId="40">
    <w:abstractNumId w:val="40"/>
  </w:num>
  <w:num w:numId="41">
    <w:abstractNumId w:val="41"/>
  </w:num>
  <w:num w:numId="42">
    <w:abstractNumId w:val="42"/>
  </w:num>
  <w:num w:numId="43">
    <w:abstractNumId w:val="43"/>
  </w:num>
  <w:num w:numId="44">
    <w:abstractNumId w:val="44"/>
  </w:num>
  <w:num w:numId="45">
    <w:abstractNumId w:val="45"/>
  </w:num>
  <w:num w:numId="46">
    <w:abstractNumId w:val="46"/>
  </w:num>
  <w:num w:numId="47">
    <w:abstractNumId w:val="47"/>
  </w:num>
  <w:num w:numId="48">
    <w:abstractNumId w:val="48"/>
  </w:num>
  <w:num w:numId="49">
    <w:abstractNumId w:val="49"/>
  </w:num>
  <w:num w:numId="50">
    <w:abstractNumId w:val="50"/>
  </w:num>
  <w:num w:numId="51">
    <w:abstractNumId w:val="51"/>
  </w:num>
  <w:num w:numId="52">
    <w:abstractNumId w:val="52"/>
  </w:num>
  <w:num w:numId="53">
    <w:abstractNumId w:val="53"/>
  </w:num>
  <w:num w:numId="54">
    <w:abstractNumId w:val="5"/>
    <w:lvlOverride w:ilvl="0">
      <w:startOverride w:val="1"/>
    </w:lvlOverride>
  </w:num>
  <w:num w:numId="55">
    <w:abstractNumId w:val="6"/>
    <w:lvlOverride w:ilvl="0">
      <w:startOverride w:val="1"/>
    </w:lvlOverride>
  </w:num>
  <w:num w:numId="56">
    <w:abstractNumId w:val="6"/>
  </w:num>
  <w:num w:numId="57">
    <w:abstractNumId w:val="6"/>
  </w:num>
  <w:num w:numId="58">
    <w:abstractNumId w:val="9"/>
    <w:lvlOverride w:ilvl="0">
      <w:startOverride w:val="1"/>
    </w:lvlOverride>
  </w:num>
  <w:num w:numId="59">
    <w:abstractNumId w:val="9"/>
  </w:num>
  <w:num w:numId="60">
    <w:abstractNumId w:val="9"/>
  </w:num>
  <w:num w:numId="61">
    <w:abstractNumId w:val="5"/>
  </w:num>
  <w:num w:numId="62">
    <w:abstractNumId w:val="5"/>
  </w:num>
  <w:num w:numId="63">
    <w:abstractNumId w:val="5"/>
  </w:num>
  <w:num w:numId="64">
    <w:abstractNumId w:val="5"/>
  </w:num>
  <w:num w:numId="65">
    <w:abstractNumId w:val="5"/>
  </w:num>
  <w:num w:numId="66">
    <w:abstractNumId w:val="5"/>
  </w:num>
  <w:num w:numId="67">
    <w:abstractNumId w:val="5"/>
  </w:num>
  <w:num w:numId="68">
    <w:abstractNumId w:val="5"/>
  </w:num>
  <w:num w:numId="69">
    <w:abstractNumId w:val="5"/>
  </w:num>
  <w:num w:numId="70">
    <w:abstractNumId w:val="5"/>
  </w:num>
  <w:num w:numId="71">
    <w:abstractNumId w:val="5"/>
  </w:num>
  <w:num w:numId="72">
    <w:abstractNumId w:val="5"/>
  </w:num>
  <w:num w:numId="73">
    <w:abstractNumId w:val="5"/>
  </w:num>
  <w:num w:numId="74">
    <w:abstractNumId w:val="5"/>
  </w:num>
  <w:num w:numId="75">
    <w:abstractNumId w:val="5"/>
  </w:num>
  <w:num w:numId="76">
    <w:abstractNumId w:val="5"/>
  </w:num>
  <w:num w:numId="77">
    <w:abstractNumId w:val="5"/>
  </w:num>
  <w:num w:numId="78">
    <w:abstractNumId w:val="5"/>
  </w:num>
  <w:num w:numId="79">
    <w:abstractNumId w:val="5"/>
  </w:num>
  <w:num w:numId="80">
    <w:abstractNumId w:val="5"/>
  </w:num>
  <w:num w:numId="81">
    <w:abstractNumId w:val="32"/>
    <w:lvlOverride w:ilvl="0">
      <w:startOverride w:val="1"/>
    </w:lvlOverride>
  </w:num>
  <w:num w:numId="82">
    <w:abstractNumId w:val="5"/>
  </w:num>
  <w:num w:numId="83">
    <w:abstractNumId w:val="5"/>
  </w:num>
  <w:num w:numId="84">
    <w:abstractNumId w:val="5"/>
  </w:num>
  <w:num w:numId="85">
    <w:abstractNumId w:val="5"/>
  </w:num>
  <w:num w:numId="86">
    <w:abstractNumId w:val="5"/>
  </w:num>
  <w:num w:numId="87">
    <w:abstractNumId w:val="5"/>
  </w:num>
  <w:num w:numId="88">
    <w:abstractNumId w:val="5"/>
  </w:num>
  <w:num w:numId="89">
    <w:abstractNumId w:val="5"/>
  </w:num>
  <w:num w:numId="90">
    <w:abstractNumId w:val="5"/>
  </w:num>
  <w:num w:numId="91">
    <w:abstractNumId w:val="5"/>
  </w:num>
  <w:num w:numId="92">
    <w:abstractNumId w:val="5"/>
  </w:num>
  <w:num w:numId="93">
    <w:abstractNumId w:val="5"/>
  </w:num>
  <w:num w:numId="94">
    <w:abstractNumId w:val="5"/>
  </w:num>
  <w:num w:numId="95">
    <w:abstractNumId w:val="46"/>
    <w:lvlOverride w:ilvl="0">
      <w:startOverride w:val="4"/>
    </w:lvlOverride>
  </w:num>
  <w:num w:numId="96">
    <w:abstractNumId w:val="46"/>
  </w:num>
  <w:num w:numId="97">
    <w:abstractNumId w:val="5"/>
  </w:num>
  <w:num w:numId="98">
    <w:abstractNumId w:val="49"/>
    <w:lvlOverride w:ilvl="0">
      <w:startOverride w:val="1"/>
    </w:lvlOverride>
  </w:num>
  <w:num w:numId="99">
    <w:abstractNumId w:val="49"/>
  </w:num>
  <w:num w:numId="100">
    <w:abstractNumId w:val="49"/>
  </w:num>
  <w:num w:numId="101">
    <w:abstractNumId w:val="49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Nadpis1">
    <w:name w:val="Heading 1"/>
    <w:basedOn w:val="Nadpis"/>
    <w:next w:val="Textbody"/>
    <w:qFormat/>
    <w:rsid w:val="00b73102"/>
    <w:pPr>
      <w:widowControl/>
      <w:spacing w:before="240" w:after="60"/>
      <w:textAlignment w:val="auto"/>
      <w:outlineLvl w:val="0"/>
    </w:pPr>
    <w:rPr>
      <w:rFonts w:ascii="Cambria" w:hAnsi="Cambria" w:eastAsia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Nadpis"/>
    <w:next w:val="Textbody"/>
    <w:qFormat/>
    <w:rsid w:val="00b73102"/>
    <w:pPr>
      <w:widowControl/>
      <w:spacing w:before="240" w:after="60"/>
      <w:textAlignment w:val="auto"/>
      <w:outlineLvl w:val="1"/>
    </w:pPr>
    <w:rPr>
      <w:rFonts w:ascii="Cambria" w:hAnsi="Cambria" w:eastAsia="Cambria" w:cs="Times New Roman"/>
      <w:b/>
      <w:bCs/>
      <w:i/>
      <w:iCs/>
      <w:lang w:eastAsia="en-US" w:bidi="ar-SA"/>
    </w:rPr>
  </w:style>
  <w:style w:type="paragraph" w:styleId="Nadpis3">
    <w:name w:val="Heading 3"/>
    <w:basedOn w:val="Nadpis"/>
    <w:next w:val="Textbody"/>
    <w:qFormat/>
    <w:rsid w:val="00b73102"/>
    <w:pPr>
      <w:widowControl/>
      <w:spacing w:before="240" w:after="60"/>
      <w:textAlignment w:val="auto"/>
      <w:outlineLvl w:val="2"/>
    </w:pPr>
    <w:rPr>
      <w:rFonts w:ascii="Cambria" w:hAnsi="Cambria" w:eastAsia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Nadpis"/>
    <w:next w:val="Textbody"/>
    <w:qFormat/>
    <w:rsid w:val="00b73102"/>
    <w:pPr>
      <w:widowControl/>
      <w:spacing w:before="240" w:after="60"/>
      <w:textAlignment w:val="auto"/>
      <w:outlineLvl w:val="3"/>
    </w:pPr>
    <w:rPr>
      <w:rFonts w:ascii="Arial Narrow" w:hAnsi="Arial Narrow" w:eastAsia="Arial Narrow" w:cs="Times New Roman"/>
      <w:b/>
      <w:bCs/>
      <w:lang w:eastAsia="en-US" w:bidi="ar-SA"/>
    </w:rPr>
  </w:style>
  <w:style w:type="paragraph" w:styleId="Nadpis5">
    <w:name w:val="Heading 5"/>
    <w:basedOn w:val="Nadpis"/>
    <w:next w:val="Textbody"/>
    <w:qFormat/>
    <w:rsid w:val="00b73102"/>
    <w:pPr>
      <w:widowControl/>
      <w:spacing w:before="240" w:after="60"/>
      <w:textAlignment w:val="auto"/>
      <w:outlineLvl w:val="4"/>
    </w:pPr>
    <w:rPr>
      <w:rFonts w:ascii="Arial Narrow" w:hAnsi="Arial Narrow" w:eastAsia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Nadpis"/>
    <w:next w:val="Textbody"/>
    <w:qFormat/>
    <w:rsid w:val="00b73102"/>
    <w:pPr>
      <w:widowControl/>
      <w:spacing w:before="240" w:after="60"/>
      <w:textAlignment w:val="auto"/>
      <w:outlineLvl w:val="5"/>
    </w:pPr>
    <w:rPr>
      <w:rFonts w:ascii="Arial Narrow" w:hAnsi="Arial Narrow" w:eastAsia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Nadpis"/>
    <w:next w:val="Textbody"/>
    <w:qFormat/>
    <w:rsid w:val="00b73102"/>
    <w:pPr>
      <w:widowControl/>
      <w:spacing w:before="240" w:after="60"/>
      <w:textAlignment w:val="auto"/>
      <w:outlineLvl w:val="6"/>
    </w:pPr>
    <w:rPr>
      <w:rFonts w:ascii="Arial Narrow" w:hAnsi="Arial Narrow" w:eastAsia="Arial Narrow" w:cs="Times New Roman"/>
      <w:sz w:val="22"/>
      <w:szCs w:val="24"/>
      <w:lang w:eastAsia="en-US" w:bidi="ar-SA"/>
    </w:rPr>
  </w:style>
  <w:style w:type="paragraph" w:styleId="Nadpis8">
    <w:name w:val="Heading 8"/>
    <w:basedOn w:val="Nadpis"/>
    <w:next w:val="Textbody"/>
    <w:qFormat/>
    <w:rsid w:val="00b73102"/>
    <w:pPr>
      <w:widowControl/>
      <w:spacing w:before="240" w:after="60"/>
      <w:textAlignment w:val="auto"/>
      <w:outlineLvl w:val="7"/>
    </w:pPr>
    <w:rPr>
      <w:rFonts w:ascii="Arial Narrow" w:hAnsi="Arial Narrow" w:eastAsia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Nadpis"/>
    <w:next w:val="Textbody"/>
    <w:qFormat/>
    <w:rsid w:val="00b73102"/>
    <w:pPr>
      <w:widowControl/>
      <w:spacing w:before="240" w:after="60"/>
      <w:textAlignment w:val="auto"/>
      <w:outlineLvl w:val="8"/>
    </w:pPr>
    <w:rPr>
      <w:rFonts w:ascii="Cambria" w:hAnsi="Cambria" w:eastAsia="Cambria" w:cs="Times New Roman"/>
      <w:sz w:val="22"/>
      <w:szCs w:val="22"/>
      <w:lang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qFormat/>
    <w:rsid w:val="00b73102"/>
    <w:rPr>
      <w:rFonts w:ascii="Cambria" w:hAnsi="Cambria" w:eastAsia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qFormat/>
    <w:rsid w:val="00b73102"/>
    <w:rPr>
      <w:rFonts w:ascii="Cambria" w:hAnsi="Cambria" w:eastAsia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qFormat/>
    <w:rsid w:val="00b73102"/>
    <w:rPr>
      <w:rFonts w:ascii="Cambria" w:hAnsi="Cambria" w:eastAsia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qFormat/>
    <w:rsid w:val="00b73102"/>
    <w:rPr>
      <w:rFonts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qFormat/>
    <w:rsid w:val="00b73102"/>
    <w:rPr>
      <w:rFonts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qFormat/>
    <w:rsid w:val="00b73102"/>
    <w:rPr>
      <w:rFonts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qFormat/>
    <w:rsid w:val="00b73102"/>
    <w:rPr>
      <w:rFonts w:cs="Times New Roman"/>
      <w:sz w:val="24"/>
      <w:szCs w:val="24"/>
    </w:rPr>
  </w:style>
  <w:style w:type="character" w:styleId="Nadpis8Char" w:customStyle="1">
    <w:name w:val="Nadpis 8 Char"/>
    <w:basedOn w:val="DefaultParagraphFont"/>
    <w:qFormat/>
    <w:rsid w:val="00b73102"/>
    <w:rPr>
      <w:rFonts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qFormat/>
    <w:rsid w:val="00b73102"/>
    <w:rPr>
      <w:rFonts w:ascii="Cambria" w:hAnsi="Cambria" w:eastAsia="Cambria" w:cs="Times New Roman"/>
      <w:sz w:val="22"/>
      <w:szCs w:val="22"/>
    </w:rPr>
  </w:style>
  <w:style w:type="character" w:styleId="HlavikaChar" w:customStyle="1">
    <w:name w:val="Hlavička Char"/>
    <w:basedOn w:val="DefaultParagraphFont"/>
    <w:qFormat/>
    <w:rsid w:val="00b73102"/>
    <w:rPr>
      <w:rFonts w:cs="Times New Roman"/>
    </w:rPr>
  </w:style>
  <w:style w:type="character" w:styleId="PtaChar" w:customStyle="1">
    <w:name w:val="Päta Char"/>
    <w:basedOn w:val="DefaultParagraphFont"/>
    <w:qFormat/>
    <w:rsid w:val="00b73102"/>
    <w:rPr>
      <w:rFonts w:cs="Times New Roman"/>
    </w:rPr>
  </w:style>
  <w:style w:type="character" w:styleId="TextpoznmkypodiarouChar" w:customStyle="1">
    <w:name w:val="Text poznámky pod čiarou Char"/>
    <w:basedOn w:val="DefaultParagraphFont"/>
    <w:qFormat/>
    <w:rsid w:val="00b73102"/>
    <w:rPr>
      <w:rFonts w:ascii="Times New Roman" w:hAnsi="Times New Roman" w:eastAsia="Times New Roman" w:cs="Times New Roman"/>
      <w:sz w:val="20"/>
      <w:szCs w:val="20"/>
      <w:lang w:val="sk-SK" w:eastAsia="cs-CZ"/>
    </w:rPr>
  </w:style>
  <w:style w:type="character" w:styleId="TextpoznmkypodiarouChar1" w:customStyle="1">
    <w:name w:val="Text poznámky pod čiarou Char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qFormat/>
    <w:rsid w:val="00b73102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qFormat/>
    <w:rsid w:val="00b73102"/>
    <w:rPr>
      <w:rFonts w:cs="Times New Roman"/>
      <w:sz w:val="20"/>
      <w:szCs w:val="20"/>
    </w:rPr>
  </w:style>
  <w:style w:type="character" w:styleId="NzovChar" w:customStyle="1">
    <w:name w:val="Názov Char"/>
    <w:basedOn w:val="DefaultParagraphFont"/>
    <w:qFormat/>
    <w:rsid w:val="00b73102"/>
    <w:rPr>
      <w:rFonts w:cs="Times New Roman"/>
      <w:b/>
      <w:bCs/>
      <w:kern w:val="2"/>
      <w:sz w:val="32"/>
      <w:szCs w:val="32"/>
    </w:rPr>
  </w:style>
  <w:style w:type="character" w:styleId="NzovChar1" w:customStyle="1">
    <w:name w:val="Názov Char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qFormat/>
    <w:rsid w:val="00b73102"/>
    <w:rPr>
      <w:rFonts w:ascii="Cambria" w:hAnsi="Cambria" w:eastAsia="Cambria" w:cs="Cambria"/>
      <w:b/>
      <w:bCs/>
      <w:kern w:val="2"/>
      <w:sz w:val="32"/>
      <w:szCs w:val="32"/>
    </w:rPr>
  </w:style>
  <w:style w:type="character" w:styleId="ZkladntextChar" w:customStyle="1">
    <w:name w:val="Základný text Char"/>
    <w:basedOn w:val="DefaultParagraphFont"/>
    <w:qFormat/>
    <w:rsid w:val="00b73102"/>
    <w:rPr>
      <w:rFonts w:ascii="Times New Roman" w:hAnsi="Times New Roman" w:eastAsia="Times New Roman" w:cs="Times New Roman"/>
      <w:b/>
      <w:bCs/>
      <w:sz w:val="24"/>
      <w:szCs w:val="24"/>
      <w:lang w:val="sk-SK" w:eastAsia="cs-CZ"/>
    </w:rPr>
  </w:style>
  <w:style w:type="character" w:styleId="ZkladntextChar1" w:customStyle="1">
    <w:name w:val="Základný text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qFormat/>
    <w:rsid w:val="00b73102"/>
    <w:rPr>
      <w:rFonts w:cs="Times New Roman"/>
      <w:sz w:val="36"/>
      <w:szCs w:val="36"/>
    </w:rPr>
  </w:style>
  <w:style w:type="character" w:styleId="PodtitulChar" w:customStyle="1">
    <w:name w:val="Podtitul Char"/>
    <w:basedOn w:val="DefaultParagraphFont"/>
    <w:qFormat/>
    <w:rsid w:val="00b73102"/>
    <w:rPr>
      <w:rFonts w:ascii="Cambria" w:hAnsi="Cambria" w:eastAsia="Cambria" w:cs="Times New Roman"/>
      <w:sz w:val="24"/>
      <w:szCs w:val="24"/>
    </w:rPr>
  </w:style>
  <w:style w:type="character" w:styleId="PodtitulChar1" w:customStyle="1">
    <w:name w:val="Podtitul Char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5" w:customStyle="1">
    <w:name w:val="Podtitul Char13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4" w:customStyle="1">
    <w:name w:val="Podtitul Char13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3" w:customStyle="1">
    <w:name w:val="Podtitul Char13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2" w:customStyle="1">
    <w:name w:val="Podtitul Char13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1" w:customStyle="1">
    <w:name w:val="Podtitul Char13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0" w:customStyle="1">
    <w:name w:val="Podtitul Char13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9" w:customStyle="1">
    <w:name w:val="Podtitul Char12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8" w:customStyle="1">
    <w:name w:val="Podtitul Char12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7" w:customStyle="1">
    <w:name w:val="Podtitul Char12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6" w:customStyle="1">
    <w:name w:val="Podtitul Char12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5" w:customStyle="1">
    <w:name w:val="Podtitul Char12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4" w:customStyle="1">
    <w:name w:val="Podtitul Char12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3" w:customStyle="1">
    <w:name w:val="Podtitul Char12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2" w:customStyle="1">
    <w:name w:val="Podtitul Char12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1" w:customStyle="1">
    <w:name w:val="Podtitul Char12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0" w:customStyle="1">
    <w:name w:val="Podtitul Char12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9" w:customStyle="1">
    <w:name w:val="Podtitul Char1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8" w:customStyle="1">
    <w:name w:val="Podtitul Char1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7" w:customStyle="1">
    <w:name w:val="Podtitul Char1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6" w:customStyle="1">
    <w:name w:val="Podtitul Char1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5" w:customStyle="1">
    <w:name w:val="Podtitul Char1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4" w:customStyle="1">
    <w:name w:val="Podtitul Char1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3" w:customStyle="1">
    <w:name w:val="Podtitul Char1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2" w:customStyle="1">
    <w:name w:val="Podtitul Char1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1" w:customStyle="1">
    <w:name w:val="Podtitul Char1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0" w:customStyle="1">
    <w:name w:val="Podtitul Char110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9" w:customStyle="1">
    <w:name w:val="Podtitul Char19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8" w:customStyle="1">
    <w:name w:val="Podtitul Char18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7" w:customStyle="1">
    <w:name w:val="Podtitul Char17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6" w:customStyle="1">
    <w:name w:val="Podtitul Char16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5" w:customStyle="1">
    <w:name w:val="Podtitul Char15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4" w:customStyle="1">
    <w:name w:val="Podtitul Char14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3" w:customStyle="1">
    <w:name w:val="Podtitul Char13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2" w:customStyle="1">
    <w:name w:val="Podtitul Char12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PodtitulChar11" w:customStyle="1">
    <w:name w:val="Podtitul Char11"/>
    <w:basedOn w:val="DefaultParagraphFont"/>
    <w:qFormat/>
    <w:rsid w:val="00b73102"/>
    <w:rPr>
      <w:rFonts w:ascii="Cambria" w:hAnsi="Cambria" w:eastAsia="Cambria" w:cs="Cambria"/>
      <w:sz w:val="24"/>
      <w:szCs w:val="24"/>
    </w:rPr>
  </w:style>
  <w:style w:type="character" w:styleId="Zkladntext2Char" w:customStyle="1">
    <w:name w:val="Základný text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kladntext2Char1" w:customStyle="1">
    <w:name w:val="Základný text 2 Char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2Char1" w:customStyle="1">
    <w:name w:val="Zarážka základného textu 2 Char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qFormat/>
    <w:rsid w:val="00b73102"/>
    <w:rPr>
      <w:rFonts w:cs="Times New Roman"/>
      <w:sz w:val="36"/>
      <w:szCs w:val="36"/>
    </w:rPr>
  </w:style>
  <w:style w:type="character" w:styleId="Zarkazkladnhotextu3Char" w:customStyle="1">
    <w:name w:val="Zarážka základného textu 3 Char"/>
    <w:basedOn w:val="DefaultParagraphFont"/>
    <w:qFormat/>
    <w:rsid w:val="00b73102"/>
    <w:rPr>
      <w:rFonts w:ascii="Times New Roman" w:hAnsi="Times New Roman" w:eastAsia="Times New Roman" w:cs="Times New Roman"/>
      <w:sz w:val="24"/>
      <w:szCs w:val="24"/>
      <w:lang w:val="sk-SK" w:eastAsia="cs-CZ"/>
    </w:rPr>
  </w:style>
  <w:style w:type="character" w:styleId="Zarkazkladnhotextu3Char1" w:customStyle="1">
    <w:name w:val="Zarážka základného textu 3 Char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qFormat/>
    <w:rsid w:val="00b73102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qFormat/>
    <w:rsid w:val="00b73102"/>
    <w:rPr>
      <w:rFonts w:cs="Times New Roman"/>
      <w:sz w:val="16"/>
      <w:szCs w:val="16"/>
    </w:rPr>
  </w:style>
  <w:style w:type="character" w:styleId="TextbublinyChar" w:customStyle="1">
    <w:name w:val="Text bubliny Char"/>
    <w:basedOn w:val="DefaultParagraphFont"/>
    <w:qFormat/>
    <w:rsid w:val="00b73102"/>
    <w:rPr>
      <w:rFonts w:ascii="Tahoma" w:hAnsi="Tahoma" w:eastAsia="Tahoma" w:cs="Cambria"/>
      <w:sz w:val="16"/>
      <w:szCs w:val="16"/>
      <w:lang w:val="sk-SK" w:eastAsia="cs-CZ"/>
    </w:rPr>
  </w:style>
  <w:style w:type="character" w:styleId="TextbublinyChar1" w:customStyle="1">
    <w:name w:val="Text bubliny Char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5" w:customStyle="1">
    <w:name w:val="Text bubliny Char13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4" w:customStyle="1">
    <w:name w:val="Text bubliny Char13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3" w:customStyle="1">
    <w:name w:val="Text bubliny Char13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2" w:customStyle="1">
    <w:name w:val="Text bubliny Char13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1" w:customStyle="1">
    <w:name w:val="Text bubliny Char13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0" w:customStyle="1">
    <w:name w:val="Text bubliny Char13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9" w:customStyle="1">
    <w:name w:val="Text bubliny Char12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8" w:customStyle="1">
    <w:name w:val="Text bubliny Char12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7" w:customStyle="1">
    <w:name w:val="Text bubliny Char12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6" w:customStyle="1">
    <w:name w:val="Text bubliny Char12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5" w:customStyle="1">
    <w:name w:val="Text bubliny Char12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4" w:customStyle="1">
    <w:name w:val="Text bubliny Char12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3" w:customStyle="1">
    <w:name w:val="Text bubliny Char12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2" w:customStyle="1">
    <w:name w:val="Text bubliny Char12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1" w:customStyle="1">
    <w:name w:val="Text bubliny Char12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0" w:customStyle="1">
    <w:name w:val="Text bubliny Char12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9" w:customStyle="1">
    <w:name w:val="Text bubliny Char1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8" w:customStyle="1">
    <w:name w:val="Text bubliny Char118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7" w:customStyle="1">
    <w:name w:val="Text bubliny Char1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6" w:customStyle="1">
    <w:name w:val="Text bubliny Char1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5" w:customStyle="1">
    <w:name w:val="Text bubliny Char115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4" w:customStyle="1">
    <w:name w:val="Text bubliny Char114"/>
    <w:basedOn w:val="DefaultParagraphFont"/>
    <w:qFormat/>
    <w:rsid w:val="00b73102"/>
    <w:rPr>
      <w:rFonts w:ascii="Segoe UI" w:hAnsi="Segoe UI" w:eastAsia="Segoe UI" w:cs="Cambria Cyr"/>
      <w:sz w:val="18"/>
      <w:szCs w:val="18"/>
    </w:rPr>
  </w:style>
  <w:style w:type="character" w:styleId="TextbublinyChar113" w:customStyle="1">
    <w:name w:val="Text bubliny Char1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2" w:customStyle="1">
    <w:name w:val="Text bubliny Char1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1" w:customStyle="1">
    <w:name w:val="Text bubliny Char1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0" w:customStyle="1">
    <w:name w:val="Text bubliny Char110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9" w:customStyle="1">
    <w:name w:val="Text bubliny Char19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8" w:customStyle="1">
    <w:name w:val="Text bubliny Char18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7" w:customStyle="1">
    <w:name w:val="Text bubliny Char17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6" w:customStyle="1">
    <w:name w:val="Text bubliny Char16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5" w:customStyle="1">
    <w:name w:val="Text bubliny Char15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4" w:customStyle="1">
    <w:name w:val="Text bubliny Char14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3" w:customStyle="1">
    <w:name w:val="Text bubliny Char13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2" w:customStyle="1">
    <w:name w:val="Text bubliny Char12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TextbublinyChar11" w:customStyle="1">
    <w:name w:val="Text bubliny Char11"/>
    <w:basedOn w:val="DefaultParagraphFont"/>
    <w:qFormat/>
    <w:rsid w:val="00b73102"/>
    <w:rPr>
      <w:rFonts w:ascii="Tahoma" w:hAnsi="Tahoma" w:eastAsia="Tahoma" w:cs="Cambria"/>
      <w:sz w:val="16"/>
      <w:szCs w:val="16"/>
    </w:rPr>
  </w:style>
  <w:style w:type="character" w:styleId="WW8Num12z0" w:customStyle="1">
    <w:name w:val="WW8Num12z0"/>
    <w:qFormat/>
    <w:rsid w:val="00b73102"/>
    <w:rPr>
      <w:rFonts w:ascii="Arial Narrow" w:hAnsi="Arial Narrow" w:eastAsia="Arial Narrow" w:cs="Arial Narrow"/>
      <w:b w:val="false"/>
      <w:sz w:val="22"/>
      <w:szCs w:val="22"/>
    </w:rPr>
  </w:style>
  <w:style w:type="character" w:styleId="WW8Num2z0" w:customStyle="1">
    <w:name w:val="WW8Num2z0"/>
    <w:qFormat/>
    <w:rsid w:val="00b73102"/>
    <w:rPr>
      <w:rFonts w:ascii="Arial Narrow" w:hAnsi="Arial Narrow" w:eastAsia="Arial Narrow" w:cs="Times New Roman"/>
      <w:kern w:val="2"/>
      <w:sz w:val="22"/>
      <w:szCs w:val="22"/>
    </w:rPr>
  </w:style>
  <w:style w:type="character" w:styleId="WW8Num3z0" w:customStyle="1">
    <w:name w:val="WW8Num3z0"/>
    <w:qFormat/>
    <w:rsid w:val="00b73102"/>
    <w:rPr>
      <w:rFonts w:ascii="Arial Narrow" w:hAnsi="Arial Narrow" w:eastAsia="Arial Narrow" w:cs="Times New Roman"/>
    </w:rPr>
  </w:style>
  <w:style w:type="character" w:styleId="WW8Num10z0" w:customStyle="1">
    <w:name w:val="WW8Num10z0"/>
    <w:qFormat/>
    <w:rsid w:val="00b73102"/>
    <w:rPr>
      <w:rFonts w:ascii="Arial Narrow" w:hAnsi="Arial Narrow" w:eastAsia="Arial Narrow" w:cs="Times New Roman"/>
      <w:sz w:val="22"/>
      <w:szCs w:val="22"/>
    </w:rPr>
  </w:style>
  <w:style w:type="character" w:styleId="WW8Num11z0" w:customStyle="1">
    <w:name w:val="WW8Num11z0"/>
    <w:qFormat/>
    <w:rsid w:val="00b73102"/>
    <w:rPr>
      <w:rFonts w:ascii="Arial Narrow" w:hAnsi="Arial Narrow" w:eastAsia="Arial Narrow" w:cs="Times New Roman"/>
    </w:rPr>
  </w:style>
  <w:style w:type="character" w:styleId="WW8Num7z0" w:customStyle="1">
    <w:name w:val="WW8Num7z0"/>
    <w:qFormat/>
    <w:rsid w:val="00b73102"/>
    <w:rPr>
      <w:rFonts w:ascii="Arial Narrow" w:hAnsi="Arial Narrow" w:eastAsia="Arial Narrow" w:cs="Times New Roman"/>
      <w:b w:val="false"/>
      <w:bCs w:val="false"/>
      <w:kern w:val="2"/>
      <w:sz w:val="22"/>
      <w:szCs w:val="22"/>
    </w:rPr>
  </w:style>
  <w:style w:type="character" w:styleId="WW8Num13z0" w:customStyle="1">
    <w:name w:val="WW8Num13z0"/>
    <w:qFormat/>
    <w:rsid w:val="00b73102"/>
    <w:rPr>
      <w:rFonts w:ascii="Arial Narrow" w:hAnsi="Arial Narrow" w:eastAsia="Arial Narrow" w:cs="Times New Roman"/>
    </w:rPr>
  </w:style>
  <w:style w:type="character" w:styleId="WW8Num13z1" w:customStyle="1">
    <w:name w:val="WW8Num13z1"/>
    <w:qFormat/>
    <w:rsid w:val="00b73102"/>
    <w:rPr/>
  </w:style>
  <w:style w:type="character" w:styleId="WW8Num13z2" w:customStyle="1">
    <w:name w:val="WW8Num13z2"/>
    <w:qFormat/>
    <w:rsid w:val="00b73102"/>
    <w:rPr/>
  </w:style>
  <w:style w:type="character" w:styleId="WW8Num13z3" w:customStyle="1">
    <w:name w:val="WW8Num13z3"/>
    <w:qFormat/>
    <w:rsid w:val="00b73102"/>
    <w:rPr/>
  </w:style>
  <w:style w:type="character" w:styleId="WW8Num13z4" w:customStyle="1">
    <w:name w:val="WW8Num13z4"/>
    <w:qFormat/>
    <w:rsid w:val="00b73102"/>
    <w:rPr/>
  </w:style>
  <w:style w:type="character" w:styleId="WW8Num13z5" w:customStyle="1">
    <w:name w:val="WW8Num13z5"/>
    <w:qFormat/>
    <w:rsid w:val="00b73102"/>
    <w:rPr/>
  </w:style>
  <w:style w:type="character" w:styleId="WW8Num13z6" w:customStyle="1">
    <w:name w:val="WW8Num13z6"/>
    <w:qFormat/>
    <w:rsid w:val="00b73102"/>
    <w:rPr/>
  </w:style>
  <w:style w:type="character" w:styleId="WW8Num13z7" w:customStyle="1">
    <w:name w:val="WW8Num13z7"/>
    <w:qFormat/>
    <w:rsid w:val="00b73102"/>
    <w:rPr/>
  </w:style>
  <w:style w:type="character" w:styleId="WW8Num13z8" w:customStyle="1">
    <w:name w:val="WW8Num13z8"/>
    <w:qFormat/>
    <w:rsid w:val="00b73102"/>
    <w:rPr/>
  </w:style>
  <w:style w:type="character" w:styleId="WW8Num9z0" w:customStyle="1">
    <w:name w:val="WW8Num9z0"/>
    <w:qFormat/>
    <w:rsid w:val="00b73102"/>
    <w:rPr>
      <w:rFonts w:cs="Times New Roman"/>
    </w:rPr>
  </w:style>
  <w:style w:type="character" w:styleId="WW8Num8z0" w:customStyle="1">
    <w:name w:val="WW8Num8z0"/>
    <w:qFormat/>
    <w:rsid w:val="00b73102"/>
    <w:rPr>
      <w:rFonts w:ascii="Arial Narrow" w:hAnsi="Arial Narrow" w:eastAsia="Arial Narrow" w:cs="Times New Roman"/>
      <w:bCs/>
      <w:kern w:val="2"/>
    </w:rPr>
  </w:style>
  <w:style w:type="character" w:styleId="WW8Num5z0" w:customStyle="1">
    <w:name w:val="WW8Num5z0"/>
    <w:qFormat/>
    <w:rsid w:val="00b73102"/>
    <w:rPr>
      <w:rFonts w:ascii="Arial Narrow" w:hAnsi="Arial Narrow" w:eastAsia="Arial Narrow" w:cs="Symbol"/>
    </w:rPr>
  </w:style>
  <w:style w:type="character" w:styleId="WW8Num6z0" w:customStyle="1">
    <w:name w:val="WW8Num6z0"/>
    <w:qFormat/>
    <w:rsid w:val="00b73102"/>
    <w:rPr/>
  </w:style>
  <w:style w:type="character" w:styleId="WW8Num4z0" w:customStyle="1">
    <w:name w:val="WW8Num4z0"/>
    <w:qFormat/>
    <w:rsid w:val="00b73102"/>
    <w:rPr>
      <w:rFonts w:ascii="Symbol" w:hAnsi="Symbol" w:eastAsia="Symbol" w:cs="Symbol"/>
    </w:rPr>
  </w:style>
  <w:style w:type="character" w:styleId="Symbolypreslovanie" w:customStyle="1">
    <w:name w:val="Symboly pre číslovanie"/>
    <w:qFormat/>
    <w:rsid w:val="00b73102"/>
    <w:rPr/>
  </w:style>
  <w:style w:type="character" w:styleId="Ra" w:customStyle="1">
    <w:name w:val="ra"/>
    <w:basedOn w:val="DefaultParagraphFont"/>
    <w:qFormat/>
    <w:rsid w:val="00480be5"/>
    <w:rPr/>
  </w:style>
  <w:style w:type="paragraph" w:styleId="Nadpis" w:customStyle="1">
    <w:name w:val="Nadpis"/>
    <w:basedOn w:val="Standard"/>
    <w:next w:val="Textbody"/>
    <w:qFormat/>
    <w:rsid w:val="00b73102"/>
    <w:pPr>
      <w:keepNext w:val="true"/>
      <w:spacing w:before="240" w:after="120"/>
    </w:pPr>
    <w:rPr>
      <w:rFonts w:ascii="Arial" w:hAnsi="Arial" w:eastAsia="Microsoft YaHei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xtbody"/>
    <w:rsid w:val="00b73102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Standard"/>
    <w:qFormat/>
    <w:rsid w:val="00b73102"/>
    <w:pPr>
      <w:suppressLineNumbers/>
    </w:pPr>
    <w:rPr/>
  </w:style>
  <w:style w:type="paragraph" w:styleId="Standard" w:customStyle="1">
    <w:name w:val="Standard"/>
    <w:qFormat/>
    <w:rsid w:val="00b73102"/>
    <w:pPr>
      <w:widowControl w:val="false"/>
      <w:suppressAutoHyphens w:val="true"/>
      <w:bidi w:val="0"/>
      <w:spacing w:before="0" w:after="0"/>
      <w:jc w:val="left"/>
      <w:textAlignment w:val="baseline"/>
    </w:pPr>
    <w:rPr>
      <w:rFonts w:ascii="Times New Roman" w:hAnsi="Times New Roman" w:eastAsia="SimSun" w:cs="Mangal"/>
      <w:color w:val="auto"/>
      <w:kern w:val="2"/>
      <w:sz w:val="24"/>
      <w:szCs w:val="24"/>
      <w:lang w:val="sk-SK" w:eastAsia="zh-CN" w:bidi="hi-IN"/>
    </w:rPr>
  </w:style>
  <w:style w:type="paragraph" w:styleId="Textbody" w:customStyle="1">
    <w:name w:val="Text body"/>
    <w:basedOn w:val="Standard"/>
    <w:qFormat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Caption">
    <w:name w:val="caption"/>
    <w:basedOn w:val="Standard"/>
    <w:qFormat/>
    <w:rsid w:val="00b73102"/>
    <w:pPr>
      <w:suppressLineNumbers/>
      <w:spacing w:before="120" w:after="120"/>
    </w:pPr>
    <w:rPr>
      <w:i/>
      <w:iCs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lear" w:pos="708"/>
        <w:tab w:val="center" w:pos="4536" w:leader="none"/>
        <w:tab w:val="right" w:pos="9072" w:leader="none"/>
      </w:tabs>
      <w:textAlignment w:val="auto"/>
    </w:pPr>
    <w:rPr>
      <w:rFonts w:ascii="Arial Narrow" w:hAnsi="Arial Narrow" w:eastAsia="Arial Narrow" w:cs="Times New Roman"/>
      <w:sz w:val="22"/>
      <w:szCs w:val="36"/>
      <w:lang w:eastAsia="en-US" w:bidi="ar-SA"/>
    </w:rPr>
  </w:style>
  <w:style w:type="paragraph" w:styleId="Poznmkapodiarou">
    <w:name w:val="Footnote Text"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SimSun" w:cs="Times New Roman"/>
      <w:color w:val="auto"/>
      <w:kern w:val="2"/>
      <w:sz w:val="20"/>
      <w:szCs w:val="20"/>
      <w:lang w:val="sk-SK" w:eastAsia="cs-CZ" w:bidi="ar-SA"/>
    </w:rPr>
  </w:style>
  <w:style w:type="paragraph" w:styleId="Nzov">
    <w:name w:val="Title"/>
    <w:basedOn w:val="Nadpis"/>
    <w:next w:val="Textbody"/>
    <w:qFormat/>
    <w:rsid w:val="00b73102"/>
    <w:pPr>
      <w:widowControl/>
      <w:spacing w:before="100" w:after="220"/>
      <w:jc w:val="center"/>
      <w:textAlignment w:val="auto"/>
    </w:pPr>
    <w:rPr>
      <w:rFonts w:ascii="Arial Narrow" w:hAnsi="Arial Narrow" w:eastAsia="Arial Narrow" w:cs="Times New Roman"/>
      <w:b/>
      <w:bCs/>
      <w:sz w:val="22"/>
      <w:szCs w:val="32"/>
      <w:lang w:eastAsia="en-US" w:bidi="ar-SA"/>
    </w:rPr>
  </w:style>
  <w:style w:type="paragraph" w:styleId="Podnzov">
    <w:name w:val="Subtitle"/>
    <w:basedOn w:val="Nadpis"/>
    <w:next w:val="Textbody"/>
    <w:qFormat/>
    <w:rsid w:val="00b73102"/>
    <w:pPr>
      <w:widowControl/>
      <w:spacing w:before="240" w:after="60"/>
      <w:jc w:val="center"/>
      <w:textAlignment w:val="auto"/>
    </w:pPr>
    <w:rPr>
      <w:rFonts w:ascii="Cambria" w:hAnsi="Cambria" w:eastAsia="Cambria" w:cs="Times New Roman"/>
      <w:i/>
      <w:iCs/>
      <w:sz w:val="22"/>
      <w:szCs w:val="24"/>
      <w:lang w:eastAsia="en-US" w:bidi="ar-SA"/>
    </w:rPr>
  </w:style>
  <w:style w:type="paragraph" w:styleId="BodyText2">
    <w:name w:val="Body Text 2"/>
    <w:qFormat/>
    <w:rsid w:val="00b73102"/>
    <w:pPr>
      <w:widowControl/>
      <w:suppressAutoHyphens w:val="true"/>
      <w:bidi w:val="0"/>
      <w:spacing w:before="0" w:after="0"/>
      <w:ind w:left="2124" w:hanging="2124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2">
    <w:name w:val="Body Text Indent 2"/>
    <w:qFormat/>
    <w:rsid w:val="00b73102"/>
    <w:pPr>
      <w:widowControl/>
      <w:suppressAutoHyphens w:val="true"/>
      <w:bidi w:val="0"/>
      <w:spacing w:before="0" w:after="0"/>
      <w:ind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odyTextIndent3">
    <w:name w:val="Body Text Indent 3"/>
    <w:qFormat/>
    <w:rsid w:val="00b73102"/>
    <w:pPr>
      <w:widowControl/>
      <w:suppressAutoHyphens w:val="true"/>
      <w:bidi w:val="0"/>
      <w:spacing w:before="0" w:after="0"/>
      <w:ind w:left="708" w:firstLine="708"/>
      <w:jc w:val="both"/>
      <w:textAlignment w:val="auto"/>
    </w:pPr>
    <w:rPr>
      <w:rFonts w:ascii="Times New Roman" w:hAnsi="Times New Roman" w:eastAsia="SimSun" w:cs="Times New Roman"/>
      <w:color w:val="auto"/>
      <w:kern w:val="2"/>
      <w:sz w:val="24"/>
      <w:szCs w:val="24"/>
      <w:lang w:val="sk-SK" w:eastAsia="cs-CZ" w:bidi="ar-SA"/>
    </w:rPr>
  </w:style>
  <w:style w:type="paragraph" w:styleId="BalloonText">
    <w:name w:val="Balloon Text"/>
    <w:qFormat/>
    <w:rsid w:val="00b73102"/>
    <w:pPr>
      <w:widowControl/>
      <w:suppressAutoHyphens w:val="true"/>
      <w:bidi w:val="0"/>
      <w:spacing w:before="0" w:after="0"/>
      <w:jc w:val="left"/>
      <w:textAlignment w:val="auto"/>
    </w:pPr>
    <w:rPr>
      <w:rFonts w:ascii="Tahoma" w:hAnsi="Tahoma" w:eastAsia="Tahoma" w:cs="Cambria"/>
      <w:color w:val="auto"/>
      <w:kern w:val="2"/>
      <w:sz w:val="16"/>
      <w:szCs w:val="16"/>
      <w:lang w:val="sk-SK" w:eastAsia="cs-CZ" w:bidi="ar-SA"/>
    </w:rPr>
  </w:style>
  <w:style w:type="paragraph" w:styleId="ListParagraph">
    <w:name w:val="List Paragraph"/>
    <w:qFormat/>
    <w:rsid w:val="00b73102"/>
    <w:pPr>
      <w:widowControl/>
      <w:suppressAutoHyphens w:val="true"/>
      <w:bidi w:val="0"/>
      <w:spacing w:before="0" w:after="200"/>
      <w:ind w:left="720" w:hanging="0"/>
      <w:jc w:val="left"/>
      <w:textAlignment w:val="auto"/>
    </w:pPr>
    <w:rPr>
      <w:rFonts w:ascii="Arial Narrow" w:hAnsi="Arial Narrow" w:eastAsia="Arial Narrow" w:cs="Times New Roman"/>
      <w:color w:val="auto"/>
      <w:kern w:val="2"/>
      <w:sz w:val="22"/>
      <w:szCs w:val="36"/>
      <w:lang w:val="sk-SK" w:eastAsia="en-US" w:bidi="ar-SA"/>
    </w:rPr>
  </w:style>
  <w:style w:type="paragraph" w:styleId="TopHeader" w:customStyle="1">
    <w:name w:val="Top Header"/>
    <w:qFormat/>
    <w:rsid w:val="00b73102"/>
    <w:pPr>
      <w:widowControl/>
      <w:suppressAutoHyphens w:val="true"/>
      <w:bidi w:val="0"/>
      <w:spacing w:before="0" w:after="0"/>
      <w:jc w:val="center"/>
      <w:textAlignment w:val="auto"/>
    </w:pPr>
    <w:rPr>
      <w:rFonts w:ascii="Arial Narrow" w:hAnsi="Arial Narrow" w:eastAsia="Arial Narrow" w:cs="Times New Roman"/>
      <w:b/>
      <w:bCs/>
      <w:color w:val="auto"/>
      <w:kern w:val="2"/>
      <w:sz w:val="22"/>
      <w:szCs w:val="22"/>
      <w:lang w:val="sk-SK" w:eastAsia="en-US" w:bidi="ar-SA"/>
    </w:rPr>
  </w:style>
  <w:style w:type="paragraph" w:styleId="NormalWeb">
    <w:name w:val="Normal (Web)"/>
    <w:qFormat/>
    <w:rsid w:val="00b73102"/>
    <w:pPr>
      <w:widowControl/>
      <w:suppressAutoHyphens w:val="true"/>
      <w:bidi w:val="0"/>
      <w:spacing w:before="100" w:after="100"/>
      <w:jc w:val="left"/>
      <w:textAlignment w:val="auto"/>
    </w:pPr>
    <w:rPr>
      <w:rFonts w:ascii="Times New Roman" w:hAnsi="Times New Roman" w:eastAsia="Times New Roman" w:cs="Times New Roman"/>
      <w:color w:val="auto"/>
      <w:kern w:val="2"/>
      <w:sz w:val="24"/>
      <w:szCs w:val="24"/>
      <w:lang w:val="sk-SK" w:eastAsia="sk-SK" w:bidi="ar-SA"/>
    </w:rPr>
  </w:style>
  <w:style w:type="paragraph" w:styleId="Obsahtabuky" w:customStyle="1">
    <w:name w:val="Obsah tabuľky"/>
    <w:basedOn w:val="Standard"/>
    <w:qFormat/>
    <w:rsid w:val="00b73102"/>
    <w:pPr>
      <w:suppressLineNumbers/>
    </w:pPr>
    <w:rPr/>
  </w:style>
  <w:style w:type="paragraph" w:styleId="Citcie" w:customStyle="1">
    <w:name w:val="Citácie"/>
    <w:basedOn w:val="Standard"/>
    <w:qFormat/>
    <w:rsid w:val="00b73102"/>
    <w:pPr>
      <w:spacing w:before="0" w:after="283"/>
      <w:ind w:left="567" w:right="567" w:hanging="0"/>
    </w:pPr>
    <w:rPr/>
  </w:style>
  <w:style w:type="paragraph" w:styleId="Zhlavietabuky" w:customStyle="1">
    <w:name w:val="Záhlavie tabuľky"/>
    <w:basedOn w:val="Obsahtabuky"/>
    <w:qFormat/>
    <w:rsid w:val="00b73102"/>
    <w:pPr>
      <w:jc w:val="center"/>
    </w:pPr>
    <w:rPr>
      <w:b/>
      <w:bCs/>
    </w:rPr>
  </w:style>
  <w:style w:type="paragraph" w:styleId="Obsahrmca" w:customStyle="1">
    <w:name w:val="Obsah rámca"/>
    <w:basedOn w:val="Standard"/>
    <w:qFormat/>
    <w:rsid w:val="00b73102"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12" w:customStyle="1">
    <w:name w:val="WW8Num12"/>
    <w:qFormat/>
    <w:rsid w:val="00b73102"/>
  </w:style>
  <w:style w:type="numbering" w:styleId="WW8Num2" w:customStyle="1">
    <w:name w:val="WW8Num2"/>
    <w:qFormat/>
    <w:rsid w:val="00b73102"/>
  </w:style>
  <w:style w:type="numbering" w:styleId="WW8Num3" w:customStyle="1">
    <w:name w:val="WW8Num3"/>
    <w:qFormat/>
    <w:rsid w:val="00b73102"/>
  </w:style>
  <w:style w:type="numbering" w:styleId="WW8Num10" w:customStyle="1">
    <w:name w:val="WW8Num10"/>
    <w:qFormat/>
    <w:rsid w:val="00b73102"/>
  </w:style>
  <w:style w:type="numbering" w:styleId="WW8Num11" w:customStyle="1">
    <w:name w:val="WW8Num11"/>
    <w:qFormat/>
    <w:rsid w:val="00b73102"/>
  </w:style>
  <w:style w:type="numbering" w:styleId="WW8Num7" w:customStyle="1">
    <w:name w:val="WW8Num7"/>
    <w:qFormat/>
    <w:rsid w:val="00b73102"/>
  </w:style>
  <w:style w:type="numbering" w:styleId="WW8Num13" w:customStyle="1">
    <w:name w:val="WW8Num13"/>
    <w:qFormat/>
    <w:rsid w:val="00b73102"/>
  </w:style>
  <w:style w:type="numbering" w:styleId="WW8Num9" w:customStyle="1">
    <w:name w:val="WW8Num9"/>
    <w:qFormat/>
    <w:rsid w:val="00b73102"/>
  </w:style>
  <w:style w:type="numbering" w:styleId="WW8Num8" w:customStyle="1">
    <w:name w:val="WW8Num8"/>
    <w:qFormat/>
    <w:rsid w:val="00b73102"/>
  </w:style>
  <w:style w:type="numbering" w:styleId="WW8Num5" w:customStyle="1">
    <w:name w:val="WW8Num5"/>
    <w:qFormat/>
    <w:rsid w:val="00b73102"/>
  </w:style>
  <w:style w:type="numbering" w:styleId="WW8Num6" w:customStyle="1">
    <w:name w:val="WW8Num6"/>
    <w:qFormat/>
    <w:rsid w:val="00b73102"/>
  </w:style>
  <w:style w:type="numbering" w:styleId="WW8Num4" w:customStyle="1">
    <w:name w:val="WW8Num4"/>
    <w:qFormat/>
    <w:rsid w:val="00b73102"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Application>LibreOffice/7.1.1.2$Windows_X86_64 LibreOffice_project/fe0b08f4af1bacafe4c7ecc87ce55bb426164676</Application>
  <AppVersion>15.0000</AppVersion>
  <Pages>28</Pages>
  <Words>4795</Words>
  <Characters>26072</Characters>
  <CharactersWithSpaces>29883</CharactersWithSpaces>
  <Paragraphs>1209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2020-11-02T16:35:00Z</dcterms:created>
  <dc:creator>Matulova Silvia</dc:creator>
  <dc:description/>
  <dc:language>sk-SK</dc:language>
  <cp:lastModifiedBy/>
  <cp:lastPrinted>2016-03-02T06:45:00Z</cp:lastPrinted>
  <dcterms:modified xsi:type="dcterms:W3CDTF">2025-06-30T19:02:47Z</dcterms:modified>
  <cp:revision>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