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</w:rPr>
        <w:t xml:space="preserve">POZNÁMKY K ÚČTOVNEJ ZÁVIERKE </w:t>
      </w:r>
      <w:r w:rsidR="00CC540A">
        <w:rPr>
          <w:rFonts w:ascii="Arial Narrow" w:hAnsi="Arial Narrow" w:cs="Arial Narrow"/>
          <w:b/>
        </w:rPr>
        <w:t>20</w:t>
      </w:r>
      <w:r w:rsidR="00D46C13">
        <w:rPr>
          <w:rFonts w:ascii="Arial Narrow" w:hAnsi="Arial Narrow" w:cs="Arial Narrow"/>
          <w:b/>
        </w:rPr>
        <w:t>2</w:t>
      </w:r>
      <w:r w:rsidR="00492D48">
        <w:rPr>
          <w:rFonts w:ascii="Arial Narrow" w:hAnsi="Arial Narrow" w:cs="Arial Narrow"/>
          <w:b/>
        </w:rPr>
        <w:t>4</w:t>
      </w:r>
    </w:p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zostavené podľa Opatrenia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/23378/2014-74 (FS č.12/2014), ktorým sa ustanovujú podrobnosti o individuálnej účtovnej závierke a rozsahu údajov určených z individuálnej účtovnej závierky na zverejnenie </w:t>
      </w:r>
    </w:p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pre malé účtovné jednotky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636"/>
        <w:gridCol w:w="6979"/>
        <w:gridCol w:w="10"/>
      </w:tblGrid>
      <w:tr w:rsidR="00B42CFA" w:rsidTr="006C5779">
        <w:trPr>
          <w:gridAfter w:val="1"/>
          <w:wAfter w:w="10" w:type="dxa"/>
          <w:trHeight w:val="374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E4345">
              <w:rPr>
                <w:rFonts w:ascii="Arial Narrow" w:hAnsi="Arial Narrow" w:cs="Arial Narrow"/>
                <w:b/>
                <w:sz w:val="22"/>
                <w:szCs w:val="22"/>
              </w:rPr>
              <w:t xml:space="preserve">SKP, </w:t>
            </w:r>
            <w:proofErr w:type="spellStart"/>
            <w:r w:rsidRPr="003E4345">
              <w:rPr>
                <w:rFonts w:ascii="Arial Narrow" w:hAnsi="Arial Narrow" w:cs="Arial Narrow"/>
                <w:b/>
                <w:sz w:val="22"/>
                <w:szCs w:val="22"/>
              </w:rPr>
              <w:t>k.s</w:t>
            </w:r>
            <w:proofErr w:type="spellEnd"/>
            <w:r w:rsidRPr="003E4345">
              <w:rPr>
                <w:rFonts w:ascii="Arial Narrow" w:hAnsi="Arial Narrow" w:cs="Arial Narrow"/>
                <w:b/>
                <w:sz w:val="22"/>
                <w:szCs w:val="22"/>
              </w:rPr>
              <w:t>.</w:t>
            </w:r>
          </w:p>
        </w:tc>
      </w:tr>
      <w:tr w:rsidR="00B42CFA">
        <w:trPr>
          <w:gridAfter w:val="1"/>
          <w:wAfter w:w="10" w:type="dxa"/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E4345">
              <w:rPr>
                <w:rFonts w:ascii="Arial Narrow" w:hAnsi="Arial Narrow" w:cs="Arial Narrow"/>
                <w:sz w:val="22"/>
                <w:szCs w:val="22"/>
              </w:rPr>
              <w:t>Námestie SNP 74/28</w:t>
            </w:r>
            <w:r w:rsidR="00030EDA">
              <w:rPr>
                <w:rFonts w:ascii="Arial Narrow" w:hAnsi="Arial Narrow" w:cs="Arial Narrow"/>
                <w:sz w:val="22"/>
                <w:szCs w:val="22"/>
              </w:rPr>
              <w:t>, 960 01 Zvolen</w:t>
            </w:r>
          </w:p>
        </w:tc>
      </w:tr>
      <w:tr w:rsidR="00B42CFA">
        <w:trPr>
          <w:gridAfter w:val="1"/>
          <w:wAfter w:w="10" w:type="dxa"/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Komanditná spoločnosť</w:t>
            </w:r>
          </w:p>
        </w:tc>
      </w:tr>
      <w:tr w:rsidR="00B42CFA"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B42CFA" w:rsidP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3E4345" w:rsidRPr="003E4345">
              <w:rPr>
                <w:rFonts w:ascii="Arial Narrow" w:hAnsi="Arial Narrow" w:cs="Arial Narrow"/>
                <w:sz w:val="22"/>
                <w:szCs w:val="22"/>
              </w:rPr>
              <w:t>13.08.2009</w:t>
            </w:r>
          </w:p>
        </w:tc>
      </w:tr>
      <w:tr w:rsidR="00B42CFA"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D46C1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Správcovská spoločnosť</w:t>
            </w:r>
          </w:p>
        </w:tc>
      </w:tr>
      <w:tr w:rsidR="00B42CFA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3E4345" w:rsidP="006C577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E4345">
              <w:rPr>
                <w:rFonts w:ascii="Arial Narrow" w:hAnsi="Arial Narrow" w:cs="Arial Narrow"/>
                <w:b/>
                <w:sz w:val="22"/>
                <w:szCs w:val="22"/>
              </w:rPr>
              <w:t xml:space="preserve">SKP, </w:t>
            </w:r>
            <w:proofErr w:type="spellStart"/>
            <w:r w:rsidRPr="003E4345">
              <w:rPr>
                <w:rFonts w:ascii="Arial Narrow" w:hAnsi="Arial Narrow" w:cs="Arial Narrow"/>
                <w:b/>
                <w:sz w:val="22"/>
                <w:szCs w:val="22"/>
              </w:rPr>
              <w:t>k.s</w:t>
            </w:r>
            <w:proofErr w:type="spellEnd"/>
            <w:r w:rsidRPr="003E4345">
              <w:rPr>
                <w:rFonts w:ascii="Arial Narrow" w:hAnsi="Arial Narrow" w:cs="Arial Narrow"/>
                <w:b/>
                <w:sz w:val="22"/>
                <w:szCs w:val="22"/>
              </w:rPr>
              <w:t>.</w:t>
            </w:r>
            <w:r w:rsidR="00B42CFA">
              <w:rPr>
                <w:rFonts w:ascii="Arial Narrow" w:hAnsi="Arial Narrow" w:cs="Arial Narrow"/>
                <w:sz w:val="22"/>
                <w:szCs w:val="22"/>
              </w:rPr>
              <w:t xml:space="preserve">. nie je subjektom verejného záujmu (§ 2/14 </w:t>
            </w:r>
            <w:proofErr w:type="spellStart"/>
            <w:r w:rsidR="00B42CFA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="00B42CFA">
              <w:rPr>
                <w:rFonts w:ascii="Arial Narrow" w:hAnsi="Arial Narrow" w:cs="Arial Narrow"/>
                <w:sz w:val="22"/>
                <w:szCs w:val="22"/>
              </w:rPr>
              <w:t>).</w:t>
            </w:r>
          </w:p>
        </w:tc>
      </w:tr>
      <w:tr w:rsidR="00B42CFA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B42CFA" w:rsidP="00492D4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D46C13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492D48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</w:tr>
    </w:tbl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25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0" w:type="auto"/>
        <w:tblInd w:w="33" w:type="dxa"/>
        <w:tblLayout w:type="fixed"/>
        <w:tblLook w:val="0000" w:firstRow="0" w:lastRow="0" w:firstColumn="0" w:lastColumn="0" w:noHBand="0" w:noVBand="0"/>
      </w:tblPr>
      <w:tblGrid>
        <w:gridCol w:w="2197"/>
        <w:gridCol w:w="2835"/>
        <w:gridCol w:w="3260"/>
        <w:gridCol w:w="1286"/>
      </w:tblGrid>
      <w:tr w:rsidR="00B42CFA" w:rsidTr="00860EE4">
        <w:trPr>
          <w:trHeight w:val="364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492D48" w:rsidP="002A12B3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152441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492D48" w:rsidP="007F68A0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100948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492D48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24034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492D48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35575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EE4" w:rsidRPr="00860EE4" w:rsidRDefault="00E14495" w:rsidP="00DC4730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:rsidR="00B42CFA" w:rsidRDefault="00B42CFA">
      <w:pPr>
        <w:jc w:val="both"/>
      </w:pP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E14495">
        <w:rPr>
          <w:rFonts w:ascii="Arial Narrow" w:hAnsi="Arial Narrow" w:cs="Arial Narrow"/>
          <w:bCs/>
          <w:sz w:val="22"/>
          <w:szCs w:val="22"/>
        </w:rPr>
        <w:t xml:space="preserve">Účtovná jednotka, </w:t>
      </w:r>
      <w:r w:rsidR="00E14495" w:rsidRPr="00DB32BA">
        <w:rPr>
          <w:rFonts w:ascii="Arial Narrow" w:hAnsi="Arial Narrow" w:cs="Arial Narrow"/>
          <w:b/>
          <w:bCs/>
          <w:sz w:val="22"/>
          <w:szCs w:val="22"/>
        </w:rPr>
        <w:t xml:space="preserve">ktorá spĺňa podmienky pre </w:t>
      </w:r>
      <w:proofErr w:type="spellStart"/>
      <w:r w:rsidR="00E14495" w:rsidRPr="00DB32BA">
        <w:rPr>
          <w:rFonts w:ascii="Arial Narrow" w:hAnsi="Arial Narrow" w:cs="Arial Narrow"/>
          <w:b/>
          <w:bCs/>
          <w:sz w:val="22"/>
          <w:szCs w:val="22"/>
        </w:rPr>
        <w:t>mikro</w:t>
      </w:r>
      <w:proofErr w:type="spellEnd"/>
      <w:r w:rsidR="00E14495" w:rsidRPr="00DB32BA">
        <w:rPr>
          <w:rFonts w:ascii="Arial Narrow" w:hAnsi="Arial Narrow" w:cs="Arial Narrow"/>
          <w:b/>
          <w:bCs/>
          <w:sz w:val="22"/>
          <w:szCs w:val="22"/>
        </w:rPr>
        <w:t xml:space="preserve"> účtovnú jednotku, sa môže rozhodnúť, že bude</w:t>
      </w:r>
      <w:r w:rsidR="00E14495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14495" w:rsidRPr="00DB32BA">
        <w:rPr>
          <w:rFonts w:ascii="Arial Narrow" w:hAnsi="Arial Narrow" w:cs="Arial Narrow"/>
          <w:b/>
          <w:bCs/>
          <w:sz w:val="22"/>
          <w:szCs w:val="22"/>
        </w:rPr>
        <w:t>postupovať ako malá účtovná jednotka</w:t>
      </w:r>
      <w:r w:rsidR="00E14495">
        <w:rPr>
          <w:rFonts w:ascii="Arial Narrow" w:hAnsi="Arial Narrow" w:cs="Arial Narrow"/>
          <w:bCs/>
          <w:sz w:val="22"/>
          <w:szCs w:val="22"/>
        </w:rPr>
        <w:t xml:space="preserve">. Účtovná jednotka </w:t>
      </w:r>
      <w:r w:rsidR="00E14495">
        <w:rPr>
          <w:rFonts w:ascii="Arial Narrow" w:hAnsi="Arial Narrow" w:cs="Arial Narrow"/>
          <w:sz w:val="22"/>
          <w:szCs w:val="22"/>
        </w:rPr>
        <w:t>sa rozhodla, že bude postupovať ako malá účtovná jednotka</w:t>
      </w:r>
      <w:r w:rsidR="00E14495">
        <w:rPr>
          <w:rFonts w:ascii="Arial Narrow" w:hAnsi="Arial Narrow" w:cs="Arial Narrow"/>
          <w:b/>
          <w:sz w:val="22"/>
          <w:szCs w:val="22"/>
        </w:rPr>
        <w:t xml:space="preserve">, </w:t>
      </w:r>
      <w:r w:rsidR="00E14495">
        <w:rPr>
          <w:rFonts w:ascii="Arial Narrow" w:hAnsi="Arial Narrow" w:cs="Arial Narrow"/>
          <w:sz w:val="22"/>
          <w:szCs w:val="22"/>
        </w:rPr>
        <w:t xml:space="preserve">preto zostavuje účtovnú závierku podľa metodiky pre túto veľkostnú skupinu (Opatrenie </w:t>
      </w:r>
      <w:proofErr w:type="spellStart"/>
      <w:r w:rsidR="00E14495">
        <w:rPr>
          <w:rFonts w:ascii="Arial Narrow" w:hAnsi="Arial Narrow" w:cs="Arial Narrow"/>
          <w:sz w:val="22"/>
          <w:szCs w:val="22"/>
        </w:rPr>
        <w:t>č.MF</w:t>
      </w:r>
      <w:proofErr w:type="spellEnd"/>
      <w:r w:rsidR="00E14495">
        <w:rPr>
          <w:rFonts w:ascii="Arial Narrow" w:hAnsi="Arial Narrow" w:cs="Arial Narrow"/>
          <w:sz w:val="22"/>
          <w:szCs w:val="22"/>
        </w:rPr>
        <w:t>/23378/2014-74).</w:t>
      </w:r>
    </w:p>
    <w:p w:rsidR="00B42CFA" w:rsidRDefault="00B42CFA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 w:rsidP="007A6CE2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BD689E">
        <w:rPr>
          <w:rFonts w:ascii="Arial Narrow" w:hAnsi="Arial Narrow" w:cs="Arial Narrow"/>
          <w:sz w:val="22"/>
          <w:szCs w:val="22"/>
        </w:rPr>
        <w:t xml:space="preserve"> </w:t>
      </w:r>
      <w:r w:rsidR="00492D48">
        <w:rPr>
          <w:rFonts w:ascii="Arial Narrow" w:hAnsi="Arial Narrow" w:cs="Arial Narrow"/>
          <w:b/>
          <w:sz w:val="22"/>
          <w:szCs w:val="22"/>
        </w:rPr>
        <w:t>01.07.2024</w:t>
      </w: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BD689E">
        <w:rPr>
          <w:rFonts w:ascii="Arial Narrow" w:hAnsi="Arial Narrow" w:cs="Arial Narrow"/>
          <w:sz w:val="22"/>
          <w:szCs w:val="22"/>
        </w:rPr>
        <w:t xml:space="preserve"> Riadna účtovná závierka k 31.12.</w:t>
      </w:r>
      <w:r w:rsidR="00DC4730">
        <w:rPr>
          <w:rFonts w:ascii="Arial Narrow" w:hAnsi="Arial Narrow" w:cs="Arial Narrow"/>
          <w:sz w:val="22"/>
          <w:szCs w:val="22"/>
        </w:rPr>
        <w:t>2</w:t>
      </w:r>
      <w:r w:rsidR="00CC540A">
        <w:rPr>
          <w:rFonts w:ascii="Arial Narrow" w:hAnsi="Arial Narrow" w:cs="Arial Narrow"/>
          <w:sz w:val="22"/>
          <w:szCs w:val="22"/>
        </w:rPr>
        <w:t>0</w:t>
      </w:r>
      <w:r w:rsidR="00C37248">
        <w:rPr>
          <w:rFonts w:ascii="Arial Narrow" w:hAnsi="Arial Narrow" w:cs="Arial Narrow"/>
          <w:sz w:val="22"/>
          <w:szCs w:val="22"/>
        </w:rPr>
        <w:t>2</w:t>
      </w:r>
      <w:r w:rsidR="00492D48">
        <w:rPr>
          <w:rFonts w:ascii="Arial Narrow" w:hAnsi="Arial Narrow" w:cs="Arial Narrow"/>
          <w:sz w:val="22"/>
          <w:szCs w:val="22"/>
        </w:rPr>
        <w:t>4</w:t>
      </w:r>
      <w:bookmarkStart w:id="0" w:name="_GoBack"/>
      <w:bookmarkEnd w:id="0"/>
      <w:r w:rsidR="00DC4730">
        <w:rPr>
          <w:rFonts w:ascii="Arial Narrow" w:hAnsi="Arial Narrow" w:cs="Arial Narrow"/>
          <w:sz w:val="22"/>
          <w:szCs w:val="22"/>
        </w:rPr>
        <w:t>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</w:t>
      </w:r>
      <w:r>
        <w:rPr>
          <w:rFonts w:ascii="Arial Narrow" w:hAnsi="Arial Narrow" w:cs="Arial Narrow"/>
          <w:b/>
          <w:bCs/>
          <w:sz w:val="22"/>
          <w:szCs w:val="22"/>
        </w:rPr>
        <w:t>s konsolidáciou</w:t>
      </w:r>
      <w:r>
        <w:rPr>
          <w:rFonts w:ascii="Arial Narrow" w:hAnsi="Arial Narrow" w:cs="Arial Narrow"/>
          <w:bCs/>
          <w:sz w:val="22"/>
          <w:szCs w:val="22"/>
        </w:rPr>
        <w:t>:</w:t>
      </w:r>
    </w:p>
    <w:p w:rsidR="00B42CFA" w:rsidRDefault="00B42CFA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najväčšiu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 konsolidácie):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Obchodné meno a 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najmenšiu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(bezprostredne vyšší stupeň konsolidácie), a ktorá je tiež začlenená do skupiny účtovných jednotiek na najvyššom stupni konsolidácie: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Adresa, kde sa môže vyžiadať kópia vyššie uvedených </w:t>
      </w:r>
      <w:r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Údaj, či účtovná jednotka je materskou účtovnou jednotkou a údaj, či je oslobodená od povinnosti zostaviť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a konsolidovanú výročnú správu podľa § 22 zákona o účtovníctve, pričom sa uvádzajú: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1. pri oslobodení podľa § 22 ods. 8 zákona o účtovníctve obchodné meno a sídlo materskej účtovnej jednotky zostavujúcej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podľa osobitných predpisov (IFRS/EÚ):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2. pri oslobodení podľa § 22 ods. 10 a 12 zákona o účtovníctve obchodné meno a sídlo dcérskych účtovných jednotiek: 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377"/>
      </w:tblGrid>
      <w:tr w:rsidR="00B42CFA">
        <w:trPr>
          <w:trHeight w:val="537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42CFA">
        <w:trPr>
          <w:trHeight w:val="163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C4730" w:rsidRDefault="00B42CFA" w:rsidP="00DB32B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B42CFA" w:rsidP="00DB32B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B42CFA" w:rsidRDefault="00B42CFA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B42CFA" w:rsidRDefault="00B42CFA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2"/>
        <w:gridCol w:w="1701"/>
        <w:gridCol w:w="1711"/>
      </w:tblGrid>
      <w:tr w:rsidR="00B42CFA">
        <w:trPr>
          <w:trHeight w:val="780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Orgány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67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44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:rsidR="00B42CFA" w:rsidRDefault="00B42CFA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Pr="00686498" w:rsidRDefault="00B42CFA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v zmysle § 7 ods. 4 zákona o účtovníctve. Ak by tento predpoklad nebol splnený, uvedie sa aj dopad do účtovnej závierky (napr. zrušenie dlhodobých rezerv): </w:t>
      </w:r>
      <w:r w:rsidR="00D96A4B" w:rsidRPr="00686498">
        <w:rPr>
          <w:rFonts w:ascii="Arial Narrow" w:hAnsi="Arial Narrow" w:cs="Arial Narrow"/>
          <w:b/>
          <w:sz w:val="22"/>
          <w:szCs w:val="22"/>
        </w:rPr>
        <w:t>Účtovná závierka je zostavená za splnenia predpokladu, že účtovná jednotka bude nepretržite pokračovať vo svojej činnosti.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</w:p>
    <w:p w:rsidR="00B42CFA" w:rsidRPr="00945E58" w:rsidRDefault="00945E58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945E58">
        <w:rPr>
          <w:rFonts w:ascii="Arial Narrow" w:hAnsi="Arial Narrow" w:cs="Arial Narrow"/>
          <w:b/>
          <w:sz w:val="22"/>
          <w:szCs w:val="22"/>
        </w:rPr>
        <w:t>V roku 201</w:t>
      </w:r>
      <w:r w:rsidR="00AE7E78">
        <w:rPr>
          <w:rFonts w:ascii="Arial Narrow" w:hAnsi="Arial Narrow" w:cs="Arial Narrow"/>
          <w:b/>
          <w:sz w:val="22"/>
          <w:szCs w:val="22"/>
        </w:rPr>
        <w:t>6</w:t>
      </w:r>
      <w:r w:rsidRPr="00945E58">
        <w:rPr>
          <w:rFonts w:ascii="Arial Narrow" w:hAnsi="Arial Narrow" w:cs="Arial Narrow"/>
          <w:b/>
          <w:sz w:val="22"/>
          <w:szCs w:val="22"/>
        </w:rPr>
        <w:t xml:space="preserve"> v účtovnej jednotky nenastali zmeny účtovných zásad.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 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:rsidR="00B42CFA" w:rsidRDefault="00B42CFA">
      <w:pPr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a) Spôsob oceňovania majetku a záväzkov (§ 25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):</w:t>
      </w:r>
    </w:p>
    <w:p w:rsidR="00B42CFA" w:rsidRDefault="00B42CF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10"/>
      </w:tblGrid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ZV a zákazková výstavba nehnuteľnosti určenej na predaj: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rozlíšenie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na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strane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aktív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súvahy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Záväzky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vrátane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rezerv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dlhopisov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pôžičiek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a 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úverov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rozlíšenie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na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strane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pasív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súvahy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en-AU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riv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en-AU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ty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Majetok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a 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záväzky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zabezpečené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derivátmi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Prenajatý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majetok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a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majetok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obstaraný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na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základe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zmluvy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o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kúpe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prenajatej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veci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Splatná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daň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z 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príjmov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a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odložená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daň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z 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príjmov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je zaúčtované formou opravnej položky stanovené odborným odhadom bonity klienta.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oceňovaniu majetku a záväzkov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Finančné nástroje</w:t>
      </w:r>
      <w:r>
        <w:rPr>
          <w:rFonts w:ascii="Arial Narrow" w:hAnsi="Arial Narrow" w:cs="Arial Narrow"/>
          <w:sz w:val="22"/>
          <w:szCs w:val="22"/>
        </w:rPr>
        <w:t xml:space="preserve"> definuje § 5 zákona č.566/2001 </w:t>
      </w:r>
      <w:proofErr w:type="spellStart"/>
      <w:r>
        <w:rPr>
          <w:rFonts w:ascii="Arial Narrow" w:hAnsi="Arial Narrow" w:cs="Arial Narrow"/>
          <w:sz w:val="22"/>
          <w:szCs w:val="22"/>
        </w:rPr>
        <w:t>Z.z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o cenných papieroch v znení neskorších predpisov – sú to napr. cenné papiere (akcie, dlhopisy, dočasné listy), deriváty (opcie, </w:t>
      </w:r>
      <w:proofErr w:type="spellStart"/>
      <w:r>
        <w:rPr>
          <w:rFonts w:ascii="Arial Narrow" w:hAnsi="Arial Narrow" w:cs="Arial Narrow"/>
          <w:sz w:val="22"/>
          <w:szCs w:val="22"/>
        </w:rPr>
        <w:t>futures</w:t>
      </w:r>
      <w:proofErr w:type="spellEnd"/>
      <w:r>
        <w:rPr>
          <w:rFonts w:ascii="Arial Narrow" w:hAnsi="Arial Narrow" w:cs="Arial Narrow"/>
          <w:sz w:val="22"/>
          <w:szCs w:val="22"/>
        </w:rPr>
        <w:t>, swapy, forwardy), nástroje peňažného trhu (pokladničné poukážky, vkladové listy).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Opravné položky</w:t>
      </w:r>
      <w:r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odborným odhadom bonity príslušného majetku.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>
        <w:rPr>
          <w:rFonts w:ascii="Arial Narrow" w:hAnsi="Arial Narrow" w:cs="Arial Narrow"/>
          <w:sz w:val="22"/>
          <w:szCs w:val="22"/>
          <w:u w:val="single"/>
        </w:rPr>
        <w:t xml:space="preserve">metódu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odúročenia</w:t>
      </w:r>
      <w:proofErr w:type="spellEnd"/>
      <w:r>
        <w:rPr>
          <w:rFonts w:ascii="Arial Narrow" w:hAnsi="Arial Narrow" w:cs="Arial Narrow"/>
          <w:sz w:val="22"/>
          <w:szCs w:val="22"/>
          <w:u w:val="single"/>
        </w:rPr>
        <w:t xml:space="preserve"> na súčasnú hodnotu</w:t>
      </w:r>
      <w:r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Rezervy</w:t>
      </w:r>
      <w:r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počas účtovného obdobia (§ 25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), ani k </w:t>
      </w:r>
      <w:proofErr w:type="spellStart"/>
      <w:r>
        <w:rPr>
          <w:rFonts w:ascii="Arial Narrow" w:hAnsi="Arial Narrow" w:cs="Arial Narrow"/>
          <w:sz w:val="22"/>
          <w:szCs w:val="22"/>
        </w:rPr>
        <w:t>závierkovému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dňu (§ 27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) nepoužila ocenenie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="0059191A">
        <w:rPr>
          <w:rFonts w:ascii="Arial Narrow" w:hAnsi="Arial Narrow" w:cs="Arial Narrow"/>
          <w:sz w:val="22"/>
          <w:szCs w:val="22"/>
        </w:rPr>
        <w:t>FIFO metódu</w:t>
      </w:r>
      <w:r>
        <w:rPr>
          <w:rFonts w:ascii="Arial Narrow" w:hAnsi="Arial Narrow" w:cs="Arial Narrow"/>
          <w:sz w:val="22"/>
          <w:szCs w:val="22"/>
        </w:rPr>
        <w:t xml:space="preserve"> (§ 25/5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; § 22/1 PU).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prírastku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>
        <w:rPr>
          <w:rFonts w:ascii="Arial Narrow" w:hAnsi="Arial Narrow" w:cs="Arial Narrow"/>
          <w:sz w:val="22"/>
          <w:szCs w:val="22"/>
          <w:u w:val="single"/>
        </w:rPr>
        <w:t>zmenárenský kurz</w:t>
      </w:r>
      <w:r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úbytku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>
        <w:rPr>
          <w:rFonts w:ascii="Arial Narrow" w:hAnsi="Arial Narrow" w:cs="Arial Narrow"/>
          <w:sz w:val="22"/>
          <w:szCs w:val="22"/>
          <w:u w:val="single"/>
        </w:rPr>
        <w:t>základné pravidlo</w:t>
      </w:r>
      <w:r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:rsidR="00B42CFA" w:rsidRDefault="00B42CFA"/>
    <w:p w:rsidR="00B42CFA" w:rsidRDefault="00B42CFA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278"/>
      </w:tblGrid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Dlhodobý hmotný a nehmotný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DB32B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</w:rPr>
              <w:t>Sam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</w:rPr>
              <w:t>Hn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</w:rPr>
              <w:t>. Veci a súbory vecí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 w:rsidP="00DB32B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DB32BA">
              <w:rPr>
                <w:rFonts w:ascii="Arial Narrow" w:hAnsi="Arial Narrow" w:cs="Arial"/>
                <w:sz w:val="22"/>
                <w:szCs w:val="22"/>
              </w:rPr>
              <w:t>22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DB32B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 w:rsidP="0059191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B42CFA" w:rsidRDefault="00B42CFA">
      <w:pPr>
        <w:spacing w:after="12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účtovné odpisy závisle na daňových odpisoch</w:t>
      </w:r>
      <w:r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"/>
          <w:sz w:val="22"/>
          <w:szCs w:val="22"/>
          <w:u w:val="single"/>
        </w:rPr>
        <w:t>zaradený do užívania</w:t>
      </w:r>
      <w:r>
        <w:rPr>
          <w:rFonts w:ascii="Arial Narrow" w:hAnsi="Arial Narrow" w:cs="Arial"/>
          <w:sz w:val="22"/>
          <w:szCs w:val="22"/>
        </w:rPr>
        <w:t xml:space="preserve">. Účtovné odpisy vychádzajú z predpokladanej doby používania majetku. Dlhodobý nehmotný majetok sa odpisuje počas </w:t>
      </w:r>
      <w:r w:rsidR="0059191A">
        <w:rPr>
          <w:rFonts w:ascii="Arial Narrow" w:hAnsi="Arial Narrow" w:cs="Arial"/>
          <w:sz w:val="22"/>
          <w:szCs w:val="22"/>
        </w:rPr>
        <w:t>5</w:t>
      </w:r>
      <w:r>
        <w:rPr>
          <w:rFonts w:ascii="Arial Narrow" w:hAnsi="Arial Narrow" w:cs="Arial"/>
          <w:sz w:val="22"/>
          <w:szCs w:val="22"/>
        </w:rPr>
        <w:t xml:space="preserve"> rokov od jeho obstarania.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rovnomerné odpisovanie</w:t>
      </w:r>
      <w:r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</w:t>
      </w:r>
      <w:r w:rsidR="0059191A">
        <w:rPr>
          <w:rFonts w:ascii="Arial Narrow" w:hAnsi="Arial Narrow" w:cs="Arial"/>
          <w:sz w:val="22"/>
          <w:szCs w:val="22"/>
        </w:rPr>
        <w:t>Pohoda</w:t>
      </w:r>
      <w:r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>
        <w:rPr>
          <w:rFonts w:ascii="Arial Narrow" w:hAnsi="Arial Narrow" w:cs="Arial"/>
          <w:sz w:val="22"/>
          <w:szCs w:val="22"/>
          <w:u w:val="single"/>
        </w:rPr>
        <w:t>súbory hnuteľných vecí</w:t>
      </w:r>
      <w:r>
        <w:rPr>
          <w:rFonts w:ascii="Arial Narrow" w:hAnsi="Arial Narrow" w:cs="Arial"/>
          <w:sz w:val="22"/>
          <w:szCs w:val="22"/>
        </w:rPr>
        <w:t xml:space="preserve"> (napr. počítačová sieť, nábytková zostava). UJ nepoužíva </w:t>
      </w:r>
      <w:proofErr w:type="spellStart"/>
      <w:r>
        <w:rPr>
          <w:rFonts w:ascii="Arial Narrow" w:hAnsi="Arial Narrow" w:cs="Arial"/>
          <w:sz w:val="22"/>
          <w:szCs w:val="22"/>
        </w:rPr>
        <w:t>komponentné</w:t>
      </w:r>
      <w:proofErr w:type="spellEnd"/>
      <w:r>
        <w:rPr>
          <w:rFonts w:ascii="Arial Narrow" w:hAnsi="Arial Narrow" w:cs="Arial"/>
          <w:sz w:val="22"/>
          <w:szCs w:val="22"/>
        </w:rPr>
        <w:t xml:space="preserve"> odpisovanie (odpisovanie častí majetku - komponentov).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nepoužila </w:t>
      </w:r>
      <w:r>
        <w:rPr>
          <w:rFonts w:ascii="Arial Narrow" w:hAnsi="Arial Narrow" w:cs="Arial Narrow"/>
          <w:sz w:val="22"/>
          <w:szCs w:val="22"/>
          <w:u w:val="single"/>
        </w:rPr>
        <w:t>jednorazový odpis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dlhodobého majetku z dôvodu jednorazového trvalého zníženia hodnoty majetku (§ 21/5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nehmotného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2 400 eur jednotkovej ceny so životnosťou nad jeden rok (§ 13/2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1 700 eur jednotkovej ceny so životnosťou nad jeden rok (§ 13/6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>
        <w:rPr>
          <w:rFonts w:ascii="Arial Narrow" w:hAnsi="Arial Narrow" w:cs="Arial Narrow"/>
          <w:sz w:val="22"/>
          <w:szCs w:val="22"/>
        </w:rPr>
        <w:t xml:space="preserve"> do odpisovaného dlhodobého majetku – technické zhodnotenie pod 1 700 eur za účtovné obdobie (§ 21/3 PU; § 29/2 ZDP).</w:t>
      </w:r>
    </w:p>
    <w:p w:rsidR="00B42CFA" w:rsidRDefault="00B42CFA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>
        <w:rPr>
          <w:rFonts w:ascii="Arial Narrow" w:hAnsi="Arial Narrow" w:cs="Arial Narrow"/>
          <w:sz w:val="22"/>
          <w:szCs w:val="22"/>
        </w:rPr>
        <w:t xml:space="preserve"> do obstarávacej ceny odpisovaného dlhodobého hmotného majetku alebo dlhodobého nehmotného majetku (§ 34/1 PU; § 35/2/h PU).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:rsidR="00B42CFA" w:rsidRDefault="00B42CFA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B42CFA" w:rsidRDefault="00B42CFA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75"/>
        <w:gridCol w:w="1040"/>
        <w:gridCol w:w="1039"/>
        <w:gridCol w:w="1928"/>
        <w:gridCol w:w="2529"/>
      </w:tblGrid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Po schválení účtovnej závierky na valnom zhromaždení už nemožno otvárať účtovné knihy minulých účtovných období a prípadné opravy sa vykonajú v bežnom účtovnom období (§ 16/10,11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Významné opravy chýb minulých účtovných období sa účtujú (§ 59/13 PU) - voči minulým výsledkom hospodárenia (voči vlastnému imaniu na účet 428 alebo 429). 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Pri ukladaní pokuty za nesprávnosti v účtovníctve prihliadne daňový úrad aj na to, či UJ písomne ohlásila obsah a sumu vykonanej opravy chýb minulých účtovných období (§ 38/5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chýb minulých účtovných období sa daňovo vysporiadajú podľa pravidiel v zákone o dani z príjmov (§ 17/15,29 ZDP) a pravidiel v daňovom poriadku (§ 16). 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[Vysvetlivky: Záporný </w:t>
      </w:r>
      <w:proofErr w:type="spellStart"/>
      <w:r>
        <w:rPr>
          <w:rFonts w:ascii="Arial Narrow" w:hAnsi="Arial Narrow" w:cs="Arial Narrow"/>
          <w:sz w:val="22"/>
          <w:szCs w:val="22"/>
        </w:rPr>
        <w:t>goodwill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sa účtovne odpíše do výnosov (075/551) </w:t>
      </w:r>
      <w:proofErr w:type="spellStart"/>
      <w:r>
        <w:rPr>
          <w:rFonts w:ascii="Arial Narrow" w:hAnsi="Arial Narrow" w:cs="Arial Narrow"/>
          <w:sz w:val="22"/>
          <w:szCs w:val="22"/>
        </w:rPr>
        <w:t>jednorázovo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v roku jeho vzniku (§ 37 PU). Daňovo sa </w:t>
      </w:r>
      <w:proofErr w:type="spellStart"/>
      <w:r>
        <w:rPr>
          <w:rFonts w:ascii="Arial Narrow" w:hAnsi="Arial Narrow" w:cs="Arial Narrow"/>
          <w:sz w:val="22"/>
          <w:szCs w:val="22"/>
        </w:rPr>
        <w:t>goodwill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z podnikových kombinácií spravidla odpisuje najdlhšie počas 7 rokov podľa pravidiel v zákone o dani z príjmov (§ 17/11; § 17a - 17e ZDP)]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Pritom sa uvádza forma tohto zabezpečenia a uvádza sa zmena reálnej hodnoty v priebehu účtovného obdobia (§ 27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 Pre každý druh derivátov sa uvádza informácia o rozsahu a povahe týchto derivátov vrátane významných podmienok, ktoré môžu ovplyvniť sumu, načasovanie a mieru istoty budúcich peňažných tokov a </w:t>
      </w:r>
      <w:r>
        <w:rPr>
          <w:rFonts w:ascii="Arial Narrow" w:hAnsi="Arial Narrow" w:cs="Arial Narrow"/>
          <w:sz w:val="22"/>
          <w:szCs w:val="22"/>
          <w:u w:val="single"/>
        </w:rPr>
        <w:t>v tabuľkovej forme</w:t>
      </w:r>
      <w:r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655"/>
        <w:gridCol w:w="1135"/>
        <w:gridCol w:w="1135"/>
        <w:gridCol w:w="1844"/>
        <w:gridCol w:w="1846"/>
      </w:tblGrid>
      <w:tr w:rsidR="00B42CFA">
        <w:trPr>
          <w:trHeight w:val="153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 derivátov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B42CFA">
        <w:trPr>
          <w:trHeight w:val="62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09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</w:t>
      </w:r>
      <w:r>
        <w:rPr>
          <w:rFonts w:ascii="Arial Narrow" w:hAnsi="Arial Narrow" w:cs="Arial Narrow"/>
          <w:sz w:val="22"/>
          <w:szCs w:val="22"/>
        </w:rPr>
        <w:t xml:space="preserve">: Prvotné ocenenie reálnou hodnotou (§ 25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 počas účtovného obdobia – bez náplne.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sa k </w:t>
      </w:r>
      <w:proofErr w:type="spellStart"/>
      <w:r>
        <w:rPr>
          <w:rFonts w:ascii="Arial Narrow" w:hAnsi="Arial Narrow" w:cs="Arial Narrow"/>
          <w:sz w:val="22"/>
          <w:szCs w:val="22"/>
        </w:rPr>
        <w:t>závierkovému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dňu oceňujú, okrem iného, aj deriváty a majetok a záväzky zabezpečené derivátmi (§ 27/1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); precenenie na reálnu hodnotu k </w:t>
      </w:r>
      <w:proofErr w:type="spellStart"/>
      <w:r>
        <w:rPr>
          <w:rFonts w:ascii="Arial Narrow" w:hAnsi="Arial Narrow" w:cs="Arial Narrow"/>
          <w:sz w:val="22"/>
          <w:szCs w:val="22"/>
        </w:rPr>
        <w:t>závierkovému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dňu sa účtuje (§ 16 PU) - výsledkovo (účty 56x, 66x) alebo súvahovo (účet 414)].</w:t>
      </w:r>
    </w:p>
    <w:p w:rsidR="00B42CFA" w:rsidRDefault="00B42CFA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386"/>
      </w:tblGrid>
      <w:tr w:rsidR="00B42CFA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59191A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59191A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</w:tr>
    </w:tbl>
    <w:p w:rsidR="00B42CFA" w:rsidRDefault="00B42CFA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 Zostatková doba splatnosti záväzku alebo jeho časti – je rozdiel medzi dohodnutou dobou splatnosti záväzkov a </w:t>
      </w:r>
      <w:proofErr w:type="spellStart"/>
      <w:r>
        <w:rPr>
          <w:rFonts w:ascii="Arial Narrow" w:hAnsi="Arial Narrow" w:cs="Arial Narrow"/>
          <w:sz w:val="22"/>
          <w:szCs w:val="22"/>
        </w:rPr>
        <w:t>závierkovým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dňom (§ 12 PU).]</w:t>
      </w:r>
    </w:p>
    <w:p w:rsidR="00B42CFA" w:rsidRDefault="00B42CFA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2831"/>
        <w:gridCol w:w="2421"/>
      </w:tblGrid>
      <w:tr w:rsidR="00B42CFA"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Zabezpečené záväzky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</w:tr>
      <w:tr w:rsidR="00B42CFA"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  <w:snapToGrid w:val="0"/>
              <w:jc w:val="both"/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 xml:space="preserve">Spôsob </w:t>
            </w:r>
          </w:p>
          <w:p w:rsidR="00B42CFA" w:rsidRDefault="00B42CFA">
            <w:pPr>
              <w:pStyle w:val="TopHeader"/>
            </w:pPr>
            <w:r>
              <w:t>zabezpečenia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Hodnota záväzkov</w:t>
            </w:r>
          </w:p>
        </w:tc>
      </w:tr>
      <w:tr w:rsidR="00B42CFA">
        <w:trPr>
          <w:trHeight w:val="69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spacing w:after="120"/>
        <w:ind w:right="-471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:rsidR="00B42CFA" w:rsidRDefault="00B42CFA">
      <w:pPr>
        <w:numPr>
          <w:ilvl w:val="0"/>
          <w:numId w:val="6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:rsidR="00B42CFA" w:rsidRDefault="00B42CFA">
      <w:pPr>
        <w:numPr>
          <w:ilvl w:val="0"/>
          <w:numId w:val="6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1"/>
        <w:gridCol w:w="1701"/>
        <w:gridCol w:w="1603"/>
      </w:tblGrid>
      <w:tr w:rsidR="00B42CFA">
        <w:trPr>
          <w:trHeight w:val="780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Názov podsúvahovej položky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67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44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lastRenderedPageBreak/>
              <w:t>Majetok prijatý do úschovy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 – UDALOSTI, KTORÉ NASTALI PO ZÁVIERKOVOM DNI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v čase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do dňa zostavenia účtovnej závierky (</w:t>
      </w:r>
      <w:proofErr w:type="spellStart"/>
      <w:r>
        <w:rPr>
          <w:rFonts w:ascii="Arial Narrow" w:hAnsi="Arial Narrow" w:cs="Arial Narrow"/>
          <w:sz w:val="22"/>
          <w:szCs w:val="22"/>
        </w:rPr>
        <w:t>t.j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 a ktoré nie sú zohľadnené v súvahe alebo vo výkaze ziskov a strát, napríklad:</w:t>
      </w:r>
    </w:p>
    <w:p w:rsidR="00B42CFA" w:rsidRPr="00E965C1" w:rsidRDefault="00B42CFA">
      <w:pPr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</w:t>
      </w:r>
      <w:r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>
        <w:rPr>
          <w:rFonts w:ascii="Arial Narrow" w:hAnsi="Arial Narrow" w:cs="Arial Narrow"/>
          <w:sz w:val="22"/>
          <w:szCs w:val="22"/>
        </w:rPr>
        <w:t xml:space="preserve"> ako dôsledku udalostí, ktoré nastali po dni, ku ktorému sa zostavuje účtovná závierka do dňa zostavenia účtovnej závierky s uvedením dôvodu týchto zmien: </w:t>
      </w:r>
      <w:r w:rsidR="00E965C1">
        <w:rPr>
          <w:rFonts w:ascii="Arial Narrow" w:hAnsi="Arial Narrow" w:cs="Arial Narrow"/>
          <w:sz w:val="22"/>
          <w:szCs w:val="22"/>
        </w:rPr>
        <w:t xml:space="preserve"> </w:t>
      </w:r>
      <w:r w:rsidR="00E965C1" w:rsidRPr="00E965C1">
        <w:rPr>
          <w:rFonts w:ascii="Arial Narrow" w:hAnsi="Arial Narrow" w:cs="Arial Narrow"/>
          <w:b/>
          <w:sz w:val="22"/>
          <w:szCs w:val="22"/>
        </w:rPr>
        <w:t>Nenastal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</w:t>
      </w:r>
      <w:r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  <w:r w:rsidR="00E965C1">
        <w:rPr>
          <w:rFonts w:ascii="Arial Narrow" w:hAnsi="Arial Narrow" w:cs="Arial Narrow"/>
          <w:sz w:val="22"/>
          <w:szCs w:val="22"/>
        </w:rPr>
        <w:t xml:space="preserve"> nenastali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  <w:r w:rsidR="00E965C1">
        <w:rPr>
          <w:rFonts w:ascii="Arial Narrow" w:hAnsi="Arial Narrow" w:cs="Arial Narrow"/>
          <w:sz w:val="22"/>
          <w:szCs w:val="22"/>
        </w:rPr>
        <w:t>nebola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  <w:r w:rsidR="00E965C1">
        <w:rPr>
          <w:rFonts w:ascii="Arial Narrow" w:hAnsi="Arial Narrow" w:cs="Arial Narrow"/>
          <w:sz w:val="22"/>
          <w:szCs w:val="22"/>
        </w:rPr>
        <w:t xml:space="preserve"> neboli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  <w:r w:rsidR="00E965C1">
        <w:rPr>
          <w:rFonts w:ascii="Arial Narrow" w:hAnsi="Arial Narrow" w:cs="Arial Narrow"/>
          <w:sz w:val="22"/>
          <w:szCs w:val="22"/>
        </w:rPr>
        <w:t xml:space="preserve"> neboli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j) Získanie alebo odobratie licencií alebo iných povolení významných pre činnosť účtovnej </w:t>
      </w:r>
      <w:proofErr w:type="spellStart"/>
      <w:r>
        <w:rPr>
          <w:rFonts w:ascii="Arial Narrow" w:hAnsi="Arial Narrow" w:cs="Arial Narrow"/>
          <w:sz w:val="22"/>
          <w:szCs w:val="22"/>
        </w:rPr>
        <w:t>jednotky:</w:t>
      </w:r>
      <w:r w:rsidR="00E965C1">
        <w:rPr>
          <w:rFonts w:ascii="Arial Narrow" w:hAnsi="Arial Narrow" w:cs="Arial Narrow"/>
          <w:sz w:val="22"/>
          <w:szCs w:val="22"/>
        </w:rPr>
        <w:t>nie</w:t>
      </w:r>
      <w:proofErr w:type="spellEnd"/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dňa podpísania výkazov – uvádza sa v poznámkach. </w:t>
      </w:r>
      <w:r>
        <w:rPr>
          <w:rFonts w:ascii="Arial Narrow" w:hAnsi="Arial Narrow" w:cs="Arial Narrow"/>
          <w:sz w:val="22"/>
          <w:szCs w:val="22"/>
          <w:u w:val="single"/>
        </w:rPr>
        <w:t xml:space="preserve">Upravujúci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závierkový</w:t>
      </w:r>
      <w:proofErr w:type="spellEnd"/>
      <w:r>
        <w:rPr>
          <w:rFonts w:ascii="Arial Narrow" w:hAnsi="Arial Narrow" w:cs="Arial Narrow"/>
          <w:sz w:val="22"/>
          <w:szCs w:val="22"/>
          <w:u w:val="single"/>
        </w:rPr>
        <w:t xml:space="preserve">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</w:t>
      </w:r>
      <w:proofErr w:type="spellStart"/>
      <w:r>
        <w:rPr>
          <w:rFonts w:ascii="Arial Narrow" w:hAnsi="Arial Narrow" w:cs="Arial Narrow"/>
          <w:sz w:val="22"/>
          <w:szCs w:val="22"/>
        </w:rPr>
        <w:t>závierkového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dňa, len bol zistený do dňa podpísania výkazov – riadne sa účtuje do hlavnej knihy a riadne sa vykazuje vo výkazoch (§ 17/8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; § 2a; § 18/9; § 19/6; § 48/3; § 50/6 PU).]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:rsidR="00B42CFA" w:rsidRDefault="00B42CFA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 Informácie o výlučnom práve poskytovať služby vo verejnom záujme:</w:t>
      </w:r>
      <w:r w:rsidR="00E965C1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>):</w:t>
      </w:r>
      <w:r w:rsidR="00E965C1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42CFA" w:rsidRDefault="00B42CFA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>):</w:t>
      </w:r>
      <w:r w:rsidR="00E965C1">
        <w:rPr>
          <w:rFonts w:ascii="Arial Narrow" w:hAnsi="Arial Narrow" w:cs="Arial Narrow"/>
          <w:bCs/>
          <w:sz w:val="22"/>
          <w:szCs w:val="22"/>
        </w:rPr>
        <w:t>nie</w:t>
      </w:r>
    </w:p>
    <w:sectPr w:rsidR="00B42CFA">
      <w:headerReference w:type="default" r:id="rId8"/>
      <w:footerReference w:type="default" r:id="rId9"/>
      <w:pgSz w:w="11906" w:h="16838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157" w:rsidRDefault="00AE1157">
      <w:r>
        <w:separator/>
      </w:r>
    </w:p>
  </w:endnote>
  <w:endnote w:type="continuationSeparator" w:id="0">
    <w:p w:rsidR="00AE1157" w:rsidRDefault="00AE1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FA" w:rsidRDefault="00B42CFA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 w:rsidR="00492D48">
      <w:rPr>
        <w:noProof/>
      </w:rPr>
      <w:t>1</w:t>
    </w:r>
    <w:r>
      <w:fldChar w:fldCharType="end"/>
    </w:r>
  </w:p>
  <w:p w:rsidR="00B42CFA" w:rsidRDefault="00B42CF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157" w:rsidRDefault="00AE1157">
      <w:r>
        <w:separator/>
      </w:r>
    </w:p>
  </w:footnote>
  <w:footnote w:type="continuationSeparator" w:id="0">
    <w:p w:rsidR="00AE1157" w:rsidRDefault="00AE1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FA" w:rsidRDefault="00B42CF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proofErr w:type="spellEnd"/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</w:t>
    </w:r>
    <w:r w:rsidR="00FC5AF4" w:rsidRPr="00FC5AF4">
      <w:rPr>
        <w:rFonts w:ascii="Arial" w:hAnsi="Arial" w:cs="Arial"/>
        <w:sz w:val="22"/>
        <w:szCs w:val="22"/>
      </w:rPr>
      <w:t>44915691</w:t>
    </w:r>
    <w:r>
      <w:rPr>
        <w:rFonts w:ascii="Arial" w:hAnsi="Arial" w:cs="Arial"/>
        <w:sz w:val="22"/>
        <w:szCs w:val="22"/>
      </w:rPr>
      <w:t xml:space="preserve"> 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Č: </w:t>
    </w:r>
    <w:r w:rsidR="00FC5AF4" w:rsidRPr="00FC5AF4">
      <w:rPr>
        <w:rFonts w:ascii="Arial" w:hAnsi="Arial" w:cs="Arial"/>
        <w:sz w:val="22"/>
        <w:szCs w:val="22"/>
      </w:rPr>
      <w:t>2022868958</w:t>
    </w:r>
  </w:p>
  <w:p w:rsidR="006C5779" w:rsidRDefault="006C5779">
    <w:pPr>
      <w:pStyle w:val="Zkladntext"/>
      <w:tabs>
        <w:tab w:val="left" w:pos="2990"/>
        <w:tab w:val="left" w:pos="6348"/>
      </w:tabs>
      <w:ind w:left="-397" w:firstLine="0"/>
      <w:jc w:val="center"/>
    </w:pPr>
  </w:p>
  <w:p w:rsidR="00B42CFA" w:rsidRDefault="00B42CF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singleLevel"/>
    <w:tmpl w:val="00000005"/>
    <w:name w:val="WW8Num10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/>
      </w:rPr>
    </w:lvl>
  </w:abstractNum>
  <w:abstractNum w:abstractNumId="5" w15:restartNumberingAfterBreak="0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87"/>
    <w:rsid w:val="00030EDA"/>
    <w:rsid w:val="000452CC"/>
    <w:rsid w:val="000F536E"/>
    <w:rsid w:val="00113867"/>
    <w:rsid w:val="00122087"/>
    <w:rsid w:val="00126913"/>
    <w:rsid w:val="0016737E"/>
    <w:rsid w:val="001F2EB9"/>
    <w:rsid w:val="0020519D"/>
    <w:rsid w:val="00223338"/>
    <w:rsid w:val="00241FBA"/>
    <w:rsid w:val="00250687"/>
    <w:rsid w:val="002A12B3"/>
    <w:rsid w:val="002C22E1"/>
    <w:rsid w:val="002C474D"/>
    <w:rsid w:val="002F2C18"/>
    <w:rsid w:val="003E4345"/>
    <w:rsid w:val="00464800"/>
    <w:rsid w:val="0048303C"/>
    <w:rsid w:val="00492D48"/>
    <w:rsid w:val="00512727"/>
    <w:rsid w:val="0059191A"/>
    <w:rsid w:val="00616D19"/>
    <w:rsid w:val="00622C2B"/>
    <w:rsid w:val="00686498"/>
    <w:rsid w:val="006C5779"/>
    <w:rsid w:val="006D3647"/>
    <w:rsid w:val="007A6CE2"/>
    <w:rsid w:val="007A7A03"/>
    <w:rsid w:val="007F68A0"/>
    <w:rsid w:val="00860EE4"/>
    <w:rsid w:val="00945E58"/>
    <w:rsid w:val="00952716"/>
    <w:rsid w:val="00974256"/>
    <w:rsid w:val="009A046E"/>
    <w:rsid w:val="009A07C8"/>
    <w:rsid w:val="009E519E"/>
    <w:rsid w:val="00AE1157"/>
    <w:rsid w:val="00AE7E78"/>
    <w:rsid w:val="00B42CFA"/>
    <w:rsid w:val="00B912C9"/>
    <w:rsid w:val="00BD689E"/>
    <w:rsid w:val="00BF2552"/>
    <w:rsid w:val="00C37248"/>
    <w:rsid w:val="00C63E79"/>
    <w:rsid w:val="00C90F28"/>
    <w:rsid w:val="00C95832"/>
    <w:rsid w:val="00CC540A"/>
    <w:rsid w:val="00D46C13"/>
    <w:rsid w:val="00D51EF4"/>
    <w:rsid w:val="00D96A4B"/>
    <w:rsid w:val="00DB32BA"/>
    <w:rsid w:val="00DC4730"/>
    <w:rsid w:val="00E14495"/>
    <w:rsid w:val="00E965C1"/>
    <w:rsid w:val="00F15BDE"/>
    <w:rsid w:val="00FC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CC22917"/>
  <w15:chartTrackingRefBased/>
  <w15:docId w15:val="{928E7793-3F8C-4AE7-82A6-70A8B3A5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1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10z0">
    <w:name w:val="WW8Num10z0"/>
    <w:rPr>
      <w:rFonts w:ascii="Arial Narrow" w:eastAsia="Times New Roman" w:hAnsi="Arial Narrow" w:cs="Arial Narrow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Predvolenpsmoodseku1">
    <w:name w:val="Predvolené písmo odseku1"/>
  </w:style>
  <w:style w:type="character" w:customStyle="1" w:styleId="Nadpis1Char">
    <w:name w:val="Nadpis 1 Char"/>
    <w:rPr>
      <w:b/>
      <w:bCs/>
      <w:kern w:val="1"/>
      <w:sz w:val="24"/>
      <w:szCs w:val="24"/>
      <w:lang w:val="sk-SK"/>
    </w:rPr>
  </w:style>
  <w:style w:type="character" w:customStyle="1" w:styleId="Nadpis2Char">
    <w:name w:val="Nadpis 2 Char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rPr>
      <w:sz w:val="20"/>
      <w:szCs w:val="20"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PtaChar">
    <w:name w:val="Päta Char"/>
    <w:rPr>
      <w:sz w:val="24"/>
      <w:szCs w:val="24"/>
    </w:rPr>
  </w:style>
  <w:style w:type="character" w:styleId="slostrany">
    <w:name w:val="page number"/>
    <w:basedOn w:val="Predvolenpsmoodseku1"/>
  </w:style>
  <w:style w:type="character" w:customStyle="1" w:styleId="NzovChar">
    <w:name w:val="Názov Char"/>
    <w:rPr>
      <w:rFonts w:ascii="Arial Narrow" w:hAnsi="Arial Narrow" w:cs="Arial Narrow"/>
      <w:b/>
      <w:bCs/>
      <w:kern w:val="1"/>
      <w:sz w:val="32"/>
      <w:szCs w:val="32"/>
      <w:lang w:val="sk-SK"/>
    </w:rPr>
  </w:style>
  <w:style w:type="character" w:customStyle="1" w:styleId="HlavikaChar">
    <w:name w:val="Hlavička Char"/>
    <w:rPr>
      <w:sz w:val="24"/>
      <w:szCs w:val="24"/>
      <w:lang w:val="sk-SK"/>
    </w:rPr>
  </w:style>
  <w:style w:type="character" w:customStyle="1" w:styleId="ZkladntextChar">
    <w:name w:val="Základný text Char"/>
    <w:rPr>
      <w:sz w:val="24"/>
      <w:szCs w:val="24"/>
      <w:lang w:val="en-US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Mangal"/>
    </w:rPr>
  </w:style>
  <w:style w:type="paragraph" w:customStyle="1" w:styleId="Popisek">
    <w:name w:val="Popisek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y"/>
    <w:pPr>
      <w:suppressLineNumbers/>
    </w:pPr>
    <w:rPr>
      <w:rFonts w:cs="Mangal"/>
    </w:rPr>
  </w:style>
  <w:style w:type="paragraph" w:customStyle="1" w:styleId="Zkladntext0">
    <w:name w:val="Základní text"/>
    <w:pPr>
      <w:suppressAutoHyphens/>
      <w:spacing w:after="240"/>
      <w:jc w:val="both"/>
    </w:pPr>
    <w:rPr>
      <w:color w:val="000000"/>
      <w:sz w:val="24"/>
      <w:szCs w:val="24"/>
      <w:lang w:eastAsia="ar-SA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Nzov">
    <w:name w:val="Title"/>
    <w:basedOn w:val="Normlny"/>
    <w:next w:val="Normlny"/>
    <w:qFormat/>
    <w:pPr>
      <w:keepNext/>
      <w:spacing w:before="280" w:after="220"/>
      <w:jc w:val="center"/>
    </w:pPr>
    <w:rPr>
      <w:rFonts w:ascii="Arial Narrow" w:hAnsi="Arial Narrow" w:cs="Arial Narrow"/>
      <w:b/>
      <w:bCs/>
      <w:kern w:val="1"/>
      <w:sz w:val="22"/>
      <w:szCs w:val="22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TopHeader">
    <w:name w:val="Top Header"/>
    <w:basedOn w:val="Normlny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lky">
    <w:name w:val="Obsah tabulky"/>
    <w:basedOn w:val="Normlny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3D6DE-3EED-4A68-98C1-A15DC6596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2941</Words>
  <Characters>16768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/>
  <LinksUpToDate>false</LinksUpToDate>
  <CharactersWithSpaces>19670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juhaniakova</cp:lastModifiedBy>
  <cp:revision>2</cp:revision>
  <cp:lastPrinted>2015-07-22T08:26:00Z</cp:lastPrinted>
  <dcterms:created xsi:type="dcterms:W3CDTF">2025-06-27T17:56:00Z</dcterms:created>
  <dcterms:modified xsi:type="dcterms:W3CDTF">2025-06-27T17:56:00Z</dcterms:modified>
</cp:coreProperties>
</file>