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6EAD24" w14:textId="77777777" w:rsidR="00DB4300" w:rsidRDefault="00DB4300" w:rsidP="00DB4300">
      <w:pPr>
        <w:pStyle w:val="Default"/>
        <w:jc w:val="both"/>
        <w:rPr>
          <w:i/>
          <w:iCs/>
          <w:color w:val="auto"/>
          <w:sz w:val="20"/>
          <w:szCs w:val="20"/>
        </w:rPr>
      </w:pPr>
      <w:r w:rsidRPr="00287E61">
        <w:rPr>
          <w:i/>
          <w:iCs/>
          <w:color w:val="auto"/>
          <w:sz w:val="20"/>
          <w:szCs w:val="20"/>
        </w:rPr>
        <w:t>V poznámkach sa uvádzajú informácie, o ktorých sa účtovná jednotka dozvedela do dňa zostavenia individuálnej účtovnej závierky a má pre tieto informácie obsahovú náplň ustanovenú týmto opatrením. Obsahová náplň poznámok pozostáva z popisných informácií a číselných údajov podľa obsahovej náplne.</w:t>
      </w:r>
    </w:p>
    <w:p w14:paraId="0D5659A9" w14:textId="77777777" w:rsidR="00DB4300" w:rsidRDefault="00DB4300" w:rsidP="002A6B69">
      <w:pPr>
        <w:keepNext w:val="0"/>
        <w:spacing w:before="120"/>
      </w:pPr>
    </w:p>
    <w:p w14:paraId="6678E570" w14:textId="77777777" w:rsidR="002A6B69" w:rsidRPr="00560AB1" w:rsidRDefault="00B81442" w:rsidP="00DB4300">
      <w:pPr>
        <w:pStyle w:val="Nadpis1"/>
        <w:keepNext w:val="0"/>
        <w:spacing w:before="120" w:after="120"/>
        <w:rPr>
          <w:rFonts w:ascii="Arial" w:hAnsi="Arial" w:cs="Arial"/>
        </w:rPr>
      </w:pPr>
      <w:r w:rsidRPr="00560AB1">
        <w:rPr>
          <w:rFonts w:ascii="Arial" w:hAnsi="Arial" w:cs="Arial"/>
        </w:rPr>
        <w:t>Všeobecné informácie</w:t>
      </w:r>
    </w:p>
    <w:p w14:paraId="4706D76C" w14:textId="14DB4109" w:rsidR="002A6B69" w:rsidRPr="00560AB1" w:rsidRDefault="001E136E" w:rsidP="00DB4300">
      <w:pPr>
        <w:pStyle w:val="Odsekzoznamu"/>
        <w:keepNext w:val="0"/>
        <w:numPr>
          <w:ilvl w:val="1"/>
          <w:numId w:val="1"/>
        </w:numPr>
        <w:spacing w:after="120"/>
        <w:ind w:left="0" w:firstLine="0"/>
        <w:rPr>
          <w:rFonts w:ascii="Arial" w:hAnsi="Arial" w:cs="Arial"/>
        </w:rPr>
      </w:pPr>
      <w:r w:rsidRPr="001E136E">
        <w:rPr>
          <w:rFonts w:ascii="Arial" w:hAnsi="Arial" w:cs="Arial"/>
        </w:rPr>
        <w:t>Diagnostické centrum AGEL Hlohovec s. r. o.</w:t>
      </w:r>
      <w:r w:rsidR="00A930B4">
        <w:rPr>
          <w:rFonts w:ascii="Arial" w:hAnsi="Arial" w:cs="Arial"/>
        </w:rPr>
        <w:t xml:space="preserve">, </w:t>
      </w:r>
      <w:r w:rsidR="00A930B4">
        <w:rPr>
          <w:rFonts w:ascii="Arial" w:hAnsi="Arial" w:cs="Arial"/>
          <w:vanish/>
        </w:rPr>
        <w:t>ad</w:t>
      </w:r>
      <w:r w:rsidR="00A930B4" w:rsidRPr="00560AB1">
        <w:rPr>
          <w:rFonts w:ascii="Arial" w:hAnsi="Arial" w:cs="Arial"/>
        </w:rPr>
        <w:t xml:space="preserve">(ďalej len „spoločnosť”) je </w:t>
      </w:r>
      <w:r w:rsidR="00A930B4">
        <w:rPr>
          <w:rFonts w:ascii="Arial" w:hAnsi="Arial" w:cs="Arial"/>
        </w:rPr>
        <w:t>spoločnosť s ručením obmedzeným</w:t>
      </w:r>
      <w:r w:rsidR="00A930B4" w:rsidRPr="00560AB1">
        <w:rPr>
          <w:rFonts w:ascii="Arial" w:hAnsi="Arial" w:cs="Arial"/>
          <w:iCs/>
        </w:rPr>
        <w:t>.</w:t>
      </w:r>
      <w:r w:rsidR="00A930B4" w:rsidRPr="00560AB1">
        <w:rPr>
          <w:rFonts w:ascii="Arial" w:hAnsi="Arial" w:cs="Arial"/>
        </w:rPr>
        <w:t xml:space="preserve"> Spoločnosť sídli  v</w:t>
      </w:r>
      <w:r w:rsidR="00A930B4">
        <w:rPr>
          <w:rFonts w:ascii="Arial" w:hAnsi="Arial" w:cs="Arial"/>
        </w:rPr>
        <w:t> H</w:t>
      </w:r>
      <w:r w:rsidR="00CA0204">
        <w:rPr>
          <w:rFonts w:ascii="Arial" w:hAnsi="Arial" w:cs="Arial"/>
        </w:rPr>
        <w:t>lohovci</w:t>
      </w:r>
      <w:r w:rsidR="00A930B4">
        <w:rPr>
          <w:rFonts w:ascii="Arial" w:hAnsi="Arial" w:cs="Arial"/>
        </w:rPr>
        <w:t>,</w:t>
      </w:r>
      <w:r w:rsidR="00A930B4" w:rsidRPr="00560AB1">
        <w:rPr>
          <w:rFonts w:ascii="Arial" w:hAnsi="Arial" w:cs="Arial"/>
        </w:rPr>
        <w:t> </w:t>
      </w:r>
      <w:r w:rsidR="00CA0204">
        <w:rPr>
          <w:rFonts w:ascii="Arial" w:hAnsi="Arial" w:cs="Arial"/>
          <w:i/>
        </w:rPr>
        <w:t>Nábrežie A. Hlinku 2</w:t>
      </w:r>
      <w:r w:rsidR="00633E19">
        <w:rPr>
          <w:rFonts w:ascii="Arial" w:hAnsi="Arial" w:cs="Arial"/>
          <w:i/>
        </w:rPr>
        <w:t>811</w:t>
      </w:r>
      <w:r w:rsidR="00CA0204">
        <w:rPr>
          <w:rFonts w:ascii="Arial" w:hAnsi="Arial" w:cs="Arial"/>
          <w:i/>
        </w:rPr>
        <w:t>, Hlohovec</w:t>
      </w:r>
      <w:r w:rsidR="00A930B4">
        <w:rPr>
          <w:rFonts w:ascii="Arial" w:hAnsi="Arial" w:cs="Arial"/>
          <w:i/>
        </w:rPr>
        <w:t xml:space="preserve"> </w:t>
      </w:r>
      <w:r w:rsidR="00CA0204">
        <w:rPr>
          <w:rFonts w:ascii="Arial" w:hAnsi="Arial" w:cs="Arial"/>
          <w:i/>
        </w:rPr>
        <w:t>920 01</w:t>
      </w:r>
      <w:r w:rsidR="00A930B4" w:rsidRPr="00560AB1">
        <w:rPr>
          <w:rFonts w:ascii="Arial" w:hAnsi="Arial" w:cs="Arial"/>
          <w:i/>
        </w:rPr>
        <w:t>,</w:t>
      </w:r>
      <w:r w:rsidR="00A930B4" w:rsidRPr="00560AB1">
        <w:rPr>
          <w:rFonts w:ascii="Arial" w:hAnsi="Arial" w:cs="Arial"/>
        </w:rPr>
        <w:t xml:space="preserve"> Slovenská republika.</w:t>
      </w:r>
      <w:r w:rsidR="00A930B4">
        <w:rPr>
          <w:rFonts w:ascii="Arial" w:hAnsi="Arial" w:cs="Arial"/>
        </w:rPr>
        <w:t xml:space="preserve"> </w:t>
      </w:r>
      <w:r w:rsidR="002A6B69" w:rsidRPr="00560AB1">
        <w:rPr>
          <w:rFonts w:ascii="Arial" w:hAnsi="Arial" w:cs="Arial"/>
        </w:rPr>
        <w:t>Hlavným predmetom vykonávanej činnosti je:</w:t>
      </w:r>
    </w:p>
    <w:p w14:paraId="558B6A20" w14:textId="77777777" w:rsidR="00633E19" w:rsidRDefault="00633E19" w:rsidP="00A930B4">
      <w:pPr>
        <w:keepNext w:val="0"/>
        <w:numPr>
          <w:ilvl w:val="0"/>
          <w:numId w:val="38"/>
        </w:numPr>
        <w:tabs>
          <w:tab w:val="clear" w:pos="720"/>
          <w:tab w:val="num" w:pos="348"/>
        </w:tabs>
        <w:spacing w:after="0"/>
        <w:rPr>
          <w:rFonts w:ascii="Arial" w:hAnsi="Arial" w:cs="Arial"/>
          <w:i/>
        </w:rPr>
      </w:pPr>
      <w:r w:rsidRPr="00633E19">
        <w:rPr>
          <w:rFonts w:ascii="Arial" w:hAnsi="Arial" w:cs="Arial"/>
          <w:i/>
        </w:rPr>
        <w:t>Poskytovanie služieb rýchleho občerstvenia v spojení s predajom na priamu konzumáciu</w:t>
      </w:r>
    </w:p>
    <w:p w14:paraId="075E2698" w14:textId="611D9AF4" w:rsidR="00072770" w:rsidRDefault="00072770" w:rsidP="00072770">
      <w:pPr>
        <w:keepNext w:val="0"/>
        <w:numPr>
          <w:ilvl w:val="0"/>
          <w:numId w:val="38"/>
        </w:numPr>
        <w:spacing w:after="0"/>
        <w:rPr>
          <w:rFonts w:ascii="Arial" w:hAnsi="Arial" w:cs="Arial"/>
          <w:i/>
        </w:rPr>
      </w:pPr>
      <w:r w:rsidRPr="00072770">
        <w:rPr>
          <w:rFonts w:ascii="Arial" w:hAnsi="Arial" w:cs="Arial"/>
          <w:i/>
        </w:rPr>
        <w:t>Prenájom nehnuteľností spojený s poskytovaním iných než základných služieb spojených s</w:t>
      </w:r>
      <w:r>
        <w:rPr>
          <w:rFonts w:ascii="Arial" w:hAnsi="Arial" w:cs="Arial"/>
          <w:i/>
        </w:rPr>
        <w:t> </w:t>
      </w:r>
      <w:r w:rsidRPr="00072770">
        <w:rPr>
          <w:rFonts w:ascii="Arial" w:hAnsi="Arial" w:cs="Arial"/>
          <w:i/>
        </w:rPr>
        <w:t>prenájmom</w:t>
      </w:r>
    </w:p>
    <w:p w14:paraId="506E0132" w14:textId="4B7C3599" w:rsidR="00A930B4" w:rsidRPr="001D5048" w:rsidRDefault="00072770" w:rsidP="00072770">
      <w:pPr>
        <w:keepNext w:val="0"/>
        <w:numPr>
          <w:ilvl w:val="0"/>
          <w:numId w:val="38"/>
        </w:numPr>
        <w:spacing w:after="0"/>
        <w:rPr>
          <w:rFonts w:ascii="Arial" w:hAnsi="Arial" w:cs="Arial"/>
          <w:i/>
        </w:rPr>
      </w:pPr>
      <w:r w:rsidRPr="00072770">
        <w:rPr>
          <w:rFonts w:ascii="Arial" w:hAnsi="Arial" w:cs="Arial"/>
          <w:i/>
        </w:rPr>
        <w:t>Prenájom hnuteľných vecí</w:t>
      </w:r>
    </w:p>
    <w:p w14:paraId="13B1F1DC" w14:textId="77777777" w:rsidR="00CA0204" w:rsidRPr="00CA0204" w:rsidRDefault="00CA0204" w:rsidP="00CA0204">
      <w:pPr>
        <w:pStyle w:val="Odsekzoznamu"/>
        <w:ind w:left="0"/>
      </w:pPr>
    </w:p>
    <w:p w14:paraId="66561FDB" w14:textId="0E9D49C6" w:rsidR="002A6B69" w:rsidRPr="00560AB1" w:rsidRDefault="002A6B69" w:rsidP="002A6B69">
      <w:pPr>
        <w:pStyle w:val="Odsekzoznamu"/>
        <w:numPr>
          <w:ilvl w:val="1"/>
          <w:numId w:val="1"/>
        </w:numPr>
        <w:ind w:left="0" w:firstLine="0"/>
      </w:pPr>
      <w:r w:rsidRPr="00560AB1">
        <w:rPr>
          <w:rFonts w:ascii="Arial" w:hAnsi="Arial" w:cs="Arial"/>
        </w:rPr>
        <w:t>Účtovná závierka spoločnosti za predchádzajúce účtovné obdobie k 31. decembru 20</w:t>
      </w:r>
      <w:r w:rsidR="00E01A29" w:rsidRPr="00560AB1">
        <w:rPr>
          <w:rFonts w:ascii="Arial" w:hAnsi="Arial" w:cs="Arial"/>
        </w:rPr>
        <w:t>2</w:t>
      </w:r>
      <w:r w:rsidR="00C53168">
        <w:rPr>
          <w:rFonts w:ascii="Arial" w:hAnsi="Arial" w:cs="Arial"/>
        </w:rPr>
        <w:t>3</w:t>
      </w:r>
      <w:r w:rsidRPr="00560AB1">
        <w:rPr>
          <w:rFonts w:ascii="Arial" w:hAnsi="Arial" w:cs="Arial"/>
          <w:i/>
        </w:rPr>
        <w:t xml:space="preserve"> </w:t>
      </w:r>
      <w:r w:rsidRPr="00560AB1">
        <w:rPr>
          <w:rFonts w:ascii="Arial" w:hAnsi="Arial" w:cs="Arial"/>
        </w:rPr>
        <w:t xml:space="preserve">bola schválená valným zhromaždením spoločnosti dňa </w:t>
      </w:r>
      <w:r w:rsidR="00E37A55">
        <w:rPr>
          <w:rFonts w:ascii="Arial" w:hAnsi="Arial" w:cs="Arial"/>
        </w:rPr>
        <w:t>05</w:t>
      </w:r>
      <w:r w:rsidR="00DB4300">
        <w:rPr>
          <w:rFonts w:ascii="Arial" w:hAnsi="Arial" w:cs="Arial"/>
        </w:rPr>
        <w:t xml:space="preserve">. </w:t>
      </w:r>
      <w:r w:rsidR="00E37A55">
        <w:rPr>
          <w:rFonts w:ascii="Arial" w:hAnsi="Arial" w:cs="Arial"/>
        </w:rPr>
        <w:t>decemb</w:t>
      </w:r>
      <w:r w:rsidR="00BF3D96">
        <w:rPr>
          <w:rFonts w:ascii="Arial" w:hAnsi="Arial" w:cs="Arial"/>
        </w:rPr>
        <w:t>r</w:t>
      </w:r>
      <w:r w:rsidR="00CA0204">
        <w:rPr>
          <w:rFonts w:ascii="Arial" w:hAnsi="Arial" w:cs="Arial"/>
        </w:rPr>
        <w:t>a</w:t>
      </w:r>
      <w:r w:rsidR="00DB4300">
        <w:rPr>
          <w:rFonts w:ascii="Arial" w:hAnsi="Arial" w:cs="Arial"/>
        </w:rPr>
        <w:t xml:space="preserve"> </w:t>
      </w:r>
      <w:r w:rsidR="00D46B88" w:rsidRPr="00560AB1">
        <w:rPr>
          <w:rFonts w:ascii="Arial" w:hAnsi="Arial" w:cs="Arial"/>
        </w:rPr>
        <w:t>202</w:t>
      </w:r>
      <w:r w:rsidR="002A5DC7">
        <w:rPr>
          <w:rFonts w:ascii="Arial" w:hAnsi="Arial" w:cs="Arial"/>
        </w:rPr>
        <w:t>4</w:t>
      </w:r>
      <w:r w:rsidRPr="00560AB1">
        <w:rPr>
          <w:rFonts w:ascii="Arial" w:hAnsi="Arial" w:cs="Arial"/>
        </w:rPr>
        <w:t>.</w:t>
      </w:r>
    </w:p>
    <w:p w14:paraId="1110F00D" w14:textId="77777777" w:rsidR="002A6B69" w:rsidRPr="00560AB1" w:rsidRDefault="002A6B69" w:rsidP="002A6B69">
      <w:pPr>
        <w:pStyle w:val="Odsekzoznamu"/>
        <w:ind w:left="360"/>
      </w:pPr>
    </w:p>
    <w:p w14:paraId="25011120" w14:textId="77777777" w:rsidR="00DB4300" w:rsidRPr="00287E61" w:rsidRDefault="00DB4300" w:rsidP="00DB4300">
      <w:pPr>
        <w:pStyle w:val="Odsekzoznamu"/>
        <w:numPr>
          <w:ilvl w:val="1"/>
          <w:numId w:val="1"/>
        </w:numPr>
        <w:ind w:left="0" w:firstLine="0"/>
      </w:pPr>
      <w:r w:rsidRPr="00560AB1">
        <w:rPr>
          <w:rFonts w:ascii="Arial" w:hAnsi="Arial" w:cs="Arial"/>
        </w:rPr>
        <w:t xml:space="preserve">Účtovná závierka bola zostavená podľa Zákona č. 431/2002 Z.z. o účtovníctve v znení neskorších predpisov a je zostavená ako </w:t>
      </w:r>
      <w:r w:rsidRPr="00560AB1">
        <w:rPr>
          <w:rFonts w:ascii="Arial" w:hAnsi="Arial" w:cs="Arial"/>
          <w:iCs/>
        </w:rPr>
        <w:t>riadna</w:t>
      </w:r>
      <w:r w:rsidRPr="00560AB1">
        <w:rPr>
          <w:rFonts w:ascii="Arial" w:hAnsi="Arial" w:cs="Arial"/>
        </w:rPr>
        <w:t xml:space="preserve"> účtovná závierka.</w:t>
      </w:r>
    </w:p>
    <w:p w14:paraId="34FAB4DE" w14:textId="77777777" w:rsidR="00DB4300" w:rsidRPr="00287E61" w:rsidRDefault="00DB4300" w:rsidP="00DB4300">
      <w:pPr>
        <w:pStyle w:val="Odsekzoznamu"/>
        <w:ind w:left="0"/>
      </w:pPr>
    </w:p>
    <w:p w14:paraId="10F983FD" w14:textId="5C717C38" w:rsidR="00DB4300" w:rsidRPr="00287E61" w:rsidRDefault="00E173BF" w:rsidP="00DB4300">
      <w:pPr>
        <w:pStyle w:val="Odsekzoznamu"/>
        <w:numPr>
          <w:ilvl w:val="1"/>
          <w:numId w:val="1"/>
        </w:numPr>
        <w:ind w:left="0" w:firstLine="0"/>
        <w:rPr>
          <w:rFonts w:ascii="Arial" w:hAnsi="Arial" w:cs="Arial"/>
        </w:rPr>
      </w:pPr>
      <w:r w:rsidRPr="001E136E">
        <w:rPr>
          <w:rFonts w:ascii="Arial" w:hAnsi="Arial" w:cs="Arial"/>
        </w:rPr>
        <w:t>Diagnostické centrum AGEL Hlohovec s. r. o.</w:t>
      </w:r>
      <w:r w:rsidR="00DB4300" w:rsidRPr="00287E61">
        <w:rPr>
          <w:rFonts w:ascii="Arial" w:hAnsi="Arial" w:cs="Arial"/>
        </w:rPr>
        <w:t xml:space="preserve"> je dcérskou spoločnosťou spoločnosti AGEL SK a.s., so sídlom </w:t>
      </w:r>
      <w:r w:rsidR="00A63140">
        <w:rPr>
          <w:rFonts w:ascii="Arial" w:hAnsi="Arial" w:cs="Arial"/>
        </w:rPr>
        <w:t>Ventúrska 1</w:t>
      </w:r>
      <w:r w:rsidR="00DB4300" w:rsidRPr="00287E61">
        <w:rPr>
          <w:rFonts w:ascii="Arial" w:hAnsi="Arial" w:cs="Arial"/>
        </w:rPr>
        <w:t>, Bratislava, ktorá má 100-percentný podiel na jej základnom imaní. Materská spoločnosť AGEL SK a.s., je dcérskou spoločnosťou spoločnosti AGEL a.s., so sídlom v Prahe, Vrchlického 1350/102, Košíře, Česká republika, a táto spoločnosť má 100-percentný podiel na jej základnom imaní. Spoločnosť AGEL a.s., zostavuje konsolidovanú účtovnú závierku za všetky skupiny podnikov konsolidovaného celku. Spoločnosť AGEL SK a.s., zostavuje konsolidovanú účtovnú závierku za spoločnosti skupiny AGEL so sídlom v Slovenskej republike.</w:t>
      </w:r>
    </w:p>
    <w:p w14:paraId="4F49447F" w14:textId="77777777" w:rsidR="00DB4300" w:rsidRPr="00287E61" w:rsidRDefault="00DB4300" w:rsidP="00DB4300">
      <w:pPr>
        <w:pStyle w:val="Odsekzoznamu"/>
        <w:rPr>
          <w:rFonts w:ascii="Arial" w:hAnsi="Arial" w:cs="Arial"/>
        </w:rPr>
      </w:pPr>
    </w:p>
    <w:p w14:paraId="48D58FD5" w14:textId="77777777" w:rsidR="00DB4300" w:rsidRPr="00287E61" w:rsidRDefault="00DB4300" w:rsidP="00DB4300">
      <w:pPr>
        <w:pStyle w:val="Odsekzoznamu"/>
        <w:ind w:left="0"/>
        <w:rPr>
          <w:rFonts w:ascii="Arial" w:hAnsi="Arial" w:cs="Arial"/>
        </w:rPr>
      </w:pPr>
      <w:r w:rsidRPr="00287E61">
        <w:rPr>
          <w:rFonts w:ascii="Arial" w:hAnsi="Arial" w:cs="Arial"/>
        </w:rPr>
        <w:t>Spoločnosť AGEL a.s., zostavuje konsolidovanú účtovnú závierku za všetky skupiny podnikov konsolidovaného celku. Základné identifikačné údaje pre uloženie konsolidovanej závierky sú B 20225 v registri Mestského súdu v Prahe, Česká republika.</w:t>
      </w:r>
    </w:p>
    <w:p w14:paraId="23199769" w14:textId="77777777" w:rsidR="00DB4300" w:rsidRDefault="00DB4300" w:rsidP="00DB4300">
      <w:pPr>
        <w:pStyle w:val="Odsekzoznamu"/>
        <w:ind w:left="0"/>
        <w:rPr>
          <w:rFonts w:ascii="Arial" w:hAnsi="Arial" w:cs="Arial"/>
        </w:rPr>
      </w:pPr>
    </w:p>
    <w:p w14:paraId="0044CF04" w14:textId="1B0C40FA" w:rsidR="00B02A86" w:rsidRDefault="00EE25D8" w:rsidP="00DB4300">
      <w:pPr>
        <w:pStyle w:val="Odsekzoznamu"/>
        <w:ind w:left="0"/>
        <w:rPr>
          <w:rFonts w:ascii="Arial" w:hAnsi="Arial" w:cs="Arial"/>
        </w:rPr>
      </w:pPr>
      <w:r w:rsidRPr="00287E61">
        <w:rPr>
          <w:rFonts w:ascii="Arial" w:hAnsi="Arial" w:cs="Arial"/>
        </w:rPr>
        <w:t xml:space="preserve">Spoločnosť </w:t>
      </w:r>
      <w:r w:rsidR="00E173BF" w:rsidRPr="001E136E">
        <w:rPr>
          <w:rFonts w:ascii="Arial" w:hAnsi="Arial" w:cs="Arial"/>
        </w:rPr>
        <w:t>Diagnostické centrum AGEL Hlohovec s. r. o.</w:t>
      </w:r>
      <w:r w:rsidR="00E173BF">
        <w:rPr>
          <w:rFonts w:ascii="Arial" w:hAnsi="Arial" w:cs="Arial"/>
        </w:rPr>
        <w:t xml:space="preserve"> </w:t>
      </w:r>
      <w:r w:rsidR="00B02A86" w:rsidRPr="00B02A86">
        <w:rPr>
          <w:rFonts w:ascii="Arial" w:hAnsi="Arial" w:cs="Arial"/>
        </w:rPr>
        <w:t xml:space="preserve">je sesterskou spoločnosťou spoločností – AGEL Clinic s. r. o., AGEL Servis SK s. r. o., AGEL Trade s.r.o. - organizačná zložka Slovensko, Avenier s.r.o., CORNE, s.r.o., Care Services s.r.o., </w:t>
      </w:r>
      <w:r w:rsidR="00BF3D96" w:rsidRPr="00CA0204">
        <w:rPr>
          <w:rFonts w:ascii="Arial" w:hAnsi="Arial" w:cs="Arial"/>
        </w:rPr>
        <w:t>Rehabilitačná nemocnica AGEL Hlohovec s.r.o</w:t>
      </w:r>
      <w:r w:rsidR="00B02A86" w:rsidRPr="00B02A86">
        <w:rPr>
          <w:rFonts w:ascii="Arial" w:hAnsi="Arial" w:cs="Arial"/>
        </w:rPr>
        <w:t>, Nemocnica Banská Štiavnica, a.s., FARMEDIX, s.r.o., FINHOSP PLUS, s.r.o., FINHOSP III, s.r.o., FUTURUM s.r.o., Nemocničný holding a. s., Kardiocentrum AGEL a.s., AGEL Lab s.r.o., LAME, s.r.o., Lavaton s.r.o., AGEL Merea a.s., Med Services s.r.o., AGEL Mammacentrum sv. Agáty a.s., Nemocnica AGEL Bánovce s.r.o.,</w:t>
      </w:r>
      <w:r w:rsidR="00856937" w:rsidRPr="00856937">
        <w:rPr>
          <w:rFonts w:ascii="Arial" w:hAnsi="Arial" w:cs="Arial"/>
        </w:rPr>
        <w:t xml:space="preserve"> </w:t>
      </w:r>
      <w:r w:rsidR="00856937">
        <w:rPr>
          <w:rFonts w:ascii="Arial" w:hAnsi="Arial" w:cs="Arial"/>
        </w:rPr>
        <w:t>Nemocnica AGEL Handlová s.r.o</w:t>
      </w:r>
      <w:r w:rsidR="00B02A86" w:rsidRPr="00B02A86">
        <w:rPr>
          <w:rFonts w:ascii="Arial" w:hAnsi="Arial" w:cs="Arial"/>
        </w:rPr>
        <w:t xml:space="preserve">, Nemocnica AGEL Komárno s.r.o. Nemocnica AGEL Košice-Šaca a.s., Nemocnica AGEL Krompachy s.r.o., Nemocnica AGEL Levoča a.s., Nemocnica AGEL Levice s.r.o., Nemocnica AGEL Žiar nad Hronom a Banská Štiavnica s.r.o., Nemocnica AGEL Zlaté Moravce a.s., Nemocnica AGEL Zvolen a.s., Práčovně a čistiarne s.r.o. Nitra, Perfect Distribution a.s. - organizačná zložka, </w:t>
      </w:r>
      <w:r w:rsidR="00B02A86" w:rsidRPr="00AC28F9">
        <w:rPr>
          <w:rFonts w:ascii="Arial" w:hAnsi="Arial" w:cs="Arial"/>
        </w:rPr>
        <w:t xml:space="preserve">PROSOFT Košice, a.s., Poliklinika AGEL Žiar nad Hronom s. r. o., AGEL Radiológia s.r.o., SILICEA s.r.o., </w:t>
      </w:r>
      <w:r w:rsidRPr="00AC28F9">
        <w:rPr>
          <w:rFonts w:ascii="Arial" w:hAnsi="Arial" w:cs="Arial"/>
        </w:rPr>
        <w:t>Fakultná nemocnica AGEL Skalica ,</w:t>
      </w:r>
      <w:r w:rsidR="00B02A86" w:rsidRPr="00AC28F9">
        <w:rPr>
          <w:rFonts w:ascii="Arial" w:hAnsi="Arial" w:cs="Arial"/>
        </w:rPr>
        <w:t>AGEL</w:t>
      </w:r>
      <w:r w:rsidR="00B02A86" w:rsidRPr="00B02A86">
        <w:rPr>
          <w:rFonts w:ascii="Arial" w:hAnsi="Arial" w:cs="Arial"/>
        </w:rPr>
        <w:t xml:space="preserve"> SSC a. s., STEELPHARM s.r.o., Nemocnica Dr. Vojtecha Alexandra v Kežmarku n.o. a Vzdelávací, vedecký a výskumný inštitút AGEL n.o., ktoré sú dcérskymi spoločnosťami spoločnosti AGEL SK a.s..      </w:t>
      </w:r>
    </w:p>
    <w:p w14:paraId="41395174" w14:textId="77777777" w:rsidR="002A6B69" w:rsidRPr="00560AB1" w:rsidRDefault="002A6B69" w:rsidP="002A6B69">
      <w:pPr>
        <w:pStyle w:val="Odsekzoznamu"/>
        <w:ind w:left="360"/>
      </w:pPr>
    </w:p>
    <w:p w14:paraId="4EF6937A" w14:textId="77777777" w:rsidR="002A6B69" w:rsidRPr="00560AB1" w:rsidRDefault="002A6B69" w:rsidP="002A6B69">
      <w:pPr>
        <w:pStyle w:val="Odsekzoznamu"/>
        <w:numPr>
          <w:ilvl w:val="1"/>
          <w:numId w:val="1"/>
        </w:numPr>
        <w:rPr>
          <w:rFonts w:ascii="Arial" w:hAnsi="Arial" w:cs="Arial"/>
        </w:rPr>
      </w:pPr>
      <w:r w:rsidRPr="00560AB1">
        <w:rPr>
          <w:rFonts w:ascii="Arial" w:hAnsi="Arial" w:cs="Arial"/>
        </w:rPr>
        <w:t>Informácie o počte zamestnancov:</w:t>
      </w:r>
    </w:p>
    <w:tbl>
      <w:tblPr>
        <w:tblW w:w="8980" w:type="dxa"/>
        <w:jc w:val="center"/>
        <w:tblCellMar>
          <w:left w:w="70" w:type="dxa"/>
          <w:right w:w="70" w:type="dxa"/>
        </w:tblCellMar>
        <w:tblLook w:val="04A0" w:firstRow="1" w:lastRow="0" w:firstColumn="1" w:lastColumn="0" w:noHBand="0" w:noVBand="1"/>
      </w:tblPr>
      <w:tblGrid>
        <w:gridCol w:w="3500"/>
        <w:gridCol w:w="2740"/>
        <w:gridCol w:w="2740"/>
      </w:tblGrid>
      <w:tr w:rsidR="002A6B69" w:rsidRPr="00560AB1" w14:paraId="04DBBCBE" w14:textId="77777777" w:rsidTr="00903ED1">
        <w:trPr>
          <w:trHeight w:val="435"/>
          <w:jc w:val="center"/>
        </w:trPr>
        <w:tc>
          <w:tcPr>
            <w:tcW w:w="3500" w:type="dxa"/>
            <w:tcBorders>
              <w:top w:val="single" w:sz="12" w:space="0" w:color="auto"/>
              <w:left w:val="single" w:sz="12" w:space="0" w:color="auto"/>
              <w:bottom w:val="nil"/>
              <w:right w:val="single" w:sz="12" w:space="0" w:color="auto"/>
            </w:tcBorders>
            <w:shd w:val="clear" w:color="auto" w:fill="auto"/>
            <w:vAlign w:val="center"/>
            <w:hideMark/>
          </w:tcPr>
          <w:p w14:paraId="6484876F" w14:textId="77777777" w:rsidR="002A6B69" w:rsidRPr="00560AB1" w:rsidRDefault="002A6B69" w:rsidP="00903ED1">
            <w:pPr>
              <w:keepNext w:val="0"/>
              <w:spacing w:after="0"/>
              <w:jc w:val="center"/>
              <w:rPr>
                <w:rFonts w:ascii="Arial" w:hAnsi="Arial" w:cs="Arial"/>
                <w:b/>
                <w:bCs/>
                <w:color w:val="000000"/>
                <w:sz w:val="16"/>
                <w:szCs w:val="16"/>
                <w:lang w:eastAsia="sk-SK"/>
              </w:rPr>
            </w:pPr>
            <w:r w:rsidRPr="00560AB1">
              <w:rPr>
                <w:rFonts w:ascii="Arial" w:hAnsi="Arial" w:cs="Arial"/>
                <w:b/>
                <w:bCs/>
                <w:color w:val="000000"/>
                <w:sz w:val="16"/>
                <w:szCs w:val="16"/>
                <w:lang w:eastAsia="sk-SK"/>
              </w:rPr>
              <w:t>Názov položky</w:t>
            </w:r>
          </w:p>
        </w:tc>
        <w:tc>
          <w:tcPr>
            <w:tcW w:w="2740" w:type="dxa"/>
            <w:tcBorders>
              <w:top w:val="single" w:sz="12" w:space="0" w:color="auto"/>
              <w:left w:val="nil"/>
              <w:bottom w:val="nil"/>
              <w:right w:val="single" w:sz="12" w:space="0" w:color="auto"/>
            </w:tcBorders>
            <w:shd w:val="clear" w:color="auto" w:fill="auto"/>
            <w:vAlign w:val="center"/>
            <w:hideMark/>
          </w:tcPr>
          <w:p w14:paraId="4B4C9E8A" w14:textId="77777777" w:rsidR="002A6B69" w:rsidRPr="00560AB1" w:rsidRDefault="002A6B69" w:rsidP="00903ED1">
            <w:pPr>
              <w:keepNext w:val="0"/>
              <w:spacing w:after="0"/>
              <w:jc w:val="center"/>
              <w:rPr>
                <w:rFonts w:ascii="Arial" w:hAnsi="Arial" w:cs="Arial"/>
                <w:b/>
                <w:bCs/>
                <w:color w:val="000000"/>
                <w:sz w:val="16"/>
                <w:szCs w:val="16"/>
                <w:lang w:eastAsia="sk-SK"/>
              </w:rPr>
            </w:pPr>
            <w:r w:rsidRPr="00560AB1">
              <w:rPr>
                <w:rFonts w:ascii="Arial" w:hAnsi="Arial" w:cs="Arial"/>
                <w:b/>
                <w:bCs/>
                <w:color w:val="000000"/>
                <w:sz w:val="16"/>
                <w:szCs w:val="16"/>
                <w:lang w:eastAsia="sk-SK"/>
              </w:rPr>
              <w:t>Bežné účtovné obdobie</w:t>
            </w:r>
          </w:p>
        </w:tc>
        <w:tc>
          <w:tcPr>
            <w:tcW w:w="2740" w:type="dxa"/>
            <w:tcBorders>
              <w:top w:val="single" w:sz="12" w:space="0" w:color="auto"/>
              <w:left w:val="nil"/>
              <w:bottom w:val="nil"/>
              <w:right w:val="single" w:sz="12" w:space="0" w:color="auto"/>
            </w:tcBorders>
            <w:shd w:val="clear" w:color="auto" w:fill="auto"/>
            <w:vAlign w:val="center"/>
            <w:hideMark/>
          </w:tcPr>
          <w:p w14:paraId="556AFF94" w14:textId="77777777" w:rsidR="002A6B69" w:rsidRPr="00560AB1" w:rsidRDefault="002A6B69" w:rsidP="00903ED1">
            <w:pPr>
              <w:keepNext w:val="0"/>
              <w:spacing w:after="0"/>
              <w:jc w:val="center"/>
              <w:rPr>
                <w:rFonts w:ascii="Arial" w:hAnsi="Arial" w:cs="Arial"/>
                <w:b/>
                <w:bCs/>
                <w:color w:val="000000"/>
                <w:sz w:val="16"/>
                <w:szCs w:val="16"/>
                <w:lang w:eastAsia="sk-SK"/>
              </w:rPr>
            </w:pPr>
            <w:r w:rsidRPr="00560AB1">
              <w:rPr>
                <w:rFonts w:ascii="Arial" w:hAnsi="Arial" w:cs="Arial"/>
                <w:b/>
                <w:bCs/>
                <w:color w:val="000000"/>
                <w:sz w:val="16"/>
                <w:szCs w:val="16"/>
                <w:lang w:eastAsia="sk-SK"/>
              </w:rPr>
              <w:t>Bezprostredne predchádzajúce účtovné obdobie</w:t>
            </w:r>
          </w:p>
        </w:tc>
      </w:tr>
      <w:tr w:rsidR="002A6B69" w:rsidRPr="00560AB1" w14:paraId="663D6B68" w14:textId="77777777" w:rsidTr="00856937">
        <w:trPr>
          <w:trHeight w:val="450"/>
          <w:jc w:val="center"/>
        </w:trPr>
        <w:tc>
          <w:tcPr>
            <w:tcW w:w="3500" w:type="dxa"/>
            <w:tcBorders>
              <w:top w:val="single" w:sz="12" w:space="0" w:color="auto"/>
              <w:left w:val="single" w:sz="12" w:space="0" w:color="auto"/>
              <w:bottom w:val="single" w:sz="8" w:space="0" w:color="auto"/>
              <w:right w:val="single" w:sz="12" w:space="0" w:color="auto"/>
            </w:tcBorders>
            <w:shd w:val="clear" w:color="auto" w:fill="auto"/>
            <w:vAlign w:val="center"/>
            <w:hideMark/>
          </w:tcPr>
          <w:p w14:paraId="7CE46EAE" w14:textId="77777777" w:rsidR="002A6B69" w:rsidRPr="00560AB1" w:rsidRDefault="002A6B69" w:rsidP="00903ED1">
            <w:pPr>
              <w:keepNext w:val="0"/>
              <w:spacing w:after="0"/>
              <w:jc w:val="left"/>
              <w:rPr>
                <w:rFonts w:ascii="Arial" w:hAnsi="Arial" w:cs="Arial"/>
                <w:color w:val="000000"/>
                <w:sz w:val="16"/>
                <w:szCs w:val="16"/>
                <w:lang w:eastAsia="sk-SK"/>
              </w:rPr>
            </w:pPr>
            <w:r w:rsidRPr="00560AB1">
              <w:rPr>
                <w:rFonts w:ascii="Arial" w:hAnsi="Arial" w:cs="Arial"/>
                <w:color w:val="000000"/>
                <w:sz w:val="16"/>
                <w:szCs w:val="16"/>
                <w:lang w:eastAsia="sk-SK"/>
              </w:rPr>
              <w:t>Priemerný prepočítaný počet zamestnancov</w:t>
            </w:r>
          </w:p>
        </w:tc>
        <w:tc>
          <w:tcPr>
            <w:tcW w:w="2740" w:type="dxa"/>
            <w:tcBorders>
              <w:top w:val="single" w:sz="12" w:space="0" w:color="auto"/>
              <w:left w:val="nil"/>
              <w:bottom w:val="single" w:sz="8" w:space="0" w:color="auto"/>
              <w:right w:val="single" w:sz="12" w:space="0" w:color="auto"/>
            </w:tcBorders>
            <w:shd w:val="clear" w:color="auto" w:fill="auto"/>
            <w:vAlign w:val="center"/>
            <w:hideMark/>
          </w:tcPr>
          <w:p w14:paraId="6277091D" w14:textId="650A3457" w:rsidR="002A6B69" w:rsidRPr="00560AB1" w:rsidRDefault="007D2E51" w:rsidP="00856937">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8</w:t>
            </w:r>
          </w:p>
        </w:tc>
        <w:tc>
          <w:tcPr>
            <w:tcW w:w="2740" w:type="dxa"/>
            <w:tcBorders>
              <w:top w:val="single" w:sz="12" w:space="0" w:color="auto"/>
              <w:left w:val="nil"/>
              <w:bottom w:val="single" w:sz="8" w:space="0" w:color="auto"/>
              <w:right w:val="single" w:sz="12" w:space="0" w:color="auto"/>
            </w:tcBorders>
            <w:shd w:val="clear" w:color="auto" w:fill="auto"/>
            <w:vAlign w:val="center"/>
          </w:tcPr>
          <w:p w14:paraId="0BA579C7" w14:textId="55446049" w:rsidR="002A6B69" w:rsidRPr="00560AB1" w:rsidRDefault="00F65768" w:rsidP="00856937">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10</w:t>
            </w:r>
          </w:p>
        </w:tc>
      </w:tr>
    </w:tbl>
    <w:p w14:paraId="5658D32E" w14:textId="1A49ABA9" w:rsidR="00DB4300" w:rsidRPr="00DB4300" w:rsidRDefault="00DB4300" w:rsidP="00DB4300">
      <w:pPr>
        <w:pStyle w:val="Nadpis1"/>
        <w:keepNext w:val="0"/>
        <w:rPr>
          <w:rFonts w:ascii="Arial" w:hAnsi="Arial" w:cs="Arial"/>
        </w:rPr>
      </w:pPr>
      <w:r w:rsidRPr="00DB4300">
        <w:rPr>
          <w:rFonts w:ascii="Arial" w:hAnsi="Arial" w:cs="Arial"/>
        </w:rPr>
        <w:lastRenderedPageBreak/>
        <w:t>informácie o orgánoch spoločnosti</w:t>
      </w:r>
    </w:p>
    <w:p w14:paraId="28AA6DF2" w14:textId="77777777" w:rsidR="00DB4300" w:rsidRPr="00560AB1" w:rsidRDefault="00DB4300" w:rsidP="00DB4300">
      <w:pPr>
        <w:pStyle w:val="Odsekzoznamu"/>
        <w:keepNext w:val="0"/>
        <w:numPr>
          <w:ilvl w:val="1"/>
          <w:numId w:val="1"/>
        </w:numPr>
        <w:ind w:left="0" w:firstLine="0"/>
        <w:rPr>
          <w:rFonts w:ascii="Arial" w:hAnsi="Arial" w:cs="Arial"/>
          <w:iCs/>
        </w:rPr>
      </w:pPr>
      <w:r w:rsidRPr="00560AB1">
        <w:rPr>
          <w:rFonts w:ascii="Arial" w:hAnsi="Arial" w:cs="Arial"/>
          <w:iCs/>
        </w:rPr>
        <w:t>Spoločnosť neposkytla záruky ani iné zabezpečenia pre členov štatutárneho orgánu, dozorného orgánu a iného orgánu účtovnej jednotky</w:t>
      </w:r>
      <w:r>
        <w:rPr>
          <w:rFonts w:ascii="Arial" w:hAnsi="Arial" w:cs="Arial"/>
          <w:iCs/>
        </w:rPr>
        <w:t>.</w:t>
      </w:r>
    </w:p>
    <w:p w14:paraId="2D489569" w14:textId="77777777" w:rsidR="00DB4300" w:rsidRPr="00560AB1" w:rsidRDefault="00DB4300" w:rsidP="00DB4300">
      <w:pPr>
        <w:pStyle w:val="Odsekzoznamu"/>
        <w:keepNext w:val="0"/>
        <w:ind w:left="360"/>
        <w:rPr>
          <w:rFonts w:ascii="Arial" w:hAnsi="Arial" w:cs="Arial"/>
        </w:rPr>
      </w:pPr>
    </w:p>
    <w:p w14:paraId="78CB2B23" w14:textId="5FC6E96A" w:rsidR="00DB4300" w:rsidRPr="00DB4300" w:rsidRDefault="00DB4300" w:rsidP="00DB4300">
      <w:pPr>
        <w:pStyle w:val="Odsekzoznamu"/>
        <w:keepNext w:val="0"/>
        <w:numPr>
          <w:ilvl w:val="1"/>
          <w:numId w:val="1"/>
        </w:numPr>
        <w:spacing w:after="14"/>
        <w:ind w:left="0" w:firstLine="0"/>
        <w:rPr>
          <w:rFonts w:ascii="Arial" w:hAnsi="Arial" w:cs="Arial"/>
          <w:iCs/>
        </w:rPr>
      </w:pPr>
      <w:r w:rsidRPr="00560AB1">
        <w:rPr>
          <w:rFonts w:ascii="Arial" w:hAnsi="Arial" w:cs="Arial"/>
          <w:iCs/>
        </w:rPr>
        <w:t>Spoločnosť neposkytla pôžičky členom štatutárneho orgánu, dozorného orgánu a</w:t>
      </w:r>
      <w:r>
        <w:rPr>
          <w:rFonts w:ascii="Arial" w:hAnsi="Arial" w:cs="Arial"/>
          <w:iCs/>
        </w:rPr>
        <w:t>ni</w:t>
      </w:r>
      <w:r w:rsidRPr="00560AB1">
        <w:rPr>
          <w:rFonts w:ascii="Arial" w:hAnsi="Arial" w:cs="Arial"/>
          <w:iCs/>
        </w:rPr>
        <w:t xml:space="preserve"> iného orgánu účtovnej jednotky</w:t>
      </w:r>
      <w:r>
        <w:rPr>
          <w:rFonts w:ascii="Arial" w:hAnsi="Arial" w:cs="Arial"/>
          <w:iCs/>
        </w:rPr>
        <w:t>.</w:t>
      </w:r>
    </w:p>
    <w:p w14:paraId="2542CA10" w14:textId="77777777" w:rsidR="00DB4300" w:rsidRPr="00560AB1" w:rsidRDefault="00DB4300" w:rsidP="00DB4300">
      <w:pPr>
        <w:pStyle w:val="Nadpis1"/>
        <w:keepNext w:val="0"/>
        <w:rPr>
          <w:rFonts w:ascii="Arial" w:hAnsi="Arial" w:cs="Arial"/>
        </w:rPr>
      </w:pPr>
      <w:r w:rsidRPr="00560AB1">
        <w:rPr>
          <w:rFonts w:ascii="Arial" w:hAnsi="Arial" w:cs="Arial"/>
        </w:rPr>
        <w:t>informácie o prijatých postupoch</w:t>
      </w:r>
    </w:p>
    <w:p w14:paraId="0E4E9FDB" w14:textId="77777777" w:rsidR="00DB4300" w:rsidRPr="00560AB1" w:rsidRDefault="00DB4300" w:rsidP="00DB4300">
      <w:pPr>
        <w:pStyle w:val="Odsekzoznamu"/>
        <w:keepNext w:val="0"/>
        <w:numPr>
          <w:ilvl w:val="1"/>
          <w:numId w:val="1"/>
        </w:numPr>
        <w:ind w:left="0" w:firstLine="0"/>
        <w:rPr>
          <w:rFonts w:ascii="Arial" w:hAnsi="Arial" w:cs="Arial"/>
        </w:rPr>
      </w:pPr>
      <w:r w:rsidRPr="00560AB1">
        <w:rPr>
          <w:rFonts w:ascii="Arial" w:hAnsi="Arial" w:cs="Arial"/>
        </w:rPr>
        <w:t xml:space="preserve">Účtovná závierka bola zostavená podľa Zákona č. 431/2002 Z.z. o účtovníctve v znení neskorších predpisov za predpokladu nepretržitého trvania jej činnosti. </w:t>
      </w:r>
    </w:p>
    <w:p w14:paraId="79575871" w14:textId="77777777" w:rsidR="00DB4300" w:rsidRDefault="00DB4300" w:rsidP="00DB4300">
      <w:pPr>
        <w:pStyle w:val="Odsekzoznamu"/>
        <w:keepNext w:val="0"/>
        <w:ind w:left="0"/>
        <w:rPr>
          <w:rFonts w:ascii="Arial" w:hAnsi="Arial" w:cs="Arial"/>
        </w:rPr>
      </w:pPr>
    </w:p>
    <w:p w14:paraId="26E8D69F" w14:textId="77777777" w:rsidR="00DB4300" w:rsidRPr="00287E61" w:rsidRDefault="00DB4300" w:rsidP="00DB4300">
      <w:pPr>
        <w:pStyle w:val="Odsekzoznamu"/>
        <w:keepNext w:val="0"/>
        <w:ind w:left="0"/>
        <w:rPr>
          <w:rFonts w:ascii="Arial" w:hAnsi="Arial" w:cs="Arial"/>
        </w:rPr>
      </w:pPr>
      <w:r w:rsidRPr="00287E61">
        <w:rPr>
          <w:rFonts w:ascii="Arial" w:hAnsi="Arial" w:cs="Arial"/>
        </w:rPr>
        <w:t xml:space="preserve">Spoločnosť uplatňuje účtovné princípy a postupy účtovania v súlade so zákonom o účtovníctve a s postupmi účtovania pre podnikateľov, ktoré platia v Slovenskej republike. Účtovníctvo sa vedie v peňažných jednotkách slovenskej meny, t. j. v eurách. Počas účtovného obdobia nenastala zmena účtovných zásad a účtovných metód. </w:t>
      </w:r>
    </w:p>
    <w:p w14:paraId="4D7E5712" w14:textId="77777777" w:rsidR="00DB4300" w:rsidRPr="002E10BE" w:rsidRDefault="00DB4300" w:rsidP="00DB4300">
      <w:pPr>
        <w:pStyle w:val="Nadpis2"/>
        <w:keepNext w:val="0"/>
        <w:numPr>
          <w:ilvl w:val="0"/>
          <w:numId w:val="3"/>
        </w:numPr>
        <w:rPr>
          <w:rFonts w:ascii="Arial" w:hAnsi="Arial" w:cs="Arial"/>
        </w:rPr>
      </w:pPr>
      <w:bookmarkStart w:id="0" w:name="_Toc474124192"/>
      <w:bookmarkStart w:id="1" w:name="_Toc474124304"/>
      <w:r w:rsidRPr="002E10BE">
        <w:rPr>
          <w:rFonts w:ascii="Arial" w:hAnsi="Arial" w:cs="Arial"/>
        </w:rPr>
        <w:t xml:space="preserve">Dlhodobý nehmotný </w:t>
      </w:r>
      <w:r>
        <w:rPr>
          <w:rFonts w:ascii="Arial" w:hAnsi="Arial" w:cs="Arial"/>
        </w:rPr>
        <w:t>a d</w:t>
      </w:r>
      <w:r w:rsidRPr="002E10BE">
        <w:rPr>
          <w:rFonts w:ascii="Arial" w:hAnsi="Arial" w:cs="Arial"/>
        </w:rPr>
        <w:t xml:space="preserve">lhodobý hmotný majetok </w:t>
      </w:r>
    </w:p>
    <w:p w14:paraId="02DF280E" w14:textId="77777777" w:rsidR="00DB4300" w:rsidRPr="002E10BE" w:rsidRDefault="00DB4300" w:rsidP="00DB4300">
      <w:pPr>
        <w:keepNext w:val="0"/>
        <w:rPr>
          <w:rFonts w:ascii="Arial" w:hAnsi="Arial" w:cs="Arial"/>
          <w:i/>
          <w:highlight w:val="yellow"/>
        </w:rPr>
      </w:pPr>
      <w:r w:rsidRPr="002E10BE">
        <w:rPr>
          <w:rFonts w:ascii="Arial" w:hAnsi="Arial" w:cs="Arial"/>
        </w:rPr>
        <w:t>Nakupovaný dlhodobý majetok sa oceňuje v obstarávacích cenách, ktoré zahŕňajú cenu obstarania, náklady na dopravu, clo a ďalšie náklady súvisiace s obstaraním.</w:t>
      </w:r>
      <w:r>
        <w:rPr>
          <w:rFonts w:ascii="Arial" w:hAnsi="Arial" w:cs="Arial"/>
        </w:rPr>
        <w:t xml:space="preserve"> </w:t>
      </w:r>
    </w:p>
    <w:p w14:paraId="461064BF" w14:textId="77777777" w:rsidR="00DB4300" w:rsidRPr="002E10BE" w:rsidRDefault="00DB4300" w:rsidP="00DB4300">
      <w:pPr>
        <w:keepNext w:val="0"/>
        <w:rPr>
          <w:rFonts w:ascii="Arial" w:hAnsi="Arial" w:cs="Arial"/>
        </w:rPr>
      </w:pPr>
      <w:r w:rsidRPr="002E10BE">
        <w:rPr>
          <w:rFonts w:ascii="Arial" w:hAnsi="Arial" w:cs="Arial"/>
        </w:rPr>
        <w:t>Dlhodobý majetok vytvorený vlastnou činnosťou sa oceňuje vlastnými nákladmi, ktoré zahrňujú priame materiálové a mzdové náklady a výrobné režijné náklady</w:t>
      </w:r>
      <w:r>
        <w:rPr>
          <w:rFonts w:ascii="Arial" w:hAnsi="Arial" w:cs="Arial"/>
        </w:rPr>
        <w:t>.</w:t>
      </w:r>
    </w:p>
    <w:bookmarkEnd w:id="0"/>
    <w:bookmarkEnd w:id="1"/>
    <w:p w14:paraId="7DF5CE0D" w14:textId="77777777" w:rsidR="00DB4300" w:rsidRDefault="00DB4300" w:rsidP="00DB4300">
      <w:pPr>
        <w:keepNext w:val="0"/>
        <w:rPr>
          <w:rFonts w:ascii="Arial" w:hAnsi="Arial" w:cs="Arial"/>
          <w:i/>
        </w:rPr>
      </w:pPr>
      <w:r w:rsidRPr="00560AB1">
        <w:rPr>
          <w:rFonts w:ascii="Arial" w:hAnsi="Arial" w:cs="Arial"/>
        </w:rPr>
        <w:t>Dlhodobý majetok obstaraný</w:t>
      </w:r>
      <w:r>
        <w:rPr>
          <w:rFonts w:ascii="Arial" w:hAnsi="Arial" w:cs="Arial"/>
        </w:rPr>
        <w:t xml:space="preserve"> iným spôs</w:t>
      </w:r>
      <w:r w:rsidRPr="00912376">
        <w:rPr>
          <w:rFonts w:ascii="Arial" w:hAnsi="Arial" w:cs="Arial"/>
        </w:rPr>
        <w:t>obom</w:t>
      </w:r>
      <w:r w:rsidRPr="00287E61">
        <w:rPr>
          <w:rFonts w:ascii="Arial" w:hAnsi="Arial" w:cs="Arial"/>
        </w:rPr>
        <w:t>:</w:t>
      </w:r>
    </w:p>
    <w:p w14:paraId="59EEB152" w14:textId="77777777" w:rsidR="00DB4300" w:rsidRPr="000B70F2" w:rsidRDefault="00DB4300" w:rsidP="00DB4300">
      <w:pPr>
        <w:pStyle w:val="Odsekzoznamu"/>
        <w:keepNext w:val="0"/>
        <w:numPr>
          <w:ilvl w:val="0"/>
          <w:numId w:val="40"/>
        </w:numPr>
        <w:rPr>
          <w:rFonts w:ascii="Arial" w:hAnsi="Arial" w:cs="Arial"/>
        </w:rPr>
      </w:pPr>
      <w:r w:rsidRPr="000B70F2">
        <w:rPr>
          <w:rFonts w:ascii="Arial" w:hAnsi="Arial" w:cs="Arial"/>
        </w:rPr>
        <w:t>Dlhodobý majetok nadobudnutý bezodplatne- reálnou hodnotou.</w:t>
      </w:r>
    </w:p>
    <w:p w14:paraId="35158682" w14:textId="77777777" w:rsidR="00DB4300" w:rsidRPr="000B70F2" w:rsidRDefault="00DB4300" w:rsidP="00DB4300">
      <w:pPr>
        <w:pStyle w:val="Odsekzoznamu"/>
        <w:keepNext w:val="0"/>
        <w:numPr>
          <w:ilvl w:val="0"/>
          <w:numId w:val="40"/>
        </w:numPr>
        <w:rPr>
          <w:rFonts w:ascii="Arial" w:hAnsi="Arial" w:cs="Arial"/>
        </w:rPr>
      </w:pPr>
      <w:r w:rsidRPr="000B70F2">
        <w:rPr>
          <w:rFonts w:ascii="Arial" w:hAnsi="Arial" w:cs="Arial"/>
        </w:rPr>
        <w:t>Majetok novozistený pri inventarizácii a v účtovníctve doteraz nezachytený- reálnou hodnotou</w:t>
      </w:r>
    </w:p>
    <w:p w14:paraId="15D5FC66" w14:textId="77777777" w:rsidR="00DB4300" w:rsidRPr="00560AB1" w:rsidRDefault="00DB4300" w:rsidP="00DB4300">
      <w:pPr>
        <w:keepNext w:val="0"/>
        <w:rPr>
          <w:rFonts w:ascii="Arial" w:hAnsi="Arial" w:cs="Arial"/>
        </w:rPr>
      </w:pPr>
      <w:r w:rsidRPr="00560AB1">
        <w:rPr>
          <w:rFonts w:ascii="Arial" w:hAnsi="Arial" w:cs="Arial"/>
        </w:rPr>
        <w:t>Náklady na technické zhodnotenie dlhodobého hmotného majetku zvyšujú jeho obstarávaciu cenu. Opravy a údržba sa účtujú do nákladov.</w:t>
      </w:r>
    </w:p>
    <w:p w14:paraId="4D40A05B" w14:textId="77777777" w:rsidR="00DB4300" w:rsidRPr="00560AB1" w:rsidRDefault="00DB4300" w:rsidP="00DB4300">
      <w:pPr>
        <w:keepNext w:val="0"/>
        <w:rPr>
          <w:rFonts w:ascii="Arial" w:hAnsi="Arial" w:cs="Arial"/>
          <w:b/>
          <w:i/>
        </w:rPr>
      </w:pPr>
      <w:r w:rsidRPr="00560AB1">
        <w:rPr>
          <w:rFonts w:ascii="Arial" w:hAnsi="Arial" w:cs="Arial"/>
          <w:b/>
          <w:i/>
        </w:rPr>
        <w:t>Odpisovanie</w:t>
      </w:r>
    </w:p>
    <w:p w14:paraId="4354B1F4" w14:textId="77777777" w:rsidR="00DB4300" w:rsidRDefault="00DB4300" w:rsidP="00DB4300">
      <w:pPr>
        <w:keepNext w:val="0"/>
        <w:rPr>
          <w:rFonts w:ascii="Arial" w:hAnsi="Arial" w:cs="Arial"/>
        </w:rPr>
      </w:pPr>
      <w:r w:rsidRPr="00560AB1">
        <w:rPr>
          <w:rFonts w:ascii="Arial" w:hAnsi="Arial" w:cs="Arial"/>
        </w:rPr>
        <w:t>Dlhodobý majetok sa odpisuje do nákladov počas predpokladanej doby životnosti príslušného majetku. Predpokladaná  doba používania, metóda odpisovania a odpisová  sadzba sú  stanovené pre jednotlivé skupiny dlhodobého majetku  nasledovne:</w:t>
      </w:r>
    </w:p>
    <w:p w14:paraId="343E4AD2" w14:textId="77777777" w:rsidR="00856937" w:rsidRPr="00560AB1" w:rsidRDefault="00856937" w:rsidP="00DB4300">
      <w:pPr>
        <w:keepNext w:val="0"/>
        <w:rPr>
          <w:rFonts w:ascii="Arial" w:hAnsi="Arial" w:cs="Arial"/>
        </w:rPr>
      </w:pPr>
    </w:p>
    <w:p w14:paraId="09DA6420" w14:textId="0BA1B992" w:rsidR="00127D1B" w:rsidRPr="00560AB1" w:rsidRDefault="00127D1B" w:rsidP="00127D1B">
      <w:pPr>
        <w:keepNext w:val="0"/>
        <w:rPr>
          <w:rFonts w:ascii="Arial" w:hAnsi="Arial" w:cs="Arial"/>
        </w:rPr>
      </w:pP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127D1B" w:rsidRPr="00560AB1" w14:paraId="212FF04E" w14:textId="77777777" w:rsidTr="00A13C57">
        <w:trPr>
          <w:cantSplit/>
        </w:trPr>
        <w:tc>
          <w:tcPr>
            <w:tcW w:w="3261" w:type="dxa"/>
            <w:tcBorders>
              <w:top w:val="nil"/>
              <w:bottom w:val="single" w:sz="12" w:space="0" w:color="999999"/>
            </w:tcBorders>
            <w:vAlign w:val="center"/>
          </w:tcPr>
          <w:p w14:paraId="1A3FD49A" w14:textId="77777777" w:rsidR="00127D1B" w:rsidRPr="00560AB1" w:rsidRDefault="00127D1B" w:rsidP="00A13C57">
            <w:pPr>
              <w:pStyle w:val="TableHeader"/>
              <w:keepNext w:val="0"/>
              <w:spacing w:before="60" w:after="60"/>
              <w:rPr>
                <w:rFonts w:ascii="Arial" w:hAnsi="Arial" w:cs="Arial"/>
                <w:b/>
                <w:highlight w:val="yellow"/>
              </w:rPr>
            </w:pPr>
            <w:r w:rsidRPr="00560AB1">
              <w:rPr>
                <w:rFonts w:ascii="Arial" w:hAnsi="Arial" w:cs="Arial"/>
                <w:b/>
                <w:highlight w:val="yellow"/>
              </w:rPr>
              <w:br w:type="page"/>
            </w:r>
          </w:p>
        </w:tc>
        <w:tc>
          <w:tcPr>
            <w:tcW w:w="1559" w:type="dxa"/>
            <w:tcBorders>
              <w:top w:val="nil"/>
              <w:bottom w:val="single" w:sz="12" w:space="0" w:color="999999"/>
            </w:tcBorders>
            <w:vAlign w:val="center"/>
          </w:tcPr>
          <w:p w14:paraId="1DCBDB88" w14:textId="77777777" w:rsidR="00127D1B" w:rsidRPr="00560AB1" w:rsidRDefault="00127D1B" w:rsidP="00A13C57">
            <w:pPr>
              <w:pStyle w:val="TableHeader"/>
              <w:keepNext w:val="0"/>
              <w:spacing w:before="60" w:after="60"/>
              <w:rPr>
                <w:rFonts w:ascii="Arial" w:hAnsi="Arial" w:cs="Arial"/>
                <w:b/>
              </w:rPr>
            </w:pPr>
            <w:r w:rsidRPr="00560AB1">
              <w:rPr>
                <w:rFonts w:ascii="Arial" w:hAnsi="Arial" w:cs="Arial"/>
                <w:b/>
              </w:rPr>
              <w:t>Predpokladaná doba používania</w:t>
            </w:r>
          </w:p>
        </w:tc>
        <w:tc>
          <w:tcPr>
            <w:tcW w:w="1559" w:type="dxa"/>
            <w:tcBorders>
              <w:top w:val="nil"/>
              <w:bottom w:val="single" w:sz="12" w:space="0" w:color="999999"/>
            </w:tcBorders>
            <w:vAlign w:val="center"/>
          </w:tcPr>
          <w:p w14:paraId="30B1C41A" w14:textId="77777777" w:rsidR="00127D1B" w:rsidRPr="00560AB1" w:rsidRDefault="00127D1B" w:rsidP="00A13C57">
            <w:pPr>
              <w:pStyle w:val="TableHeader"/>
              <w:keepNext w:val="0"/>
              <w:spacing w:before="60" w:after="60"/>
              <w:rPr>
                <w:rFonts w:ascii="Arial" w:hAnsi="Arial" w:cs="Arial"/>
                <w:b/>
              </w:rPr>
            </w:pPr>
            <w:r w:rsidRPr="00560AB1">
              <w:rPr>
                <w:rFonts w:ascii="Arial" w:hAnsi="Arial" w:cs="Arial"/>
                <w:b/>
              </w:rPr>
              <w:t>Ročná odpisová sadzba</w:t>
            </w:r>
          </w:p>
        </w:tc>
        <w:tc>
          <w:tcPr>
            <w:tcW w:w="1559" w:type="dxa"/>
            <w:tcBorders>
              <w:top w:val="nil"/>
              <w:bottom w:val="single" w:sz="12" w:space="0" w:color="999999"/>
            </w:tcBorders>
            <w:vAlign w:val="center"/>
          </w:tcPr>
          <w:p w14:paraId="2EBCEF2A" w14:textId="77777777" w:rsidR="00127D1B" w:rsidRPr="00560AB1" w:rsidRDefault="00127D1B" w:rsidP="00A13C57">
            <w:pPr>
              <w:pStyle w:val="TableHeader"/>
              <w:keepNext w:val="0"/>
              <w:spacing w:before="60" w:after="60"/>
              <w:rPr>
                <w:rFonts w:ascii="Arial" w:hAnsi="Arial" w:cs="Arial"/>
                <w:b/>
              </w:rPr>
            </w:pPr>
            <w:r w:rsidRPr="00560AB1">
              <w:rPr>
                <w:rFonts w:ascii="Arial" w:hAnsi="Arial" w:cs="Arial"/>
                <w:b/>
              </w:rPr>
              <w:t>Metóda odpisovania</w:t>
            </w:r>
          </w:p>
        </w:tc>
      </w:tr>
      <w:tr w:rsidR="004702B1" w:rsidRPr="00560AB1" w14:paraId="42CE7F53" w14:textId="77777777" w:rsidTr="00A13C57">
        <w:trPr>
          <w:cantSplit/>
        </w:trPr>
        <w:tc>
          <w:tcPr>
            <w:tcW w:w="3261" w:type="dxa"/>
            <w:vAlign w:val="bottom"/>
          </w:tcPr>
          <w:p w14:paraId="33A582A0" w14:textId="77777777" w:rsidR="004702B1" w:rsidRPr="00560AB1" w:rsidRDefault="004702B1" w:rsidP="004702B1">
            <w:pPr>
              <w:pStyle w:val="TableFirstLine"/>
              <w:keepNext w:val="0"/>
              <w:spacing w:before="60" w:after="60"/>
              <w:rPr>
                <w:rFonts w:ascii="Arial" w:hAnsi="Arial" w:cs="Arial"/>
              </w:rPr>
            </w:pPr>
            <w:r w:rsidRPr="00560AB1">
              <w:rPr>
                <w:rFonts w:ascii="Arial" w:hAnsi="Arial" w:cs="Arial"/>
              </w:rPr>
              <w:t>Softvér</w:t>
            </w:r>
          </w:p>
        </w:tc>
        <w:tc>
          <w:tcPr>
            <w:tcW w:w="1559" w:type="dxa"/>
            <w:vAlign w:val="bottom"/>
          </w:tcPr>
          <w:p w14:paraId="6F90FE74" w14:textId="48BB709A" w:rsidR="004702B1" w:rsidRPr="00560AB1" w:rsidRDefault="004702B1" w:rsidP="004702B1">
            <w:pPr>
              <w:pStyle w:val="TableFirstLine"/>
              <w:keepNext w:val="0"/>
              <w:spacing w:before="60" w:after="60"/>
              <w:jc w:val="center"/>
              <w:rPr>
                <w:rFonts w:ascii="Arial" w:hAnsi="Arial" w:cs="Arial"/>
              </w:rPr>
            </w:pPr>
            <w:r>
              <w:rPr>
                <w:rFonts w:ascii="Arial" w:hAnsi="Arial" w:cs="Arial"/>
              </w:rPr>
              <w:t>5 – 12 rokov</w:t>
            </w:r>
          </w:p>
        </w:tc>
        <w:tc>
          <w:tcPr>
            <w:tcW w:w="1559" w:type="dxa"/>
            <w:vAlign w:val="bottom"/>
          </w:tcPr>
          <w:p w14:paraId="287E892D" w14:textId="58440512" w:rsidR="004702B1" w:rsidRPr="00560AB1" w:rsidRDefault="004702B1" w:rsidP="004702B1">
            <w:pPr>
              <w:pStyle w:val="TableFirstLine"/>
              <w:keepNext w:val="0"/>
              <w:spacing w:before="60" w:after="60"/>
              <w:jc w:val="center"/>
              <w:rPr>
                <w:rFonts w:ascii="Arial" w:hAnsi="Arial" w:cs="Arial"/>
              </w:rPr>
            </w:pPr>
            <w:r>
              <w:rPr>
                <w:rFonts w:ascii="Arial" w:hAnsi="Arial" w:cs="Arial"/>
              </w:rPr>
              <w:t>20 – 8,3 %</w:t>
            </w:r>
          </w:p>
        </w:tc>
        <w:tc>
          <w:tcPr>
            <w:tcW w:w="1559" w:type="dxa"/>
            <w:vAlign w:val="bottom"/>
          </w:tcPr>
          <w:p w14:paraId="19613F85" w14:textId="012BC6B0" w:rsidR="004702B1" w:rsidRPr="00560AB1" w:rsidRDefault="004702B1" w:rsidP="004702B1">
            <w:pPr>
              <w:pStyle w:val="TableFirstLine"/>
              <w:keepNext w:val="0"/>
              <w:spacing w:before="60" w:after="60"/>
              <w:jc w:val="center"/>
              <w:rPr>
                <w:rFonts w:ascii="Arial" w:hAnsi="Arial" w:cs="Arial"/>
              </w:rPr>
            </w:pPr>
            <w:r>
              <w:rPr>
                <w:rFonts w:ascii="Arial" w:hAnsi="Arial" w:cs="Arial"/>
              </w:rPr>
              <w:t>rovnomerná</w:t>
            </w:r>
          </w:p>
        </w:tc>
      </w:tr>
      <w:tr w:rsidR="00127D1B" w:rsidRPr="00560AB1" w14:paraId="07E2E4C6" w14:textId="77777777" w:rsidTr="00A13C57">
        <w:trPr>
          <w:cantSplit/>
        </w:trPr>
        <w:tc>
          <w:tcPr>
            <w:tcW w:w="3261" w:type="dxa"/>
            <w:vAlign w:val="bottom"/>
          </w:tcPr>
          <w:p w14:paraId="06F75ADD" w14:textId="77777777" w:rsidR="00127D1B" w:rsidRPr="00560AB1" w:rsidRDefault="00127D1B" w:rsidP="00A13C57">
            <w:pPr>
              <w:pStyle w:val="TableFirstLine"/>
              <w:keepNext w:val="0"/>
              <w:spacing w:before="60" w:after="60"/>
              <w:rPr>
                <w:rFonts w:ascii="Arial" w:hAnsi="Arial" w:cs="Arial"/>
              </w:rPr>
            </w:pPr>
            <w:r w:rsidRPr="00560AB1">
              <w:rPr>
                <w:rFonts w:ascii="Arial" w:hAnsi="Arial" w:cs="Arial"/>
              </w:rPr>
              <w:t>Oceniteľné práva</w:t>
            </w:r>
          </w:p>
        </w:tc>
        <w:tc>
          <w:tcPr>
            <w:tcW w:w="1559" w:type="dxa"/>
            <w:vAlign w:val="bottom"/>
          </w:tcPr>
          <w:p w14:paraId="5A657D3E" w14:textId="37C61D2C" w:rsidR="00127D1B" w:rsidRPr="00560AB1" w:rsidRDefault="004702B1" w:rsidP="00A13C57">
            <w:pPr>
              <w:pStyle w:val="TableFirstLine"/>
              <w:keepNext w:val="0"/>
              <w:spacing w:before="60" w:after="60"/>
              <w:jc w:val="center"/>
              <w:rPr>
                <w:rFonts w:ascii="Arial" w:hAnsi="Arial" w:cs="Arial"/>
              </w:rPr>
            </w:pPr>
            <w:r>
              <w:rPr>
                <w:rFonts w:ascii="Arial" w:hAnsi="Arial" w:cs="Arial"/>
              </w:rPr>
              <w:t>-</w:t>
            </w:r>
          </w:p>
        </w:tc>
        <w:tc>
          <w:tcPr>
            <w:tcW w:w="1559" w:type="dxa"/>
            <w:vAlign w:val="bottom"/>
          </w:tcPr>
          <w:p w14:paraId="02828CC4" w14:textId="4659EB50" w:rsidR="00127D1B" w:rsidRPr="00560AB1" w:rsidRDefault="004702B1" w:rsidP="00A13C57">
            <w:pPr>
              <w:pStyle w:val="TableFirstLine"/>
              <w:keepNext w:val="0"/>
              <w:spacing w:before="60" w:after="60"/>
              <w:jc w:val="center"/>
              <w:rPr>
                <w:rFonts w:ascii="Arial" w:hAnsi="Arial" w:cs="Arial"/>
              </w:rPr>
            </w:pPr>
            <w:r>
              <w:rPr>
                <w:rFonts w:ascii="Arial" w:hAnsi="Arial" w:cs="Arial"/>
              </w:rPr>
              <w:t>-</w:t>
            </w:r>
          </w:p>
        </w:tc>
        <w:tc>
          <w:tcPr>
            <w:tcW w:w="1559" w:type="dxa"/>
            <w:vAlign w:val="bottom"/>
          </w:tcPr>
          <w:p w14:paraId="655EFB7D" w14:textId="02A53D19" w:rsidR="00127D1B" w:rsidRPr="00560AB1" w:rsidRDefault="004702B1" w:rsidP="00A13C57">
            <w:pPr>
              <w:pStyle w:val="TableFirstLine"/>
              <w:keepNext w:val="0"/>
              <w:spacing w:before="60" w:after="60"/>
              <w:jc w:val="center"/>
              <w:rPr>
                <w:rFonts w:ascii="Arial" w:hAnsi="Arial" w:cs="Arial"/>
              </w:rPr>
            </w:pPr>
            <w:r>
              <w:rPr>
                <w:rFonts w:ascii="Arial" w:hAnsi="Arial" w:cs="Arial"/>
              </w:rPr>
              <w:t>-</w:t>
            </w:r>
          </w:p>
        </w:tc>
      </w:tr>
      <w:tr w:rsidR="00127D1B" w:rsidRPr="00560AB1" w14:paraId="062A57EF" w14:textId="77777777" w:rsidTr="00A13C57">
        <w:trPr>
          <w:cantSplit/>
        </w:trPr>
        <w:tc>
          <w:tcPr>
            <w:tcW w:w="3261" w:type="dxa"/>
            <w:tcBorders>
              <w:bottom w:val="nil"/>
            </w:tcBorders>
            <w:vAlign w:val="bottom"/>
          </w:tcPr>
          <w:p w14:paraId="266F3BCD" w14:textId="77777777" w:rsidR="00127D1B" w:rsidRPr="00560AB1" w:rsidRDefault="00127D1B" w:rsidP="00A13C57">
            <w:pPr>
              <w:pStyle w:val="TableFirstLine"/>
              <w:keepNext w:val="0"/>
              <w:spacing w:before="60" w:after="60"/>
              <w:rPr>
                <w:rFonts w:ascii="Arial" w:hAnsi="Arial" w:cs="Arial"/>
                <w:highlight w:val="yellow"/>
              </w:rPr>
            </w:pPr>
            <w:r w:rsidRPr="00560AB1">
              <w:rPr>
                <w:rFonts w:ascii="Arial" w:hAnsi="Arial" w:cs="Arial"/>
              </w:rPr>
              <w:t>Goodwill</w:t>
            </w:r>
          </w:p>
        </w:tc>
        <w:tc>
          <w:tcPr>
            <w:tcW w:w="1559" w:type="dxa"/>
            <w:tcBorders>
              <w:bottom w:val="nil"/>
            </w:tcBorders>
            <w:vAlign w:val="bottom"/>
          </w:tcPr>
          <w:p w14:paraId="1455DFF9" w14:textId="194E05CE" w:rsidR="00127D1B" w:rsidRPr="00560AB1" w:rsidRDefault="004702B1" w:rsidP="00A13C57">
            <w:pPr>
              <w:pStyle w:val="TableFirstLine"/>
              <w:keepNext w:val="0"/>
              <w:spacing w:before="60" w:after="60"/>
              <w:jc w:val="center"/>
              <w:rPr>
                <w:rFonts w:ascii="Arial" w:hAnsi="Arial" w:cs="Arial"/>
              </w:rPr>
            </w:pPr>
            <w:r>
              <w:rPr>
                <w:rFonts w:ascii="Arial" w:hAnsi="Arial" w:cs="Arial"/>
              </w:rPr>
              <w:t>19 rokov</w:t>
            </w:r>
          </w:p>
        </w:tc>
        <w:tc>
          <w:tcPr>
            <w:tcW w:w="1559" w:type="dxa"/>
            <w:tcBorders>
              <w:bottom w:val="nil"/>
            </w:tcBorders>
            <w:vAlign w:val="bottom"/>
          </w:tcPr>
          <w:p w14:paraId="3D7E0549" w14:textId="5F847554" w:rsidR="00127D1B" w:rsidRPr="00560AB1" w:rsidRDefault="004702B1" w:rsidP="00A13C57">
            <w:pPr>
              <w:pStyle w:val="TableFirstLine"/>
              <w:keepNext w:val="0"/>
              <w:spacing w:before="60" w:after="60"/>
              <w:jc w:val="center"/>
              <w:rPr>
                <w:rFonts w:ascii="Arial" w:hAnsi="Arial" w:cs="Arial"/>
              </w:rPr>
            </w:pPr>
            <w:r>
              <w:rPr>
                <w:rFonts w:ascii="Arial" w:hAnsi="Arial" w:cs="Arial"/>
              </w:rPr>
              <w:t>5</w:t>
            </w:r>
            <w:r w:rsidR="00737297">
              <w:rPr>
                <w:rFonts w:ascii="Arial" w:hAnsi="Arial" w:cs="Arial"/>
              </w:rPr>
              <w:t xml:space="preserve"> </w:t>
            </w:r>
            <w:r>
              <w:rPr>
                <w:rFonts w:ascii="Arial" w:hAnsi="Arial" w:cs="Arial"/>
              </w:rPr>
              <w:t>%</w:t>
            </w:r>
          </w:p>
        </w:tc>
        <w:tc>
          <w:tcPr>
            <w:tcW w:w="1559" w:type="dxa"/>
            <w:tcBorders>
              <w:bottom w:val="nil"/>
            </w:tcBorders>
            <w:vAlign w:val="bottom"/>
          </w:tcPr>
          <w:p w14:paraId="269D9358" w14:textId="27BC9B11" w:rsidR="00127D1B" w:rsidRPr="00560AB1" w:rsidRDefault="004702B1" w:rsidP="00A13C57">
            <w:pPr>
              <w:pStyle w:val="TableFirstLine"/>
              <w:keepNext w:val="0"/>
              <w:spacing w:before="60" w:after="60"/>
              <w:jc w:val="center"/>
              <w:rPr>
                <w:rFonts w:ascii="Arial" w:hAnsi="Arial" w:cs="Arial"/>
              </w:rPr>
            </w:pPr>
            <w:r>
              <w:rPr>
                <w:rFonts w:ascii="Arial" w:hAnsi="Arial" w:cs="Arial"/>
              </w:rPr>
              <w:t>rovnomerná</w:t>
            </w:r>
          </w:p>
        </w:tc>
      </w:tr>
      <w:tr w:rsidR="00127D1B" w:rsidRPr="00560AB1" w14:paraId="1491A3B5" w14:textId="77777777" w:rsidTr="00A13C57">
        <w:trPr>
          <w:cantSplit/>
        </w:trPr>
        <w:tc>
          <w:tcPr>
            <w:tcW w:w="3261" w:type="dxa"/>
            <w:tcBorders>
              <w:top w:val="nil"/>
              <w:left w:val="nil"/>
              <w:bottom w:val="nil"/>
              <w:right w:val="nil"/>
            </w:tcBorders>
            <w:vAlign w:val="bottom"/>
          </w:tcPr>
          <w:p w14:paraId="217C31CF" w14:textId="77777777" w:rsidR="00127D1B" w:rsidRPr="00560AB1" w:rsidRDefault="00127D1B" w:rsidP="00A13C57">
            <w:pPr>
              <w:pStyle w:val="TableFirstLine"/>
              <w:keepNext w:val="0"/>
              <w:spacing w:before="60" w:after="60"/>
              <w:rPr>
                <w:rFonts w:ascii="Arial" w:hAnsi="Arial" w:cs="Arial"/>
              </w:rPr>
            </w:pPr>
            <w:r w:rsidRPr="00560AB1">
              <w:rPr>
                <w:rFonts w:ascii="Arial" w:hAnsi="Arial" w:cs="Arial"/>
              </w:rPr>
              <w:t xml:space="preserve">Ostatný dlhodobý nehmotný majetok </w:t>
            </w:r>
          </w:p>
        </w:tc>
        <w:tc>
          <w:tcPr>
            <w:tcW w:w="1559" w:type="dxa"/>
            <w:tcBorders>
              <w:top w:val="nil"/>
              <w:left w:val="nil"/>
              <w:bottom w:val="nil"/>
              <w:right w:val="nil"/>
            </w:tcBorders>
            <w:vAlign w:val="bottom"/>
          </w:tcPr>
          <w:p w14:paraId="348F9EB4" w14:textId="77777777" w:rsidR="00127D1B" w:rsidRPr="00560AB1" w:rsidRDefault="00127D1B" w:rsidP="00A13C57">
            <w:pPr>
              <w:pStyle w:val="TableFirstLine"/>
              <w:keepNext w:val="0"/>
              <w:spacing w:before="60" w:after="60"/>
              <w:jc w:val="center"/>
              <w:rPr>
                <w:rFonts w:ascii="Arial" w:hAnsi="Arial" w:cs="Arial"/>
              </w:rPr>
            </w:pPr>
            <w:r w:rsidRPr="00560AB1">
              <w:rPr>
                <w:rFonts w:ascii="Arial" w:hAnsi="Arial" w:cs="Arial"/>
              </w:rPr>
              <w:t>-</w:t>
            </w:r>
          </w:p>
        </w:tc>
        <w:tc>
          <w:tcPr>
            <w:tcW w:w="1559" w:type="dxa"/>
            <w:tcBorders>
              <w:top w:val="nil"/>
              <w:left w:val="nil"/>
              <w:bottom w:val="nil"/>
              <w:right w:val="nil"/>
            </w:tcBorders>
            <w:vAlign w:val="bottom"/>
          </w:tcPr>
          <w:p w14:paraId="04C82454" w14:textId="77777777" w:rsidR="00127D1B" w:rsidRPr="00560AB1" w:rsidRDefault="00127D1B" w:rsidP="00A13C57">
            <w:pPr>
              <w:pStyle w:val="TableFirstLine"/>
              <w:keepNext w:val="0"/>
              <w:spacing w:before="60" w:after="60"/>
              <w:jc w:val="center"/>
              <w:rPr>
                <w:rFonts w:ascii="Arial" w:hAnsi="Arial" w:cs="Arial"/>
              </w:rPr>
            </w:pPr>
            <w:r w:rsidRPr="00560AB1">
              <w:rPr>
                <w:rFonts w:ascii="Arial" w:hAnsi="Arial" w:cs="Arial"/>
              </w:rPr>
              <w:t>-</w:t>
            </w:r>
          </w:p>
        </w:tc>
        <w:tc>
          <w:tcPr>
            <w:tcW w:w="1559" w:type="dxa"/>
            <w:tcBorders>
              <w:top w:val="nil"/>
              <w:left w:val="nil"/>
              <w:bottom w:val="nil"/>
              <w:right w:val="nil"/>
            </w:tcBorders>
            <w:vAlign w:val="bottom"/>
          </w:tcPr>
          <w:p w14:paraId="0D266231" w14:textId="77777777" w:rsidR="00127D1B" w:rsidRPr="00560AB1" w:rsidRDefault="00127D1B" w:rsidP="00A13C57">
            <w:pPr>
              <w:pStyle w:val="TableFirstLine"/>
              <w:keepNext w:val="0"/>
              <w:spacing w:before="60" w:after="60"/>
              <w:jc w:val="center"/>
              <w:rPr>
                <w:rFonts w:ascii="Arial" w:hAnsi="Arial" w:cs="Arial"/>
              </w:rPr>
            </w:pPr>
            <w:r w:rsidRPr="00560AB1">
              <w:rPr>
                <w:rFonts w:ascii="Arial" w:hAnsi="Arial" w:cs="Arial"/>
              </w:rPr>
              <w:t>-</w:t>
            </w:r>
          </w:p>
        </w:tc>
      </w:tr>
      <w:tr w:rsidR="00127D1B" w:rsidRPr="00560AB1" w14:paraId="4A709EB3" w14:textId="77777777" w:rsidTr="00A13C57">
        <w:trPr>
          <w:cantSplit/>
        </w:trPr>
        <w:tc>
          <w:tcPr>
            <w:tcW w:w="3261" w:type="dxa"/>
            <w:tcBorders>
              <w:top w:val="nil"/>
              <w:left w:val="nil"/>
              <w:bottom w:val="nil"/>
              <w:right w:val="nil"/>
            </w:tcBorders>
            <w:vAlign w:val="bottom"/>
          </w:tcPr>
          <w:p w14:paraId="3242092F" w14:textId="1B8C68EF" w:rsidR="00127D1B" w:rsidRPr="00560AB1" w:rsidRDefault="00737297" w:rsidP="00A13C57">
            <w:pPr>
              <w:pStyle w:val="TableFirstLine"/>
              <w:keepNext w:val="0"/>
              <w:spacing w:before="60" w:after="60"/>
              <w:rPr>
                <w:rFonts w:ascii="Arial" w:hAnsi="Arial" w:cs="Arial"/>
              </w:rPr>
            </w:pPr>
            <w:r>
              <w:rPr>
                <w:rFonts w:ascii="Arial" w:hAnsi="Arial" w:cs="Arial"/>
              </w:rPr>
              <w:t>Budovy a stavby</w:t>
            </w:r>
          </w:p>
        </w:tc>
        <w:tc>
          <w:tcPr>
            <w:tcW w:w="1559" w:type="dxa"/>
            <w:tcBorders>
              <w:top w:val="nil"/>
              <w:left w:val="nil"/>
              <w:bottom w:val="nil"/>
              <w:right w:val="nil"/>
            </w:tcBorders>
            <w:vAlign w:val="bottom"/>
          </w:tcPr>
          <w:p w14:paraId="2A670CEB" w14:textId="18EDF125" w:rsidR="00127D1B" w:rsidRPr="00560AB1" w:rsidRDefault="00737297" w:rsidP="00A13C57">
            <w:pPr>
              <w:pStyle w:val="TableFirstLine"/>
              <w:keepNext w:val="0"/>
              <w:spacing w:before="60" w:after="60"/>
              <w:jc w:val="center"/>
              <w:rPr>
                <w:rFonts w:ascii="Arial" w:hAnsi="Arial" w:cs="Arial"/>
              </w:rPr>
            </w:pPr>
            <w:r>
              <w:rPr>
                <w:rFonts w:ascii="Arial" w:hAnsi="Arial" w:cs="Arial"/>
              </w:rPr>
              <w:t>40 – 60 rokov</w:t>
            </w:r>
          </w:p>
        </w:tc>
        <w:tc>
          <w:tcPr>
            <w:tcW w:w="1559" w:type="dxa"/>
            <w:tcBorders>
              <w:top w:val="nil"/>
              <w:left w:val="nil"/>
              <w:bottom w:val="nil"/>
              <w:right w:val="nil"/>
            </w:tcBorders>
            <w:vAlign w:val="bottom"/>
          </w:tcPr>
          <w:p w14:paraId="4E6759BA" w14:textId="6D57E1F5" w:rsidR="00127D1B" w:rsidRPr="00560AB1" w:rsidRDefault="00737297" w:rsidP="00A13C57">
            <w:pPr>
              <w:pStyle w:val="TableFirstLine"/>
              <w:keepNext w:val="0"/>
              <w:spacing w:before="60" w:after="60"/>
              <w:jc w:val="center"/>
              <w:rPr>
                <w:rFonts w:ascii="Arial" w:hAnsi="Arial" w:cs="Arial"/>
              </w:rPr>
            </w:pPr>
            <w:r>
              <w:rPr>
                <w:rFonts w:ascii="Arial" w:hAnsi="Arial" w:cs="Arial"/>
              </w:rPr>
              <w:t>2,5 – 1,67 %</w:t>
            </w:r>
          </w:p>
        </w:tc>
        <w:tc>
          <w:tcPr>
            <w:tcW w:w="1559" w:type="dxa"/>
            <w:tcBorders>
              <w:top w:val="nil"/>
              <w:left w:val="nil"/>
              <w:bottom w:val="nil"/>
              <w:right w:val="nil"/>
            </w:tcBorders>
            <w:vAlign w:val="bottom"/>
          </w:tcPr>
          <w:p w14:paraId="6DEA23E9" w14:textId="02A46D6B" w:rsidR="00127D1B" w:rsidRPr="00560AB1" w:rsidRDefault="00737297" w:rsidP="00A13C57">
            <w:pPr>
              <w:pStyle w:val="TableFirstLine"/>
              <w:keepNext w:val="0"/>
              <w:spacing w:before="60" w:after="60"/>
              <w:jc w:val="center"/>
              <w:rPr>
                <w:rFonts w:ascii="Arial" w:hAnsi="Arial" w:cs="Arial"/>
              </w:rPr>
            </w:pPr>
            <w:r>
              <w:rPr>
                <w:rFonts w:ascii="Arial" w:hAnsi="Arial" w:cs="Arial"/>
              </w:rPr>
              <w:t>rovnomerná</w:t>
            </w:r>
          </w:p>
        </w:tc>
      </w:tr>
      <w:tr w:rsidR="00127D1B" w:rsidRPr="00560AB1" w14:paraId="3ED50433" w14:textId="77777777" w:rsidTr="00A13C57">
        <w:trPr>
          <w:cantSplit/>
        </w:trPr>
        <w:tc>
          <w:tcPr>
            <w:tcW w:w="3261" w:type="dxa"/>
            <w:tcBorders>
              <w:top w:val="nil"/>
              <w:left w:val="nil"/>
              <w:bottom w:val="nil"/>
              <w:right w:val="nil"/>
            </w:tcBorders>
            <w:vAlign w:val="bottom"/>
          </w:tcPr>
          <w:p w14:paraId="5D851902" w14:textId="224910B1" w:rsidR="00127D1B" w:rsidRPr="00560AB1" w:rsidRDefault="00737297" w:rsidP="00A13C57">
            <w:pPr>
              <w:pStyle w:val="TableFirstLine"/>
              <w:keepNext w:val="0"/>
              <w:spacing w:before="60" w:after="60"/>
              <w:rPr>
                <w:rFonts w:ascii="Arial" w:hAnsi="Arial" w:cs="Arial"/>
              </w:rPr>
            </w:pPr>
            <w:r>
              <w:rPr>
                <w:rFonts w:ascii="Arial" w:hAnsi="Arial" w:cs="Arial"/>
              </w:rPr>
              <w:t>Kancelárska a IT technika</w:t>
            </w:r>
          </w:p>
        </w:tc>
        <w:tc>
          <w:tcPr>
            <w:tcW w:w="1559" w:type="dxa"/>
            <w:tcBorders>
              <w:top w:val="nil"/>
              <w:left w:val="nil"/>
              <w:bottom w:val="nil"/>
              <w:right w:val="nil"/>
            </w:tcBorders>
            <w:vAlign w:val="bottom"/>
          </w:tcPr>
          <w:p w14:paraId="561D55B7" w14:textId="2899DFD7" w:rsidR="00127D1B" w:rsidRPr="00560AB1" w:rsidRDefault="00737297" w:rsidP="00A13C57">
            <w:pPr>
              <w:pStyle w:val="TableFirstLine"/>
              <w:keepNext w:val="0"/>
              <w:spacing w:before="60" w:after="60"/>
              <w:jc w:val="center"/>
              <w:rPr>
                <w:rFonts w:ascii="Arial" w:hAnsi="Arial" w:cs="Arial"/>
              </w:rPr>
            </w:pPr>
            <w:r>
              <w:rPr>
                <w:rFonts w:ascii="Arial" w:hAnsi="Arial" w:cs="Arial"/>
              </w:rPr>
              <w:t>3 – 20 rokov</w:t>
            </w:r>
          </w:p>
        </w:tc>
        <w:tc>
          <w:tcPr>
            <w:tcW w:w="1559" w:type="dxa"/>
            <w:tcBorders>
              <w:top w:val="nil"/>
              <w:left w:val="nil"/>
              <w:bottom w:val="nil"/>
              <w:right w:val="nil"/>
            </w:tcBorders>
            <w:vAlign w:val="bottom"/>
          </w:tcPr>
          <w:p w14:paraId="3E6E2E37" w14:textId="1358DDEC" w:rsidR="00127D1B" w:rsidRPr="00560AB1" w:rsidRDefault="00737297" w:rsidP="00A13C57">
            <w:pPr>
              <w:pStyle w:val="TableFirstLine"/>
              <w:keepNext w:val="0"/>
              <w:spacing w:before="60" w:after="60"/>
              <w:jc w:val="center"/>
              <w:rPr>
                <w:rFonts w:ascii="Arial" w:hAnsi="Arial" w:cs="Arial"/>
              </w:rPr>
            </w:pPr>
            <w:r>
              <w:rPr>
                <w:rFonts w:ascii="Arial" w:hAnsi="Arial" w:cs="Arial"/>
              </w:rPr>
              <w:t>33,3 – 5 %</w:t>
            </w:r>
          </w:p>
        </w:tc>
        <w:tc>
          <w:tcPr>
            <w:tcW w:w="1559" w:type="dxa"/>
            <w:tcBorders>
              <w:top w:val="nil"/>
              <w:left w:val="nil"/>
              <w:bottom w:val="nil"/>
              <w:right w:val="nil"/>
            </w:tcBorders>
            <w:vAlign w:val="bottom"/>
          </w:tcPr>
          <w:p w14:paraId="23EFBA91" w14:textId="5C6AEE8D" w:rsidR="00127D1B" w:rsidRPr="00560AB1" w:rsidRDefault="00046B11" w:rsidP="00A13C57">
            <w:pPr>
              <w:pStyle w:val="TableFirstLine"/>
              <w:keepNext w:val="0"/>
              <w:spacing w:before="60" w:after="60"/>
              <w:jc w:val="center"/>
              <w:rPr>
                <w:rFonts w:ascii="Arial" w:hAnsi="Arial" w:cs="Arial"/>
              </w:rPr>
            </w:pPr>
            <w:r>
              <w:rPr>
                <w:rFonts w:ascii="Arial" w:hAnsi="Arial" w:cs="Arial"/>
              </w:rPr>
              <w:t>rovnomerná</w:t>
            </w:r>
          </w:p>
        </w:tc>
      </w:tr>
      <w:tr w:rsidR="00127D1B" w:rsidRPr="00560AB1" w14:paraId="3BBDDA0F" w14:textId="77777777" w:rsidTr="00A13C57">
        <w:trPr>
          <w:cantSplit/>
        </w:trPr>
        <w:tc>
          <w:tcPr>
            <w:tcW w:w="3261" w:type="dxa"/>
            <w:tcBorders>
              <w:top w:val="nil"/>
              <w:left w:val="nil"/>
              <w:bottom w:val="nil"/>
              <w:right w:val="nil"/>
            </w:tcBorders>
            <w:vAlign w:val="bottom"/>
          </w:tcPr>
          <w:p w14:paraId="0D0EE2DC" w14:textId="6BDFCFAE" w:rsidR="00127D1B" w:rsidRPr="00560AB1" w:rsidRDefault="00737297" w:rsidP="00A13C57">
            <w:pPr>
              <w:pStyle w:val="TableFirstLine"/>
              <w:keepNext w:val="0"/>
              <w:spacing w:before="60" w:after="60"/>
              <w:rPr>
                <w:rFonts w:ascii="Arial" w:hAnsi="Arial" w:cs="Arial"/>
              </w:rPr>
            </w:pPr>
            <w:r>
              <w:rPr>
                <w:rFonts w:ascii="Arial" w:hAnsi="Arial" w:cs="Arial"/>
              </w:rPr>
              <w:t>Nábytok</w:t>
            </w:r>
          </w:p>
        </w:tc>
        <w:tc>
          <w:tcPr>
            <w:tcW w:w="1559" w:type="dxa"/>
            <w:tcBorders>
              <w:top w:val="nil"/>
              <w:left w:val="nil"/>
              <w:bottom w:val="nil"/>
              <w:right w:val="nil"/>
            </w:tcBorders>
            <w:vAlign w:val="bottom"/>
          </w:tcPr>
          <w:p w14:paraId="0F21CC98" w14:textId="1913D65A" w:rsidR="00127D1B" w:rsidRPr="00560AB1" w:rsidRDefault="00737297" w:rsidP="00A13C57">
            <w:pPr>
              <w:pStyle w:val="TableFirstLine"/>
              <w:keepNext w:val="0"/>
              <w:spacing w:before="60" w:after="60"/>
              <w:jc w:val="center"/>
              <w:rPr>
                <w:rFonts w:ascii="Arial" w:hAnsi="Arial" w:cs="Arial"/>
              </w:rPr>
            </w:pPr>
            <w:r>
              <w:rPr>
                <w:rFonts w:ascii="Arial" w:hAnsi="Arial" w:cs="Arial"/>
              </w:rPr>
              <w:t>10 – 15 rokov</w:t>
            </w:r>
          </w:p>
        </w:tc>
        <w:tc>
          <w:tcPr>
            <w:tcW w:w="1559" w:type="dxa"/>
            <w:tcBorders>
              <w:top w:val="nil"/>
              <w:left w:val="nil"/>
              <w:bottom w:val="nil"/>
              <w:right w:val="nil"/>
            </w:tcBorders>
            <w:vAlign w:val="bottom"/>
          </w:tcPr>
          <w:p w14:paraId="1EB29F50" w14:textId="63829060" w:rsidR="00737297" w:rsidRPr="00560AB1" w:rsidRDefault="00737297" w:rsidP="00737297">
            <w:pPr>
              <w:pStyle w:val="TableFirstLine"/>
              <w:keepNext w:val="0"/>
              <w:spacing w:before="60" w:after="60"/>
              <w:jc w:val="center"/>
              <w:rPr>
                <w:rFonts w:ascii="Arial" w:hAnsi="Arial" w:cs="Arial"/>
              </w:rPr>
            </w:pPr>
            <w:r>
              <w:rPr>
                <w:rFonts w:ascii="Arial" w:hAnsi="Arial" w:cs="Arial"/>
              </w:rPr>
              <w:t>10 – 6,67 %</w:t>
            </w:r>
          </w:p>
        </w:tc>
        <w:tc>
          <w:tcPr>
            <w:tcW w:w="1559" w:type="dxa"/>
            <w:tcBorders>
              <w:top w:val="nil"/>
              <w:left w:val="nil"/>
              <w:bottom w:val="nil"/>
              <w:right w:val="nil"/>
            </w:tcBorders>
            <w:vAlign w:val="bottom"/>
          </w:tcPr>
          <w:p w14:paraId="45968D77" w14:textId="20D67507" w:rsidR="00127D1B" w:rsidRPr="00560AB1" w:rsidRDefault="00046B11" w:rsidP="00A13C57">
            <w:pPr>
              <w:pStyle w:val="TableFirstLine"/>
              <w:keepNext w:val="0"/>
              <w:spacing w:before="60" w:after="60"/>
              <w:jc w:val="center"/>
              <w:rPr>
                <w:rFonts w:ascii="Arial" w:hAnsi="Arial" w:cs="Arial"/>
              </w:rPr>
            </w:pPr>
            <w:r>
              <w:rPr>
                <w:rFonts w:ascii="Arial" w:hAnsi="Arial" w:cs="Arial"/>
              </w:rPr>
              <w:t>rovnomerná</w:t>
            </w:r>
          </w:p>
        </w:tc>
      </w:tr>
      <w:tr w:rsidR="00127D1B" w:rsidRPr="00560AB1" w14:paraId="6AAEF9F1" w14:textId="77777777" w:rsidTr="00A13C57">
        <w:trPr>
          <w:cantSplit/>
        </w:trPr>
        <w:tc>
          <w:tcPr>
            <w:tcW w:w="3261" w:type="dxa"/>
            <w:tcBorders>
              <w:top w:val="nil"/>
              <w:left w:val="nil"/>
              <w:bottom w:val="nil"/>
              <w:right w:val="nil"/>
            </w:tcBorders>
            <w:vAlign w:val="bottom"/>
          </w:tcPr>
          <w:p w14:paraId="7D634464" w14:textId="5FB1CEE2" w:rsidR="00127D1B" w:rsidRPr="00560AB1" w:rsidRDefault="00737297" w:rsidP="00A13C57">
            <w:pPr>
              <w:pStyle w:val="TableFirstLine"/>
              <w:keepNext w:val="0"/>
              <w:spacing w:before="60" w:after="60"/>
              <w:rPr>
                <w:rFonts w:ascii="Arial" w:hAnsi="Arial" w:cs="Arial"/>
              </w:rPr>
            </w:pPr>
            <w:r>
              <w:rPr>
                <w:rFonts w:ascii="Arial" w:hAnsi="Arial" w:cs="Arial"/>
              </w:rPr>
              <w:lastRenderedPageBreak/>
              <w:t>Technológie</w:t>
            </w:r>
          </w:p>
        </w:tc>
        <w:tc>
          <w:tcPr>
            <w:tcW w:w="1559" w:type="dxa"/>
            <w:tcBorders>
              <w:top w:val="nil"/>
              <w:left w:val="nil"/>
              <w:bottom w:val="nil"/>
              <w:right w:val="nil"/>
            </w:tcBorders>
            <w:vAlign w:val="bottom"/>
          </w:tcPr>
          <w:p w14:paraId="6443B373" w14:textId="3660CBDB" w:rsidR="00127D1B" w:rsidRPr="00560AB1" w:rsidRDefault="00737297" w:rsidP="00A13C57">
            <w:pPr>
              <w:pStyle w:val="TableFirstLine"/>
              <w:keepNext w:val="0"/>
              <w:spacing w:before="60" w:after="60"/>
              <w:jc w:val="center"/>
              <w:rPr>
                <w:rFonts w:ascii="Arial" w:hAnsi="Arial" w:cs="Arial"/>
              </w:rPr>
            </w:pPr>
            <w:r>
              <w:rPr>
                <w:rFonts w:ascii="Arial" w:hAnsi="Arial" w:cs="Arial"/>
              </w:rPr>
              <w:t>10 – 40 rokov</w:t>
            </w:r>
          </w:p>
        </w:tc>
        <w:tc>
          <w:tcPr>
            <w:tcW w:w="1559" w:type="dxa"/>
            <w:tcBorders>
              <w:top w:val="nil"/>
              <w:left w:val="nil"/>
              <w:bottom w:val="nil"/>
              <w:right w:val="nil"/>
            </w:tcBorders>
            <w:vAlign w:val="bottom"/>
          </w:tcPr>
          <w:p w14:paraId="14483E30" w14:textId="2E1E1632" w:rsidR="00127D1B" w:rsidRPr="00560AB1" w:rsidRDefault="00737297" w:rsidP="00A13C57">
            <w:pPr>
              <w:pStyle w:val="TableFirstLine"/>
              <w:keepNext w:val="0"/>
              <w:spacing w:before="60" w:after="60"/>
              <w:jc w:val="center"/>
              <w:rPr>
                <w:rFonts w:ascii="Arial" w:hAnsi="Arial" w:cs="Arial"/>
              </w:rPr>
            </w:pPr>
            <w:r>
              <w:rPr>
                <w:rFonts w:ascii="Arial" w:hAnsi="Arial" w:cs="Arial"/>
              </w:rPr>
              <w:t>10 – 2,5 %</w:t>
            </w:r>
          </w:p>
        </w:tc>
        <w:tc>
          <w:tcPr>
            <w:tcW w:w="1559" w:type="dxa"/>
            <w:tcBorders>
              <w:top w:val="nil"/>
              <w:left w:val="nil"/>
              <w:bottom w:val="nil"/>
              <w:right w:val="nil"/>
            </w:tcBorders>
            <w:vAlign w:val="bottom"/>
          </w:tcPr>
          <w:p w14:paraId="32867122" w14:textId="4781CE6D" w:rsidR="00127D1B" w:rsidRPr="00560AB1" w:rsidRDefault="00046B11" w:rsidP="00A13C57">
            <w:pPr>
              <w:pStyle w:val="TableFirstLine"/>
              <w:keepNext w:val="0"/>
              <w:spacing w:before="60" w:after="60"/>
              <w:jc w:val="center"/>
              <w:rPr>
                <w:rFonts w:ascii="Arial" w:hAnsi="Arial" w:cs="Arial"/>
              </w:rPr>
            </w:pPr>
            <w:r>
              <w:rPr>
                <w:rFonts w:ascii="Arial" w:hAnsi="Arial" w:cs="Arial"/>
              </w:rPr>
              <w:t>rovnomerná</w:t>
            </w:r>
          </w:p>
        </w:tc>
      </w:tr>
      <w:tr w:rsidR="00737297" w:rsidRPr="00560AB1" w14:paraId="5BBFC756" w14:textId="77777777" w:rsidTr="00A13C57">
        <w:trPr>
          <w:cantSplit/>
        </w:trPr>
        <w:tc>
          <w:tcPr>
            <w:tcW w:w="3261" w:type="dxa"/>
            <w:tcBorders>
              <w:top w:val="nil"/>
              <w:left w:val="nil"/>
              <w:bottom w:val="nil"/>
              <w:right w:val="nil"/>
            </w:tcBorders>
            <w:vAlign w:val="bottom"/>
          </w:tcPr>
          <w:p w14:paraId="57398B2F" w14:textId="25E49C29" w:rsidR="00737297" w:rsidRDefault="00737297" w:rsidP="00A13C57">
            <w:pPr>
              <w:pStyle w:val="TableFirstLine"/>
              <w:keepNext w:val="0"/>
              <w:spacing w:before="60" w:after="60"/>
              <w:rPr>
                <w:rFonts w:ascii="Arial" w:hAnsi="Arial" w:cs="Arial"/>
              </w:rPr>
            </w:pPr>
            <w:r>
              <w:rPr>
                <w:rFonts w:ascii="Arial" w:hAnsi="Arial" w:cs="Arial"/>
              </w:rPr>
              <w:t>Zdravotnícke prístroje</w:t>
            </w:r>
          </w:p>
        </w:tc>
        <w:tc>
          <w:tcPr>
            <w:tcW w:w="1559" w:type="dxa"/>
            <w:tcBorders>
              <w:top w:val="nil"/>
              <w:left w:val="nil"/>
              <w:bottom w:val="nil"/>
              <w:right w:val="nil"/>
            </w:tcBorders>
            <w:vAlign w:val="bottom"/>
          </w:tcPr>
          <w:p w14:paraId="559D78AB" w14:textId="7A116F4C" w:rsidR="00737297" w:rsidRDefault="00737297" w:rsidP="00A13C57">
            <w:pPr>
              <w:pStyle w:val="TableFirstLine"/>
              <w:keepNext w:val="0"/>
              <w:spacing w:before="60" w:after="60"/>
              <w:jc w:val="center"/>
              <w:rPr>
                <w:rFonts w:ascii="Arial" w:hAnsi="Arial" w:cs="Arial"/>
              </w:rPr>
            </w:pPr>
            <w:r>
              <w:rPr>
                <w:rFonts w:ascii="Arial" w:hAnsi="Arial" w:cs="Arial"/>
              </w:rPr>
              <w:t>4 – 15 rokov</w:t>
            </w:r>
          </w:p>
        </w:tc>
        <w:tc>
          <w:tcPr>
            <w:tcW w:w="1559" w:type="dxa"/>
            <w:tcBorders>
              <w:top w:val="nil"/>
              <w:left w:val="nil"/>
              <w:bottom w:val="nil"/>
              <w:right w:val="nil"/>
            </w:tcBorders>
            <w:vAlign w:val="bottom"/>
          </w:tcPr>
          <w:p w14:paraId="152B15DC" w14:textId="4540CB19" w:rsidR="00737297" w:rsidRDefault="00737297" w:rsidP="00A13C57">
            <w:pPr>
              <w:pStyle w:val="TableFirstLine"/>
              <w:keepNext w:val="0"/>
              <w:spacing w:before="60" w:after="60"/>
              <w:jc w:val="center"/>
              <w:rPr>
                <w:rFonts w:ascii="Arial" w:hAnsi="Arial" w:cs="Arial"/>
              </w:rPr>
            </w:pPr>
            <w:r>
              <w:rPr>
                <w:rFonts w:ascii="Arial" w:hAnsi="Arial" w:cs="Arial"/>
              </w:rPr>
              <w:t>25 – 6,67 %</w:t>
            </w:r>
          </w:p>
        </w:tc>
        <w:tc>
          <w:tcPr>
            <w:tcW w:w="1559" w:type="dxa"/>
            <w:tcBorders>
              <w:top w:val="nil"/>
              <w:left w:val="nil"/>
              <w:bottom w:val="nil"/>
              <w:right w:val="nil"/>
            </w:tcBorders>
            <w:vAlign w:val="bottom"/>
          </w:tcPr>
          <w:p w14:paraId="30F25551" w14:textId="6C47888E" w:rsidR="00737297" w:rsidRPr="00560AB1" w:rsidRDefault="00046B11" w:rsidP="00A13C57">
            <w:pPr>
              <w:pStyle w:val="TableFirstLine"/>
              <w:keepNext w:val="0"/>
              <w:spacing w:before="60" w:after="60"/>
              <w:jc w:val="center"/>
              <w:rPr>
                <w:rFonts w:ascii="Arial" w:hAnsi="Arial" w:cs="Arial"/>
              </w:rPr>
            </w:pPr>
            <w:r>
              <w:rPr>
                <w:rFonts w:ascii="Arial" w:hAnsi="Arial" w:cs="Arial"/>
              </w:rPr>
              <w:t>rovnomerná</w:t>
            </w:r>
          </w:p>
        </w:tc>
      </w:tr>
      <w:tr w:rsidR="00737297" w:rsidRPr="00560AB1" w14:paraId="65263BC8" w14:textId="77777777" w:rsidTr="00A13C57">
        <w:trPr>
          <w:cantSplit/>
        </w:trPr>
        <w:tc>
          <w:tcPr>
            <w:tcW w:w="3261" w:type="dxa"/>
            <w:tcBorders>
              <w:top w:val="nil"/>
              <w:left w:val="nil"/>
              <w:bottom w:val="nil"/>
              <w:right w:val="nil"/>
            </w:tcBorders>
            <w:vAlign w:val="bottom"/>
          </w:tcPr>
          <w:p w14:paraId="6392BAB9" w14:textId="0BE1A211" w:rsidR="00737297" w:rsidRDefault="00737297" w:rsidP="00A13C57">
            <w:pPr>
              <w:pStyle w:val="TableFirstLine"/>
              <w:keepNext w:val="0"/>
              <w:spacing w:before="60" w:after="60"/>
              <w:rPr>
                <w:rFonts w:ascii="Arial" w:hAnsi="Arial" w:cs="Arial"/>
              </w:rPr>
            </w:pPr>
            <w:r>
              <w:rPr>
                <w:rFonts w:ascii="Arial" w:hAnsi="Arial" w:cs="Arial"/>
              </w:rPr>
              <w:t>Dopravné prostriedky</w:t>
            </w:r>
          </w:p>
        </w:tc>
        <w:tc>
          <w:tcPr>
            <w:tcW w:w="1559" w:type="dxa"/>
            <w:tcBorders>
              <w:top w:val="nil"/>
              <w:left w:val="nil"/>
              <w:bottom w:val="nil"/>
              <w:right w:val="nil"/>
            </w:tcBorders>
            <w:vAlign w:val="bottom"/>
          </w:tcPr>
          <w:p w14:paraId="0F12395B" w14:textId="43C7BCA4" w:rsidR="00737297" w:rsidRDefault="00737297" w:rsidP="00A13C57">
            <w:pPr>
              <w:pStyle w:val="TableFirstLine"/>
              <w:keepNext w:val="0"/>
              <w:spacing w:before="60" w:after="60"/>
              <w:jc w:val="center"/>
              <w:rPr>
                <w:rFonts w:ascii="Arial" w:hAnsi="Arial" w:cs="Arial"/>
              </w:rPr>
            </w:pPr>
            <w:r>
              <w:rPr>
                <w:rFonts w:ascii="Arial" w:hAnsi="Arial" w:cs="Arial"/>
              </w:rPr>
              <w:t>6 – 8 rokov</w:t>
            </w:r>
          </w:p>
        </w:tc>
        <w:tc>
          <w:tcPr>
            <w:tcW w:w="1559" w:type="dxa"/>
            <w:tcBorders>
              <w:top w:val="nil"/>
              <w:left w:val="nil"/>
              <w:bottom w:val="nil"/>
              <w:right w:val="nil"/>
            </w:tcBorders>
            <w:vAlign w:val="bottom"/>
          </w:tcPr>
          <w:p w14:paraId="492F0BFC" w14:textId="1D54F050" w:rsidR="00737297" w:rsidRDefault="00737297" w:rsidP="00A13C57">
            <w:pPr>
              <w:pStyle w:val="TableFirstLine"/>
              <w:keepNext w:val="0"/>
              <w:spacing w:before="60" w:after="60"/>
              <w:jc w:val="center"/>
              <w:rPr>
                <w:rFonts w:ascii="Arial" w:hAnsi="Arial" w:cs="Arial"/>
              </w:rPr>
            </w:pPr>
            <w:r>
              <w:rPr>
                <w:rFonts w:ascii="Arial" w:hAnsi="Arial" w:cs="Arial"/>
              </w:rPr>
              <w:t>16,67 – 12,5 %</w:t>
            </w:r>
          </w:p>
        </w:tc>
        <w:tc>
          <w:tcPr>
            <w:tcW w:w="1559" w:type="dxa"/>
            <w:tcBorders>
              <w:top w:val="nil"/>
              <w:left w:val="nil"/>
              <w:bottom w:val="nil"/>
              <w:right w:val="nil"/>
            </w:tcBorders>
            <w:vAlign w:val="bottom"/>
          </w:tcPr>
          <w:p w14:paraId="2CEB97AB" w14:textId="0592741B" w:rsidR="00737297" w:rsidRPr="00560AB1" w:rsidRDefault="00046B11" w:rsidP="00A13C57">
            <w:pPr>
              <w:pStyle w:val="TableFirstLine"/>
              <w:keepNext w:val="0"/>
              <w:spacing w:before="60" w:after="60"/>
              <w:jc w:val="center"/>
              <w:rPr>
                <w:rFonts w:ascii="Arial" w:hAnsi="Arial" w:cs="Arial"/>
              </w:rPr>
            </w:pPr>
            <w:r>
              <w:rPr>
                <w:rFonts w:ascii="Arial" w:hAnsi="Arial" w:cs="Arial"/>
              </w:rPr>
              <w:t>rovnomerná</w:t>
            </w:r>
          </w:p>
        </w:tc>
      </w:tr>
      <w:tr w:rsidR="00127D1B" w:rsidRPr="00560AB1" w14:paraId="3D23A5A9" w14:textId="77777777" w:rsidTr="00A13C57">
        <w:trPr>
          <w:cantSplit/>
        </w:trPr>
        <w:tc>
          <w:tcPr>
            <w:tcW w:w="3261" w:type="dxa"/>
            <w:tcBorders>
              <w:top w:val="nil"/>
              <w:left w:val="nil"/>
              <w:bottom w:val="single" w:sz="4" w:space="0" w:color="auto"/>
              <w:right w:val="nil"/>
            </w:tcBorders>
            <w:vAlign w:val="bottom"/>
          </w:tcPr>
          <w:p w14:paraId="55B79586" w14:textId="68EBB5A4" w:rsidR="00127D1B" w:rsidRPr="00560AB1" w:rsidRDefault="00046B11" w:rsidP="00A13C57">
            <w:pPr>
              <w:pStyle w:val="TableFirstLine"/>
              <w:keepNext w:val="0"/>
              <w:spacing w:before="60" w:after="60"/>
              <w:rPr>
                <w:rFonts w:ascii="Arial" w:hAnsi="Arial" w:cs="Arial"/>
              </w:rPr>
            </w:pPr>
            <w:r>
              <w:rPr>
                <w:rFonts w:ascii="Arial" w:hAnsi="Arial" w:cs="Arial"/>
              </w:rPr>
              <w:t>Inventár</w:t>
            </w:r>
          </w:p>
        </w:tc>
        <w:tc>
          <w:tcPr>
            <w:tcW w:w="1559" w:type="dxa"/>
            <w:tcBorders>
              <w:top w:val="nil"/>
              <w:left w:val="nil"/>
              <w:bottom w:val="single" w:sz="4" w:space="0" w:color="auto"/>
              <w:right w:val="nil"/>
            </w:tcBorders>
            <w:vAlign w:val="bottom"/>
          </w:tcPr>
          <w:p w14:paraId="7EF022FF" w14:textId="252A05CD" w:rsidR="00127D1B" w:rsidRPr="00560AB1" w:rsidRDefault="00046B11" w:rsidP="00A13C57">
            <w:pPr>
              <w:pStyle w:val="TableFirstLine"/>
              <w:keepNext w:val="0"/>
              <w:spacing w:before="60" w:after="60"/>
              <w:jc w:val="center"/>
              <w:rPr>
                <w:rFonts w:ascii="Arial" w:hAnsi="Arial" w:cs="Arial"/>
              </w:rPr>
            </w:pPr>
            <w:r>
              <w:rPr>
                <w:rFonts w:ascii="Arial" w:hAnsi="Arial" w:cs="Arial"/>
              </w:rPr>
              <w:t>5 – 10 rokov</w:t>
            </w:r>
          </w:p>
        </w:tc>
        <w:tc>
          <w:tcPr>
            <w:tcW w:w="1559" w:type="dxa"/>
            <w:tcBorders>
              <w:top w:val="nil"/>
              <w:left w:val="nil"/>
              <w:bottom w:val="single" w:sz="4" w:space="0" w:color="auto"/>
              <w:right w:val="nil"/>
            </w:tcBorders>
            <w:vAlign w:val="bottom"/>
          </w:tcPr>
          <w:p w14:paraId="5D7B915D" w14:textId="7BDEF539" w:rsidR="00127D1B" w:rsidRPr="00560AB1" w:rsidRDefault="00046B11" w:rsidP="00A13C57">
            <w:pPr>
              <w:pStyle w:val="TableFirstLine"/>
              <w:keepNext w:val="0"/>
              <w:spacing w:before="60" w:after="60"/>
              <w:jc w:val="center"/>
              <w:rPr>
                <w:rFonts w:ascii="Arial" w:hAnsi="Arial" w:cs="Arial"/>
              </w:rPr>
            </w:pPr>
            <w:r>
              <w:rPr>
                <w:rFonts w:ascii="Arial" w:hAnsi="Arial" w:cs="Arial"/>
              </w:rPr>
              <w:t>20 – 10 %</w:t>
            </w:r>
          </w:p>
        </w:tc>
        <w:tc>
          <w:tcPr>
            <w:tcW w:w="1559" w:type="dxa"/>
            <w:tcBorders>
              <w:top w:val="nil"/>
              <w:left w:val="nil"/>
              <w:bottom w:val="single" w:sz="4" w:space="0" w:color="auto"/>
              <w:right w:val="nil"/>
            </w:tcBorders>
            <w:vAlign w:val="bottom"/>
          </w:tcPr>
          <w:p w14:paraId="68847905" w14:textId="2AD2632E" w:rsidR="00127D1B" w:rsidRPr="00560AB1" w:rsidRDefault="00046B11" w:rsidP="00A13C57">
            <w:pPr>
              <w:pStyle w:val="TableFirstLine"/>
              <w:keepNext w:val="0"/>
              <w:spacing w:before="60" w:after="60"/>
              <w:jc w:val="center"/>
              <w:rPr>
                <w:rFonts w:ascii="Arial" w:hAnsi="Arial" w:cs="Arial"/>
              </w:rPr>
            </w:pPr>
            <w:r>
              <w:rPr>
                <w:rFonts w:ascii="Arial" w:hAnsi="Arial" w:cs="Arial"/>
              </w:rPr>
              <w:t>rovnomerná</w:t>
            </w:r>
          </w:p>
        </w:tc>
      </w:tr>
    </w:tbl>
    <w:p w14:paraId="1B970D01" w14:textId="77777777" w:rsidR="00127D1B" w:rsidRPr="00560AB1" w:rsidRDefault="00127D1B" w:rsidP="00865AD6">
      <w:pPr>
        <w:keepNext w:val="0"/>
        <w:rPr>
          <w:rFonts w:ascii="Arial" w:hAnsi="Arial" w:cs="Arial"/>
        </w:rPr>
      </w:pPr>
      <w:bookmarkStart w:id="2" w:name="_Toc474124193"/>
      <w:bookmarkStart w:id="3" w:name="_Toc474124305"/>
    </w:p>
    <w:p w14:paraId="0CDA9338" w14:textId="77777777" w:rsidR="00865AD6" w:rsidRPr="00560AB1" w:rsidRDefault="00865AD6" w:rsidP="00865AD6">
      <w:pPr>
        <w:keepNext w:val="0"/>
        <w:rPr>
          <w:rFonts w:ascii="Arial" w:hAnsi="Arial" w:cs="Arial"/>
        </w:rPr>
      </w:pPr>
      <w:r w:rsidRPr="00560AB1">
        <w:rPr>
          <w:rFonts w:ascii="Arial" w:hAnsi="Arial" w:cs="Arial"/>
        </w:rPr>
        <w:t>V prípade prechodného zníženia úžitkovej hodnoty dlhodobého majetku sa tvorí opravná položka vo výške rozdielu jeho zistenej úžitkovej hodnoty a zostatkovej hodnoty.</w:t>
      </w:r>
    </w:p>
    <w:bookmarkEnd w:id="2"/>
    <w:bookmarkEnd w:id="3"/>
    <w:p w14:paraId="5555F209" w14:textId="77777777" w:rsidR="00DB4300" w:rsidRPr="00560AB1" w:rsidRDefault="00DB4300" w:rsidP="00DB4300">
      <w:pPr>
        <w:pStyle w:val="Nadpis2"/>
        <w:keepNext w:val="0"/>
        <w:rPr>
          <w:rFonts w:ascii="Arial" w:hAnsi="Arial" w:cs="Arial"/>
        </w:rPr>
      </w:pPr>
      <w:r w:rsidRPr="00560AB1">
        <w:rPr>
          <w:rFonts w:ascii="Arial" w:hAnsi="Arial" w:cs="Arial"/>
        </w:rPr>
        <w:t>Finančný majetok</w:t>
      </w:r>
    </w:p>
    <w:p w14:paraId="5D331397" w14:textId="77777777" w:rsidR="00DB4300" w:rsidRPr="00560AB1" w:rsidRDefault="00DB4300" w:rsidP="00DB4300">
      <w:pPr>
        <w:keepNext w:val="0"/>
        <w:rPr>
          <w:rFonts w:ascii="Arial" w:hAnsi="Arial" w:cs="Arial"/>
        </w:rPr>
      </w:pPr>
      <w:r w:rsidRPr="00560AB1">
        <w:rPr>
          <w:rFonts w:ascii="Arial" w:hAnsi="Arial" w:cs="Arial"/>
        </w:rPr>
        <w:t>Krátkodobý finančný majetok tvoria ceniny, peniaze v hotovosti a na bankových účtoch</w:t>
      </w:r>
      <w:r>
        <w:rPr>
          <w:rFonts w:ascii="Arial" w:hAnsi="Arial" w:cs="Arial"/>
        </w:rPr>
        <w:t>.</w:t>
      </w:r>
    </w:p>
    <w:p w14:paraId="0B837D46" w14:textId="77777777" w:rsidR="00DB4300" w:rsidRPr="00560AB1" w:rsidRDefault="00DB4300" w:rsidP="00DB4300">
      <w:pPr>
        <w:pStyle w:val="Nadpis2"/>
        <w:keepNext w:val="0"/>
        <w:rPr>
          <w:rFonts w:ascii="Arial" w:hAnsi="Arial" w:cs="Arial"/>
        </w:rPr>
      </w:pPr>
      <w:bookmarkStart w:id="4" w:name="_Toc474124195"/>
      <w:bookmarkStart w:id="5" w:name="_Toc474124307"/>
      <w:r w:rsidRPr="00560AB1">
        <w:rPr>
          <w:rFonts w:ascii="Arial" w:hAnsi="Arial" w:cs="Arial"/>
        </w:rPr>
        <w:t>Zásoby</w:t>
      </w:r>
      <w:bookmarkEnd w:id="4"/>
      <w:bookmarkEnd w:id="5"/>
    </w:p>
    <w:p w14:paraId="4E698BBE" w14:textId="50E2F53D" w:rsidR="00DB4300" w:rsidRPr="00287E61" w:rsidRDefault="00DB4300" w:rsidP="00DB4300">
      <w:pPr>
        <w:rPr>
          <w:rFonts w:ascii="Arial" w:hAnsi="Arial" w:cs="Arial"/>
        </w:rPr>
      </w:pPr>
      <w:r w:rsidRPr="005C5F5A">
        <w:rPr>
          <w:rFonts w:ascii="Arial" w:hAnsi="Arial" w:cs="Arial"/>
        </w:rPr>
        <w:t>Nakupované zásoby sú ocenené obstarávacími cenami s použitím metódy váženého aritmetického priemer</w:t>
      </w:r>
      <w:r w:rsidR="003C4B59">
        <w:rPr>
          <w:rFonts w:ascii="Arial" w:hAnsi="Arial" w:cs="Arial"/>
        </w:rPr>
        <w:t>u</w:t>
      </w:r>
      <w:r w:rsidRPr="005C5F5A">
        <w:rPr>
          <w:rFonts w:ascii="Arial" w:hAnsi="Arial" w:cs="Arial"/>
        </w:rPr>
        <w:t>. Obstarávacia cena zásob zahŕňa cenu obstarania a náklady súvisiace s ich obstaraním (náklady na prepravu, clo, provízie, atď.). Prijaté zľavy, diskonty, rabaty znižujú obstarávaciu cenu zásob.</w:t>
      </w:r>
    </w:p>
    <w:p w14:paraId="4222E365" w14:textId="77777777" w:rsidR="00DB4300" w:rsidRPr="00287E61" w:rsidRDefault="00DB4300" w:rsidP="00DB4300">
      <w:pPr>
        <w:rPr>
          <w:rFonts w:ascii="Arial" w:hAnsi="Arial" w:cs="Arial"/>
        </w:rPr>
      </w:pPr>
      <w:r w:rsidRPr="00287E61">
        <w:rPr>
          <w:rFonts w:ascii="Arial" w:hAnsi="Arial" w:cs="Arial"/>
        </w:rPr>
        <w:t>Zásoby krvi a krvných výrobkov sú ocenené na sklade v zmysle cien transfúznych liekov, podľa Opatrenia Ministerstva zdravotníctva SR č. 07045-46/2018-OL, ktorým sa ustanovuje rozsah regulácie cien v oblasti zdravotníctva.</w:t>
      </w:r>
    </w:p>
    <w:p w14:paraId="4F7A7EB2" w14:textId="77777777" w:rsidR="00DB4300" w:rsidRPr="00C65F2D" w:rsidRDefault="00DB4300" w:rsidP="00DB4300">
      <w:pPr>
        <w:rPr>
          <w:rFonts w:ascii="Arial" w:hAnsi="Arial" w:cs="Arial"/>
        </w:rPr>
      </w:pPr>
      <w:r w:rsidRPr="00287E61">
        <w:rPr>
          <w:rFonts w:ascii="Arial" w:hAnsi="Arial" w:cs="Arial"/>
        </w:rPr>
        <w:t>Nakupovaný tovar – obstarávacou cenou. Pri úbytku rovnakého druhu zásob sa používa vážený aritmetický priemer. Do vedľajších nákladov vstupuje clo, prepravné a provízie.</w:t>
      </w:r>
    </w:p>
    <w:p w14:paraId="295B46CF" w14:textId="77777777" w:rsidR="00DB4300" w:rsidRPr="00287E61" w:rsidRDefault="00DB4300" w:rsidP="00DB4300">
      <w:pPr>
        <w:pStyle w:val="Nadpis2"/>
        <w:numPr>
          <w:ilvl w:val="0"/>
          <w:numId w:val="0"/>
        </w:numPr>
        <w:rPr>
          <w:rFonts w:ascii="Arial" w:hAnsi="Arial" w:cs="Arial"/>
          <w:b w:val="0"/>
        </w:rPr>
      </w:pPr>
      <w:r w:rsidRPr="00287E61">
        <w:rPr>
          <w:rFonts w:ascii="Arial" w:hAnsi="Arial" w:cs="Arial"/>
          <w:b w:val="0"/>
        </w:rPr>
        <w:t xml:space="preserve">V prípade prechodného zníženia úžitkovej hodnoty zásob sa tvorí  opravná položka. </w:t>
      </w:r>
    </w:p>
    <w:p w14:paraId="2DB84C5E" w14:textId="77777777" w:rsidR="00DB4300" w:rsidRPr="00560AB1" w:rsidRDefault="00DB4300" w:rsidP="00DB4300">
      <w:pPr>
        <w:pStyle w:val="Nadpis2"/>
        <w:keepNext w:val="0"/>
        <w:rPr>
          <w:rFonts w:ascii="Arial" w:hAnsi="Arial" w:cs="Arial"/>
        </w:rPr>
      </w:pPr>
      <w:bookmarkStart w:id="6" w:name="_Toc474124196"/>
      <w:bookmarkStart w:id="7" w:name="_Toc474124308"/>
      <w:r w:rsidRPr="00560AB1">
        <w:rPr>
          <w:rFonts w:ascii="Arial" w:hAnsi="Arial" w:cs="Arial"/>
        </w:rPr>
        <w:t>Pohľadávky</w:t>
      </w:r>
      <w:bookmarkEnd w:id="6"/>
      <w:bookmarkEnd w:id="7"/>
    </w:p>
    <w:p w14:paraId="12566B79" w14:textId="77777777" w:rsidR="00DB4300" w:rsidRPr="000326EE" w:rsidRDefault="00DB4300" w:rsidP="00DB4300">
      <w:pPr>
        <w:keepNext w:val="0"/>
        <w:rPr>
          <w:rFonts w:ascii="Arial" w:hAnsi="Arial" w:cs="Arial"/>
        </w:rPr>
      </w:pPr>
      <w:r w:rsidRPr="002E10BE">
        <w:rPr>
          <w:rFonts w:ascii="Arial" w:hAnsi="Arial" w:cs="Arial"/>
        </w:rPr>
        <w:t>Pohľadávky sa oceňujú menovitou hodnotou. Postúpené pohľadávky a pohľadávky nadobudnuté vkladom do základného imania sa oceňujú obstarávacou cenou. Ocenenie pochybných pohľadávok sa upravuje na ich realizovateľnú hodnotu opravnými položkami</w:t>
      </w:r>
      <w:r>
        <w:rPr>
          <w:rFonts w:ascii="Arial" w:hAnsi="Arial" w:cs="Arial"/>
          <w:iCs/>
          <w:szCs w:val="24"/>
          <w:lang w:eastAsia="sk-SK"/>
        </w:rPr>
        <w:t>.</w:t>
      </w:r>
    </w:p>
    <w:p w14:paraId="1865B2B6" w14:textId="77777777" w:rsidR="00DB4300" w:rsidRPr="000326EE" w:rsidRDefault="00DB4300" w:rsidP="00DB4300">
      <w:pPr>
        <w:pStyle w:val="odstavecbezcisla"/>
        <w:spacing w:after="240"/>
        <w:ind w:left="0"/>
        <w:rPr>
          <w:rFonts w:ascii="Arial" w:hAnsi="Arial" w:cs="Arial"/>
          <w:iCs w:val="0"/>
        </w:rPr>
      </w:pPr>
      <w:r w:rsidRPr="000326EE">
        <w:rPr>
          <w:rFonts w:ascii="Arial" w:hAnsi="Arial" w:cs="Arial"/>
          <w:iCs w:val="0"/>
        </w:rPr>
        <w:t>Ak je zostatková doba splatnosti pohľadávky dlhšia ako jeden rok, tvorí sa opravná položka, ktorá predstavuje rozdiel medzi menovitou a súčasnou hodnotou pohľadávky</w:t>
      </w:r>
    </w:p>
    <w:p w14:paraId="1085BAF9" w14:textId="77777777" w:rsidR="00DB4300" w:rsidRPr="00560AB1" w:rsidRDefault="00DB4300" w:rsidP="00DB4300">
      <w:pPr>
        <w:pStyle w:val="Nadpis2"/>
        <w:keepNext w:val="0"/>
        <w:rPr>
          <w:rFonts w:ascii="Arial" w:hAnsi="Arial" w:cs="Arial"/>
        </w:rPr>
      </w:pPr>
      <w:r w:rsidRPr="00560AB1">
        <w:rPr>
          <w:rFonts w:ascii="Arial" w:hAnsi="Arial" w:cs="Arial"/>
        </w:rPr>
        <w:t>Náklady budúcich období a príjmy budúcich období</w:t>
      </w:r>
    </w:p>
    <w:p w14:paraId="7562A78A" w14:textId="77777777" w:rsidR="00DB4300" w:rsidRDefault="00DB4300" w:rsidP="00DB4300">
      <w:pPr>
        <w:pStyle w:val="Zkladntext"/>
        <w:keepNext w:val="0"/>
        <w:jc w:val="both"/>
        <w:rPr>
          <w:rFonts w:ascii="Arial" w:hAnsi="Arial" w:cs="Arial"/>
        </w:rPr>
      </w:pPr>
      <w:r w:rsidRPr="00560AB1">
        <w:rPr>
          <w:rFonts w:ascii="Arial" w:hAnsi="Arial" w:cs="Arial"/>
        </w:rPr>
        <w:t>Náklady budúcich období a príjmy budúcich období sa oceňujú ich menovitou hodnotou, pričom sa vykazujú vo výške, ktorá je potrebná na dodržanie zásady vecnej a časovej súvislosti s účtovným obdobím.</w:t>
      </w:r>
    </w:p>
    <w:p w14:paraId="44CAD434" w14:textId="77777777" w:rsidR="00856937" w:rsidRPr="00560AB1" w:rsidRDefault="00856937" w:rsidP="00DB4300">
      <w:pPr>
        <w:pStyle w:val="Zkladntext"/>
        <w:keepNext w:val="0"/>
        <w:jc w:val="both"/>
        <w:rPr>
          <w:rFonts w:ascii="Arial" w:hAnsi="Arial" w:cs="Arial"/>
        </w:rPr>
      </w:pPr>
    </w:p>
    <w:p w14:paraId="64C2451A" w14:textId="77777777" w:rsidR="00DB4300" w:rsidRPr="00560AB1" w:rsidRDefault="00DB4300" w:rsidP="00DB4300">
      <w:pPr>
        <w:pStyle w:val="Nadpis2"/>
        <w:keepNext w:val="0"/>
        <w:rPr>
          <w:rFonts w:ascii="Arial" w:hAnsi="Arial" w:cs="Arial"/>
        </w:rPr>
      </w:pPr>
      <w:r w:rsidRPr="00560AB1">
        <w:rPr>
          <w:rFonts w:ascii="Arial" w:hAnsi="Arial" w:cs="Arial"/>
        </w:rPr>
        <w:t xml:space="preserve">Záväzky </w:t>
      </w:r>
    </w:p>
    <w:p w14:paraId="0BE1ECE9" w14:textId="77777777" w:rsidR="00DB4300" w:rsidRPr="00560AB1" w:rsidRDefault="00DB4300" w:rsidP="00DB4300">
      <w:pPr>
        <w:pStyle w:val="Nadpis2"/>
        <w:keepNext w:val="0"/>
        <w:numPr>
          <w:ilvl w:val="0"/>
          <w:numId w:val="0"/>
        </w:numPr>
        <w:rPr>
          <w:rFonts w:ascii="Arial" w:hAnsi="Arial" w:cs="Arial"/>
          <w:b w:val="0"/>
        </w:rPr>
      </w:pPr>
      <w:r w:rsidRPr="00560AB1">
        <w:rPr>
          <w:rFonts w:ascii="Arial" w:hAnsi="Arial" w:cs="Arial"/>
          <w:b w:val="0"/>
        </w:rPr>
        <w:t xml:space="preserve">Dlhodobé i krátkodobé záväzky sa vykazujú v menovitých hodnotách. </w:t>
      </w:r>
    </w:p>
    <w:p w14:paraId="754A60C9" w14:textId="77777777" w:rsidR="00DB4300" w:rsidRPr="00560AB1" w:rsidRDefault="00DB4300" w:rsidP="00DB4300">
      <w:pPr>
        <w:pStyle w:val="Nadpis2"/>
        <w:keepNext w:val="0"/>
        <w:rPr>
          <w:rFonts w:ascii="Arial" w:hAnsi="Arial" w:cs="Arial"/>
        </w:rPr>
      </w:pPr>
      <w:r w:rsidRPr="00560AB1">
        <w:rPr>
          <w:rFonts w:ascii="Arial" w:hAnsi="Arial" w:cs="Arial"/>
        </w:rPr>
        <w:t xml:space="preserve">Rezervy </w:t>
      </w:r>
    </w:p>
    <w:p w14:paraId="416FFD6C" w14:textId="77777777" w:rsidR="00DB4300" w:rsidRPr="007027F9" w:rsidRDefault="00DB4300" w:rsidP="00DB4300">
      <w:pPr>
        <w:keepNext w:val="0"/>
        <w:rPr>
          <w:rFonts w:ascii="Arial" w:hAnsi="Arial" w:cs="Arial"/>
          <w:highlight w:val="yellow"/>
        </w:rPr>
      </w:pPr>
      <w:r w:rsidRPr="002E10BE">
        <w:rPr>
          <w:rFonts w:ascii="Arial" w:hAnsi="Arial" w:cs="Arial"/>
        </w:rPr>
        <w:t>Rezervy sú záväzky s neurčitým časovým vymedzením alebo výškou, tvoria sa na krytie</w:t>
      </w:r>
      <w:r>
        <w:rPr>
          <w:rFonts w:ascii="Arial" w:hAnsi="Arial" w:cs="Arial"/>
        </w:rPr>
        <w:t xml:space="preserve"> </w:t>
      </w:r>
      <w:r w:rsidRPr="002E10BE">
        <w:rPr>
          <w:rFonts w:ascii="Arial" w:hAnsi="Arial" w:cs="Arial"/>
        </w:rPr>
        <w:t>známych rizík alebo strát z podnikania. Oceňujú sa v očakávanej výške záväzku.</w:t>
      </w:r>
      <w:r>
        <w:rPr>
          <w:rFonts w:ascii="Arial" w:hAnsi="Arial" w:cs="Arial"/>
        </w:rPr>
        <w:t xml:space="preserve"> </w:t>
      </w:r>
      <w:r w:rsidRPr="00DE6F55">
        <w:rPr>
          <w:rFonts w:ascii="Arial" w:hAnsi="Arial" w:cs="Arial"/>
        </w:rPr>
        <w:t>Spoločnosť vytvára rezervu na nevyčerpané dovolenky vrátane poistného</w:t>
      </w:r>
      <w:r>
        <w:rPr>
          <w:rFonts w:ascii="Arial" w:hAnsi="Arial" w:cs="Arial"/>
        </w:rPr>
        <w:t>, rezervu na odchodné</w:t>
      </w:r>
      <w:r w:rsidRPr="00DE6F55">
        <w:rPr>
          <w:rFonts w:ascii="Arial" w:hAnsi="Arial" w:cs="Arial"/>
        </w:rPr>
        <w:t>,</w:t>
      </w:r>
      <w:r>
        <w:rPr>
          <w:rFonts w:ascii="Arial" w:hAnsi="Arial" w:cs="Arial"/>
        </w:rPr>
        <w:t xml:space="preserve"> rezervu na zamestnanecké odmeny,</w:t>
      </w:r>
      <w:r w:rsidRPr="00DE6F55">
        <w:rPr>
          <w:rFonts w:ascii="Arial" w:hAnsi="Arial" w:cs="Arial"/>
        </w:rPr>
        <w:t xml:space="preserve"> </w:t>
      </w:r>
      <w:r w:rsidRPr="00DE6F55">
        <w:rPr>
          <w:rFonts w:ascii="Arial" w:hAnsi="Arial" w:cs="Arial"/>
        </w:rPr>
        <w:lastRenderedPageBreak/>
        <w:t xml:space="preserve">rezervu na nevyfakturované dodávky a služby na zostavenie a overenie účtovnej závierky. Ku dňu, ku ktorému sa zostavuje účtovná závierka, sa posudzuje ich výška a odôvodnenosť. </w:t>
      </w:r>
    </w:p>
    <w:p w14:paraId="005A0290" w14:textId="77777777" w:rsidR="00DB4300" w:rsidRPr="00560AB1" w:rsidRDefault="00DB4300" w:rsidP="00DB4300">
      <w:pPr>
        <w:pStyle w:val="Nadpis2"/>
        <w:keepNext w:val="0"/>
        <w:rPr>
          <w:rFonts w:ascii="Arial" w:hAnsi="Arial" w:cs="Arial"/>
        </w:rPr>
      </w:pPr>
      <w:r w:rsidRPr="00560AB1">
        <w:rPr>
          <w:rFonts w:ascii="Arial" w:hAnsi="Arial" w:cs="Arial"/>
        </w:rPr>
        <w:t>Výdavky budúcich období a výnosy budúcich období</w:t>
      </w:r>
    </w:p>
    <w:p w14:paraId="43DBA4BD" w14:textId="09DC0FF3" w:rsidR="00DB4300" w:rsidRPr="00DB4300" w:rsidRDefault="00DB4300" w:rsidP="00DB4300">
      <w:pPr>
        <w:pStyle w:val="Nadpis2"/>
        <w:numPr>
          <w:ilvl w:val="0"/>
          <w:numId w:val="0"/>
        </w:numPr>
        <w:rPr>
          <w:rFonts w:ascii="Arial" w:hAnsi="Arial" w:cs="Arial"/>
        </w:rPr>
      </w:pPr>
      <w:r w:rsidRPr="00E30163">
        <w:rPr>
          <w:rFonts w:ascii="Arial" w:hAnsi="Arial" w:cs="Arial"/>
          <w:b w:val="0"/>
        </w:rPr>
        <w:t>Výdavky budúcich období a výnosy budúcich období sa oceňujú ich menovitou hodnotou, pričom sa vykazujú vo výške, ktorá je potrebná na dodržanie zásady vecnej a časovej súvislosti s účtovným obdobím.</w:t>
      </w:r>
    </w:p>
    <w:p w14:paraId="5C4BC8F2" w14:textId="77777777" w:rsidR="00DB4300" w:rsidRPr="00560AB1" w:rsidRDefault="00DB4300" w:rsidP="00DB4300">
      <w:pPr>
        <w:pStyle w:val="Nadpis2"/>
        <w:keepNext w:val="0"/>
        <w:rPr>
          <w:rFonts w:ascii="Arial" w:hAnsi="Arial" w:cs="Arial"/>
        </w:rPr>
      </w:pPr>
      <w:r w:rsidRPr="00560AB1">
        <w:rPr>
          <w:rFonts w:ascii="Arial" w:hAnsi="Arial" w:cs="Arial"/>
        </w:rPr>
        <w:t>Vlastné imanie</w:t>
      </w:r>
    </w:p>
    <w:p w14:paraId="6268D99B" w14:textId="77777777" w:rsidR="00DB4300" w:rsidRPr="002E10BE" w:rsidRDefault="00DB4300" w:rsidP="00DB4300">
      <w:pPr>
        <w:keepNext w:val="0"/>
        <w:rPr>
          <w:rFonts w:ascii="Arial" w:hAnsi="Arial" w:cs="Arial"/>
          <w:i/>
        </w:rPr>
      </w:pPr>
      <w:r w:rsidRPr="00DE6F55">
        <w:rPr>
          <w:rFonts w:ascii="Arial" w:hAnsi="Arial" w:cs="Arial"/>
        </w:rPr>
        <w:t xml:space="preserve">Vlastné imanie sa skladá zo </w:t>
      </w:r>
      <w:r w:rsidRPr="0010546A">
        <w:rPr>
          <w:rFonts w:ascii="Arial" w:hAnsi="Arial" w:cs="Arial"/>
        </w:rPr>
        <w:t>základného imania</w:t>
      </w:r>
      <w:r w:rsidRPr="00D62A23">
        <w:rPr>
          <w:rFonts w:ascii="Arial" w:hAnsi="Arial" w:cs="Arial"/>
        </w:rPr>
        <w:t>, iných kapitálových fondov, oceňovacích rozdielov, zákonného rezervného fondu a výsledku hospodárenia v schvaľovacom konaní.</w:t>
      </w:r>
      <w:r w:rsidRPr="002E10BE">
        <w:rPr>
          <w:rFonts w:ascii="Arial" w:hAnsi="Arial" w:cs="Arial"/>
          <w:i/>
        </w:rPr>
        <w:t xml:space="preserve"> </w:t>
      </w:r>
    </w:p>
    <w:p w14:paraId="6B710C83" w14:textId="77777777" w:rsidR="00DB4300" w:rsidRPr="00287E61" w:rsidRDefault="00DB4300" w:rsidP="00DB4300">
      <w:pPr>
        <w:keepNext w:val="0"/>
        <w:rPr>
          <w:rFonts w:ascii="Arial" w:hAnsi="Arial" w:cs="Arial"/>
          <w:iCs/>
          <w:color w:val="000000"/>
        </w:rPr>
      </w:pPr>
      <w:r w:rsidRPr="002E10BE">
        <w:rPr>
          <w:rFonts w:ascii="Arial" w:hAnsi="Arial" w:cs="Arial"/>
        </w:rPr>
        <w:t xml:space="preserve">Základné imanie spoločnosti sa vykazuje vo výške zapísanej v obchodnom </w:t>
      </w:r>
      <w:r w:rsidRPr="00C86D34">
        <w:rPr>
          <w:rFonts w:ascii="Arial" w:hAnsi="Arial" w:cs="Arial"/>
        </w:rPr>
        <w:t>registri</w:t>
      </w:r>
      <w:r w:rsidRPr="00D62A23">
        <w:rPr>
          <w:rFonts w:ascii="Arial" w:hAnsi="Arial" w:cs="Arial"/>
        </w:rPr>
        <w:t xml:space="preserve"> mestského</w:t>
      </w:r>
      <w:r w:rsidRPr="00C86D34">
        <w:rPr>
          <w:rFonts w:ascii="Arial" w:hAnsi="Arial" w:cs="Arial"/>
        </w:rPr>
        <w:t xml:space="preserve"> súdu</w:t>
      </w:r>
      <w:r w:rsidRPr="002E10BE">
        <w:rPr>
          <w:rFonts w:ascii="Arial" w:hAnsi="Arial" w:cs="Arial"/>
        </w:rPr>
        <w:t xml:space="preserve">. Prípadné zvýšenie alebo zníženie základného imania na základe rozhodnutia valného zhromaždenia, </w:t>
      </w:r>
      <w:r w:rsidRPr="009009A2">
        <w:rPr>
          <w:rFonts w:ascii="Arial" w:hAnsi="Arial" w:cs="Arial"/>
        </w:rPr>
        <w:t xml:space="preserve">ktoré nebolo ku dňu účtovnej závierky zaregistrované, sa vykazuje ako zmeny základného imania. </w:t>
      </w:r>
      <w:r w:rsidRPr="00D62A23">
        <w:rPr>
          <w:rFonts w:ascii="Arial" w:hAnsi="Arial" w:cs="Arial"/>
        </w:rPr>
        <w:t xml:space="preserve">Ostatné kapitálové fondy sú </w:t>
      </w:r>
      <w:r w:rsidRPr="00D62A23">
        <w:rPr>
          <w:rFonts w:ascii="Arial" w:hAnsi="Arial" w:cs="Arial"/>
          <w:color w:val="000000"/>
        </w:rPr>
        <w:t>tvorené peňažnými vkladmi nad hodnotu základného imania</w:t>
      </w:r>
      <w:r w:rsidRPr="00903256">
        <w:rPr>
          <w:rFonts w:ascii="Arial" w:hAnsi="Arial" w:cs="Arial"/>
          <w:iCs/>
          <w:color w:val="000000"/>
        </w:rPr>
        <w:t>.</w:t>
      </w:r>
    </w:p>
    <w:p w14:paraId="6AF9EB6F" w14:textId="77777777" w:rsidR="00DB4300" w:rsidRPr="00560AB1" w:rsidRDefault="00DB4300" w:rsidP="00DB4300">
      <w:pPr>
        <w:pStyle w:val="Nadpis2"/>
        <w:keepNext w:val="0"/>
        <w:rPr>
          <w:rFonts w:ascii="Arial" w:hAnsi="Arial" w:cs="Arial"/>
        </w:rPr>
      </w:pPr>
      <w:r w:rsidRPr="00560AB1">
        <w:rPr>
          <w:rFonts w:ascii="Arial" w:hAnsi="Arial" w:cs="Arial"/>
        </w:rPr>
        <w:t>Transakcie v cudzích menách</w:t>
      </w:r>
    </w:p>
    <w:p w14:paraId="10C9E641" w14:textId="77777777" w:rsidR="00DB4300" w:rsidRPr="00560AB1" w:rsidRDefault="00DB4300" w:rsidP="00DB4300">
      <w:pPr>
        <w:pStyle w:val="Zkladntext"/>
        <w:keepNext w:val="0"/>
        <w:suppressAutoHyphens/>
        <w:jc w:val="both"/>
        <w:rPr>
          <w:rFonts w:ascii="Arial" w:hAnsi="Arial" w:cs="Arial"/>
        </w:rPr>
      </w:pPr>
      <w:r w:rsidRPr="00560AB1">
        <w:rPr>
          <w:rFonts w:ascii="Arial" w:hAnsi="Arial" w:cs="Arial"/>
        </w:rPr>
        <w:t>Transakcie v cudzej mene sa prepočítavajú na eurá referenčným výmenným kurzom určeným a vyhláseným Európskou centrálnou bankou alebo Národnou bankou Slovenska v deň predchádzajúci dňu uskutočnenia účtovného prípadu.</w:t>
      </w:r>
    </w:p>
    <w:p w14:paraId="2C9318DE" w14:textId="77777777" w:rsidR="00DB4300" w:rsidRPr="00560AB1" w:rsidRDefault="00DB4300" w:rsidP="00DB4300">
      <w:pPr>
        <w:pStyle w:val="Zkladntext"/>
        <w:keepNext w:val="0"/>
        <w:suppressAutoHyphens/>
        <w:jc w:val="both"/>
        <w:rPr>
          <w:rFonts w:ascii="Arial" w:hAnsi="Arial" w:cs="Arial"/>
        </w:rPr>
      </w:pPr>
      <w:r w:rsidRPr="00560AB1">
        <w:rPr>
          <w:rFonts w:ascii="Arial" w:hAnsi="Arial" w:cs="Arial"/>
        </w:rPr>
        <w:t>Peňažné aktíva a pasíva vyjadrené v cudzej mene sa prepočítavajú kurzom platným ku dňu zostavenia účtovnej závierky. Vzniknuté kurzové rozdiely sa vykazujú vo výkaze ziskov a strát.</w:t>
      </w:r>
    </w:p>
    <w:p w14:paraId="2681E6A5" w14:textId="75C20D1A" w:rsidR="005877A8" w:rsidRPr="00560AB1" w:rsidRDefault="00DB4300" w:rsidP="00DB4300">
      <w:pPr>
        <w:pStyle w:val="Zkladntext"/>
        <w:keepNext w:val="0"/>
        <w:suppressAutoHyphens/>
        <w:jc w:val="both"/>
        <w:rPr>
          <w:rFonts w:ascii="Arial" w:hAnsi="Arial" w:cs="Arial"/>
        </w:rPr>
      </w:pPr>
      <w:r w:rsidRPr="00560AB1">
        <w:rPr>
          <w:rFonts w:ascii="Arial" w:hAnsi="Arial" w:cs="Arial"/>
        </w:rPr>
        <w:t xml:space="preserve">Kúpa a predaj cudzej meny sa prepočítava na euro kurzom, za ktorý boli tieto hodnoty nakúpené alebo predané.  </w:t>
      </w:r>
    </w:p>
    <w:p w14:paraId="4F5A1B52" w14:textId="77777777" w:rsidR="00DB4300" w:rsidRPr="00560AB1" w:rsidRDefault="00DB4300" w:rsidP="00DB4300">
      <w:pPr>
        <w:pStyle w:val="Nadpis2"/>
        <w:keepNext w:val="0"/>
        <w:rPr>
          <w:rFonts w:ascii="Arial" w:hAnsi="Arial" w:cs="Arial"/>
        </w:rPr>
      </w:pPr>
      <w:r w:rsidRPr="00560AB1">
        <w:rPr>
          <w:rFonts w:ascii="Arial" w:hAnsi="Arial" w:cs="Arial"/>
        </w:rPr>
        <w:t>Výnosy</w:t>
      </w:r>
    </w:p>
    <w:p w14:paraId="4ED6F4CD" w14:textId="77777777" w:rsidR="00DB4300" w:rsidRPr="00903256" w:rsidRDefault="00DB4300" w:rsidP="00DB4300">
      <w:pPr>
        <w:pStyle w:val="Zkladntext"/>
        <w:keepNext w:val="0"/>
        <w:jc w:val="both"/>
        <w:rPr>
          <w:rFonts w:ascii="Arial" w:hAnsi="Arial" w:cs="Arial"/>
        </w:rPr>
      </w:pPr>
      <w:r w:rsidRPr="00903256">
        <w:rPr>
          <w:rFonts w:ascii="Arial" w:hAnsi="Arial" w:cs="Arial"/>
        </w:rPr>
        <w:t xml:space="preserve">Tržby za vlastné výkony a tovar neobsahujú daň z pridanej hodnoty. Sú tiež znížené o zľavy a zrážky (rabaty, bonusy, skontá, dobropisy a pod.). Tržby sú účtované ku dňu splnenia dodávky alebo služby. </w:t>
      </w:r>
    </w:p>
    <w:p w14:paraId="277A3869" w14:textId="77777777" w:rsidR="00DB4300" w:rsidRPr="00903256" w:rsidRDefault="00DB4300" w:rsidP="00DB4300">
      <w:pPr>
        <w:pStyle w:val="Normalitalic"/>
        <w:keepNext w:val="0"/>
        <w:rPr>
          <w:rFonts w:ascii="Arial" w:hAnsi="Arial" w:cs="Arial"/>
          <w:i w:val="0"/>
        </w:rPr>
      </w:pPr>
      <w:r w:rsidRPr="00903256">
        <w:rPr>
          <w:rFonts w:ascii="Arial" w:hAnsi="Arial" w:cs="Arial"/>
          <w:i w:val="0"/>
        </w:rPr>
        <w:t>V</w:t>
      </w:r>
      <w:r w:rsidRPr="00792792">
        <w:rPr>
          <w:rFonts w:ascii="Arial" w:hAnsi="Arial" w:cs="Arial"/>
          <w:i w:val="0"/>
        </w:rPr>
        <w:t>ýnosy spoločnosti tvoria najmä tržby z poskytovania ústavnej a ambulantnej starostlivosti. Výnosy z poskytovania zdravotnej starostlivosti sa vykazujú v účtovnom období, v ktorom boli služby poskytnuté.</w:t>
      </w:r>
    </w:p>
    <w:p w14:paraId="16D2E91E" w14:textId="77777777" w:rsidR="00DB4300" w:rsidRPr="002E10BE" w:rsidRDefault="00DB4300" w:rsidP="00DB4300">
      <w:pPr>
        <w:pStyle w:val="Nadpis2"/>
        <w:keepNext w:val="0"/>
        <w:rPr>
          <w:rFonts w:ascii="Arial" w:hAnsi="Arial" w:cs="Arial"/>
        </w:rPr>
      </w:pPr>
      <w:bookmarkStart w:id="8" w:name="_Toc474124199"/>
      <w:bookmarkStart w:id="9" w:name="_Toc474124311"/>
      <w:r w:rsidRPr="002E10BE">
        <w:rPr>
          <w:rFonts w:ascii="Arial" w:hAnsi="Arial" w:cs="Arial"/>
        </w:rPr>
        <w:t>Finančný lízing</w:t>
      </w:r>
    </w:p>
    <w:p w14:paraId="3445D6A0" w14:textId="77777777" w:rsidR="00DB4300" w:rsidRPr="002E10BE" w:rsidRDefault="00DB4300" w:rsidP="00DB4300">
      <w:pPr>
        <w:keepNext w:val="0"/>
        <w:rPr>
          <w:rFonts w:ascii="Arial" w:hAnsi="Arial" w:cs="Arial"/>
        </w:rPr>
      </w:pPr>
      <w:r w:rsidRPr="002E10BE">
        <w:rPr>
          <w:rFonts w:ascii="Arial" w:hAnsi="Arial" w:cs="Arial"/>
        </w:rPr>
        <w:t>Spoločnosť účtuje o finančnom lízingu</w:t>
      </w:r>
      <w:r>
        <w:rPr>
          <w:rFonts w:ascii="Arial" w:hAnsi="Arial" w:cs="Arial"/>
        </w:rPr>
        <w:t xml:space="preserve"> tak</w:t>
      </w:r>
      <w:r w:rsidRPr="002E10BE">
        <w:rPr>
          <w:rFonts w:ascii="Arial" w:hAnsi="Arial" w:cs="Arial"/>
        </w:rPr>
        <w:t xml:space="preserve">, že majetok obstaraný formou finančného lízingu je aktivovaný v deň prijatia predmetu lízingu v ocenení rovnajúcom sa istine. Lízingové splátky sú rozdelené medzi finančný náklad a zníženie nesplateného záväzku t.j. istinu. Finančný náklad sa účtuje do nákladov pri zachovaní vecnej a časovej súvislosti.   </w:t>
      </w:r>
    </w:p>
    <w:p w14:paraId="764790D6" w14:textId="77777777" w:rsidR="00DB4300" w:rsidRPr="002E10BE" w:rsidRDefault="00DB4300" w:rsidP="00DB4300">
      <w:pPr>
        <w:pStyle w:val="Zkladntext"/>
        <w:keepNext w:val="0"/>
        <w:suppressAutoHyphens/>
        <w:jc w:val="both"/>
        <w:rPr>
          <w:rFonts w:ascii="Arial" w:hAnsi="Arial" w:cs="Arial"/>
        </w:rPr>
      </w:pPr>
      <w:r w:rsidRPr="002E10BE">
        <w:rPr>
          <w:rFonts w:ascii="Arial" w:hAnsi="Arial" w:cs="Arial"/>
          <w:iCs/>
        </w:rPr>
        <w:t>M</w:t>
      </w:r>
      <w:r w:rsidRPr="002E10BE">
        <w:rPr>
          <w:rFonts w:ascii="Arial" w:hAnsi="Arial" w:cs="Arial"/>
        </w:rPr>
        <w:t>ajetok obstaraný formou operatívneho lízingu sa účtuje do nákladov počas doby trvania lízingovej zmluvy. Nájomné za majetok obstaraný formou operatívneho lízingu sa účtuje do nákladov rovnomerne počas doby trvania</w:t>
      </w:r>
      <w:r>
        <w:rPr>
          <w:rFonts w:ascii="Arial" w:hAnsi="Arial" w:cs="Arial"/>
        </w:rPr>
        <w:t xml:space="preserve"> </w:t>
      </w:r>
      <w:r w:rsidRPr="002E10BE">
        <w:rPr>
          <w:rFonts w:ascii="Arial" w:hAnsi="Arial" w:cs="Arial"/>
        </w:rPr>
        <w:t xml:space="preserve">zmluvy o prenájme. </w:t>
      </w:r>
    </w:p>
    <w:p w14:paraId="328C6458" w14:textId="77777777" w:rsidR="00DB4300" w:rsidRPr="00560AB1" w:rsidRDefault="00DB4300" w:rsidP="00DB4300">
      <w:pPr>
        <w:pStyle w:val="Nadpis2"/>
        <w:keepNext w:val="0"/>
        <w:rPr>
          <w:rFonts w:ascii="Arial" w:hAnsi="Arial" w:cs="Arial"/>
        </w:rPr>
      </w:pPr>
      <w:bookmarkStart w:id="10" w:name="_Toc474124202"/>
      <w:bookmarkStart w:id="11" w:name="_Toc474124314"/>
      <w:bookmarkEnd w:id="8"/>
      <w:bookmarkEnd w:id="9"/>
      <w:r w:rsidRPr="00560AB1">
        <w:rPr>
          <w:rFonts w:ascii="Arial" w:hAnsi="Arial" w:cs="Arial"/>
        </w:rPr>
        <w:t>Daň z príjm</w:t>
      </w:r>
      <w:bookmarkEnd w:id="10"/>
      <w:bookmarkEnd w:id="11"/>
      <w:r w:rsidRPr="00560AB1">
        <w:rPr>
          <w:rFonts w:ascii="Arial" w:hAnsi="Arial" w:cs="Arial"/>
        </w:rPr>
        <w:t>u</w:t>
      </w:r>
    </w:p>
    <w:p w14:paraId="4EF24E86" w14:textId="77777777" w:rsidR="00DB4300" w:rsidRPr="00560AB1" w:rsidRDefault="00DB4300" w:rsidP="00DB4300">
      <w:pPr>
        <w:keepNext w:val="0"/>
        <w:rPr>
          <w:rFonts w:ascii="Arial" w:hAnsi="Arial" w:cs="Arial"/>
        </w:rPr>
      </w:pPr>
      <w:r w:rsidRPr="00560AB1">
        <w:rPr>
          <w:rFonts w:ascii="Arial" w:hAnsi="Arial" w:cs="Arial"/>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14:paraId="40BB3A41" w14:textId="77777777" w:rsidR="00DB4300" w:rsidRPr="00560AB1" w:rsidRDefault="00DB4300" w:rsidP="00DB4300">
      <w:pPr>
        <w:pStyle w:val="heading2b"/>
        <w:keepNext w:val="0"/>
        <w:rPr>
          <w:rFonts w:ascii="Arial" w:hAnsi="Arial" w:cs="Arial"/>
        </w:rPr>
      </w:pPr>
      <w:r w:rsidRPr="00560AB1">
        <w:rPr>
          <w:rFonts w:ascii="Arial" w:hAnsi="Arial" w:cs="Arial"/>
        </w:rPr>
        <w:lastRenderedPageBreak/>
        <w:t>dočasné rozdiely medzi účtovnou hodnotou majetku a účtovnou hodnotou záväzkov vykázanou v súvahe a ich daňovou základňou,</w:t>
      </w:r>
    </w:p>
    <w:p w14:paraId="69B6A5B4" w14:textId="77777777" w:rsidR="00DB4300" w:rsidRPr="00560AB1" w:rsidRDefault="00DB4300" w:rsidP="00DB4300">
      <w:pPr>
        <w:pStyle w:val="heading2b"/>
        <w:keepNext w:val="0"/>
        <w:rPr>
          <w:rFonts w:ascii="Arial" w:hAnsi="Arial" w:cs="Arial"/>
        </w:rPr>
      </w:pPr>
      <w:r w:rsidRPr="00560AB1">
        <w:rPr>
          <w:rFonts w:ascii="Arial" w:hAnsi="Arial" w:cs="Arial"/>
        </w:rPr>
        <w:t>možnosti umorovať daňovú stratu v budúcnosti, pod ktorou sa rozumie možnosť odpočítať daňovú stratu od základu dane v budúcnosti,</w:t>
      </w:r>
    </w:p>
    <w:p w14:paraId="1EFFDF48" w14:textId="77777777" w:rsidR="00DB4300" w:rsidRDefault="00DB4300" w:rsidP="00DB4300">
      <w:pPr>
        <w:pStyle w:val="heading2b"/>
        <w:keepNext w:val="0"/>
        <w:rPr>
          <w:rFonts w:ascii="Arial" w:hAnsi="Arial" w:cs="Arial"/>
        </w:rPr>
      </w:pPr>
      <w:r w:rsidRPr="00560AB1">
        <w:rPr>
          <w:rFonts w:ascii="Arial" w:hAnsi="Arial" w:cs="Arial"/>
        </w:rPr>
        <w:t>možnosť previesť nevyužité daňové odpočty a iné daňové nároky do budúcich období.</w:t>
      </w:r>
    </w:p>
    <w:p w14:paraId="59258E6B" w14:textId="77777777" w:rsidR="00DB4300" w:rsidRPr="00F34AE7" w:rsidRDefault="00DB4300" w:rsidP="00DB4300">
      <w:pPr>
        <w:pStyle w:val="heading2b"/>
        <w:keepNext w:val="0"/>
        <w:numPr>
          <w:ilvl w:val="0"/>
          <w:numId w:val="0"/>
        </w:numPr>
        <w:ind w:left="340"/>
        <w:rPr>
          <w:rFonts w:ascii="Arial" w:hAnsi="Arial" w:cs="Arial"/>
        </w:rPr>
      </w:pPr>
    </w:p>
    <w:p w14:paraId="10D580BB" w14:textId="77777777" w:rsidR="00DB4300" w:rsidRPr="00560AB1" w:rsidRDefault="00DB4300" w:rsidP="00DB4300">
      <w:pPr>
        <w:pStyle w:val="Nadpis2"/>
        <w:keepNext w:val="0"/>
        <w:rPr>
          <w:rFonts w:ascii="Arial" w:hAnsi="Arial" w:cs="Arial"/>
        </w:rPr>
      </w:pPr>
      <w:r w:rsidRPr="00560AB1">
        <w:rPr>
          <w:rFonts w:ascii="Arial" w:hAnsi="Arial" w:cs="Arial"/>
        </w:rPr>
        <w:t>Opravy chýb minulých účtovných období</w:t>
      </w:r>
    </w:p>
    <w:p w14:paraId="5F86A941" w14:textId="4C17FC61" w:rsidR="00A930B4" w:rsidRDefault="00DB4300" w:rsidP="00DB4300">
      <w:pPr>
        <w:pStyle w:val="Odsekzoznamu"/>
        <w:keepNext w:val="0"/>
        <w:ind w:left="0"/>
        <w:rPr>
          <w:rFonts w:ascii="Arial" w:hAnsi="Arial" w:cs="Arial"/>
          <w:i/>
          <w:iCs/>
        </w:rPr>
      </w:pPr>
      <w:r w:rsidRPr="00560AB1">
        <w:rPr>
          <w:rFonts w:ascii="Arial" w:hAnsi="Arial" w:cs="Arial"/>
        </w:rPr>
        <w:t xml:space="preserve">Spoločnosť v bežnom účtovnom období neúčtovala o oprave významných chýb minulých období </w:t>
      </w:r>
      <w:r>
        <w:rPr>
          <w:rFonts w:ascii="Arial" w:hAnsi="Arial" w:cs="Arial"/>
          <w:i/>
          <w:iCs/>
        </w:rPr>
        <w:t>.</w:t>
      </w:r>
    </w:p>
    <w:p w14:paraId="7A50FE0F" w14:textId="77777777" w:rsidR="00A930B4" w:rsidRDefault="00A930B4" w:rsidP="00DB4300">
      <w:pPr>
        <w:pStyle w:val="Odsekzoznamu"/>
        <w:keepNext w:val="0"/>
        <w:ind w:left="0"/>
        <w:rPr>
          <w:rFonts w:ascii="Arial" w:hAnsi="Arial" w:cs="Arial"/>
          <w:i/>
          <w:iCs/>
        </w:rPr>
      </w:pPr>
    </w:p>
    <w:p w14:paraId="085B3E1C" w14:textId="77777777" w:rsidR="00A930B4" w:rsidRDefault="00A930B4" w:rsidP="00DB4300">
      <w:pPr>
        <w:pStyle w:val="Odsekzoznamu"/>
        <w:keepNext w:val="0"/>
        <w:ind w:left="0"/>
        <w:rPr>
          <w:rFonts w:ascii="Arial" w:hAnsi="Arial" w:cs="Arial"/>
          <w:i/>
          <w:iCs/>
        </w:rPr>
      </w:pPr>
    </w:p>
    <w:p w14:paraId="7BDD598F" w14:textId="77777777" w:rsidR="00A930B4" w:rsidRDefault="00A930B4" w:rsidP="00DB4300">
      <w:pPr>
        <w:pStyle w:val="Odsekzoznamu"/>
        <w:keepNext w:val="0"/>
        <w:ind w:left="0"/>
        <w:rPr>
          <w:rFonts w:ascii="Arial" w:hAnsi="Arial" w:cs="Arial"/>
          <w:i/>
          <w:iCs/>
        </w:rPr>
      </w:pPr>
    </w:p>
    <w:p w14:paraId="2617D8F4" w14:textId="77777777" w:rsidR="00A930B4" w:rsidRPr="00A930B4" w:rsidRDefault="00A930B4" w:rsidP="00DB4300">
      <w:pPr>
        <w:pStyle w:val="Odsekzoznamu"/>
        <w:keepNext w:val="0"/>
        <w:ind w:left="0"/>
        <w:rPr>
          <w:rFonts w:ascii="Arial" w:hAnsi="Arial" w:cs="Arial"/>
          <w:i/>
          <w:iCs/>
        </w:rPr>
      </w:pPr>
    </w:p>
    <w:p w14:paraId="5CC6F412" w14:textId="77777777" w:rsidR="00DB4300" w:rsidRPr="00560AB1" w:rsidRDefault="00DB4300" w:rsidP="00DB4300">
      <w:pPr>
        <w:pStyle w:val="Nadpis1"/>
        <w:rPr>
          <w:rFonts w:ascii="Arial" w:hAnsi="Arial" w:cs="Arial"/>
        </w:rPr>
      </w:pPr>
      <w:r w:rsidRPr="00560AB1">
        <w:rPr>
          <w:rFonts w:ascii="Arial" w:hAnsi="Arial" w:cs="Arial"/>
        </w:rPr>
        <w:t>informácie, ktoré vysvetľujú a dopĺňajú súvahu a výkaz ziskov a strát</w:t>
      </w:r>
    </w:p>
    <w:p w14:paraId="3E86D7B6" w14:textId="77777777" w:rsidR="00DE5258" w:rsidRPr="00560AB1" w:rsidRDefault="00DE5258" w:rsidP="00DE5258">
      <w:pPr>
        <w:pStyle w:val="Odsekzoznamu"/>
        <w:keepNext w:val="0"/>
        <w:numPr>
          <w:ilvl w:val="1"/>
          <w:numId w:val="1"/>
        </w:numPr>
        <w:autoSpaceDE w:val="0"/>
        <w:autoSpaceDN w:val="0"/>
        <w:adjustRightInd w:val="0"/>
        <w:spacing w:after="0"/>
        <w:ind w:left="0" w:firstLine="0"/>
        <w:rPr>
          <w:rFonts w:ascii="Arial" w:hAnsi="Arial" w:cs="Arial"/>
        </w:rPr>
      </w:pPr>
      <w:r w:rsidRPr="00560AB1">
        <w:rPr>
          <w:rFonts w:ascii="Arial" w:hAnsi="Arial" w:cs="Arial"/>
        </w:rPr>
        <w:t xml:space="preserve">Informácie o záväzkoch: </w:t>
      </w:r>
    </w:p>
    <w:p w14:paraId="560E2560" w14:textId="77777777" w:rsidR="00DE5258" w:rsidRPr="00560AB1" w:rsidRDefault="00DE5258" w:rsidP="00DE5258">
      <w:pPr>
        <w:pStyle w:val="Odsekzoznamu"/>
        <w:rPr>
          <w:rFonts w:ascii="Arial" w:hAnsi="Arial" w:cs="Arial"/>
        </w:rPr>
      </w:pPr>
    </w:p>
    <w:tbl>
      <w:tblPr>
        <w:tblW w:w="9080" w:type="dxa"/>
        <w:tblInd w:w="55" w:type="dxa"/>
        <w:tblCellMar>
          <w:left w:w="70" w:type="dxa"/>
          <w:right w:w="70" w:type="dxa"/>
        </w:tblCellMar>
        <w:tblLook w:val="04A0" w:firstRow="1" w:lastRow="0" w:firstColumn="1" w:lastColumn="0" w:noHBand="0" w:noVBand="1"/>
      </w:tblPr>
      <w:tblGrid>
        <w:gridCol w:w="3360"/>
        <w:gridCol w:w="2860"/>
        <w:gridCol w:w="2860"/>
      </w:tblGrid>
      <w:tr w:rsidR="00DE5258" w:rsidRPr="00560AB1" w14:paraId="77DB9950" w14:textId="77777777" w:rsidTr="00903ED1">
        <w:trPr>
          <w:trHeight w:val="525"/>
        </w:trPr>
        <w:tc>
          <w:tcPr>
            <w:tcW w:w="336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77BCBFEB" w14:textId="77777777" w:rsidR="00DE5258" w:rsidRPr="00560AB1" w:rsidRDefault="00DE5258" w:rsidP="00903ED1">
            <w:pPr>
              <w:keepNext w:val="0"/>
              <w:spacing w:after="0"/>
              <w:jc w:val="center"/>
              <w:rPr>
                <w:rFonts w:ascii="Arial" w:hAnsi="Arial" w:cs="Arial"/>
                <w:b/>
                <w:bCs/>
                <w:color w:val="000000"/>
                <w:lang w:eastAsia="sk-SK"/>
              </w:rPr>
            </w:pPr>
            <w:r w:rsidRPr="00560AB1">
              <w:rPr>
                <w:rFonts w:ascii="Arial" w:hAnsi="Arial" w:cs="Arial"/>
                <w:b/>
                <w:bCs/>
                <w:color w:val="000000"/>
                <w:lang w:eastAsia="sk-SK"/>
              </w:rPr>
              <w:t>Názov položky</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14:paraId="1F1B97BA" w14:textId="77777777" w:rsidR="00DE5258" w:rsidRPr="00560AB1" w:rsidRDefault="00DE5258" w:rsidP="00903ED1">
            <w:pPr>
              <w:keepNext w:val="0"/>
              <w:spacing w:after="0"/>
              <w:jc w:val="center"/>
              <w:rPr>
                <w:rFonts w:ascii="Arial" w:hAnsi="Arial" w:cs="Arial"/>
                <w:b/>
                <w:bCs/>
                <w:color w:val="000000"/>
                <w:lang w:eastAsia="sk-SK"/>
              </w:rPr>
            </w:pPr>
            <w:r w:rsidRPr="00560AB1">
              <w:rPr>
                <w:rFonts w:ascii="Arial" w:hAnsi="Arial" w:cs="Arial"/>
                <w:b/>
                <w:bCs/>
                <w:color w:val="000000"/>
                <w:lang w:eastAsia="sk-SK"/>
              </w:rPr>
              <w:t>Bežné účtovné obdobie</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14:paraId="00989011" w14:textId="77777777" w:rsidR="00DE5258" w:rsidRPr="00560AB1" w:rsidRDefault="00DE5258" w:rsidP="00903ED1">
            <w:pPr>
              <w:keepNext w:val="0"/>
              <w:spacing w:after="0"/>
              <w:jc w:val="center"/>
              <w:rPr>
                <w:rFonts w:ascii="Arial" w:hAnsi="Arial" w:cs="Arial"/>
                <w:b/>
                <w:bCs/>
                <w:color w:val="000000"/>
                <w:lang w:eastAsia="sk-SK"/>
              </w:rPr>
            </w:pPr>
            <w:r w:rsidRPr="00560AB1">
              <w:rPr>
                <w:rFonts w:ascii="Arial" w:hAnsi="Arial" w:cs="Arial"/>
                <w:b/>
                <w:bCs/>
                <w:color w:val="000000"/>
                <w:lang w:eastAsia="sk-SK"/>
              </w:rPr>
              <w:t>Bezprostredne predchádzajúce účtovné obdobie</w:t>
            </w:r>
          </w:p>
        </w:tc>
      </w:tr>
      <w:tr w:rsidR="00DE5258" w:rsidRPr="00560AB1" w14:paraId="5D6F6AB0" w14:textId="77777777" w:rsidTr="00903ED1">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3E959AA9" w14:textId="557C8F50" w:rsidR="00DE5258" w:rsidRPr="00560AB1" w:rsidRDefault="00DE5258" w:rsidP="00DE5258">
            <w:pPr>
              <w:keepNext w:val="0"/>
              <w:spacing w:after="0"/>
              <w:jc w:val="left"/>
              <w:rPr>
                <w:rFonts w:ascii="Arial" w:hAnsi="Arial" w:cs="Arial"/>
                <w:color w:val="000000"/>
                <w:lang w:eastAsia="sk-SK"/>
              </w:rPr>
            </w:pPr>
            <w:r w:rsidRPr="00560AB1">
              <w:rPr>
                <w:rFonts w:ascii="Arial" w:hAnsi="Arial" w:cs="Arial"/>
              </w:rPr>
              <w:t>a) Celková sum</w:t>
            </w:r>
            <w:r w:rsidR="007027F9">
              <w:rPr>
                <w:rFonts w:ascii="Arial" w:hAnsi="Arial" w:cs="Arial"/>
              </w:rPr>
              <w:t>a</w:t>
            </w:r>
            <w:r w:rsidRPr="00560AB1">
              <w:rPr>
                <w:rFonts w:ascii="Arial" w:hAnsi="Arial" w:cs="Arial"/>
              </w:rPr>
              <w:t xml:space="preserve"> záväzkov so zostatkovou dobou splatnosti dlhšou ako päť rokov,</w:t>
            </w:r>
          </w:p>
        </w:tc>
        <w:tc>
          <w:tcPr>
            <w:tcW w:w="2860" w:type="dxa"/>
            <w:tcBorders>
              <w:top w:val="nil"/>
              <w:left w:val="nil"/>
              <w:bottom w:val="single" w:sz="8" w:space="0" w:color="auto"/>
              <w:right w:val="single" w:sz="8" w:space="0" w:color="auto"/>
            </w:tcBorders>
            <w:shd w:val="clear" w:color="auto" w:fill="auto"/>
            <w:noWrap/>
            <w:vAlign w:val="center"/>
            <w:hideMark/>
          </w:tcPr>
          <w:p w14:paraId="0C5B0982" w14:textId="2692CC27" w:rsidR="00DE5258" w:rsidRPr="00560AB1" w:rsidRDefault="007027F9" w:rsidP="00903ED1">
            <w:pPr>
              <w:keepNext w:val="0"/>
              <w:spacing w:after="0"/>
              <w:jc w:val="right"/>
              <w:rPr>
                <w:rFonts w:ascii="Arial" w:hAnsi="Arial" w:cs="Arial"/>
                <w:b/>
                <w:bCs/>
                <w:color w:val="000000"/>
                <w:lang w:eastAsia="sk-SK"/>
              </w:rPr>
            </w:pPr>
            <w:r>
              <w:rPr>
                <w:rFonts w:ascii="Arial" w:hAnsi="Arial" w:cs="Arial"/>
                <w:b/>
                <w:bCs/>
                <w:color w:val="000000"/>
                <w:lang w:eastAsia="sk-SK"/>
              </w:rPr>
              <w:t>0</w:t>
            </w:r>
            <w:r w:rsidR="00DE5258" w:rsidRPr="00560AB1">
              <w:rPr>
                <w:rFonts w:ascii="Arial" w:hAnsi="Arial" w:cs="Arial"/>
                <w:b/>
                <w:bCs/>
                <w:color w:val="000000"/>
                <w:lang w:eastAsia="sk-SK"/>
              </w:rPr>
              <w:t> </w:t>
            </w:r>
          </w:p>
        </w:tc>
        <w:tc>
          <w:tcPr>
            <w:tcW w:w="2860" w:type="dxa"/>
            <w:tcBorders>
              <w:top w:val="nil"/>
              <w:left w:val="nil"/>
              <w:bottom w:val="single" w:sz="8" w:space="0" w:color="auto"/>
              <w:right w:val="single" w:sz="12" w:space="0" w:color="auto"/>
            </w:tcBorders>
            <w:shd w:val="clear" w:color="auto" w:fill="auto"/>
            <w:noWrap/>
            <w:vAlign w:val="center"/>
            <w:hideMark/>
          </w:tcPr>
          <w:p w14:paraId="1B8877FA" w14:textId="10BE06F8" w:rsidR="00DE5258" w:rsidRPr="00560AB1" w:rsidRDefault="007027F9" w:rsidP="00903ED1">
            <w:pPr>
              <w:keepNext w:val="0"/>
              <w:spacing w:after="0"/>
              <w:jc w:val="right"/>
              <w:rPr>
                <w:rFonts w:ascii="Arial" w:hAnsi="Arial" w:cs="Arial"/>
                <w:b/>
                <w:bCs/>
                <w:color w:val="000000"/>
                <w:lang w:eastAsia="sk-SK"/>
              </w:rPr>
            </w:pPr>
            <w:r>
              <w:rPr>
                <w:rFonts w:ascii="Arial" w:hAnsi="Arial" w:cs="Arial"/>
                <w:b/>
                <w:bCs/>
                <w:color w:val="000000"/>
                <w:lang w:eastAsia="sk-SK"/>
              </w:rPr>
              <w:t>0</w:t>
            </w:r>
          </w:p>
        </w:tc>
      </w:tr>
      <w:tr w:rsidR="00DE5258" w:rsidRPr="00560AB1" w14:paraId="06C42851" w14:textId="77777777" w:rsidTr="00903ED1">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165CDCF9" w14:textId="77777777" w:rsidR="00DE5258" w:rsidRPr="00560AB1" w:rsidRDefault="00DE5258" w:rsidP="00DE5258">
            <w:pPr>
              <w:keepNext w:val="0"/>
              <w:spacing w:after="0"/>
              <w:jc w:val="left"/>
              <w:rPr>
                <w:rFonts w:ascii="Arial" w:hAnsi="Arial" w:cs="Arial"/>
                <w:color w:val="000000"/>
                <w:lang w:eastAsia="sk-SK"/>
              </w:rPr>
            </w:pPr>
            <w:r w:rsidRPr="00560AB1">
              <w:rPr>
                <w:rFonts w:ascii="Arial" w:hAnsi="Arial" w:cs="Arial"/>
              </w:rPr>
              <w:t xml:space="preserve">b) Celková suma zabezpečených záväzkov, </w:t>
            </w:r>
          </w:p>
        </w:tc>
        <w:tc>
          <w:tcPr>
            <w:tcW w:w="2860" w:type="dxa"/>
            <w:tcBorders>
              <w:top w:val="nil"/>
              <w:left w:val="nil"/>
              <w:bottom w:val="single" w:sz="8" w:space="0" w:color="auto"/>
              <w:right w:val="single" w:sz="8" w:space="0" w:color="auto"/>
            </w:tcBorders>
            <w:shd w:val="clear" w:color="auto" w:fill="auto"/>
            <w:noWrap/>
            <w:vAlign w:val="center"/>
            <w:hideMark/>
          </w:tcPr>
          <w:p w14:paraId="0395F9AD" w14:textId="4CA0525B" w:rsidR="00DE5258" w:rsidRPr="00560AB1" w:rsidRDefault="007027F9" w:rsidP="00903ED1">
            <w:pPr>
              <w:keepNext w:val="0"/>
              <w:spacing w:after="0"/>
              <w:jc w:val="right"/>
              <w:rPr>
                <w:rFonts w:ascii="Arial" w:hAnsi="Arial" w:cs="Arial"/>
                <w:b/>
                <w:bCs/>
                <w:color w:val="000000"/>
                <w:lang w:eastAsia="sk-SK"/>
              </w:rPr>
            </w:pPr>
            <w:r>
              <w:rPr>
                <w:rFonts w:ascii="Arial" w:hAnsi="Arial" w:cs="Arial"/>
                <w:b/>
                <w:bCs/>
                <w:color w:val="000000"/>
                <w:lang w:eastAsia="sk-SK"/>
              </w:rPr>
              <w:t>0</w:t>
            </w:r>
          </w:p>
        </w:tc>
        <w:tc>
          <w:tcPr>
            <w:tcW w:w="2860" w:type="dxa"/>
            <w:tcBorders>
              <w:top w:val="nil"/>
              <w:left w:val="nil"/>
              <w:bottom w:val="single" w:sz="8" w:space="0" w:color="auto"/>
              <w:right w:val="single" w:sz="12" w:space="0" w:color="auto"/>
            </w:tcBorders>
            <w:shd w:val="clear" w:color="auto" w:fill="auto"/>
            <w:noWrap/>
            <w:vAlign w:val="center"/>
            <w:hideMark/>
          </w:tcPr>
          <w:p w14:paraId="2B9824AF" w14:textId="19A5F471" w:rsidR="00DE5258" w:rsidRPr="00560AB1" w:rsidRDefault="007027F9" w:rsidP="00903ED1">
            <w:pPr>
              <w:keepNext w:val="0"/>
              <w:spacing w:after="0"/>
              <w:jc w:val="right"/>
              <w:rPr>
                <w:rFonts w:ascii="Arial" w:hAnsi="Arial" w:cs="Arial"/>
                <w:b/>
                <w:bCs/>
                <w:color w:val="000000"/>
                <w:lang w:eastAsia="sk-SK"/>
              </w:rPr>
            </w:pPr>
            <w:r>
              <w:rPr>
                <w:rFonts w:ascii="Arial" w:hAnsi="Arial" w:cs="Arial"/>
                <w:b/>
                <w:bCs/>
                <w:color w:val="000000"/>
                <w:lang w:eastAsia="sk-SK"/>
              </w:rPr>
              <w:t>0</w:t>
            </w:r>
          </w:p>
        </w:tc>
      </w:tr>
    </w:tbl>
    <w:p w14:paraId="114F44FF" w14:textId="77777777" w:rsidR="00DB4300" w:rsidRPr="001A32FB" w:rsidRDefault="00DB4300" w:rsidP="00DB4300">
      <w:pPr>
        <w:rPr>
          <w:rFonts w:ascii="Arial" w:hAnsi="Arial" w:cs="Arial"/>
        </w:rPr>
      </w:pPr>
    </w:p>
    <w:p w14:paraId="05E3DAD8" w14:textId="2916AAC7" w:rsidR="00DB4300" w:rsidRDefault="00DB4300" w:rsidP="00DB4300">
      <w:pPr>
        <w:rPr>
          <w:rFonts w:ascii="Arial" w:hAnsi="Arial" w:cs="Arial"/>
          <w:iCs/>
        </w:rPr>
      </w:pPr>
      <w:r>
        <w:rPr>
          <w:rFonts w:ascii="Arial" w:hAnsi="Arial" w:cs="Arial"/>
          <w:iCs/>
        </w:rPr>
        <w:t>Spoločnosť neeviduje záväzky so zostatkovou dobou splatnosti dlhšou ako päť rokov ani záväzky zabezpečené.</w:t>
      </w:r>
    </w:p>
    <w:p w14:paraId="721DA493" w14:textId="77777777" w:rsidR="00856937" w:rsidRPr="001A32FB" w:rsidRDefault="00856937" w:rsidP="00DB4300">
      <w:pPr>
        <w:rPr>
          <w:rFonts w:ascii="Arial" w:hAnsi="Arial" w:cs="Arial"/>
        </w:rPr>
      </w:pPr>
    </w:p>
    <w:p w14:paraId="4085EF12" w14:textId="77777777" w:rsidR="00DE5258" w:rsidRPr="00560AB1" w:rsidRDefault="00DE5258" w:rsidP="002A6B69">
      <w:pPr>
        <w:keepNext w:val="0"/>
        <w:autoSpaceDE w:val="0"/>
        <w:autoSpaceDN w:val="0"/>
        <w:adjustRightInd w:val="0"/>
        <w:spacing w:after="0"/>
        <w:rPr>
          <w:rFonts w:ascii="Arial" w:hAnsi="Arial" w:cs="Arial"/>
          <w:i/>
        </w:rPr>
      </w:pPr>
    </w:p>
    <w:p w14:paraId="64CD4D9E" w14:textId="77777777" w:rsidR="00DB4300" w:rsidRDefault="00DB4300" w:rsidP="00DB4300">
      <w:pPr>
        <w:pStyle w:val="Nadpis1"/>
        <w:keepNext w:val="0"/>
        <w:numPr>
          <w:ilvl w:val="0"/>
          <w:numId w:val="41"/>
        </w:numPr>
        <w:spacing w:before="120"/>
        <w:rPr>
          <w:rFonts w:ascii="Arial" w:hAnsi="Arial" w:cs="Arial"/>
        </w:rPr>
      </w:pPr>
      <w:r>
        <w:rPr>
          <w:rFonts w:ascii="Arial" w:hAnsi="Arial" w:cs="Arial"/>
        </w:rPr>
        <w:t>informácie o iných aktívach a iných pasívach</w:t>
      </w:r>
    </w:p>
    <w:p w14:paraId="332798BD" w14:textId="77777777" w:rsidR="00DB4300" w:rsidRDefault="00DB4300" w:rsidP="00DB4300">
      <w:pPr>
        <w:keepNext w:val="0"/>
        <w:autoSpaceDE w:val="0"/>
        <w:autoSpaceDN w:val="0"/>
        <w:adjustRightInd w:val="0"/>
        <w:spacing w:after="0"/>
        <w:rPr>
          <w:rFonts w:ascii="Arial" w:hAnsi="Arial" w:cs="Arial"/>
          <w:b/>
          <w:bCs/>
          <w:iCs/>
        </w:rPr>
      </w:pPr>
      <w:r>
        <w:rPr>
          <w:rFonts w:ascii="Arial" w:hAnsi="Arial" w:cs="Arial"/>
          <w:b/>
          <w:bCs/>
          <w:iCs/>
        </w:rPr>
        <w:t>Podmienené záväzky</w:t>
      </w:r>
    </w:p>
    <w:p w14:paraId="111B6B8C" w14:textId="77777777" w:rsidR="00DB4300" w:rsidRDefault="00DB4300" w:rsidP="00DB4300">
      <w:pPr>
        <w:keepNext w:val="0"/>
        <w:autoSpaceDE w:val="0"/>
        <w:autoSpaceDN w:val="0"/>
        <w:adjustRightInd w:val="0"/>
        <w:spacing w:after="0"/>
        <w:rPr>
          <w:rFonts w:ascii="Arial" w:hAnsi="Arial" w:cs="Arial"/>
          <w:iCs/>
        </w:rPr>
      </w:pPr>
    </w:p>
    <w:p w14:paraId="63F98803" w14:textId="77777777" w:rsidR="00DB4300" w:rsidRDefault="00DB4300" w:rsidP="00DB4300">
      <w:pPr>
        <w:keepNext w:val="0"/>
        <w:autoSpaceDE w:val="0"/>
        <w:autoSpaceDN w:val="0"/>
        <w:adjustRightInd w:val="0"/>
        <w:spacing w:after="0"/>
        <w:rPr>
          <w:rFonts w:ascii="Arial" w:hAnsi="Arial" w:cs="Arial"/>
          <w:iCs/>
        </w:rPr>
      </w:pPr>
      <w:r>
        <w:rPr>
          <w:rFonts w:ascii="Arial" w:hAnsi="Arial" w:cs="Arial"/>
          <w:iCs/>
        </w:rPr>
        <w:t xml:space="preserve">Účtovná jednotka neeviduje žiadne podmienené záväzky, ktoré mohli vzniknúť v dôsledku minulých udalostí. </w:t>
      </w:r>
    </w:p>
    <w:p w14:paraId="76E3D718" w14:textId="77777777" w:rsidR="00DB4300" w:rsidRDefault="00DB4300" w:rsidP="00DB4300">
      <w:pPr>
        <w:keepNext w:val="0"/>
        <w:autoSpaceDE w:val="0"/>
        <w:autoSpaceDN w:val="0"/>
        <w:adjustRightInd w:val="0"/>
        <w:spacing w:after="0"/>
        <w:rPr>
          <w:rFonts w:ascii="Arial" w:hAnsi="Arial" w:cs="Arial"/>
          <w:iCs/>
        </w:rPr>
      </w:pPr>
    </w:p>
    <w:p w14:paraId="1DBFA52A" w14:textId="61399BAB" w:rsidR="00DB4300" w:rsidRDefault="00DB4300" w:rsidP="00DB4300">
      <w:pPr>
        <w:keepNext w:val="0"/>
        <w:autoSpaceDE w:val="0"/>
        <w:autoSpaceDN w:val="0"/>
        <w:adjustRightInd w:val="0"/>
        <w:spacing w:after="0"/>
        <w:rPr>
          <w:rFonts w:ascii="Arial" w:hAnsi="Arial" w:cs="Arial"/>
          <w:iCs/>
        </w:rPr>
      </w:pPr>
      <w:r>
        <w:rPr>
          <w:rFonts w:ascii="Arial" w:hAnsi="Arial" w:cs="Arial"/>
          <w:iCs/>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202</w:t>
      </w:r>
      <w:r w:rsidR="00412ABB">
        <w:rPr>
          <w:rFonts w:ascii="Arial" w:hAnsi="Arial" w:cs="Arial"/>
          <w:iCs/>
        </w:rPr>
        <w:t>4</w:t>
      </w:r>
      <w:r>
        <w:rPr>
          <w:rFonts w:ascii="Arial" w:hAnsi="Arial" w:cs="Arial"/>
          <w:iCs/>
        </w:rPr>
        <w:t xml:space="preserve"> daňové priznania spoločnosti za roky 201</w:t>
      </w:r>
      <w:r w:rsidR="00412ABB">
        <w:rPr>
          <w:rFonts w:ascii="Arial" w:hAnsi="Arial" w:cs="Arial"/>
          <w:iCs/>
        </w:rPr>
        <w:t>9</w:t>
      </w:r>
      <w:r>
        <w:rPr>
          <w:rFonts w:ascii="Arial" w:hAnsi="Arial" w:cs="Arial"/>
          <w:iCs/>
        </w:rPr>
        <w:t xml:space="preserve"> až 202</w:t>
      </w:r>
      <w:r w:rsidR="00412ABB">
        <w:rPr>
          <w:rFonts w:ascii="Arial" w:hAnsi="Arial" w:cs="Arial"/>
          <w:iCs/>
        </w:rPr>
        <w:t>3</w:t>
      </w:r>
      <w:r>
        <w:rPr>
          <w:rFonts w:ascii="Arial" w:hAnsi="Arial" w:cs="Arial"/>
          <w:iCs/>
        </w:rPr>
        <w:t xml:space="preserve"> otvorené a môžu sa stať predmetom kontroly.</w:t>
      </w:r>
    </w:p>
    <w:p w14:paraId="5C2FF008" w14:textId="77777777" w:rsidR="00DB4300" w:rsidRDefault="00DB4300" w:rsidP="00DB4300">
      <w:pPr>
        <w:keepNext w:val="0"/>
        <w:autoSpaceDE w:val="0"/>
        <w:autoSpaceDN w:val="0"/>
        <w:adjustRightInd w:val="0"/>
        <w:spacing w:after="0"/>
        <w:rPr>
          <w:rFonts w:ascii="Arial" w:hAnsi="Arial" w:cs="Arial"/>
          <w:iCs/>
        </w:rPr>
      </w:pPr>
    </w:p>
    <w:p w14:paraId="36185074" w14:textId="77777777" w:rsidR="00DB4300" w:rsidRDefault="00DB4300" w:rsidP="00DB4300">
      <w:pPr>
        <w:keepNext w:val="0"/>
        <w:autoSpaceDE w:val="0"/>
        <w:autoSpaceDN w:val="0"/>
        <w:adjustRightInd w:val="0"/>
        <w:spacing w:after="0"/>
        <w:rPr>
          <w:rFonts w:ascii="Arial" w:hAnsi="Arial" w:cs="Arial"/>
          <w:b/>
          <w:bCs/>
          <w:iCs/>
        </w:rPr>
      </w:pPr>
      <w:r>
        <w:rPr>
          <w:rFonts w:ascii="Arial" w:hAnsi="Arial" w:cs="Arial"/>
          <w:b/>
          <w:bCs/>
          <w:iCs/>
        </w:rPr>
        <w:t>Podmienený majetok</w:t>
      </w:r>
    </w:p>
    <w:p w14:paraId="5DD33B0B" w14:textId="77777777" w:rsidR="00DB4300" w:rsidRDefault="00DB4300" w:rsidP="00DB4300">
      <w:pPr>
        <w:keepNext w:val="0"/>
        <w:autoSpaceDE w:val="0"/>
        <w:autoSpaceDN w:val="0"/>
        <w:adjustRightInd w:val="0"/>
        <w:spacing w:after="0"/>
        <w:rPr>
          <w:rFonts w:ascii="Arial" w:hAnsi="Arial" w:cs="Arial"/>
          <w:iCs/>
        </w:rPr>
      </w:pPr>
    </w:p>
    <w:p w14:paraId="0B8D0B16" w14:textId="77777777" w:rsidR="00DB4300" w:rsidRDefault="00DB4300" w:rsidP="00DB4300">
      <w:pPr>
        <w:keepNext w:val="0"/>
        <w:autoSpaceDE w:val="0"/>
        <w:autoSpaceDN w:val="0"/>
        <w:adjustRightInd w:val="0"/>
        <w:spacing w:after="0"/>
        <w:rPr>
          <w:rFonts w:ascii="Arial" w:hAnsi="Arial" w:cs="Arial"/>
          <w:iCs/>
        </w:rPr>
      </w:pPr>
      <w:r>
        <w:rPr>
          <w:rFonts w:ascii="Arial" w:hAnsi="Arial" w:cs="Arial"/>
          <w:iCs/>
        </w:rPr>
        <w:t xml:space="preserve">Účtovná jednotka neeviduje žiaden podmienený majetok, ktorý mohol vzniknúť v dôsledku minulých udalostí. </w:t>
      </w:r>
    </w:p>
    <w:p w14:paraId="3CEF08A9" w14:textId="77777777" w:rsidR="00DB4300" w:rsidRDefault="00DB4300" w:rsidP="00DB4300">
      <w:pPr>
        <w:keepNext w:val="0"/>
        <w:autoSpaceDE w:val="0"/>
        <w:autoSpaceDN w:val="0"/>
        <w:adjustRightInd w:val="0"/>
        <w:spacing w:after="0"/>
        <w:rPr>
          <w:rFonts w:ascii="Arial" w:hAnsi="Arial" w:cs="Arial"/>
          <w:iCs/>
          <w:color w:val="000000" w:themeColor="text1"/>
        </w:rPr>
      </w:pPr>
    </w:p>
    <w:p w14:paraId="6073CF83" w14:textId="77777777" w:rsidR="00DB4300" w:rsidRDefault="00DB4300" w:rsidP="00DB4300">
      <w:pPr>
        <w:keepNext w:val="0"/>
        <w:autoSpaceDE w:val="0"/>
        <w:autoSpaceDN w:val="0"/>
        <w:adjustRightInd w:val="0"/>
        <w:spacing w:after="0"/>
        <w:rPr>
          <w:rFonts w:ascii="Arial" w:hAnsi="Arial" w:cs="Arial"/>
          <w:b/>
          <w:bCs/>
          <w:iCs/>
          <w:color w:val="000000" w:themeColor="text1"/>
        </w:rPr>
      </w:pPr>
    </w:p>
    <w:p w14:paraId="392C01AE" w14:textId="706BF2F0" w:rsidR="00DB4300" w:rsidRDefault="00DB4300" w:rsidP="00DB4300">
      <w:pPr>
        <w:keepNext w:val="0"/>
        <w:autoSpaceDE w:val="0"/>
        <w:autoSpaceDN w:val="0"/>
        <w:adjustRightInd w:val="0"/>
        <w:spacing w:after="0"/>
        <w:rPr>
          <w:rFonts w:ascii="Arial" w:hAnsi="Arial" w:cs="Arial"/>
          <w:b/>
          <w:bCs/>
          <w:iCs/>
          <w:color w:val="000000" w:themeColor="text1"/>
        </w:rPr>
      </w:pPr>
      <w:r>
        <w:rPr>
          <w:rFonts w:ascii="Arial" w:hAnsi="Arial" w:cs="Arial"/>
          <w:b/>
          <w:bCs/>
          <w:iCs/>
          <w:color w:val="000000" w:themeColor="text1"/>
        </w:rPr>
        <w:t>Podsúvahové účty</w:t>
      </w:r>
    </w:p>
    <w:p w14:paraId="68493238" w14:textId="77777777" w:rsidR="00DB4300" w:rsidRDefault="00DB4300" w:rsidP="00DB4300">
      <w:pPr>
        <w:keepNext w:val="0"/>
        <w:autoSpaceDE w:val="0"/>
        <w:autoSpaceDN w:val="0"/>
        <w:adjustRightInd w:val="0"/>
        <w:spacing w:after="0"/>
        <w:rPr>
          <w:rFonts w:ascii="Arial" w:hAnsi="Arial" w:cs="Arial"/>
          <w:iCs/>
        </w:rPr>
      </w:pPr>
    </w:p>
    <w:tbl>
      <w:tblPr>
        <w:tblW w:w="5000" w:type="pct"/>
        <w:tblLook w:val="04A0" w:firstRow="1" w:lastRow="0" w:firstColumn="1" w:lastColumn="0" w:noHBand="0" w:noVBand="1"/>
      </w:tblPr>
      <w:tblGrid>
        <w:gridCol w:w="3023"/>
        <w:gridCol w:w="3023"/>
        <w:gridCol w:w="3026"/>
      </w:tblGrid>
      <w:tr w:rsidR="004706FA" w14:paraId="054976F9" w14:textId="77777777" w:rsidTr="004706FA">
        <w:trPr>
          <w:trHeight w:val="73"/>
        </w:trPr>
        <w:tc>
          <w:tcPr>
            <w:tcW w:w="1666" w:type="pct"/>
            <w:tcBorders>
              <w:top w:val="nil"/>
              <w:left w:val="nil"/>
              <w:bottom w:val="nil"/>
              <w:right w:val="nil"/>
            </w:tcBorders>
            <w:shd w:val="clear" w:color="auto" w:fill="auto"/>
            <w:hideMark/>
          </w:tcPr>
          <w:p w14:paraId="5B188F85" w14:textId="77777777" w:rsidR="004706FA" w:rsidRDefault="004706FA" w:rsidP="004706FA">
            <w:pPr>
              <w:keepNext w:val="0"/>
              <w:autoSpaceDE w:val="0"/>
              <w:autoSpaceDN w:val="0"/>
              <w:adjustRightInd w:val="0"/>
              <w:spacing w:after="0"/>
              <w:jc w:val="left"/>
              <w:rPr>
                <w:rFonts w:ascii="Arial" w:hAnsi="Arial" w:cs="Arial"/>
                <w:b/>
                <w:bCs/>
                <w:color w:val="000000" w:themeColor="text1"/>
                <w:sz w:val="18"/>
                <w:szCs w:val="18"/>
                <w:lang w:eastAsia="sk-SK"/>
              </w:rPr>
            </w:pPr>
            <w:r>
              <w:rPr>
                <w:rFonts w:ascii="Arial" w:hAnsi="Arial" w:cs="Arial"/>
                <w:b/>
                <w:bCs/>
                <w:color w:val="000000" w:themeColor="text1"/>
                <w:sz w:val="16"/>
                <w:szCs w:val="16"/>
                <w:lang w:eastAsia="sk-SK"/>
              </w:rPr>
              <w:t xml:space="preserve">Položka </w:t>
            </w:r>
          </w:p>
        </w:tc>
        <w:tc>
          <w:tcPr>
            <w:tcW w:w="1666" w:type="pct"/>
            <w:tcBorders>
              <w:top w:val="nil"/>
              <w:left w:val="nil"/>
              <w:bottom w:val="nil"/>
              <w:right w:val="nil"/>
            </w:tcBorders>
            <w:shd w:val="clear" w:color="auto" w:fill="auto"/>
            <w:hideMark/>
          </w:tcPr>
          <w:p w14:paraId="5846C0D9" w14:textId="15FA254E" w:rsidR="004706FA" w:rsidRDefault="004706FA" w:rsidP="004706FA">
            <w:pPr>
              <w:keepNext w:val="0"/>
              <w:autoSpaceDE w:val="0"/>
              <w:autoSpaceDN w:val="0"/>
              <w:adjustRightInd w:val="0"/>
              <w:spacing w:after="0"/>
              <w:jc w:val="center"/>
              <w:rPr>
                <w:rFonts w:ascii="Arial" w:hAnsi="Arial" w:cs="Arial"/>
                <w:color w:val="000000" w:themeColor="text1"/>
                <w:sz w:val="16"/>
                <w:szCs w:val="16"/>
                <w:lang w:eastAsia="sk-SK"/>
              </w:rPr>
            </w:pPr>
            <w:r>
              <w:rPr>
                <w:rFonts w:ascii="Arial" w:hAnsi="Arial" w:cs="Arial"/>
                <w:b/>
                <w:bCs/>
                <w:color w:val="000000" w:themeColor="text1"/>
                <w:sz w:val="16"/>
                <w:szCs w:val="16"/>
                <w:lang w:eastAsia="sk-SK"/>
              </w:rPr>
              <w:t>2024</w:t>
            </w:r>
          </w:p>
        </w:tc>
        <w:tc>
          <w:tcPr>
            <w:tcW w:w="1668" w:type="pct"/>
            <w:tcBorders>
              <w:top w:val="nil"/>
              <w:left w:val="nil"/>
              <w:bottom w:val="nil"/>
              <w:right w:val="nil"/>
            </w:tcBorders>
            <w:shd w:val="clear" w:color="auto" w:fill="auto"/>
            <w:hideMark/>
          </w:tcPr>
          <w:p w14:paraId="2D613560" w14:textId="54E614B5" w:rsidR="004706FA" w:rsidRDefault="004706FA" w:rsidP="004706FA">
            <w:pPr>
              <w:keepNext w:val="0"/>
              <w:autoSpaceDE w:val="0"/>
              <w:autoSpaceDN w:val="0"/>
              <w:adjustRightInd w:val="0"/>
              <w:spacing w:after="0"/>
              <w:jc w:val="center"/>
              <w:rPr>
                <w:rFonts w:ascii="Arial" w:hAnsi="Arial" w:cs="Arial"/>
                <w:color w:val="000000" w:themeColor="text1"/>
                <w:sz w:val="16"/>
                <w:szCs w:val="16"/>
                <w:lang w:eastAsia="sk-SK"/>
              </w:rPr>
            </w:pPr>
            <w:r>
              <w:rPr>
                <w:rFonts w:ascii="Arial" w:hAnsi="Arial" w:cs="Arial"/>
                <w:b/>
                <w:bCs/>
                <w:color w:val="000000" w:themeColor="text1"/>
                <w:sz w:val="16"/>
                <w:szCs w:val="16"/>
                <w:lang w:eastAsia="sk-SK"/>
              </w:rPr>
              <w:t>2023</w:t>
            </w:r>
          </w:p>
        </w:tc>
      </w:tr>
      <w:tr w:rsidR="004706FA" w14:paraId="68BFBAC2" w14:textId="77777777" w:rsidTr="004706FA">
        <w:trPr>
          <w:trHeight w:val="73"/>
        </w:trPr>
        <w:tc>
          <w:tcPr>
            <w:tcW w:w="1666" w:type="pct"/>
            <w:tcBorders>
              <w:top w:val="nil"/>
              <w:left w:val="nil"/>
              <w:bottom w:val="nil"/>
              <w:right w:val="nil"/>
            </w:tcBorders>
            <w:hideMark/>
          </w:tcPr>
          <w:p w14:paraId="6E65F2CA" w14:textId="77777777" w:rsidR="004706FA" w:rsidRDefault="004706FA" w:rsidP="004706FA">
            <w:pPr>
              <w:keepNext w:val="0"/>
              <w:autoSpaceDE w:val="0"/>
              <w:autoSpaceDN w:val="0"/>
              <w:adjustRightInd w:val="0"/>
              <w:spacing w:after="0"/>
              <w:jc w:val="left"/>
              <w:rPr>
                <w:rFonts w:ascii="Arial" w:hAnsi="Arial" w:cs="Arial"/>
                <w:color w:val="000000" w:themeColor="text1"/>
                <w:sz w:val="16"/>
                <w:szCs w:val="16"/>
                <w:lang w:eastAsia="sk-SK"/>
              </w:rPr>
            </w:pPr>
            <w:r>
              <w:rPr>
                <w:rFonts w:ascii="Arial" w:hAnsi="Arial" w:cs="Arial"/>
                <w:color w:val="000000" w:themeColor="text1"/>
                <w:sz w:val="16"/>
                <w:szCs w:val="16"/>
                <w:lang w:eastAsia="sk-SK"/>
              </w:rPr>
              <w:t xml:space="preserve"> Prenajatý majetok </w:t>
            </w:r>
          </w:p>
        </w:tc>
        <w:tc>
          <w:tcPr>
            <w:tcW w:w="1666" w:type="pct"/>
            <w:tcBorders>
              <w:top w:val="nil"/>
              <w:left w:val="nil"/>
              <w:bottom w:val="nil"/>
              <w:right w:val="nil"/>
            </w:tcBorders>
            <w:hideMark/>
          </w:tcPr>
          <w:p w14:paraId="58202266" w14:textId="1397C437" w:rsidR="004706FA" w:rsidRDefault="00F22205" w:rsidP="004706FA">
            <w:pPr>
              <w:keepNext w:val="0"/>
              <w:autoSpaceDE w:val="0"/>
              <w:autoSpaceDN w:val="0"/>
              <w:adjustRightInd w:val="0"/>
              <w:spacing w:after="0"/>
              <w:jc w:val="center"/>
              <w:rPr>
                <w:rFonts w:ascii="Arial" w:hAnsi="Arial" w:cs="Arial"/>
                <w:color w:val="000000" w:themeColor="text1"/>
                <w:sz w:val="16"/>
                <w:szCs w:val="16"/>
                <w:lang w:eastAsia="sk-SK"/>
              </w:rPr>
            </w:pPr>
            <w:r>
              <w:rPr>
                <w:rFonts w:ascii="Arial" w:hAnsi="Arial" w:cs="Arial"/>
                <w:color w:val="000000" w:themeColor="text1"/>
                <w:sz w:val="16"/>
                <w:szCs w:val="16"/>
                <w:lang w:eastAsia="sk-SK"/>
              </w:rPr>
              <w:t>3 578</w:t>
            </w:r>
          </w:p>
        </w:tc>
        <w:tc>
          <w:tcPr>
            <w:tcW w:w="1668" w:type="pct"/>
            <w:tcBorders>
              <w:top w:val="nil"/>
              <w:left w:val="nil"/>
              <w:bottom w:val="nil"/>
              <w:right w:val="nil"/>
            </w:tcBorders>
            <w:hideMark/>
          </w:tcPr>
          <w:p w14:paraId="63D47600" w14:textId="6CDA4AEE" w:rsidR="004706FA" w:rsidRPr="00287E61" w:rsidRDefault="00410C73" w:rsidP="004706FA">
            <w:pPr>
              <w:keepNext w:val="0"/>
              <w:autoSpaceDE w:val="0"/>
              <w:autoSpaceDN w:val="0"/>
              <w:adjustRightInd w:val="0"/>
              <w:spacing w:after="0"/>
              <w:jc w:val="center"/>
              <w:rPr>
                <w:rFonts w:ascii="Arial" w:hAnsi="Arial" w:cs="Arial"/>
                <w:color w:val="000000" w:themeColor="text1"/>
                <w:sz w:val="16"/>
                <w:szCs w:val="16"/>
                <w:lang w:val="en-US" w:eastAsia="sk-SK"/>
              </w:rPr>
            </w:pPr>
            <w:r>
              <w:rPr>
                <w:rFonts w:ascii="Arial" w:hAnsi="Arial" w:cs="Arial"/>
                <w:color w:val="000000" w:themeColor="text1"/>
                <w:sz w:val="16"/>
                <w:szCs w:val="16"/>
                <w:lang w:eastAsia="sk-SK"/>
              </w:rPr>
              <w:t>0</w:t>
            </w:r>
          </w:p>
        </w:tc>
      </w:tr>
      <w:tr w:rsidR="00DB4300" w14:paraId="4838C16B" w14:textId="77777777" w:rsidTr="00F404FC">
        <w:trPr>
          <w:trHeight w:val="73"/>
        </w:trPr>
        <w:tc>
          <w:tcPr>
            <w:tcW w:w="5000" w:type="pct"/>
            <w:gridSpan w:val="3"/>
            <w:tcBorders>
              <w:top w:val="nil"/>
              <w:left w:val="nil"/>
              <w:bottom w:val="nil"/>
              <w:right w:val="nil"/>
            </w:tcBorders>
            <w:hideMark/>
          </w:tcPr>
          <w:p w14:paraId="1E6C9FBC" w14:textId="77777777" w:rsidR="00DB4300" w:rsidRDefault="00DB4300" w:rsidP="00F404FC">
            <w:pPr>
              <w:keepNext w:val="0"/>
              <w:autoSpaceDE w:val="0"/>
              <w:autoSpaceDN w:val="0"/>
              <w:adjustRightInd w:val="0"/>
              <w:spacing w:after="0"/>
              <w:jc w:val="left"/>
              <w:rPr>
                <w:rFonts w:ascii="Arial" w:hAnsi="Arial" w:cs="Arial"/>
                <w:color w:val="000000" w:themeColor="text1"/>
                <w:sz w:val="16"/>
                <w:szCs w:val="16"/>
                <w:lang w:eastAsia="sk-SK"/>
              </w:rPr>
            </w:pPr>
            <w:r>
              <w:rPr>
                <w:rFonts w:ascii="Arial" w:hAnsi="Arial" w:cs="Arial"/>
                <w:color w:val="000000" w:themeColor="text1"/>
                <w:sz w:val="16"/>
                <w:szCs w:val="16"/>
                <w:lang w:eastAsia="sk-SK"/>
              </w:rPr>
              <w:t xml:space="preserve"> Majetok v nájme (operatívny prenájom) </w:t>
            </w:r>
          </w:p>
        </w:tc>
      </w:tr>
      <w:tr w:rsidR="00DB4300" w14:paraId="58B1B59D" w14:textId="77777777" w:rsidTr="00F404FC">
        <w:trPr>
          <w:trHeight w:val="73"/>
        </w:trPr>
        <w:tc>
          <w:tcPr>
            <w:tcW w:w="5000" w:type="pct"/>
            <w:gridSpan w:val="3"/>
            <w:tcBorders>
              <w:top w:val="nil"/>
              <w:left w:val="nil"/>
              <w:bottom w:val="nil"/>
              <w:right w:val="nil"/>
            </w:tcBorders>
            <w:hideMark/>
          </w:tcPr>
          <w:p w14:paraId="446102B5" w14:textId="77777777" w:rsidR="00DB4300" w:rsidRDefault="00DB4300" w:rsidP="00F404FC">
            <w:pPr>
              <w:keepNext w:val="0"/>
              <w:autoSpaceDE w:val="0"/>
              <w:autoSpaceDN w:val="0"/>
              <w:adjustRightInd w:val="0"/>
              <w:spacing w:after="0"/>
              <w:jc w:val="left"/>
              <w:rPr>
                <w:rFonts w:ascii="Arial" w:hAnsi="Arial" w:cs="Arial"/>
                <w:color w:val="000000" w:themeColor="text1"/>
                <w:sz w:val="16"/>
                <w:szCs w:val="16"/>
                <w:lang w:eastAsia="sk-SK"/>
              </w:rPr>
            </w:pPr>
            <w:r>
              <w:rPr>
                <w:rFonts w:ascii="Arial" w:hAnsi="Arial" w:cs="Arial"/>
                <w:color w:val="000000" w:themeColor="text1"/>
                <w:sz w:val="16"/>
                <w:szCs w:val="16"/>
                <w:lang w:eastAsia="sk-SK"/>
              </w:rPr>
              <w:t xml:space="preserve"> Majetok prijatý do úschovy </w:t>
            </w:r>
          </w:p>
        </w:tc>
      </w:tr>
      <w:tr w:rsidR="00DB4300" w14:paraId="42C6F244" w14:textId="77777777" w:rsidTr="00F404FC">
        <w:trPr>
          <w:trHeight w:val="73"/>
        </w:trPr>
        <w:tc>
          <w:tcPr>
            <w:tcW w:w="5000" w:type="pct"/>
            <w:gridSpan w:val="3"/>
            <w:tcBorders>
              <w:top w:val="nil"/>
              <w:left w:val="nil"/>
              <w:bottom w:val="nil"/>
              <w:right w:val="nil"/>
            </w:tcBorders>
            <w:hideMark/>
          </w:tcPr>
          <w:p w14:paraId="34913C66" w14:textId="77777777" w:rsidR="00DB4300" w:rsidRDefault="00DB4300" w:rsidP="00F404FC">
            <w:pPr>
              <w:keepNext w:val="0"/>
              <w:autoSpaceDE w:val="0"/>
              <w:autoSpaceDN w:val="0"/>
              <w:adjustRightInd w:val="0"/>
              <w:spacing w:after="0"/>
              <w:jc w:val="left"/>
              <w:rPr>
                <w:rFonts w:ascii="Arial" w:hAnsi="Arial" w:cs="Arial"/>
                <w:color w:val="000000" w:themeColor="text1"/>
                <w:sz w:val="16"/>
                <w:szCs w:val="16"/>
                <w:lang w:eastAsia="sk-SK"/>
              </w:rPr>
            </w:pPr>
            <w:r>
              <w:rPr>
                <w:rFonts w:ascii="Arial" w:hAnsi="Arial" w:cs="Arial"/>
                <w:color w:val="000000" w:themeColor="text1"/>
                <w:sz w:val="16"/>
                <w:szCs w:val="16"/>
                <w:lang w:eastAsia="sk-SK"/>
              </w:rPr>
              <w:t xml:space="preserve"> Pohľadávky z derivátov </w:t>
            </w:r>
          </w:p>
        </w:tc>
      </w:tr>
      <w:tr w:rsidR="00DB4300" w14:paraId="3AA0CCC1" w14:textId="77777777" w:rsidTr="00F404FC">
        <w:trPr>
          <w:trHeight w:val="73"/>
        </w:trPr>
        <w:tc>
          <w:tcPr>
            <w:tcW w:w="5000" w:type="pct"/>
            <w:gridSpan w:val="3"/>
            <w:tcBorders>
              <w:top w:val="nil"/>
              <w:left w:val="nil"/>
              <w:bottom w:val="nil"/>
              <w:right w:val="nil"/>
            </w:tcBorders>
            <w:hideMark/>
          </w:tcPr>
          <w:p w14:paraId="6548F30B" w14:textId="77777777" w:rsidR="00DB4300" w:rsidRDefault="00DB4300" w:rsidP="00F404FC">
            <w:pPr>
              <w:keepNext w:val="0"/>
              <w:autoSpaceDE w:val="0"/>
              <w:autoSpaceDN w:val="0"/>
              <w:adjustRightInd w:val="0"/>
              <w:spacing w:after="0"/>
              <w:jc w:val="left"/>
              <w:rPr>
                <w:rFonts w:ascii="Arial" w:hAnsi="Arial" w:cs="Arial"/>
                <w:color w:val="000000" w:themeColor="text1"/>
                <w:sz w:val="16"/>
                <w:szCs w:val="16"/>
                <w:lang w:eastAsia="sk-SK"/>
              </w:rPr>
            </w:pPr>
            <w:r>
              <w:rPr>
                <w:rFonts w:ascii="Arial" w:hAnsi="Arial" w:cs="Arial"/>
                <w:color w:val="000000" w:themeColor="text1"/>
                <w:sz w:val="16"/>
                <w:szCs w:val="16"/>
                <w:lang w:eastAsia="sk-SK"/>
              </w:rPr>
              <w:t xml:space="preserve"> Záväzky z opcií derivátov </w:t>
            </w:r>
          </w:p>
        </w:tc>
      </w:tr>
      <w:tr w:rsidR="00DB4300" w14:paraId="20415643" w14:textId="77777777" w:rsidTr="00F404FC">
        <w:trPr>
          <w:trHeight w:val="73"/>
        </w:trPr>
        <w:tc>
          <w:tcPr>
            <w:tcW w:w="5000" w:type="pct"/>
            <w:gridSpan w:val="3"/>
            <w:tcBorders>
              <w:top w:val="nil"/>
              <w:left w:val="nil"/>
              <w:bottom w:val="nil"/>
              <w:right w:val="nil"/>
            </w:tcBorders>
            <w:hideMark/>
          </w:tcPr>
          <w:p w14:paraId="45DBE732" w14:textId="77777777" w:rsidR="00DB4300" w:rsidRDefault="00DB4300" w:rsidP="00F404FC">
            <w:pPr>
              <w:keepNext w:val="0"/>
              <w:autoSpaceDE w:val="0"/>
              <w:autoSpaceDN w:val="0"/>
              <w:adjustRightInd w:val="0"/>
              <w:spacing w:after="0"/>
              <w:jc w:val="left"/>
              <w:rPr>
                <w:rFonts w:ascii="Arial" w:hAnsi="Arial" w:cs="Arial"/>
                <w:color w:val="000000" w:themeColor="text1"/>
                <w:sz w:val="16"/>
                <w:szCs w:val="16"/>
                <w:lang w:eastAsia="sk-SK"/>
              </w:rPr>
            </w:pPr>
            <w:r>
              <w:rPr>
                <w:rFonts w:ascii="Arial" w:hAnsi="Arial" w:cs="Arial"/>
                <w:color w:val="000000" w:themeColor="text1"/>
                <w:sz w:val="16"/>
                <w:szCs w:val="16"/>
                <w:lang w:eastAsia="sk-SK"/>
              </w:rPr>
              <w:t xml:space="preserve"> Odpísané pohľadávky </w:t>
            </w:r>
          </w:p>
        </w:tc>
      </w:tr>
      <w:tr w:rsidR="00DB4300" w14:paraId="0EF93390" w14:textId="77777777" w:rsidTr="00F404FC">
        <w:trPr>
          <w:trHeight w:val="73"/>
        </w:trPr>
        <w:tc>
          <w:tcPr>
            <w:tcW w:w="5000" w:type="pct"/>
            <w:gridSpan w:val="3"/>
            <w:tcBorders>
              <w:top w:val="nil"/>
              <w:left w:val="nil"/>
              <w:bottom w:val="nil"/>
              <w:right w:val="nil"/>
            </w:tcBorders>
            <w:hideMark/>
          </w:tcPr>
          <w:p w14:paraId="05970DCD" w14:textId="77777777" w:rsidR="00DB4300" w:rsidRDefault="00DB4300" w:rsidP="00F404FC">
            <w:pPr>
              <w:keepNext w:val="0"/>
              <w:autoSpaceDE w:val="0"/>
              <w:autoSpaceDN w:val="0"/>
              <w:adjustRightInd w:val="0"/>
              <w:spacing w:after="0"/>
              <w:jc w:val="left"/>
              <w:rPr>
                <w:rFonts w:ascii="Arial" w:hAnsi="Arial" w:cs="Arial"/>
                <w:color w:val="000000" w:themeColor="text1"/>
                <w:sz w:val="16"/>
                <w:szCs w:val="16"/>
                <w:lang w:eastAsia="sk-SK"/>
              </w:rPr>
            </w:pPr>
            <w:r>
              <w:rPr>
                <w:rFonts w:ascii="Arial" w:hAnsi="Arial" w:cs="Arial"/>
                <w:color w:val="000000" w:themeColor="text1"/>
                <w:sz w:val="16"/>
                <w:szCs w:val="16"/>
                <w:lang w:eastAsia="sk-SK"/>
              </w:rPr>
              <w:t xml:space="preserve"> Pohľadávky z leasingu </w:t>
            </w:r>
          </w:p>
        </w:tc>
      </w:tr>
      <w:tr w:rsidR="00DB4300" w14:paraId="57A99F58" w14:textId="77777777" w:rsidTr="00F404FC">
        <w:trPr>
          <w:trHeight w:val="73"/>
        </w:trPr>
        <w:tc>
          <w:tcPr>
            <w:tcW w:w="5000" w:type="pct"/>
            <w:gridSpan w:val="3"/>
            <w:tcBorders>
              <w:top w:val="nil"/>
              <w:left w:val="nil"/>
              <w:bottom w:val="nil"/>
              <w:right w:val="nil"/>
            </w:tcBorders>
            <w:hideMark/>
          </w:tcPr>
          <w:p w14:paraId="093BD6BC" w14:textId="77777777" w:rsidR="00DB4300" w:rsidRDefault="00DB4300" w:rsidP="00F404FC">
            <w:pPr>
              <w:keepNext w:val="0"/>
              <w:autoSpaceDE w:val="0"/>
              <w:autoSpaceDN w:val="0"/>
              <w:adjustRightInd w:val="0"/>
              <w:spacing w:after="0"/>
              <w:jc w:val="left"/>
              <w:rPr>
                <w:rFonts w:ascii="Arial" w:hAnsi="Arial" w:cs="Arial"/>
                <w:color w:val="000000" w:themeColor="text1"/>
                <w:sz w:val="16"/>
                <w:szCs w:val="16"/>
                <w:lang w:eastAsia="sk-SK"/>
              </w:rPr>
            </w:pPr>
            <w:r>
              <w:rPr>
                <w:rFonts w:ascii="Arial" w:hAnsi="Arial" w:cs="Arial"/>
                <w:color w:val="000000" w:themeColor="text1"/>
                <w:sz w:val="16"/>
                <w:szCs w:val="16"/>
                <w:lang w:eastAsia="sk-SK"/>
              </w:rPr>
              <w:t xml:space="preserve"> Záväzky z leasingu </w:t>
            </w:r>
          </w:p>
        </w:tc>
      </w:tr>
      <w:tr w:rsidR="00DB4300" w14:paraId="273A7219" w14:textId="77777777" w:rsidTr="004706FA">
        <w:trPr>
          <w:trHeight w:val="73"/>
        </w:trPr>
        <w:tc>
          <w:tcPr>
            <w:tcW w:w="1666" w:type="pct"/>
            <w:tcBorders>
              <w:top w:val="nil"/>
              <w:left w:val="nil"/>
              <w:bottom w:val="nil"/>
              <w:right w:val="nil"/>
            </w:tcBorders>
            <w:hideMark/>
          </w:tcPr>
          <w:p w14:paraId="2152E3E3" w14:textId="77777777" w:rsidR="00DB4300" w:rsidRDefault="00DB4300" w:rsidP="00F404FC">
            <w:pPr>
              <w:keepNext w:val="0"/>
              <w:autoSpaceDE w:val="0"/>
              <w:autoSpaceDN w:val="0"/>
              <w:adjustRightInd w:val="0"/>
              <w:spacing w:after="0"/>
              <w:jc w:val="left"/>
              <w:rPr>
                <w:rFonts w:ascii="Arial" w:hAnsi="Arial" w:cs="Arial"/>
                <w:color w:val="000000" w:themeColor="text1"/>
                <w:sz w:val="16"/>
                <w:szCs w:val="16"/>
                <w:lang w:eastAsia="sk-SK"/>
              </w:rPr>
            </w:pPr>
            <w:r>
              <w:rPr>
                <w:rFonts w:ascii="Arial" w:hAnsi="Arial" w:cs="Arial"/>
                <w:color w:val="000000" w:themeColor="text1"/>
                <w:sz w:val="16"/>
                <w:szCs w:val="16"/>
                <w:lang w:eastAsia="sk-SK"/>
              </w:rPr>
              <w:t xml:space="preserve"> Iné položky </w:t>
            </w:r>
          </w:p>
        </w:tc>
        <w:tc>
          <w:tcPr>
            <w:tcW w:w="1666" w:type="pct"/>
            <w:tcBorders>
              <w:top w:val="nil"/>
              <w:left w:val="nil"/>
              <w:bottom w:val="nil"/>
              <w:right w:val="nil"/>
            </w:tcBorders>
            <w:hideMark/>
          </w:tcPr>
          <w:p w14:paraId="03FD4B0B" w14:textId="5B181F7D" w:rsidR="00DB4300" w:rsidRDefault="00DB4300" w:rsidP="00F404FC">
            <w:pPr>
              <w:keepNext w:val="0"/>
              <w:autoSpaceDE w:val="0"/>
              <w:autoSpaceDN w:val="0"/>
              <w:adjustRightInd w:val="0"/>
              <w:spacing w:after="0"/>
              <w:jc w:val="center"/>
              <w:rPr>
                <w:rFonts w:ascii="Arial" w:hAnsi="Arial" w:cs="Arial"/>
                <w:color w:val="000000" w:themeColor="text1"/>
                <w:sz w:val="16"/>
                <w:szCs w:val="16"/>
                <w:lang w:eastAsia="sk-SK"/>
              </w:rPr>
            </w:pPr>
          </w:p>
        </w:tc>
        <w:tc>
          <w:tcPr>
            <w:tcW w:w="1668" w:type="pct"/>
            <w:tcBorders>
              <w:top w:val="nil"/>
              <w:left w:val="nil"/>
              <w:bottom w:val="nil"/>
              <w:right w:val="nil"/>
            </w:tcBorders>
            <w:hideMark/>
          </w:tcPr>
          <w:p w14:paraId="273494BA" w14:textId="63CEF3CA" w:rsidR="00DB4300" w:rsidRDefault="00DB4300" w:rsidP="00F404FC">
            <w:pPr>
              <w:keepNext w:val="0"/>
              <w:autoSpaceDE w:val="0"/>
              <w:autoSpaceDN w:val="0"/>
              <w:adjustRightInd w:val="0"/>
              <w:spacing w:after="0"/>
              <w:jc w:val="center"/>
              <w:rPr>
                <w:rFonts w:ascii="Arial" w:hAnsi="Arial" w:cs="Arial"/>
                <w:color w:val="000000" w:themeColor="text1"/>
                <w:sz w:val="16"/>
                <w:szCs w:val="16"/>
                <w:lang w:eastAsia="sk-SK"/>
              </w:rPr>
            </w:pPr>
          </w:p>
        </w:tc>
      </w:tr>
    </w:tbl>
    <w:p w14:paraId="0837EA59" w14:textId="77777777" w:rsidR="00DB4300" w:rsidRDefault="00DB4300" w:rsidP="00DB4300">
      <w:pPr>
        <w:keepNext w:val="0"/>
        <w:autoSpaceDE w:val="0"/>
        <w:autoSpaceDN w:val="0"/>
        <w:adjustRightInd w:val="0"/>
        <w:spacing w:after="0"/>
        <w:rPr>
          <w:rFonts w:ascii="Arial" w:hAnsi="Arial" w:cs="Arial"/>
          <w:iCs/>
          <w:sz w:val="22"/>
          <w:szCs w:val="22"/>
        </w:rPr>
      </w:pPr>
    </w:p>
    <w:p w14:paraId="169CAA90" w14:textId="77777777" w:rsidR="00A930B4" w:rsidRDefault="00A930B4" w:rsidP="00DB4300">
      <w:pPr>
        <w:keepNext w:val="0"/>
        <w:autoSpaceDE w:val="0"/>
        <w:autoSpaceDN w:val="0"/>
        <w:adjustRightInd w:val="0"/>
        <w:spacing w:after="0"/>
        <w:rPr>
          <w:rFonts w:ascii="Arial" w:hAnsi="Arial" w:cs="Arial"/>
          <w:iCs/>
        </w:rPr>
      </w:pPr>
    </w:p>
    <w:p w14:paraId="23D36809" w14:textId="77777777" w:rsidR="00DB4300" w:rsidRDefault="00DB4300" w:rsidP="00DB4300">
      <w:pPr>
        <w:keepNext w:val="0"/>
        <w:autoSpaceDE w:val="0"/>
        <w:autoSpaceDN w:val="0"/>
        <w:adjustRightInd w:val="0"/>
        <w:spacing w:after="0"/>
        <w:rPr>
          <w:rFonts w:ascii="Arial" w:hAnsi="Arial" w:cs="Arial"/>
          <w:i/>
        </w:rPr>
      </w:pPr>
    </w:p>
    <w:p w14:paraId="25A620A5" w14:textId="77777777" w:rsidR="00DB4300" w:rsidRDefault="00DB4300" w:rsidP="00DC65EF">
      <w:pPr>
        <w:pStyle w:val="Nadpis1"/>
        <w:keepNext w:val="0"/>
        <w:spacing w:before="120"/>
        <w:rPr>
          <w:rFonts w:ascii="Arial" w:hAnsi="Arial" w:cs="Arial"/>
        </w:rPr>
      </w:pPr>
      <w:r w:rsidRPr="00DB4300">
        <w:rPr>
          <w:rFonts w:ascii="Arial" w:hAnsi="Arial" w:cs="Arial"/>
        </w:rPr>
        <w:t>udalosti, ktoré nastali po dni, ku ktorému sa zostavuje účtovná závierka</w:t>
      </w:r>
      <w:r>
        <w:rPr>
          <w:rFonts w:ascii="Arial" w:hAnsi="Arial" w:cs="Arial"/>
        </w:rPr>
        <w:t xml:space="preserve"> </w:t>
      </w:r>
    </w:p>
    <w:p w14:paraId="004AE7B5" w14:textId="3260A4CE" w:rsidR="00DB4300" w:rsidRPr="00DB4300" w:rsidRDefault="00DB4300" w:rsidP="00DB4300">
      <w:pPr>
        <w:pStyle w:val="Nadpis1"/>
        <w:keepNext w:val="0"/>
        <w:numPr>
          <w:ilvl w:val="0"/>
          <w:numId w:val="0"/>
        </w:numPr>
        <w:spacing w:before="120"/>
        <w:ind w:left="454"/>
        <w:jc w:val="left"/>
        <w:rPr>
          <w:rFonts w:ascii="Arial" w:hAnsi="Arial" w:cs="Arial"/>
          <w:b w:val="0"/>
          <w:bCs/>
          <w:u w:val="none"/>
        </w:rPr>
      </w:pPr>
      <w:r w:rsidRPr="00DB4300">
        <w:rPr>
          <w:rFonts w:ascii="Arial" w:hAnsi="Arial" w:cs="Arial"/>
          <w:b w:val="0"/>
          <w:bCs/>
          <w:caps w:val="0"/>
          <w:u w:val="none"/>
        </w:rPr>
        <w:t>Po 31. Decembri 202</w:t>
      </w:r>
      <w:r w:rsidR="00412ABB">
        <w:rPr>
          <w:rFonts w:ascii="Arial" w:hAnsi="Arial" w:cs="Arial"/>
          <w:b w:val="0"/>
          <w:bCs/>
          <w:caps w:val="0"/>
          <w:u w:val="none"/>
        </w:rPr>
        <w:t>4</w:t>
      </w:r>
      <w:r w:rsidRPr="00DB4300">
        <w:rPr>
          <w:rFonts w:ascii="Arial" w:hAnsi="Arial" w:cs="Arial"/>
          <w:b w:val="0"/>
          <w:bCs/>
          <w:caps w:val="0"/>
          <w:u w:val="none"/>
        </w:rPr>
        <w:t xml:space="preserve"> nenastali také udalosti, ktoré majú významný vplyv na verné zobrazenie skutočností uvádzaných v tejto účtovnej závierke.</w:t>
      </w:r>
      <w:r w:rsidRPr="00DB4300">
        <w:rPr>
          <w:rFonts w:ascii="Arial" w:hAnsi="Arial" w:cs="Arial"/>
          <w:b w:val="0"/>
          <w:bCs/>
          <w:u w:val="none"/>
        </w:rPr>
        <w:t xml:space="preserve"> </w:t>
      </w:r>
    </w:p>
    <w:sectPr w:rsidR="00DB4300" w:rsidRPr="00DB4300" w:rsidSect="00F72B5E">
      <w:headerReference w:type="default" r:id="rId8"/>
      <w:type w:val="nextColumn"/>
      <w:pgSz w:w="11907" w:h="16840" w:code="9"/>
      <w:pgMar w:top="2127" w:right="1134" w:bottom="1134" w:left="1701" w:header="737" w:footer="454"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8F921C" w14:textId="77777777" w:rsidR="007944AA" w:rsidRPr="00560AB1" w:rsidRDefault="007944AA">
      <w:r w:rsidRPr="00560AB1">
        <w:separator/>
      </w:r>
    </w:p>
  </w:endnote>
  <w:endnote w:type="continuationSeparator" w:id="0">
    <w:p w14:paraId="1513E589" w14:textId="77777777" w:rsidR="007944AA" w:rsidRPr="00560AB1" w:rsidRDefault="007944AA">
      <w:r w:rsidRPr="00560AB1">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7FDA71" w14:textId="77777777" w:rsidR="007944AA" w:rsidRPr="00560AB1" w:rsidRDefault="007944AA">
      <w:r w:rsidRPr="00560AB1">
        <w:separator/>
      </w:r>
    </w:p>
  </w:footnote>
  <w:footnote w:type="continuationSeparator" w:id="0">
    <w:p w14:paraId="407A5254" w14:textId="77777777" w:rsidR="007944AA" w:rsidRPr="00560AB1" w:rsidRDefault="007944AA">
      <w:r w:rsidRPr="00560AB1">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658DFE" w14:textId="36D27535" w:rsidR="00F72B5E" w:rsidRDefault="00F72B5E" w:rsidP="00CA0204">
    <w:pPr>
      <w:pStyle w:val="Hlavika"/>
      <w:tabs>
        <w:tab w:val="clear" w:pos="9072"/>
      </w:tabs>
    </w:pPr>
    <w:r w:rsidRPr="00560AB1">
      <w:rPr>
        <w:rFonts w:ascii="Arial" w:hAnsi="Arial" w:cs="Arial"/>
      </w:rPr>
      <w:t>Poznámky Úč POD 3 – 01</w:t>
    </w:r>
    <w:r w:rsidRPr="00560AB1">
      <w:rPr>
        <w:rFonts w:ascii="Arial" w:hAnsi="Arial" w:cs="Arial"/>
      </w:rPr>
      <w:tab/>
    </w:r>
    <w:r w:rsidR="00A930B4" w:rsidRPr="00560AB1">
      <w:rPr>
        <w:rFonts w:ascii="Arial" w:hAnsi="Arial" w:cs="Arial"/>
      </w:rPr>
      <w:t xml:space="preserve">DIČ: </w:t>
    </w:r>
    <w:r w:rsidR="001E136E" w:rsidRPr="001E136E">
      <w:rPr>
        <w:rFonts w:ascii="Arial" w:hAnsi="Arial" w:cs="Arial"/>
      </w:rPr>
      <w:t>2121663951</w:t>
    </w:r>
    <w:r w:rsidR="00A930B4" w:rsidRPr="00560AB1">
      <w:rPr>
        <w:rFonts w:ascii="Arial" w:hAnsi="Arial" w:cs="Arial"/>
      </w:rPr>
      <w:tab/>
      <w:t xml:space="preserve">IČO: </w:t>
    </w:r>
    <w:r w:rsidR="0098667D">
      <w:rPr>
        <w:rFonts w:ascii="Arial" w:hAnsi="Arial" w:cs="Arial"/>
      </w:rPr>
      <w:t>54</w:t>
    </w:r>
    <w:r w:rsidR="00FF3E55">
      <w:rPr>
        <w:rFonts w:ascii="Arial" w:hAnsi="Arial" w:cs="Arial"/>
      </w:rPr>
      <w:t>432791</w:t>
    </w:r>
  </w:p>
  <w:p w14:paraId="5EF10AF4" w14:textId="77777777" w:rsidR="00FF3E55" w:rsidRPr="00FF3E55" w:rsidRDefault="00FF3E55" w:rsidP="00FF3E55">
    <w:pPr>
      <w:pStyle w:val="Hlavika"/>
      <w:spacing w:after="0"/>
      <w:rPr>
        <w:rFonts w:ascii="Arial" w:hAnsi="Arial" w:cs="Arial"/>
        <w:bCs/>
      </w:rPr>
    </w:pPr>
    <w:r w:rsidRPr="00FF3E55">
      <w:rPr>
        <w:rFonts w:ascii="Arial" w:hAnsi="Arial" w:cs="Arial"/>
        <w:bCs/>
      </w:rPr>
      <w:tab/>
    </w:r>
  </w:p>
  <w:p w14:paraId="0AF53DBF" w14:textId="77777777" w:rsidR="00FF3E55" w:rsidRDefault="00FF3E55" w:rsidP="00FF3E55">
    <w:pPr>
      <w:pStyle w:val="Hlavika"/>
      <w:tabs>
        <w:tab w:val="clear" w:pos="9072"/>
      </w:tabs>
      <w:spacing w:after="0"/>
      <w:rPr>
        <w:rFonts w:ascii="Arial" w:hAnsi="Arial" w:cs="Arial"/>
        <w:bCs/>
      </w:rPr>
    </w:pPr>
    <w:r w:rsidRPr="00FF3E55">
      <w:rPr>
        <w:rFonts w:ascii="Arial" w:hAnsi="Arial" w:cs="Arial"/>
        <w:bCs/>
      </w:rPr>
      <w:t>Diagnostické centrum AGEL Hlohovec s. r. o.</w:t>
    </w:r>
  </w:p>
  <w:p w14:paraId="49DC59D7" w14:textId="025B7DC9" w:rsidR="00DB4300" w:rsidRPr="00D62A23" w:rsidRDefault="00DB4300" w:rsidP="00FF3E55">
    <w:pPr>
      <w:pStyle w:val="Hlavika"/>
      <w:tabs>
        <w:tab w:val="clear" w:pos="9072"/>
      </w:tabs>
      <w:spacing w:after="0"/>
      <w:rPr>
        <w:rFonts w:ascii="Arial" w:hAnsi="Arial" w:cs="Arial"/>
        <w:bCs/>
      </w:rPr>
    </w:pPr>
    <w:r w:rsidRPr="00D62A23">
      <w:rPr>
        <w:rFonts w:ascii="Arial" w:hAnsi="Arial" w:cs="Arial"/>
        <w:bCs/>
      </w:rPr>
      <w:t>Poznámky individuálnej účtovnej závierky</w:t>
    </w:r>
  </w:p>
  <w:p w14:paraId="5B64030E" w14:textId="7BD6CFDF" w:rsidR="00665271" w:rsidRDefault="00DB4300" w:rsidP="00DB4300">
    <w:pPr>
      <w:pStyle w:val="Hlavika"/>
      <w:tabs>
        <w:tab w:val="clear" w:pos="9072"/>
      </w:tabs>
      <w:spacing w:after="0"/>
      <w:rPr>
        <w:rFonts w:ascii="Arial" w:hAnsi="Arial" w:cs="Arial"/>
        <w:bCs/>
      </w:rPr>
    </w:pPr>
    <w:r w:rsidRPr="00D62A23">
      <w:rPr>
        <w:rFonts w:ascii="Arial" w:hAnsi="Arial" w:cs="Arial"/>
        <w:bCs/>
      </w:rPr>
      <w:t>Zostavenej k 31. decembru 202</w:t>
    </w:r>
    <w:r w:rsidR="00665271">
      <w:rPr>
        <w:rFonts w:ascii="Arial" w:hAnsi="Arial" w:cs="Arial"/>
        <w:bCs/>
      </w:rPr>
      <w:t>4</w:t>
    </w:r>
  </w:p>
  <w:p w14:paraId="628AB060" w14:textId="77777777" w:rsidR="00DB4300" w:rsidRPr="00DB4300" w:rsidRDefault="00DB4300" w:rsidP="00DB4300">
    <w:pPr>
      <w:pStyle w:val="Hlavika"/>
      <w:tabs>
        <w:tab w:val="clear" w:pos="9072"/>
      </w:tabs>
      <w:spacing w:after="0"/>
      <w:rPr>
        <w:rFonts w:ascii="Arial" w:hAnsi="Arial" w:cs="Arial"/>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7B3182C"/>
    <w:multiLevelType w:val="hybridMultilevel"/>
    <w:tmpl w:val="EE32AE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9E074A7"/>
    <w:multiLevelType w:val="multilevel"/>
    <w:tmpl w:val="63C4D754"/>
    <w:lvl w:ilvl="0">
      <w:start w:val="1"/>
      <w:numFmt w:val="decimal"/>
      <w:pStyle w:val="Nadpis1"/>
      <w:lvlText w:val="%1."/>
      <w:lvlJc w:val="left"/>
      <w:pPr>
        <w:tabs>
          <w:tab w:val="num" w:pos="454"/>
        </w:tabs>
        <w:ind w:left="454" w:hanging="454"/>
      </w:pPr>
      <w:rPr>
        <w:rFonts w:hint="default"/>
      </w:rPr>
    </w:lvl>
    <w:lvl w:ilvl="1">
      <w:start w:val="1"/>
      <w:numFmt w:val="decimal"/>
      <w:isLgl/>
      <w:lvlText w:val="%1.%2."/>
      <w:lvlJc w:val="left"/>
      <w:pPr>
        <w:ind w:left="928" w:hanging="360"/>
      </w:pPr>
      <w:rPr>
        <w:rFonts w:ascii="Arial" w:hAnsi="Arial" w:cs="Arial" w:hint="default"/>
        <w:i w:val="0"/>
      </w:rPr>
    </w:lvl>
    <w:lvl w:ilvl="2">
      <w:start w:val="1"/>
      <w:numFmt w:val="decimal"/>
      <w:isLgl/>
      <w:lvlText w:val="%1.%2.%3."/>
      <w:lvlJc w:val="left"/>
      <w:pPr>
        <w:ind w:left="720" w:hanging="720"/>
      </w:pPr>
      <w:rPr>
        <w:rFonts w:hint="default"/>
        <w:i/>
      </w:rPr>
    </w:lvl>
    <w:lvl w:ilvl="3">
      <w:start w:val="1"/>
      <w:numFmt w:val="decimal"/>
      <w:isLgl/>
      <w:lvlText w:val="%1.%2.%3.%4."/>
      <w:lvlJc w:val="left"/>
      <w:pPr>
        <w:ind w:left="720" w:hanging="720"/>
      </w:pPr>
      <w:rPr>
        <w:rFonts w:hint="default"/>
        <w:i/>
      </w:rPr>
    </w:lvl>
    <w:lvl w:ilvl="4">
      <w:start w:val="1"/>
      <w:numFmt w:val="decimal"/>
      <w:isLgl/>
      <w:lvlText w:val="%1.%2.%3.%4.%5."/>
      <w:lvlJc w:val="left"/>
      <w:pPr>
        <w:ind w:left="1080" w:hanging="1080"/>
      </w:pPr>
      <w:rPr>
        <w:rFonts w:hint="default"/>
        <w:i/>
      </w:rPr>
    </w:lvl>
    <w:lvl w:ilvl="5">
      <w:start w:val="1"/>
      <w:numFmt w:val="decimal"/>
      <w:isLgl/>
      <w:lvlText w:val="%1.%2.%3.%4.%5.%6."/>
      <w:lvlJc w:val="left"/>
      <w:pPr>
        <w:ind w:left="1080" w:hanging="1080"/>
      </w:pPr>
      <w:rPr>
        <w:rFonts w:hint="default"/>
        <w:i/>
      </w:rPr>
    </w:lvl>
    <w:lvl w:ilvl="6">
      <w:start w:val="1"/>
      <w:numFmt w:val="decimal"/>
      <w:isLgl/>
      <w:lvlText w:val="%1.%2.%3.%4.%5.%6.%7."/>
      <w:lvlJc w:val="left"/>
      <w:pPr>
        <w:ind w:left="1440" w:hanging="1440"/>
      </w:pPr>
      <w:rPr>
        <w:rFonts w:hint="default"/>
        <w:i/>
      </w:rPr>
    </w:lvl>
    <w:lvl w:ilvl="7">
      <w:start w:val="1"/>
      <w:numFmt w:val="decimal"/>
      <w:isLgl/>
      <w:lvlText w:val="%1.%2.%3.%4.%5.%6.%7.%8."/>
      <w:lvlJc w:val="left"/>
      <w:pPr>
        <w:ind w:left="1440" w:hanging="1440"/>
      </w:pPr>
      <w:rPr>
        <w:rFonts w:hint="default"/>
        <w:i/>
      </w:rPr>
    </w:lvl>
    <w:lvl w:ilvl="8">
      <w:start w:val="1"/>
      <w:numFmt w:val="decimal"/>
      <w:isLgl/>
      <w:lvlText w:val="%1.%2.%3.%4.%5.%6.%7.%8.%9."/>
      <w:lvlJc w:val="left"/>
      <w:pPr>
        <w:ind w:left="1800" w:hanging="1800"/>
      </w:pPr>
      <w:rPr>
        <w:rFonts w:hint="default"/>
        <w:i/>
      </w:rPr>
    </w:lvl>
  </w:abstractNum>
  <w:abstractNum w:abstractNumId="8" w15:restartNumberingAfterBreak="0">
    <w:nsid w:val="3DB0581E"/>
    <w:multiLevelType w:val="hybridMultilevel"/>
    <w:tmpl w:val="7E087FAC"/>
    <w:lvl w:ilvl="0" w:tplc="041B000F">
      <w:start w:val="1"/>
      <w:numFmt w:val="decimal"/>
      <w:lvlText w:val="%1."/>
      <w:lvlJc w:val="left"/>
      <w:pPr>
        <w:tabs>
          <w:tab w:val="num" w:pos="720"/>
        </w:tabs>
        <w:ind w:left="720" w:hanging="360"/>
      </w:pPr>
      <w:rPr>
        <w:rFonts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0"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1" w15:restartNumberingAfterBreak="0">
    <w:nsid w:val="57A817AE"/>
    <w:multiLevelType w:val="hybridMultilevel"/>
    <w:tmpl w:val="57ACF120"/>
    <w:lvl w:ilvl="0" w:tplc="CB0C18A8">
      <w:start w:val="1"/>
      <w:numFmt w:val="upperLetter"/>
      <w:lvlText w:val="%1)"/>
      <w:lvlJc w:val="left"/>
      <w:pPr>
        <w:ind w:left="720" w:hanging="360"/>
      </w:pPr>
      <w:rPr>
        <w:rFonts w:hint="default"/>
        <w:color w:val="auto"/>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8FF077F"/>
    <w:multiLevelType w:val="hybridMultilevel"/>
    <w:tmpl w:val="885E10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4"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5"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1371688878">
    <w:abstractNumId w:val="7"/>
  </w:num>
  <w:num w:numId="2" w16cid:durableId="297959206">
    <w:abstractNumId w:val="4"/>
  </w:num>
  <w:num w:numId="3" w16cid:durableId="1806041394">
    <w:abstractNumId w:val="4"/>
    <w:lvlOverride w:ilvl="0">
      <w:startOverride w:val="1"/>
    </w:lvlOverride>
  </w:num>
  <w:num w:numId="4" w16cid:durableId="1352150052">
    <w:abstractNumId w:val="4"/>
    <w:lvlOverride w:ilvl="0">
      <w:startOverride w:val="1"/>
    </w:lvlOverride>
  </w:num>
  <w:num w:numId="5" w16cid:durableId="1785687766">
    <w:abstractNumId w:val="10"/>
  </w:num>
  <w:num w:numId="6" w16cid:durableId="1197086531">
    <w:abstractNumId w:val="7"/>
  </w:num>
  <w:num w:numId="7" w16cid:durableId="1727148231">
    <w:abstractNumId w:val="7"/>
  </w:num>
  <w:num w:numId="8" w16cid:durableId="122189565">
    <w:abstractNumId w:val="9"/>
  </w:num>
  <w:num w:numId="9" w16cid:durableId="644819359">
    <w:abstractNumId w:val="3"/>
  </w:num>
  <w:num w:numId="10" w16cid:durableId="1316296665">
    <w:abstractNumId w:val="15"/>
  </w:num>
  <w:num w:numId="11" w16cid:durableId="562831870">
    <w:abstractNumId w:val="17"/>
  </w:num>
  <w:num w:numId="12" w16cid:durableId="571627222">
    <w:abstractNumId w:val="1"/>
  </w:num>
  <w:num w:numId="13" w16cid:durableId="836726020">
    <w:abstractNumId w:val="10"/>
  </w:num>
  <w:num w:numId="14" w16cid:durableId="1996448945">
    <w:abstractNumId w:val="10"/>
  </w:num>
  <w:num w:numId="15" w16cid:durableId="1990474531">
    <w:abstractNumId w:val="10"/>
  </w:num>
  <w:num w:numId="16" w16cid:durableId="1218858678">
    <w:abstractNumId w:val="14"/>
  </w:num>
  <w:num w:numId="17" w16cid:durableId="576593372">
    <w:abstractNumId w:val="10"/>
  </w:num>
  <w:num w:numId="18" w16cid:durableId="2054622429">
    <w:abstractNumId w:val="4"/>
  </w:num>
  <w:num w:numId="19" w16cid:durableId="951941791">
    <w:abstractNumId w:val="7"/>
  </w:num>
  <w:num w:numId="20" w16cid:durableId="719522151">
    <w:abstractNumId w:val="7"/>
  </w:num>
  <w:num w:numId="21" w16cid:durableId="1561667455">
    <w:abstractNumId w:val="7"/>
  </w:num>
  <w:num w:numId="22" w16cid:durableId="359361792">
    <w:abstractNumId w:val="5"/>
  </w:num>
  <w:num w:numId="23" w16cid:durableId="1995603152">
    <w:abstractNumId w:val="4"/>
  </w:num>
  <w:num w:numId="24" w16cid:durableId="1238706470">
    <w:abstractNumId w:val="4"/>
  </w:num>
  <w:num w:numId="25" w16cid:durableId="1711298598">
    <w:abstractNumId w:val="4"/>
  </w:num>
  <w:num w:numId="26" w16cid:durableId="1596862352">
    <w:abstractNumId w:val="16"/>
  </w:num>
  <w:num w:numId="27" w16cid:durableId="930428225">
    <w:abstractNumId w:val="10"/>
  </w:num>
  <w:num w:numId="28" w16cid:durableId="163906219">
    <w:abstractNumId w:val="7"/>
  </w:num>
  <w:num w:numId="29" w16cid:durableId="1563558907">
    <w:abstractNumId w:val="7"/>
  </w:num>
  <w:num w:numId="30" w16cid:durableId="738671505">
    <w:abstractNumId w:val="7"/>
  </w:num>
  <w:num w:numId="31" w16cid:durableId="188764748">
    <w:abstractNumId w:val="7"/>
  </w:num>
  <w:num w:numId="32" w16cid:durableId="201601841">
    <w:abstractNumId w:val="0"/>
  </w:num>
  <w:num w:numId="33" w16cid:durableId="1542205155">
    <w:abstractNumId w:val="13"/>
  </w:num>
  <w:num w:numId="34" w16cid:durableId="810826739">
    <w:abstractNumId w:val="2"/>
  </w:num>
  <w:num w:numId="35" w16cid:durableId="2133090145">
    <w:abstractNumId w:val="10"/>
  </w:num>
  <w:num w:numId="36" w16cid:durableId="1217426057">
    <w:abstractNumId w:val="11"/>
  </w:num>
  <w:num w:numId="37" w16cid:durableId="1847819128">
    <w:abstractNumId w:val="4"/>
  </w:num>
  <w:num w:numId="38" w16cid:durableId="1884319815">
    <w:abstractNumId w:val="8"/>
  </w:num>
  <w:num w:numId="39" w16cid:durableId="975262380">
    <w:abstractNumId w:val="12"/>
  </w:num>
  <w:num w:numId="40" w16cid:durableId="820006344">
    <w:abstractNumId w:val="6"/>
  </w:num>
  <w:num w:numId="41" w16cid:durableId="16238004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470"/>
    <w:rsid w:val="000000BA"/>
    <w:rsid w:val="0000109E"/>
    <w:rsid w:val="00001A25"/>
    <w:rsid w:val="00001A49"/>
    <w:rsid w:val="00001CE9"/>
    <w:rsid w:val="0000291E"/>
    <w:rsid w:val="000038F0"/>
    <w:rsid w:val="000056F9"/>
    <w:rsid w:val="00007EB2"/>
    <w:rsid w:val="00011FE1"/>
    <w:rsid w:val="00012744"/>
    <w:rsid w:val="00012F1A"/>
    <w:rsid w:val="000163E6"/>
    <w:rsid w:val="00017657"/>
    <w:rsid w:val="00020FEA"/>
    <w:rsid w:val="00024AC8"/>
    <w:rsid w:val="00027F90"/>
    <w:rsid w:val="000326EE"/>
    <w:rsid w:val="00033B76"/>
    <w:rsid w:val="00034569"/>
    <w:rsid w:val="00035820"/>
    <w:rsid w:val="000422D6"/>
    <w:rsid w:val="00043D29"/>
    <w:rsid w:val="00043E4E"/>
    <w:rsid w:val="00046B11"/>
    <w:rsid w:val="000474ED"/>
    <w:rsid w:val="00052327"/>
    <w:rsid w:val="00054810"/>
    <w:rsid w:val="000549DD"/>
    <w:rsid w:val="000619B3"/>
    <w:rsid w:val="00063304"/>
    <w:rsid w:val="00063AC4"/>
    <w:rsid w:val="00064CDC"/>
    <w:rsid w:val="0006583C"/>
    <w:rsid w:val="00065AA2"/>
    <w:rsid w:val="00067077"/>
    <w:rsid w:val="00067946"/>
    <w:rsid w:val="00071429"/>
    <w:rsid w:val="00072770"/>
    <w:rsid w:val="00072F99"/>
    <w:rsid w:val="00074673"/>
    <w:rsid w:val="00075C57"/>
    <w:rsid w:val="00077F9F"/>
    <w:rsid w:val="0008298C"/>
    <w:rsid w:val="00082EBB"/>
    <w:rsid w:val="000855D2"/>
    <w:rsid w:val="000863EE"/>
    <w:rsid w:val="00093179"/>
    <w:rsid w:val="00093DBC"/>
    <w:rsid w:val="00097D05"/>
    <w:rsid w:val="00097DE2"/>
    <w:rsid w:val="000A2158"/>
    <w:rsid w:val="000A5A10"/>
    <w:rsid w:val="000A6191"/>
    <w:rsid w:val="000B04FB"/>
    <w:rsid w:val="000B2E2F"/>
    <w:rsid w:val="000B467E"/>
    <w:rsid w:val="000B57C7"/>
    <w:rsid w:val="000B70F2"/>
    <w:rsid w:val="000B7437"/>
    <w:rsid w:val="000B7A57"/>
    <w:rsid w:val="000C19DF"/>
    <w:rsid w:val="000C3290"/>
    <w:rsid w:val="000C417D"/>
    <w:rsid w:val="000C6FD4"/>
    <w:rsid w:val="000D0052"/>
    <w:rsid w:val="000D0DEE"/>
    <w:rsid w:val="000D149A"/>
    <w:rsid w:val="000D301B"/>
    <w:rsid w:val="000D5E3F"/>
    <w:rsid w:val="000D76A8"/>
    <w:rsid w:val="000E180E"/>
    <w:rsid w:val="000E18FC"/>
    <w:rsid w:val="000E36EA"/>
    <w:rsid w:val="000E53C0"/>
    <w:rsid w:val="000E6331"/>
    <w:rsid w:val="000E7BC0"/>
    <w:rsid w:val="000F4F7E"/>
    <w:rsid w:val="000F5770"/>
    <w:rsid w:val="000F5F56"/>
    <w:rsid w:val="000F7B37"/>
    <w:rsid w:val="00106D04"/>
    <w:rsid w:val="00107400"/>
    <w:rsid w:val="00110236"/>
    <w:rsid w:val="001105DD"/>
    <w:rsid w:val="001147EA"/>
    <w:rsid w:val="00115DDD"/>
    <w:rsid w:val="0012028D"/>
    <w:rsid w:val="00122637"/>
    <w:rsid w:val="0012618E"/>
    <w:rsid w:val="00127D1B"/>
    <w:rsid w:val="00131E39"/>
    <w:rsid w:val="00134FF0"/>
    <w:rsid w:val="0013646F"/>
    <w:rsid w:val="0014004A"/>
    <w:rsid w:val="00140609"/>
    <w:rsid w:val="00144BDB"/>
    <w:rsid w:val="001540B9"/>
    <w:rsid w:val="0015435E"/>
    <w:rsid w:val="00154BB3"/>
    <w:rsid w:val="00155722"/>
    <w:rsid w:val="00160011"/>
    <w:rsid w:val="00160766"/>
    <w:rsid w:val="00162614"/>
    <w:rsid w:val="001630CC"/>
    <w:rsid w:val="00163C4C"/>
    <w:rsid w:val="001676AB"/>
    <w:rsid w:val="001717EB"/>
    <w:rsid w:val="00172DE3"/>
    <w:rsid w:val="00172E9E"/>
    <w:rsid w:val="00177E75"/>
    <w:rsid w:val="0018070E"/>
    <w:rsid w:val="001813E4"/>
    <w:rsid w:val="00181FB7"/>
    <w:rsid w:val="00183259"/>
    <w:rsid w:val="0018619F"/>
    <w:rsid w:val="001862AF"/>
    <w:rsid w:val="00191874"/>
    <w:rsid w:val="00192ADF"/>
    <w:rsid w:val="00192F4C"/>
    <w:rsid w:val="00197939"/>
    <w:rsid w:val="00197F88"/>
    <w:rsid w:val="001A0983"/>
    <w:rsid w:val="001A0E8E"/>
    <w:rsid w:val="001A32FB"/>
    <w:rsid w:val="001A47A0"/>
    <w:rsid w:val="001A57AF"/>
    <w:rsid w:val="001A57D9"/>
    <w:rsid w:val="001B11AD"/>
    <w:rsid w:val="001B436F"/>
    <w:rsid w:val="001B4B61"/>
    <w:rsid w:val="001B708F"/>
    <w:rsid w:val="001C0E97"/>
    <w:rsid w:val="001C2576"/>
    <w:rsid w:val="001C3C3F"/>
    <w:rsid w:val="001C52FD"/>
    <w:rsid w:val="001C79A4"/>
    <w:rsid w:val="001C7B3E"/>
    <w:rsid w:val="001C7C5C"/>
    <w:rsid w:val="001D1957"/>
    <w:rsid w:val="001D4716"/>
    <w:rsid w:val="001D75F3"/>
    <w:rsid w:val="001E136E"/>
    <w:rsid w:val="001E2A7A"/>
    <w:rsid w:val="001E5C3D"/>
    <w:rsid w:val="001F29AB"/>
    <w:rsid w:val="001F3543"/>
    <w:rsid w:val="002000F9"/>
    <w:rsid w:val="0020268B"/>
    <w:rsid w:val="002044F6"/>
    <w:rsid w:val="0020455B"/>
    <w:rsid w:val="0020619A"/>
    <w:rsid w:val="00206577"/>
    <w:rsid w:val="00210086"/>
    <w:rsid w:val="00210AC5"/>
    <w:rsid w:val="00212605"/>
    <w:rsid w:val="00213B04"/>
    <w:rsid w:val="0021493A"/>
    <w:rsid w:val="00217087"/>
    <w:rsid w:val="002226E1"/>
    <w:rsid w:val="00222F19"/>
    <w:rsid w:val="00224371"/>
    <w:rsid w:val="00224416"/>
    <w:rsid w:val="002278DC"/>
    <w:rsid w:val="0023102E"/>
    <w:rsid w:val="00234A34"/>
    <w:rsid w:val="0023679A"/>
    <w:rsid w:val="00236F0C"/>
    <w:rsid w:val="00237FCF"/>
    <w:rsid w:val="0024077A"/>
    <w:rsid w:val="0024246C"/>
    <w:rsid w:val="00244F7E"/>
    <w:rsid w:val="00245D9E"/>
    <w:rsid w:val="00246772"/>
    <w:rsid w:val="00247129"/>
    <w:rsid w:val="0025037A"/>
    <w:rsid w:val="002562D7"/>
    <w:rsid w:val="00257DDB"/>
    <w:rsid w:val="00262630"/>
    <w:rsid w:val="00265CDA"/>
    <w:rsid w:val="00266072"/>
    <w:rsid w:val="002673B6"/>
    <w:rsid w:val="00273DA1"/>
    <w:rsid w:val="002748DE"/>
    <w:rsid w:val="002818D4"/>
    <w:rsid w:val="002827B7"/>
    <w:rsid w:val="0028420F"/>
    <w:rsid w:val="0028614C"/>
    <w:rsid w:val="00287D7A"/>
    <w:rsid w:val="002927F5"/>
    <w:rsid w:val="00295714"/>
    <w:rsid w:val="00295730"/>
    <w:rsid w:val="00296518"/>
    <w:rsid w:val="00296B9D"/>
    <w:rsid w:val="00297A42"/>
    <w:rsid w:val="002A00C8"/>
    <w:rsid w:val="002A0F41"/>
    <w:rsid w:val="002A1F7E"/>
    <w:rsid w:val="002A2748"/>
    <w:rsid w:val="002A4E19"/>
    <w:rsid w:val="002A593B"/>
    <w:rsid w:val="002A5DC7"/>
    <w:rsid w:val="002A6954"/>
    <w:rsid w:val="002A6B69"/>
    <w:rsid w:val="002B046B"/>
    <w:rsid w:val="002B191E"/>
    <w:rsid w:val="002B2457"/>
    <w:rsid w:val="002C0964"/>
    <w:rsid w:val="002C1DC5"/>
    <w:rsid w:val="002C44AA"/>
    <w:rsid w:val="002D0475"/>
    <w:rsid w:val="002D3940"/>
    <w:rsid w:val="002D4F5A"/>
    <w:rsid w:val="002D5299"/>
    <w:rsid w:val="002D5C2D"/>
    <w:rsid w:val="002E10BE"/>
    <w:rsid w:val="002E214C"/>
    <w:rsid w:val="002E44B8"/>
    <w:rsid w:val="002E461D"/>
    <w:rsid w:val="002E6669"/>
    <w:rsid w:val="002E7686"/>
    <w:rsid w:val="002F075F"/>
    <w:rsid w:val="002F2E8E"/>
    <w:rsid w:val="00302B3C"/>
    <w:rsid w:val="003059E5"/>
    <w:rsid w:val="00305AA5"/>
    <w:rsid w:val="00310C0F"/>
    <w:rsid w:val="003117A3"/>
    <w:rsid w:val="00312646"/>
    <w:rsid w:val="003126BF"/>
    <w:rsid w:val="00313D7F"/>
    <w:rsid w:val="00317A0A"/>
    <w:rsid w:val="003209A5"/>
    <w:rsid w:val="00320B3E"/>
    <w:rsid w:val="00321E3E"/>
    <w:rsid w:val="0032606A"/>
    <w:rsid w:val="00326B73"/>
    <w:rsid w:val="003340DD"/>
    <w:rsid w:val="00334625"/>
    <w:rsid w:val="00335407"/>
    <w:rsid w:val="00336323"/>
    <w:rsid w:val="0034369C"/>
    <w:rsid w:val="00344E58"/>
    <w:rsid w:val="003465E8"/>
    <w:rsid w:val="00352174"/>
    <w:rsid w:val="00352EA6"/>
    <w:rsid w:val="0035740C"/>
    <w:rsid w:val="003636C5"/>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276C"/>
    <w:rsid w:val="003B34E8"/>
    <w:rsid w:val="003B4605"/>
    <w:rsid w:val="003B55F2"/>
    <w:rsid w:val="003B56EB"/>
    <w:rsid w:val="003B6D91"/>
    <w:rsid w:val="003C0E55"/>
    <w:rsid w:val="003C4B59"/>
    <w:rsid w:val="003D093E"/>
    <w:rsid w:val="003D2886"/>
    <w:rsid w:val="003D4166"/>
    <w:rsid w:val="003D4520"/>
    <w:rsid w:val="003D4A12"/>
    <w:rsid w:val="003D70CA"/>
    <w:rsid w:val="003E2EE8"/>
    <w:rsid w:val="003E3002"/>
    <w:rsid w:val="003E4A46"/>
    <w:rsid w:val="003E4A61"/>
    <w:rsid w:val="003E5F05"/>
    <w:rsid w:val="003F528D"/>
    <w:rsid w:val="003F6E60"/>
    <w:rsid w:val="003F7F5B"/>
    <w:rsid w:val="00402718"/>
    <w:rsid w:val="00402AC6"/>
    <w:rsid w:val="004037B7"/>
    <w:rsid w:val="004065F9"/>
    <w:rsid w:val="00410C73"/>
    <w:rsid w:val="00412ABB"/>
    <w:rsid w:val="00412B42"/>
    <w:rsid w:val="00421B10"/>
    <w:rsid w:val="00423BBC"/>
    <w:rsid w:val="00424435"/>
    <w:rsid w:val="00425254"/>
    <w:rsid w:val="004262F9"/>
    <w:rsid w:val="00427089"/>
    <w:rsid w:val="00427EF7"/>
    <w:rsid w:val="0043312F"/>
    <w:rsid w:val="00434C63"/>
    <w:rsid w:val="00435877"/>
    <w:rsid w:val="00435EE7"/>
    <w:rsid w:val="00437599"/>
    <w:rsid w:val="0044047A"/>
    <w:rsid w:val="00440752"/>
    <w:rsid w:val="00440FD5"/>
    <w:rsid w:val="00442EA4"/>
    <w:rsid w:val="004449C4"/>
    <w:rsid w:val="00445597"/>
    <w:rsid w:val="00450038"/>
    <w:rsid w:val="0046070F"/>
    <w:rsid w:val="00460B8A"/>
    <w:rsid w:val="00461730"/>
    <w:rsid w:val="00462C96"/>
    <w:rsid w:val="00464A5B"/>
    <w:rsid w:val="00466467"/>
    <w:rsid w:val="004702B1"/>
    <w:rsid w:val="004706FA"/>
    <w:rsid w:val="00473C7E"/>
    <w:rsid w:val="004754C9"/>
    <w:rsid w:val="0047756F"/>
    <w:rsid w:val="00480B50"/>
    <w:rsid w:val="004812ED"/>
    <w:rsid w:val="0048228F"/>
    <w:rsid w:val="00484595"/>
    <w:rsid w:val="004853AD"/>
    <w:rsid w:val="00485F0B"/>
    <w:rsid w:val="00492D9D"/>
    <w:rsid w:val="004949DE"/>
    <w:rsid w:val="0049523C"/>
    <w:rsid w:val="004A114E"/>
    <w:rsid w:val="004A27A2"/>
    <w:rsid w:val="004A3F24"/>
    <w:rsid w:val="004A51F7"/>
    <w:rsid w:val="004A6286"/>
    <w:rsid w:val="004A66FE"/>
    <w:rsid w:val="004B50FC"/>
    <w:rsid w:val="004C12BF"/>
    <w:rsid w:val="004C70C6"/>
    <w:rsid w:val="004C76A8"/>
    <w:rsid w:val="004D0BD2"/>
    <w:rsid w:val="004D3181"/>
    <w:rsid w:val="004D3A0B"/>
    <w:rsid w:val="004D61C8"/>
    <w:rsid w:val="004F1C45"/>
    <w:rsid w:val="004F44F3"/>
    <w:rsid w:val="004F4CF9"/>
    <w:rsid w:val="004F5120"/>
    <w:rsid w:val="004F6A59"/>
    <w:rsid w:val="004F6EFD"/>
    <w:rsid w:val="00503676"/>
    <w:rsid w:val="00511434"/>
    <w:rsid w:val="005138B3"/>
    <w:rsid w:val="00514524"/>
    <w:rsid w:val="00516001"/>
    <w:rsid w:val="005165C7"/>
    <w:rsid w:val="0052163C"/>
    <w:rsid w:val="005219BD"/>
    <w:rsid w:val="005220D9"/>
    <w:rsid w:val="005224E8"/>
    <w:rsid w:val="00524DCF"/>
    <w:rsid w:val="00537219"/>
    <w:rsid w:val="0054045C"/>
    <w:rsid w:val="00544C7E"/>
    <w:rsid w:val="00545E49"/>
    <w:rsid w:val="00552A3A"/>
    <w:rsid w:val="00555D28"/>
    <w:rsid w:val="00560AB1"/>
    <w:rsid w:val="005621EC"/>
    <w:rsid w:val="005647F9"/>
    <w:rsid w:val="00566084"/>
    <w:rsid w:val="005773A1"/>
    <w:rsid w:val="00580B75"/>
    <w:rsid w:val="005877A8"/>
    <w:rsid w:val="00591E23"/>
    <w:rsid w:val="005A3825"/>
    <w:rsid w:val="005A65B9"/>
    <w:rsid w:val="005C422B"/>
    <w:rsid w:val="005C59EA"/>
    <w:rsid w:val="005C7546"/>
    <w:rsid w:val="005D3721"/>
    <w:rsid w:val="005E3E7A"/>
    <w:rsid w:val="005E4CB2"/>
    <w:rsid w:val="005E7A53"/>
    <w:rsid w:val="005E7FCD"/>
    <w:rsid w:val="005F0CAA"/>
    <w:rsid w:val="005F76DD"/>
    <w:rsid w:val="00604A87"/>
    <w:rsid w:val="00604F07"/>
    <w:rsid w:val="0060733A"/>
    <w:rsid w:val="00615AC4"/>
    <w:rsid w:val="00615DBD"/>
    <w:rsid w:val="00621EBE"/>
    <w:rsid w:val="0062394E"/>
    <w:rsid w:val="00623DDA"/>
    <w:rsid w:val="006250F1"/>
    <w:rsid w:val="0062579A"/>
    <w:rsid w:val="00626B8A"/>
    <w:rsid w:val="00631304"/>
    <w:rsid w:val="00632D24"/>
    <w:rsid w:val="00633599"/>
    <w:rsid w:val="00633E19"/>
    <w:rsid w:val="00635154"/>
    <w:rsid w:val="006400B9"/>
    <w:rsid w:val="0064093B"/>
    <w:rsid w:val="00643756"/>
    <w:rsid w:val="00647357"/>
    <w:rsid w:val="0065026C"/>
    <w:rsid w:val="006503F2"/>
    <w:rsid w:val="00650498"/>
    <w:rsid w:val="00651D63"/>
    <w:rsid w:val="00653C24"/>
    <w:rsid w:val="00653D49"/>
    <w:rsid w:val="00654394"/>
    <w:rsid w:val="00654B21"/>
    <w:rsid w:val="006563AE"/>
    <w:rsid w:val="00661B7D"/>
    <w:rsid w:val="00665271"/>
    <w:rsid w:val="00666CD9"/>
    <w:rsid w:val="00670026"/>
    <w:rsid w:val="006704E5"/>
    <w:rsid w:val="00671F2D"/>
    <w:rsid w:val="00681BD4"/>
    <w:rsid w:val="00681FC0"/>
    <w:rsid w:val="006829A7"/>
    <w:rsid w:val="00682DBF"/>
    <w:rsid w:val="00687036"/>
    <w:rsid w:val="00687259"/>
    <w:rsid w:val="006921D5"/>
    <w:rsid w:val="00692AB2"/>
    <w:rsid w:val="006961A6"/>
    <w:rsid w:val="00696890"/>
    <w:rsid w:val="006A17C3"/>
    <w:rsid w:val="006A193F"/>
    <w:rsid w:val="006A3EAA"/>
    <w:rsid w:val="006A6602"/>
    <w:rsid w:val="006C0B05"/>
    <w:rsid w:val="006C2AC7"/>
    <w:rsid w:val="006C3298"/>
    <w:rsid w:val="006C3FE7"/>
    <w:rsid w:val="006C408D"/>
    <w:rsid w:val="006C447E"/>
    <w:rsid w:val="006D163C"/>
    <w:rsid w:val="006D243D"/>
    <w:rsid w:val="006D3F5F"/>
    <w:rsid w:val="006D6161"/>
    <w:rsid w:val="006D627D"/>
    <w:rsid w:val="006E0BAF"/>
    <w:rsid w:val="006E2DB2"/>
    <w:rsid w:val="006E4948"/>
    <w:rsid w:val="006E5237"/>
    <w:rsid w:val="006E6486"/>
    <w:rsid w:val="006E69E0"/>
    <w:rsid w:val="006F0654"/>
    <w:rsid w:val="006F1838"/>
    <w:rsid w:val="006F2CAE"/>
    <w:rsid w:val="006F4720"/>
    <w:rsid w:val="006F5585"/>
    <w:rsid w:val="006F760D"/>
    <w:rsid w:val="00700F44"/>
    <w:rsid w:val="007027F9"/>
    <w:rsid w:val="00703A64"/>
    <w:rsid w:val="00704B57"/>
    <w:rsid w:val="007051A8"/>
    <w:rsid w:val="00713610"/>
    <w:rsid w:val="0071560E"/>
    <w:rsid w:val="00716A71"/>
    <w:rsid w:val="00720258"/>
    <w:rsid w:val="00721B23"/>
    <w:rsid w:val="00722B5C"/>
    <w:rsid w:val="00723066"/>
    <w:rsid w:val="007241D0"/>
    <w:rsid w:val="00724542"/>
    <w:rsid w:val="00726273"/>
    <w:rsid w:val="00730384"/>
    <w:rsid w:val="00733623"/>
    <w:rsid w:val="007360AF"/>
    <w:rsid w:val="00737297"/>
    <w:rsid w:val="00740C17"/>
    <w:rsid w:val="00742CD3"/>
    <w:rsid w:val="00745B12"/>
    <w:rsid w:val="00745CB4"/>
    <w:rsid w:val="00753CB3"/>
    <w:rsid w:val="007562DD"/>
    <w:rsid w:val="00764FE9"/>
    <w:rsid w:val="00765D1E"/>
    <w:rsid w:val="0076610F"/>
    <w:rsid w:val="0076784A"/>
    <w:rsid w:val="007718C0"/>
    <w:rsid w:val="007731E6"/>
    <w:rsid w:val="00773395"/>
    <w:rsid w:val="00775517"/>
    <w:rsid w:val="007820F8"/>
    <w:rsid w:val="00786210"/>
    <w:rsid w:val="007917E1"/>
    <w:rsid w:val="007940CC"/>
    <w:rsid w:val="007944AA"/>
    <w:rsid w:val="00794EE4"/>
    <w:rsid w:val="0079568B"/>
    <w:rsid w:val="00796B1C"/>
    <w:rsid w:val="0079789A"/>
    <w:rsid w:val="007A5847"/>
    <w:rsid w:val="007B0299"/>
    <w:rsid w:val="007B0B0A"/>
    <w:rsid w:val="007B53C9"/>
    <w:rsid w:val="007B6BC4"/>
    <w:rsid w:val="007C10D3"/>
    <w:rsid w:val="007C3DEE"/>
    <w:rsid w:val="007C5792"/>
    <w:rsid w:val="007C7921"/>
    <w:rsid w:val="007D2E51"/>
    <w:rsid w:val="007E42D5"/>
    <w:rsid w:val="007E51FC"/>
    <w:rsid w:val="007E6897"/>
    <w:rsid w:val="007F1DB4"/>
    <w:rsid w:val="007F1EF3"/>
    <w:rsid w:val="007F30FC"/>
    <w:rsid w:val="007F748E"/>
    <w:rsid w:val="00810C0F"/>
    <w:rsid w:val="008112D1"/>
    <w:rsid w:val="008115F9"/>
    <w:rsid w:val="00820963"/>
    <w:rsid w:val="00820AD3"/>
    <w:rsid w:val="00823E2D"/>
    <w:rsid w:val="008242C6"/>
    <w:rsid w:val="00825127"/>
    <w:rsid w:val="00825903"/>
    <w:rsid w:val="00826C08"/>
    <w:rsid w:val="00830813"/>
    <w:rsid w:val="00832565"/>
    <w:rsid w:val="00833545"/>
    <w:rsid w:val="00834556"/>
    <w:rsid w:val="00835852"/>
    <w:rsid w:val="00836637"/>
    <w:rsid w:val="008379A9"/>
    <w:rsid w:val="00840C57"/>
    <w:rsid w:val="0084518D"/>
    <w:rsid w:val="00845C71"/>
    <w:rsid w:val="0084632B"/>
    <w:rsid w:val="008470B9"/>
    <w:rsid w:val="0085593C"/>
    <w:rsid w:val="0085653F"/>
    <w:rsid w:val="00856937"/>
    <w:rsid w:val="008637FD"/>
    <w:rsid w:val="00864366"/>
    <w:rsid w:val="00865AD6"/>
    <w:rsid w:val="00876725"/>
    <w:rsid w:val="00876C9F"/>
    <w:rsid w:val="00881955"/>
    <w:rsid w:val="00881F02"/>
    <w:rsid w:val="008837E5"/>
    <w:rsid w:val="0088617F"/>
    <w:rsid w:val="00886F9B"/>
    <w:rsid w:val="008905B2"/>
    <w:rsid w:val="00892330"/>
    <w:rsid w:val="008924F2"/>
    <w:rsid w:val="00897838"/>
    <w:rsid w:val="008A2CE3"/>
    <w:rsid w:val="008A36B6"/>
    <w:rsid w:val="008A39EF"/>
    <w:rsid w:val="008B390C"/>
    <w:rsid w:val="008B5BE2"/>
    <w:rsid w:val="008C08BA"/>
    <w:rsid w:val="008C18AA"/>
    <w:rsid w:val="008C38C0"/>
    <w:rsid w:val="008C7A8E"/>
    <w:rsid w:val="008D428C"/>
    <w:rsid w:val="008D5012"/>
    <w:rsid w:val="008D58B8"/>
    <w:rsid w:val="008D643B"/>
    <w:rsid w:val="008D64FC"/>
    <w:rsid w:val="008E0906"/>
    <w:rsid w:val="008E1B3D"/>
    <w:rsid w:val="008E24EE"/>
    <w:rsid w:val="008E48ED"/>
    <w:rsid w:val="008E79E8"/>
    <w:rsid w:val="008F2C3A"/>
    <w:rsid w:val="009031A1"/>
    <w:rsid w:val="00903256"/>
    <w:rsid w:val="00904C4E"/>
    <w:rsid w:val="00905A48"/>
    <w:rsid w:val="009074EE"/>
    <w:rsid w:val="00910784"/>
    <w:rsid w:val="00911573"/>
    <w:rsid w:val="009144D2"/>
    <w:rsid w:val="00915443"/>
    <w:rsid w:val="009169B0"/>
    <w:rsid w:val="00917284"/>
    <w:rsid w:val="0092654C"/>
    <w:rsid w:val="00926A26"/>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5E9C"/>
    <w:rsid w:val="0097700C"/>
    <w:rsid w:val="009776D6"/>
    <w:rsid w:val="00977DE7"/>
    <w:rsid w:val="00980A5A"/>
    <w:rsid w:val="00982BF3"/>
    <w:rsid w:val="0098667D"/>
    <w:rsid w:val="0098688B"/>
    <w:rsid w:val="00991FCF"/>
    <w:rsid w:val="009920AB"/>
    <w:rsid w:val="00992438"/>
    <w:rsid w:val="00994473"/>
    <w:rsid w:val="00996B1F"/>
    <w:rsid w:val="009A088F"/>
    <w:rsid w:val="009A0AC1"/>
    <w:rsid w:val="009A0E37"/>
    <w:rsid w:val="009A499C"/>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486F"/>
    <w:rsid w:val="009E1CC4"/>
    <w:rsid w:val="009E45FC"/>
    <w:rsid w:val="009E6210"/>
    <w:rsid w:val="009E6B58"/>
    <w:rsid w:val="009F6324"/>
    <w:rsid w:val="009F765B"/>
    <w:rsid w:val="00A0215B"/>
    <w:rsid w:val="00A02469"/>
    <w:rsid w:val="00A024D5"/>
    <w:rsid w:val="00A037EA"/>
    <w:rsid w:val="00A07985"/>
    <w:rsid w:val="00A12E8F"/>
    <w:rsid w:val="00A157FC"/>
    <w:rsid w:val="00A16090"/>
    <w:rsid w:val="00A17279"/>
    <w:rsid w:val="00A207F4"/>
    <w:rsid w:val="00A243A1"/>
    <w:rsid w:val="00A26DAB"/>
    <w:rsid w:val="00A30F45"/>
    <w:rsid w:val="00A31F77"/>
    <w:rsid w:val="00A33D5F"/>
    <w:rsid w:val="00A35B85"/>
    <w:rsid w:val="00A404B4"/>
    <w:rsid w:val="00A419CD"/>
    <w:rsid w:val="00A46188"/>
    <w:rsid w:val="00A507B5"/>
    <w:rsid w:val="00A50E87"/>
    <w:rsid w:val="00A52CD2"/>
    <w:rsid w:val="00A54290"/>
    <w:rsid w:val="00A555DC"/>
    <w:rsid w:val="00A600B3"/>
    <w:rsid w:val="00A615A0"/>
    <w:rsid w:val="00A63140"/>
    <w:rsid w:val="00A632F9"/>
    <w:rsid w:val="00A72DBA"/>
    <w:rsid w:val="00A73196"/>
    <w:rsid w:val="00A74FE4"/>
    <w:rsid w:val="00A75B8A"/>
    <w:rsid w:val="00A767FE"/>
    <w:rsid w:val="00A76E90"/>
    <w:rsid w:val="00A76E97"/>
    <w:rsid w:val="00A807BE"/>
    <w:rsid w:val="00A81EF5"/>
    <w:rsid w:val="00A8348D"/>
    <w:rsid w:val="00A86A71"/>
    <w:rsid w:val="00A8703F"/>
    <w:rsid w:val="00A90D91"/>
    <w:rsid w:val="00A910B5"/>
    <w:rsid w:val="00A930B4"/>
    <w:rsid w:val="00A946FD"/>
    <w:rsid w:val="00A94BFA"/>
    <w:rsid w:val="00AA152E"/>
    <w:rsid w:val="00AA1551"/>
    <w:rsid w:val="00AA24C4"/>
    <w:rsid w:val="00AA3481"/>
    <w:rsid w:val="00AA3EEB"/>
    <w:rsid w:val="00AA4BAF"/>
    <w:rsid w:val="00AA617D"/>
    <w:rsid w:val="00AA74D8"/>
    <w:rsid w:val="00AA7B08"/>
    <w:rsid w:val="00AB1739"/>
    <w:rsid w:val="00AB1CEF"/>
    <w:rsid w:val="00AB2DD4"/>
    <w:rsid w:val="00AB3B0C"/>
    <w:rsid w:val="00AB4843"/>
    <w:rsid w:val="00AB50B8"/>
    <w:rsid w:val="00AB7018"/>
    <w:rsid w:val="00AB751B"/>
    <w:rsid w:val="00AC0958"/>
    <w:rsid w:val="00AC28F9"/>
    <w:rsid w:val="00AC3661"/>
    <w:rsid w:val="00AC6372"/>
    <w:rsid w:val="00AC7950"/>
    <w:rsid w:val="00AD5390"/>
    <w:rsid w:val="00AD7AE7"/>
    <w:rsid w:val="00AE1613"/>
    <w:rsid w:val="00AE27B2"/>
    <w:rsid w:val="00AE6E20"/>
    <w:rsid w:val="00AF1B4D"/>
    <w:rsid w:val="00AF35C2"/>
    <w:rsid w:val="00AF3B7B"/>
    <w:rsid w:val="00AF3D03"/>
    <w:rsid w:val="00AF4614"/>
    <w:rsid w:val="00AF5C3E"/>
    <w:rsid w:val="00AF76F5"/>
    <w:rsid w:val="00B01814"/>
    <w:rsid w:val="00B021C4"/>
    <w:rsid w:val="00B02A86"/>
    <w:rsid w:val="00B02E25"/>
    <w:rsid w:val="00B03427"/>
    <w:rsid w:val="00B04F20"/>
    <w:rsid w:val="00B07380"/>
    <w:rsid w:val="00B07515"/>
    <w:rsid w:val="00B1154B"/>
    <w:rsid w:val="00B13614"/>
    <w:rsid w:val="00B17F7D"/>
    <w:rsid w:val="00B20B87"/>
    <w:rsid w:val="00B23D7C"/>
    <w:rsid w:val="00B27748"/>
    <w:rsid w:val="00B32F83"/>
    <w:rsid w:val="00B35EDD"/>
    <w:rsid w:val="00B4292B"/>
    <w:rsid w:val="00B43087"/>
    <w:rsid w:val="00B52436"/>
    <w:rsid w:val="00B531AC"/>
    <w:rsid w:val="00B539E1"/>
    <w:rsid w:val="00B550FE"/>
    <w:rsid w:val="00B5515F"/>
    <w:rsid w:val="00B55E17"/>
    <w:rsid w:val="00B56870"/>
    <w:rsid w:val="00B57BE8"/>
    <w:rsid w:val="00B64A5B"/>
    <w:rsid w:val="00B67EFD"/>
    <w:rsid w:val="00B73807"/>
    <w:rsid w:val="00B755E8"/>
    <w:rsid w:val="00B81442"/>
    <w:rsid w:val="00B81AA6"/>
    <w:rsid w:val="00B83AD1"/>
    <w:rsid w:val="00B83D7F"/>
    <w:rsid w:val="00B87154"/>
    <w:rsid w:val="00B875E9"/>
    <w:rsid w:val="00B95FBF"/>
    <w:rsid w:val="00BA1626"/>
    <w:rsid w:val="00BA18C4"/>
    <w:rsid w:val="00BA2729"/>
    <w:rsid w:val="00BA2CF1"/>
    <w:rsid w:val="00BB0609"/>
    <w:rsid w:val="00BB0753"/>
    <w:rsid w:val="00BC17DF"/>
    <w:rsid w:val="00BC1A6F"/>
    <w:rsid w:val="00BC4980"/>
    <w:rsid w:val="00BC6CB2"/>
    <w:rsid w:val="00BD13C2"/>
    <w:rsid w:val="00BD2EF6"/>
    <w:rsid w:val="00BD6646"/>
    <w:rsid w:val="00BD7DC3"/>
    <w:rsid w:val="00BE4ABB"/>
    <w:rsid w:val="00BE63B4"/>
    <w:rsid w:val="00BE7578"/>
    <w:rsid w:val="00BF1D59"/>
    <w:rsid w:val="00BF2722"/>
    <w:rsid w:val="00BF3553"/>
    <w:rsid w:val="00BF3D96"/>
    <w:rsid w:val="00BF5831"/>
    <w:rsid w:val="00C00C9B"/>
    <w:rsid w:val="00C01BD0"/>
    <w:rsid w:val="00C03FD4"/>
    <w:rsid w:val="00C07B30"/>
    <w:rsid w:val="00C138FD"/>
    <w:rsid w:val="00C15823"/>
    <w:rsid w:val="00C217D4"/>
    <w:rsid w:val="00C254F7"/>
    <w:rsid w:val="00C2655D"/>
    <w:rsid w:val="00C267B6"/>
    <w:rsid w:val="00C26A7B"/>
    <w:rsid w:val="00C275AC"/>
    <w:rsid w:val="00C30B51"/>
    <w:rsid w:val="00C35939"/>
    <w:rsid w:val="00C40F99"/>
    <w:rsid w:val="00C42BDD"/>
    <w:rsid w:val="00C43646"/>
    <w:rsid w:val="00C50DB0"/>
    <w:rsid w:val="00C50DE5"/>
    <w:rsid w:val="00C53168"/>
    <w:rsid w:val="00C56664"/>
    <w:rsid w:val="00C57091"/>
    <w:rsid w:val="00C60905"/>
    <w:rsid w:val="00C62B04"/>
    <w:rsid w:val="00C631BE"/>
    <w:rsid w:val="00C64A9F"/>
    <w:rsid w:val="00C6781D"/>
    <w:rsid w:val="00C74B5A"/>
    <w:rsid w:val="00C753D1"/>
    <w:rsid w:val="00C7732B"/>
    <w:rsid w:val="00C83F62"/>
    <w:rsid w:val="00C870DF"/>
    <w:rsid w:val="00C901E3"/>
    <w:rsid w:val="00C932D6"/>
    <w:rsid w:val="00C943BA"/>
    <w:rsid w:val="00C96276"/>
    <w:rsid w:val="00CA0204"/>
    <w:rsid w:val="00CA70B1"/>
    <w:rsid w:val="00CA73F8"/>
    <w:rsid w:val="00CA7C66"/>
    <w:rsid w:val="00CB3A51"/>
    <w:rsid w:val="00CB412A"/>
    <w:rsid w:val="00CB4F57"/>
    <w:rsid w:val="00CB64A1"/>
    <w:rsid w:val="00CB788D"/>
    <w:rsid w:val="00CB7FB4"/>
    <w:rsid w:val="00CC182F"/>
    <w:rsid w:val="00CC27AA"/>
    <w:rsid w:val="00CC38E6"/>
    <w:rsid w:val="00CC6EDE"/>
    <w:rsid w:val="00CD011B"/>
    <w:rsid w:val="00CD21BB"/>
    <w:rsid w:val="00CD70C5"/>
    <w:rsid w:val="00CE24F2"/>
    <w:rsid w:val="00CE5559"/>
    <w:rsid w:val="00CE56F6"/>
    <w:rsid w:val="00CE77C6"/>
    <w:rsid w:val="00CF23CE"/>
    <w:rsid w:val="00CF2BBB"/>
    <w:rsid w:val="00CF4057"/>
    <w:rsid w:val="00CF5176"/>
    <w:rsid w:val="00D0542F"/>
    <w:rsid w:val="00D10FB5"/>
    <w:rsid w:val="00D12F6A"/>
    <w:rsid w:val="00D252E2"/>
    <w:rsid w:val="00D27354"/>
    <w:rsid w:val="00D30DC9"/>
    <w:rsid w:val="00D3135C"/>
    <w:rsid w:val="00D33B87"/>
    <w:rsid w:val="00D33CEA"/>
    <w:rsid w:val="00D34432"/>
    <w:rsid w:val="00D3630E"/>
    <w:rsid w:val="00D376D6"/>
    <w:rsid w:val="00D461B8"/>
    <w:rsid w:val="00D46B88"/>
    <w:rsid w:val="00D47A59"/>
    <w:rsid w:val="00D47FB9"/>
    <w:rsid w:val="00D52FEE"/>
    <w:rsid w:val="00D53773"/>
    <w:rsid w:val="00D63118"/>
    <w:rsid w:val="00D64765"/>
    <w:rsid w:val="00D64FA2"/>
    <w:rsid w:val="00D660B4"/>
    <w:rsid w:val="00D66281"/>
    <w:rsid w:val="00D67470"/>
    <w:rsid w:val="00D67894"/>
    <w:rsid w:val="00D74FA0"/>
    <w:rsid w:val="00D7517C"/>
    <w:rsid w:val="00D75603"/>
    <w:rsid w:val="00D76B2B"/>
    <w:rsid w:val="00D77ED9"/>
    <w:rsid w:val="00D83E37"/>
    <w:rsid w:val="00D90356"/>
    <w:rsid w:val="00D95B4D"/>
    <w:rsid w:val="00D97508"/>
    <w:rsid w:val="00DA0D31"/>
    <w:rsid w:val="00DA2758"/>
    <w:rsid w:val="00DB0ABA"/>
    <w:rsid w:val="00DB123B"/>
    <w:rsid w:val="00DB2459"/>
    <w:rsid w:val="00DB4300"/>
    <w:rsid w:val="00DB6514"/>
    <w:rsid w:val="00DB6CCE"/>
    <w:rsid w:val="00DC0807"/>
    <w:rsid w:val="00DC2422"/>
    <w:rsid w:val="00DC5B89"/>
    <w:rsid w:val="00DC7336"/>
    <w:rsid w:val="00DD5CE3"/>
    <w:rsid w:val="00DD5D75"/>
    <w:rsid w:val="00DD6F3E"/>
    <w:rsid w:val="00DD7B53"/>
    <w:rsid w:val="00DE155D"/>
    <w:rsid w:val="00DE32F1"/>
    <w:rsid w:val="00DE4249"/>
    <w:rsid w:val="00DE475A"/>
    <w:rsid w:val="00DE5073"/>
    <w:rsid w:val="00DE5258"/>
    <w:rsid w:val="00DE5AEA"/>
    <w:rsid w:val="00DF123D"/>
    <w:rsid w:val="00DF3DA0"/>
    <w:rsid w:val="00DF405E"/>
    <w:rsid w:val="00DF42B2"/>
    <w:rsid w:val="00E00622"/>
    <w:rsid w:val="00E01A29"/>
    <w:rsid w:val="00E0211F"/>
    <w:rsid w:val="00E047A4"/>
    <w:rsid w:val="00E05A84"/>
    <w:rsid w:val="00E05D73"/>
    <w:rsid w:val="00E05E53"/>
    <w:rsid w:val="00E104A2"/>
    <w:rsid w:val="00E106A7"/>
    <w:rsid w:val="00E10C5B"/>
    <w:rsid w:val="00E116E5"/>
    <w:rsid w:val="00E1193B"/>
    <w:rsid w:val="00E12D7E"/>
    <w:rsid w:val="00E173BF"/>
    <w:rsid w:val="00E17A20"/>
    <w:rsid w:val="00E3477D"/>
    <w:rsid w:val="00E350DB"/>
    <w:rsid w:val="00E359E5"/>
    <w:rsid w:val="00E372D0"/>
    <w:rsid w:val="00E37A55"/>
    <w:rsid w:val="00E41B61"/>
    <w:rsid w:val="00E42518"/>
    <w:rsid w:val="00E4259A"/>
    <w:rsid w:val="00E4695B"/>
    <w:rsid w:val="00E54C1C"/>
    <w:rsid w:val="00E551FF"/>
    <w:rsid w:val="00E57DB8"/>
    <w:rsid w:val="00E631B2"/>
    <w:rsid w:val="00E63473"/>
    <w:rsid w:val="00E7199A"/>
    <w:rsid w:val="00E7351C"/>
    <w:rsid w:val="00E76885"/>
    <w:rsid w:val="00E7723C"/>
    <w:rsid w:val="00E80E8C"/>
    <w:rsid w:val="00E84F51"/>
    <w:rsid w:val="00E86B75"/>
    <w:rsid w:val="00E86F47"/>
    <w:rsid w:val="00E92023"/>
    <w:rsid w:val="00E93C45"/>
    <w:rsid w:val="00E95008"/>
    <w:rsid w:val="00E954EE"/>
    <w:rsid w:val="00EA0A53"/>
    <w:rsid w:val="00EA4341"/>
    <w:rsid w:val="00EB2694"/>
    <w:rsid w:val="00EB3E83"/>
    <w:rsid w:val="00EB56CB"/>
    <w:rsid w:val="00EC015E"/>
    <w:rsid w:val="00EC2CC3"/>
    <w:rsid w:val="00EC2EEB"/>
    <w:rsid w:val="00EC3652"/>
    <w:rsid w:val="00EC6708"/>
    <w:rsid w:val="00EC6AD2"/>
    <w:rsid w:val="00EE1D77"/>
    <w:rsid w:val="00EE2116"/>
    <w:rsid w:val="00EE25D8"/>
    <w:rsid w:val="00EE5578"/>
    <w:rsid w:val="00EE601F"/>
    <w:rsid w:val="00EE6975"/>
    <w:rsid w:val="00EF559D"/>
    <w:rsid w:val="00F034BD"/>
    <w:rsid w:val="00F03F39"/>
    <w:rsid w:val="00F0406A"/>
    <w:rsid w:val="00F0423F"/>
    <w:rsid w:val="00F068D8"/>
    <w:rsid w:val="00F07019"/>
    <w:rsid w:val="00F106B6"/>
    <w:rsid w:val="00F163B2"/>
    <w:rsid w:val="00F22205"/>
    <w:rsid w:val="00F22856"/>
    <w:rsid w:val="00F243CD"/>
    <w:rsid w:val="00F2508C"/>
    <w:rsid w:val="00F26391"/>
    <w:rsid w:val="00F27174"/>
    <w:rsid w:val="00F3004C"/>
    <w:rsid w:val="00F31EB5"/>
    <w:rsid w:val="00F3348D"/>
    <w:rsid w:val="00F34494"/>
    <w:rsid w:val="00F37E40"/>
    <w:rsid w:val="00F400D6"/>
    <w:rsid w:val="00F40132"/>
    <w:rsid w:val="00F453FB"/>
    <w:rsid w:val="00F47F79"/>
    <w:rsid w:val="00F52E6B"/>
    <w:rsid w:val="00F53D1C"/>
    <w:rsid w:val="00F547F3"/>
    <w:rsid w:val="00F54922"/>
    <w:rsid w:val="00F54E60"/>
    <w:rsid w:val="00F603DB"/>
    <w:rsid w:val="00F6070C"/>
    <w:rsid w:val="00F64565"/>
    <w:rsid w:val="00F65768"/>
    <w:rsid w:val="00F66C86"/>
    <w:rsid w:val="00F705F4"/>
    <w:rsid w:val="00F72B5E"/>
    <w:rsid w:val="00F74620"/>
    <w:rsid w:val="00F76C9A"/>
    <w:rsid w:val="00F7753D"/>
    <w:rsid w:val="00F83A1F"/>
    <w:rsid w:val="00F850E2"/>
    <w:rsid w:val="00F856EA"/>
    <w:rsid w:val="00F87BAF"/>
    <w:rsid w:val="00F90F02"/>
    <w:rsid w:val="00F9192D"/>
    <w:rsid w:val="00F932C3"/>
    <w:rsid w:val="00F951B5"/>
    <w:rsid w:val="00FA4DE8"/>
    <w:rsid w:val="00FB5CB5"/>
    <w:rsid w:val="00FC1C51"/>
    <w:rsid w:val="00FC574A"/>
    <w:rsid w:val="00FC6C73"/>
    <w:rsid w:val="00FD14D9"/>
    <w:rsid w:val="00FD41A6"/>
    <w:rsid w:val="00FD424D"/>
    <w:rsid w:val="00FD4C49"/>
    <w:rsid w:val="00FD5763"/>
    <w:rsid w:val="00FD5857"/>
    <w:rsid w:val="00FD656F"/>
    <w:rsid w:val="00FD74D5"/>
    <w:rsid w:val="00FD79EF"/>
    <w:rsid w:val="00FE08DA"/>
    <w:rsid w:val="00FE1FEE"/>
    <w:rsid w:val="00FE32C3"/>
    <w:rsid w:val="00FE56D6"/>
    <w:rsid w:val="00FF3E55"/>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67F95E62"/>
  <w15:docId w15:val="{5127E85A-C3CB-4E98-8955-089A57462E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E1613"/>
    <w:pPr>
      <w:keepNext/>
      <w:spacing w:after="240"/>
      <w:jc w:val="both"/>
    </w:pPr>
    <w:rPr>
      <w:lang w:eastAsia="en-US"/>
    </w:rPr>
  </w:style>
  <w:style w:type="paragraph" w:styleId="Nadpis1">
    <w:name w:val="heading 1"/>
    <w:basedOn w:val="Normlny"/>
    <w:next w:val="Normlny"/>
    <w:link w:val="Nadpis1Char"/>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link w:val="Nadpis2Char"/>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link w:val="HlavikaChar"/>
    <w:uiPriority w:val="99"/>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link w:val="ZkladntextChar"/>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eastAsia="sk-SK"/>
    </w:rPr>
  </w:style>
  <w:style w:type="paragraph" w:customStyle="1" w:styleId="dotabulky">
    <w:name w:val="do tabulky"/>
    <w:basedOn w:val="Zkladntext"/>
    <w:rsid w:val="00742CD3"/>
    <w:pPr>
      <w:keepNext w:val="0"/>
      <w:spacing w:before="40" w:after="0"/>
    </w:pPr>
    <w:rPr>
      <w:sz w:val="24"/>
      <w:szCs w:val="24"/>
      <w:lang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rPr>
  </w:style>
  <w:style w:type="paragraph" w:customStyle="1" w:styleId="Tabulka">
    <w:name w:val="Tabulka"/>
    <w:basedOn w:val="Normlny"/>
    <w:rsid w:val="00955F91"/>
    <w:pPr>
      <w:keepNext w:val="0"/>
      <w:spacing w:after="0"/>
      <w:jc w:val="left"/>
    </w:pPr>
    <w:rPr>
      <w:color w:val="000000"/>
      <w:sz w:val="18"/>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2A6B69"/>
    <w:pPr>
      <w:ind w:left="720"/>
      <w:contextualSpacing/>
    </w:pPr>
  </w:style>
  <w:style w:type="paragraph" w:customStyle="1" w:styleId="Default">
    <w:name w:val="Default"/>
    <w:rsid w:val="00654B21"/>
    <w:pPr>
      <w:autoSpaceDE w:val="0"/>
      <w:autoSpaceDN w:val="0"/>
      <w:adjustRightInd w:val="0"/>
    </w:pPr>
    <w:rPr>
      <w:rFonts w:ascii="Arial" w:hAnsi="Arial" w:cs="Arial"/>
      <w:color w:val="000000"/>
      <w:sz w:val="24"/>
      <w:szCs w:val="24"/>
    </w:rPr>
  </w:style>
  <w:style w:type="character" w:customStyle="1" w:styleId="HlavikaChar">
    <w:name w:val="Hlavička Char"/>
    <w:basedOn w:val="Predvolenpsmoodseku"/>
    <w:link w:val="Hlavika"/>
    <w:uiPriority w:val="99"/>
    <w:rsid w:val="00F72B5E"/>
    <w:rPr>
      <w:lang w:val="cs-CZ" w:eastAsia="en-US"/>
    </w:rPr>
  </w:style>
  <w:style w:type="character" w:styleId="Odkaznakomentr">
    <w:name w:val="annotation reference"/>
    <w:basedOn w:val="Predvolenpsmoodseku"/>
    <w:rsid w:val="00865AD6"/>
    <w:rPr>
      <w:sz w:val="16"/>
      <w:szCs w:val="16"/>
    </w:rPr>
  </w:style>
  <w:style w:type="paragraph" w:styleId="Textkomentra">
    <w:name w:val="annotation text"/>
    <w:basedOn w:val="Normlny"/>
    <w:link w:val="TextkomentraChar"/>
    <w:rsid w:val="00865AD6"/>
  </w:style>
  <w:style w:type="character" w:customStyle="1" w:styleId="TextkomentraChar">
    <w:name w:val="Text komentára Char"/>
    <w:basedOn w:val="Predvolenpsmoodseku"/>
    <w:link w:val="Textkomentra"/>
    <w:rsid w:val="00865AD6"/>
    <w:rPr>
      <w:lang w:val="cs-CZ" w:eastAsia="en-US"/>
    </w:rPr>
  </w:style>
  <w:style w:type="paragraph" w:styleId="Predmetkomentra">
    <w:name w:val="annotation subject"/>
    <w:basedOn w:val="Textkomentra"/>
    <w:next w:val="Textkomentra"/>
    <w:link w:val="PredmetkomentraChar"/>
    <w:rsid w:val="00865AD6"/>
    <w:rPr>
      <w:b/>
      <w:bCs/>
    </w:rPr>
  </w:style>
  <w:style w:type="character" w:customStyle="1" w:styleId="PredmetkomentraChar">
    <w:name w:val="Predmet komentára Char"/>
    <w:basedOn w:val="TextkomentraChar"/>
    <w:link w:val="Predmetkomentra"/>
    <w:rsid w:val="00865AD6"/>
    <w:rPr>
      <w:b/>
      <w:bCs/>
      <w:lang w:val="cs-CZ" w:eastAsia="en-US"/>
    </w:rPr>
  </w:style>
  <w:style w:type="character" w:customStyle="1" w:styleId="Nadpis1Char">
    <w:name w:val="Nadpis 1 Char"/>
    <w:basedOn w:val="Predvolenpsmoodseku"/>
    <w:link w:val="Nadpis1"/>
    <w:rsid w:val="00DB4300"/>
    <w:rPr>
      <w:b/>
      <w:caps/>
      <w:u w:val="single"/>
      <w:shd w:val="solid" w:color="FFFFFF" w:fill="FFFFFF"/>
      <w:lang w:eastAsia="en-US"/>
    </w:rPr>
  </w:style>
  <w:style w:type="character" w:customStyle="1" w:styleId="Nadpis2Char">
    <w:name w:val="Nadpis 2 Char"/>
    <w:basedOn w:val="Predvolenpsmoodseku"/>
    <w:link w:val="Nadpis2"/>
    <w:rsid w:val="00DB4300"/>
    <w:rPr>
      <w:b/>
      <w:lang w:eastAsia="en-US"/>
    </w:rPr>
  </w:style>
  <w:style w:type="character" w:customStyle="1" w:styleId="ZkladntextChar">
    <w:name w:val="Základný text Char"/>
    <w:basedOn w:val="Predvolenpsmoodseku"/>
    <w:link w:val="Zkladntext"/>
    <w:rsid w:val="00DB430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76017">
      <w:bodyDiv w:val="1"/>
      <w:marLeft w:val="0"/>
      <w:marRight w:val="0"/>
      <w:marTop w:val="0"/>
      <w:marBottom w:val="0"/>
      <w:divBdr>
        <w:top w:val="none" w:sz="0" w:space="0" w:color="auto"/>
        <w:left w:val="none" w:sz="0" w:space="0" w:color="auto"/>
        <w:bottom w:val="none" w:sz="0" w:space="0" w:color="auto"/>
        <w:right w:val="none" w:sz="0" w:space="0" w:color="auto"/>
      </w:divBdr>
    </w:div>
    <w:div w:id="13852395">
      <w:bodyDiv w:val="1"/>
      <w:marLeft w:val="0"/>
      <w:marRight w:val="0"/>
      <w:marTop w:val="0"/>
      <w:marBottom w:val="0"/>
      <w:divBdr>
        <w:top w:val="none" w:sz="0" w:space="0" w:color="auto"/>
        <w:left w:val="none" w:sz="0" w:space="0" w:color="auto"/>
        <w:bottom w:val="none" w:sz="0" w:space="0" w:color="auto"/>
        <w:right w:val="none" w:sz="0" w:space="0" w:color="auto"/>
      </w:divBdr>
    </w:div>
    <w:div w:id="29427234">
      <w:bodyDiv w:val="1"/>
      <w:marLeft w:val="0"/>
      <w:marRight w:val="0"/>
      <w:marTop w:val="0"/>
      <w:marBottom w:val="0"/>
      <w:divBdr>
        <w:top w:val="none" w:sz="0" w:space="0" w:color="auto"/>
        <w:left w:val="none" w:sz="0" w:space="0" w:color="auto"/>
        <w:bottom w:val="none" w:sz="0" w:space="0" w:color="auto"/>
        <w:right w:val="none" w:sz="0" w:space="0" w:color="auto"/>
      </w:divBdr>
    </w:div>
    <w:div w:id="37823368">
      <w:bodyDiv w:val="1"/>
      <w:marLeft w:val="0"/>
      <w:marRight w:val="0"/>
      <w:marTop w:val="0"/>
      <w:marBottom w:val="0"/>
      <w:divBdr>
        <w:top w:val="none" w:sz="0" w:space="0" w:color="auto"/>
        <w:left w:val="none" w:sz="0" w:space="0" w:color="auto"/>
        <w:bottom w:val="none" w:sz="0" w:space="0" w:color="auto"/>
        <w:right w:val="none" w:sz="0" w:space="0" w:color="auto"/>
      </w:divBdr>
    </w:div>
    <w:div w:id="38213507">
      <w:bodyDiv w:val="1"/>
      <w:marLeft w:val="0"/>
      <w:marRight w:val="0"/>
      <w:marTop w:val="0"/>
      <w:marBottom w:val="0"/>
      <w:divBdr>
        <w:top w:val="none" w:sz="0" w:space="0" w:color="auto"/>
        <w:left w:val="none" w:sz="0" w:space="0" w:color="auto"/>
        <w:bottom w:val="none" w:sz="0" w:space="0" w:color="auto"/>
        <w:right w:val="none" w:sz="0" w:space="0" w:color="auto"/>
      </w:divBdr>
    </w:div>
    <w:div w:id="49496488">
      <w:bodyDiv w:val="1"/>
      <w:marLeft w:val="0"/>
      <w:marRight w:val="0"/>
      <w:marTop w:val="0"/>
      <w:marBottom w:val="0"/>
      <w:divBdr>
        <w:top w:val="none" w:sz="0" w:space="0" w:color="auto"/>
        <w:left w:val="none" w:sz="0" w:space="0" w:color="auto"/>
        <w:bottom w:val="none" w:sz="0" w:space="0" w:color="auto"/>
        <w:right w:val="none" w:sz="0" w:space="0" w:color="auto"/>
      </w:divBdr>
    </w:div>
    <w:div w:id="56127689">
      <w:bodyDiv w:val="1"/>
      <w:marLeft w:val="0"/>
      <w:marRight w:val="0"/>
      <w:marTop w:val="0"/>
      <w:marBottom w:val="0"/>
      <w:divBdr>
        <w:top w:val="none" w:sz="0" w:space="0" w:color="auto"/>
        <w:left w:val="none" w:sz="0" w:space="0" w:color="auto"/>
        <w:bottom w:val="none" w:sz="0" w:space="0" w:color="auto"/>
        <w:right w:val="none" w:sz="0" w:space="0" w:color="auto"/>
      </w:divBdr>
    </w:div>
    <w:div w:id="69082536">
      <w:bodyDiv w:val="1"/>
      <w:marLeft w:val="0"/>
      <w:marRight w:val="0"/>
      <w:marTop w:val="0"/>
      <w:marBottom w:val="0"/>
      <w:divBdr>
        <w:top w:val="none" w:sz="0" w:space="0" w:color="auto"/>
        <w:left w:val="none" w:sz="0" w:space="0" w:color="auto"/>
        <w:bottom w:val="none" w:sz="0" w:space="0" w:color="auto"/>
        <w:right w:val="none" w:sz="0" w:space="0" w:color="auto"/>
      </w:divBdr>
    </w:div>
    <w:div w:id="69083685">
      <w:bodyDiv w:val="1"/>
      <w:marLeft w:val="0"/>
      <w:marRight w:val="0"/>
      <w:marTop w:val="0"/>
      <w:marBottom w:val="0"/>
      <w:divBdr>
        <w:top w:val="none" w:sz="0" w:space="0" w:color="auto"/>
        <w:left w:val="none" w:sz="0" w:space="0" w:color="auto"/>
        <w:bottom w:val="none" w:sz="0" w:space="0" w:color="auto"/>
        <w:right w:val="none" w:sz="0" w:space="0" w:color="auto"/>
      </w:divBdr>
    </w:div>
    <w:div w:id="70859975">
      <w:bodyDiv w:val="1"/>
      <w:marLeft w:val="0"/>
      <w:marRight w:val="0"/>
      <w:marTop w:val="0"/>
      <w:marBottom w:val="0"/>
      <w:divBdr>
        <w:top w:val="none" w:sz="0" w:space="0" w:color="auto"/>
        <w:left w:val="none" w:sz="0" w:space="0" w:color="auto"/>
        <w:bottom w:val="none" w:sz="0" w:space="0" w:color="auto"/>
        <w:right w:val="none" w:sz="0" w:space="0" w:color="auto"/>
      </w:divBdr>
    </w:div>
    <w:div w:id="77600344">
      <w:bodyDiv w:val="1"/>
      <w:marLeft w:val="0"/>
      <w:marRight w:val="0"/>
      <w:marTop w:val="0"/>
      <w:marBottom w:val="0"/>
      <w:divBdr>
        <w:top w:val="none" w:sz="0" w:space="0" w:color="auto"/>
        <w:left w:val="none" w:sz="0" w:space="0" w:color="auto"/>
        <w:bottom w:val="none" w:sz="0" w:space="0" w:color="auto"/>
        <w:right w:val="none" w:sz="0" w:space="0" w:color="auto"/>
      </w:divBdr>
    </w:div>
    <w:div w:id="83114009">
      <w:bodyDiv w:val="1"/>
      <w:marLeft w:val="0"/>
      <w:marRight w:val="0"/>
      <w:marTop w:val="0"/>
      <w:marBottom w:val="0"/>
      <w:divBdr>
        <w:top w:val="none" w:sz="0" w:space="0" w:color="auto"/>
        <w:left w:val="none" w:sz="0" w:space="0" w:color="auto"/>
        <w:bottom w:val="none" w:sz="0" w:space="0" w:color="auto"/>
        <w:right w:val="none" w:sz="0" w:space="0" w:color="auto"/>
      </w:divBdr>
    </w:div>
    <w:div w:id="85006536">
      <w:bodyDiv w:val="1"/>
      <w:marLeft w:val="0"/>
      <w:marRight w:val="0"/>
      <w:marTop w:val="0"/>
      <w:marBottom w:val="0"/>
      <w:divBdr>
        <w:top w:val="none" w:sz="0" w:space="0" w:color="auto"/>
        <w:left w:val="none" w:sz="0" w:space="0" w:color="auto"/>
        <w:bottom w:val="none" w:sz="0" w:space="0" w:color="auto"/>
        <w:right w:val="none" w:sz="0" w:space="0" w:color="auto"/>
      </w:divBdr>
    </w:div>
    <w:div w:id="90854245">
      <w:bodyDiv w:val="1"/>
      <w:marLeft w:val="0"/>
      <w:marRight w:val="0"/>
      <w:marTop w:val="0"/>
      <w:marBottom w:val="0"/>
      <w:divBdr>
        <w:top w:val="none" w:sz="0" w:space="0" w:color="auto"/>
        <w:left w:val="none" w:sz="0" w:space="0" w:color="auto"/>
        <w:bottom w:val="none" w:sz="0" w:space="0" w:color="auto"/>
        <w:right w:val="none" w:sz="0" w:space="0" w:color="auto"/>
      </w:divBdr>
    </w:div>
    <w:div w:id="92871403">
      <w:bodyDiv w:val="1"/>
      <w:marLeft w:val="0"/>
      <w:marRight w:val="0"/>
      <w:marTop w:val="0"/>
      <w:marBottom w:val="0"/>
      <w:divBdr>
        <w:top w:val="none" w:sz="0" w:space="0" w:color="auto"/>
        <w:left w:val="none" w:sz="0" w:space="0" w:color="auto"/>
        <w:bottom w:val="none" w:sz="0" w:space="0" w:color="auto"/>
        <w:right w:val="none" w:sz="0" w:space="0" w:color="auto"/>
      </w:divBdr>
    </w:div>
    <w:div w:id="98448181">
      <w:bodyDiv w:val="1"/>
      <w:marLeft w:val="0"/>
      <w:marRight w:val="0"/>
      <w:marTop w:val="0"/>
      <w:marBottom w:val="0"/>
      <w:divBdr>
        <w:top w:val="none" w:sz="0" w:space="0" w:color="auto"/>
        <w:left w:val="none" w:sz="0" w:space="0" w:color="auto"/>
        <w:bottom w:val="none" w:sz="0" w:space="0" w:color="auto"/>
        <w:right w:val="none" w:sz="0" w:space="0" w:color="auto"/>
      </w:divBdr>
    </w:div>
    <w:div w:id="104427790">
      <w:bodyDiv w:val="1"/>
      <w:marLeft w:val="0"/>
      <w:marRight w:val="0"/>
      <w:marTop w:val="0"/>
      <w:marBottom w:val="0"/>
      <w:divBdr>
        <w:top w:val="none" w:sz="0" w:space="0" w:color="auto"/>
        <w:left w:val="none" w:sz="0" w:space="0" w:color="auto"/>
        <w:bottom w:val="none" w:sz="0" w:space="0" w:color="auto"/>
        <w:right w:val="none" w:sz="0" w:space="0" w:color="auto"/>
      </w:divBdr>
    </w:div>
    <w:div w:id="118183334">
      <w:bodyDiv w:val="1"/>
      <w:marLeft w:val="0"/>
      <w:marRight w:val="0"/>
      <w:marTop w:val="0"/>
      <w:marBottom w:val="0"/>
      <w:divBdr>
        <w:top w:val="none" w:sz="0" w:space="0" w:color="auto"/>
        <w:left w:val="none" w:sz="0" w:space="0" w:color="auto"/>
        <w:bottom w:val="none" w:sz="0" w:space="0" w:color="auto"/>
        <w:right w:val="none" w:sz="0" w:space="0" w:color="auto"/>
      </w:divBdr>
    </w:div>
    <w:div w:id="124083835">
      <w:bodyDiv w:val="1"/>
      <w:marLeft w:val="0"/>
      <w:marRight w:val="0"/>
      <w:marTop w:val="0"/>
      <w:marBottom w:val="0"/>
      <w:divBdr>
        <w:top w:val="none" w:sz="0" w:space="0" w:color="auto"/>
        <w:left w:val="none" w:sz="0" w:space="0" w:color="auto"/>
        <w:bottom w:val="none" w:sz="0" w:space="0" w:color="auto"/>
        <w:right w:val="none" w:sz="0" w:space="0" w:color="auto"/>
      </w:divBdr>
    </w:div>
    <w:div w:id="128743353">
      <w:bodyDiv w:val="1"/>
      <w:marLeft w:val="0"/>
      <w:marRight w:val="0"/>
      <w:marTop w:val="0"/>
      <w:marBottom w:val="0"/>
      <w:divBdr>
        <w:top w:val="none" w:sz="0" w:space="0" w:color="auto"/>
        <w:left w:val="none" w:sz="0" w:space="0" w:color="auto"/>
        <w:bottom w:val="none" w:sz="0" w:space="0" w:color="auto"/>
        <w:right w:val="none" w:sz="0" w:space="0" w:color="auto"/>
      </w:divBdr>
    </w:div>
    <w:div w:id="131289187">
      <w:bodyDiv w:val="1"/>
      <w:marLeft w:val="0"/>
      <w:marRight w:val="0"/>
      <w:marTop w:val="0"/>
      <w:marBottom w:val="0"/>
      <w:divBdr>
        <w:top w:val="none" w:sz="0" w:space="0" w:color="auto"/>
        <w:left w:val="none" w:sz="0" w:space="0" w:color="auto"/>
        <w:bottom w:val="none" w:sz="0" w:space="0" w:color="auto"/>
        <w:right w:val="none" w:sz="0" w:space="0" w:color="auto"/>
      </w:divBdr>
    </w:div>
    <w:div w:id="131756086">
      <w:bodyDiv w:val="1"/>
      <w:marLeft w:val="0"/>
      <w:marRight w:val="0"/>
      <w:marTop w:val="0"/>
      <w:marBottom w:val="0"/>
      <w:divBdr>
        <w:top w:val="none" w:sz="0" w:space="0" w:color="auto"/>
        <w:left w:val="none" w:sz="0" w:space="0" w:color="auto"/>
        <w:bottom w:val="none" w:sz="0" w:space="0" w:color="auto"/>
        <w:right w:val="none" w:sz="0" w:space="0" w:color="auto"/>
      </w:divBdr>
    </w:div>
    <w:div w:id="134614312">
      <w:bodyDiv w:val="1"/>
      <w:marLeft w:val="0"/>
      <w:marRight w:val="0"/>
      <w:marTop w:val="0"/>
      <w:marBottom w:val="0"/>
      <w:divBdr>
        <w:top w:val="none" w:sz="0" w:space="0" w:color="auto"/>
        <w:left w:val="none" w:sz="0" w:space="0" w:color="auto"/>
        <w:bottom w:val="none" w:sz="0" w:space="0" w:color="auto"/>
        <w:right w:val="none" w:sz="0" w:space="0" w:color="auto"/>
      </w:divBdr>
    </w:div>
    <w:div w:id="140780981">
      <w:bodyDiv w:val="1"/>
      <w:marLeft w:val="0"/>
      <w:marRight w:val="0"/>
      <w:marTop w:val="0"/>
      <w:marBottom w:val="0"/>
      <w:divBdr>
        <w:top w:val="none" w:sz="0" w:space="0" w:color="auto"/>
        <w:left w:val="none" w:sz="0" w:space="0" w:color="auto"/>
        <w:bottom w:val="none" w:sz="0" w:space="0" w:color="auto"/>
        <w:right w:val="none" w:sz="0" w:space="0" w:color="auto"/>
      </w:divBdr>
    </w:div>
    <w:div w:id="145249861">
      <w:bodyDiv w:val="1"/>
      <w:marLeft w:val="0"/>
      <w:marRight w:val="0"/>
      <w:marTop w:val="0"/>
      <w:marBottom w:val="0"/>
      <w:divBdr>
        <w:top w:val="none" w:sz="0" w:space="0" w:color="auto"/>
        <w:left w:val="none" w:sz="0" w:space="0" w:color="auto"/>
        <w:bottom w:val="none" w:sz="0" w:space="0" w:color="auto"/>
        <w:right w:val="none" w:sz="0" w:space="0" w:color="auto"/>
      </w:divBdr>
    </w:div>
    <w:div w:id="150755541">
      <w:bodyDiv w:val="1"/>
      <w:marLeft w:val="0"/>
      <w:marRight w:val="0"/>
      <w:marTop w:val="0"/>
      <w:marBottom w:val="0"/>
      <w:divBdr>
        <w:top w:val="none" w:sz="0" w:space="0" w:color="auto"/>
        <w:left w:val="none" w:sz="0" w:space="0" w:color="auto"/>
        <w:bottom w:val="none" w:sz="0" w:space="0" w:color="auto"/>
        <w:right w:val="none" w:sz="0" w:space="0" w:color="auto"/>
      </w:divBdr>
    </w:div>
    <w:div w:id="152333126">
      <w:bodyDiv w:val="1"/>
      <w:marLeft w:val="0"/>
      <w:marRight w:val="0"/>
      <w:marTop w:val="0"/>
      <w:marBottom w:val="0"/>
      <w:divBdr>
        <w:top w:val="none" w:sz="0" w:space="0" w:color="auto"/>
        <w:left w:val="none" w:sz="0" w:space="0" w:color="auto"/>
        <w:bottom w:val="none" w:sz="0" w:space="0" w:color="auto"/>
        <w:right w:val="none" w:sz="0" w:space="0" w:color="auto"/>
      </w:divBdr>
    </w:div>
    <w:div w:id="177744601">
      <w:bodyDiv w:val="1"/>
      <w:marLeft w:val="0"/>
      <w:marRight w:val="0"/>
      <w:marTop w:val="0"/>
      <w:marBottom w:val="0"/>
      <w:divBdr>
        <w:top w:val="none" w:sz="0" w:space="0" w:color="auto"/>
        <w:left w:val="none" w:sz="0" w:space="0" w:color="auto"/>
        <w:bottom w:val="none" w:sz="0" w:space="0" w:color="auto"/>
        <w:right w:val="none" w:sz="0" w:space="0" w:color="auto"/>
      </w:divBdr>
    </w:div>
    <w:div w:id="186529920">
      <w:bodyDiv w:val="1"/>
      <w:marLeft w:val="0"/>
      <w:marRight w:val="0"/>
      <w:marTop w:val="0"/>
      <w:marBottom w:val="0"/>
      <w:divBdr>
        <w:top w:val="none" w:sz="0" w:space="0" w:color="auto"/>
        <w:left w:val="none" w:sz="0" w:space="0" w:color="auto"/>
        <w:bottom w:val="none" w:sz="0" w:space="0" w:color="auto"/>
        <w:right w:val="none" w:sz="0" w:space="0" w:color="auto"/>
      </w:divBdr>
    </w:div>
    <w:div w:id="188219907">
      <w:bodyDiv w:val="1"/>
      <w:marLeft w:val="0"/>
      <w:marRight w:val="0"/>
      <w:marTop w:val="0"/>
      <w:marBottom w:val="0"/>
      <w:divBdr>
        <w:top w:val="none" w:sz="0" w:space="0" w:color="auto"/>
        <w:left w:val="none" w:sz="0" w:space="0" w:color="auto"/>
        <w:bottom w:val="none" w:sz="0" w:space="0" w:color="auto"/>
        <w:right w:val="none" w:sz="0" w:space="0" w:color="auto"/>
      </w:divBdr>
    </w:div>
    <w:div w:id="203180540">
      <w:bodyDiv w:val="1"/>
      <w:marLeft w:val="0"/>
      <w:marRight w:val="0"/>
      <w:marTop w:val="0"/>
      <w:marBottom w:val="0"/>
      <w:divBdr>
        <w:top w:val="none" w:sz="0" w:space="0" w:color="auto"/>
        <w:left w:val="none" w:sz="0" w:space="0" w:color="auto"/>
        <w:bottom w:val="none" w:sz="0" w:space="0" w:color="auto"/>
        <w:right w:val="none" w:sz="0" w:space="0" w:color="auto"/>
      </w:divBdr>
    </w:div>
    <w:div w:id="208109470">
      <w:bodyDiv w:val="1"/>
      <w:marLeft w:val="0"/>
      <w:marRight w:val="0"/>
      <w:marTop w:val="0"/>
      <w:marBottom w:val="0"/>
      <w:divBdr>
        <w:top w:val="none" w:sz="0" w:space="0" w:color="auto"/>
        <w:left w:val="none" w:sz="0" w:space="0" w:color="auto"/>
        <w:bottom w:val="none" w:sz="0" w:space="0" w:color="auto"/>
        <w:right w:val="none" w:sz="0" w:space="0" w:color="auto"/>
      </w:divBdr>
    </w:div>
    <w:div w:id="223024659">
      <w:bodyDiv w:val="1"/>
      <w:marLeft w:val="0"/>
      <w:marRight w:val="0"/>
      <w:marTop w:val="0"/>
      <w:marBottom w:val="0"/>
      <w:divBdr>
        <w:top w:val="none" w:sz="0" w:space="0" w:color="auto"/>
        <w:left w:val="none" w:sz="0" w:space="0" w:color="auto"/>
        <w:bottom w:val="none" w:sz="0" w:space="0" w:color="auto"/>
        <w:right w:val="none" w:sz="0" w:space="0" w:color="auto"/>
      </w:divBdr>
    </w:div>
    <w:div w:id="226301937">
      <w:bodyDiv w:val="1"/>
      <w:marLeft w:val="0"/>
      <w:marRight w:val="0"/>
      <w:marTop w:val="0"/>
      <w:marBottom w:val="0"/>
      <w:divBdr>
        <w:top w:val="none" w:sz="0" w:space="0" w:color="auto"/>
        <w:left w:val="none" w:sz="0" w:space="0" w:color="auto"/>
        <w:bottom w:val="none" w:sz="0" w:space="0" w:color="auto"/>
        <w:right w:val="none" w:sz="0" w:space="0" w:color="auto"/>
      </w:divBdr>
    </w:div>
    <w:div w:id="233007955">
      <w:bodyDiv w:val="1"/>
      <w:marLeft w:val="0"/>
      <w:marRight w:val="0"/>
      <w:marTop w:val="0"/>
      <w:marBottom w:val="0"/>
      <w:divBdr>
        <w:top w:val="none" w:sz="0" w:space="0" w:color="auto"/>
        <w:left w:val="none" w:sz="0" w:space="0" w:color="auto"/>
        <w:bottom w:val="none" w:sz="0" w:space="0" w:color="auto"/>
        <w:right w:val="none" w:sz="0" w:space="0" w:color="auto"/>
      </w:divBdr>
    </w:div>
    <w:div w:id="241912344">
      <w:bodyDiv w:val="1"/>
      <w:marLeft w:val="0"/>
      <w:marRight w:val="0"/>
      <w:marTop w:val="0"/>
      <w:marBottom w:val="0"/>
      <w:divBdr>
        <w:top w:val="none" w:sz="0" w:space="0" w:color="auto"/>
        <w:left w:val="none" w:sz="0" w:space="0" w:color="auto"/>
        <w:bottom w:val="none" w:sz="0" w:space="0" w:color="auto"/>
        <w:right w:val="none" w:sz="0" w:space="0" w:color="auto"/>
      </w:divBdr>
    </w:div>
    <w:div w:id="248193713">
      <w:bodyDiv w:val="1"/>
      <w:marLeft w:val="0"/>
      <w:marRight w:val="0"/>
      <w:marTop w:val="0"/>
      <w:marBottom w:val="0"/>
      <w:divBdr>
        <w:top w:val="none" w:sz="0" w:space="0" w:color="auto"/>
        <w:left w:val="none" w:sz="0" w:space="0" w:color="auto"/>
        <w:bottom w:val="none" w:sz="0" w:space="0" w:color="auto"/>
        <w:right w:val="none" w:sz="0" w:space="0" w:color="auto"/>
      </w:divBdr>
    </w:div>
    <w:div w:id="265042072">
      <w:bodyDiv w:val="1"/>
      <w:marLeft w:val="0"/>
      <w:marRight w:val="0"/>
      <w:marTop w:val="0"/>
      <w:marBottom w:val="0"/>
      <w:divBdr>
        <w:top w:val="none" w:sz="0" w:space="0" w:color="auto"/>
        <w:left w:val="none" w:sz="0" w:space="0" w:color="auto"/>
        <w:bottom w:val="none" w:sz="0" w:space="0" w:color="auto"/>
        <w:right w:val="none" w:sz="0" w:space="0" w:color="auto"/>
      </w:divBdr>
    </w:div>
    <w:div w:id="278925142">
      <w:bodyDiv w:val="1"/>
      <w:marLeft w:val="0"/>
      <w:marRight w:val="0"/>
      <w:marTop w:val="0"/>
      <w:marBottom w:val="0"/>
      <w:divBdr>
        <w:top w:val="none" w:sz="0" w:space="0" w:color="auto"/>
        <w:left w:val="none" w:sz="0" w:space="0" w:color="auto"/>
        <w:bottom w:val="none" w:sz="0" w:space="0" w:color="auto"/>
        <w:right w:val="none" w:sz="0" w:space="0" w:color="auto"/>
      </w:divBdr>
    </w:div>
    <w:div w:id="279728324">
      <w:bodyDiv w:val="1"/>
      <w:marLeft w:val="0"/>
      <w:marRight w:val="0"/>
      <w:marTop w:val="0"/>
      <w:marBottom w:val="0"/>
      <w:divBdr>
        <w:top w:val="none" w:sz="0" w:space="0" w:color="auto"/>
        <w:left w:val="none" w:sz="0" w:space="0" w:color="auto"/>
        <w:bottom w:val="none" w:sz="0" w:space="0" w:color="auto"/>
        <w:right w:val="none" w:sz="0" w:space="0" w:color="auto"/>
      </w:divBdr>
    </w:div>
    <w:div w:id="279801379">
      <w:bodyDiv w:val="1"/>
      <w:marLeft w:val="0"/>
      <w:marRight w:val="0"/>
      <w:marTop w:val="0"/>
      <w:marBottom w:val="0"/>
      <w:divBdr>
        <w:top w:val="none" w:sz="0" w:space="0" w:color="auto"/>
        <w:left w:val="none" w:sz="0" w:space="0" w:color="auto"/>
        <w:bottom w:val="none" w:sz="0" w:space="0" w:color="auto"/>
        <w:right w:val="none" w:sz="0" w:space="0" w:color="auto"/>
      </w:divBdr>
    </w:div>
    <w:div w:id="281964935">
      <w:bodyDiv w:val="1"/>
      <w:marLeft w:val="0"/>
      <w:marRight w:val="0"/>
      <w:marTop w:val="0"/>
      <w:marBottom w:val="0"/>
      <w:divBdr>
        <w:top w:val="none" w:sz="0" w:space="0" w:color="auto"/>
        <w:left w:val="none" w:sz="0" w:space="0" w:color="auto"/>
        <w:bottom w:val="none" w:sz="0" w:space="0" w:color="auto"/>
        <w:right w:val="none" w:sz="0" w:space="0" w:color="auto"/>
      </w:divBdr>
    </w:div>
    <w:div w:id="295332273">
      <w:bodyDiv w:val="1"/>
      <w:marLeft w:val="0"/>
      <w:marRight w:val="0"/>
      <w:marTop w:val="0"/>
      <w:marBottom w:val="0"/>
      <w:divBdr>
        <w:top w:val="none" w:sz="0" w:space="0" w:color="auto"/>
        <w:left w:val="none" w:sz="0" w:space="0" w:color="auto"/>
        <w:bottom w:val="none" w:sz="0" w:space="0" w:color="auto"/>
        <w:right w:val="none" w:sz="0" w:space="0" w:color="auto"/>
      </w:divBdr>
    </w:div>
    <w:div w:id="298464738">
      <w:bodyDiv w:val="1"/>
      <w:marLeft w:val="0"/>
      <w:marRight w:val="0"/>
      <w:marTop w:val="0"/>
      <w:marBottom w:val="0"/>
      <w:divBdr>
        <w:top w:val="none" w:sz="0" w:space="0" w:color="auto"/>
        <w:left w:val="none" w:sz="0" w:space="0" w:color="auto"/>
        <w:bottom w:val="none" w:sz="0" w:space="0" w:color="auto"/>
        <w:right w:val="none" w:sz="0" w:space="0" w:color="auto"/>
      </w:divBdr>
    </w:div>
    <w:div w:id="311835759">
      <w:bodyDiv w:val="1"/>
      <w:marLeft w:val="0"/>
      <w:marRight w:val="0"/>
      <w:marTop w:val="0"/>
      <w:marBottom w:val="0"/>
      <w:divBdr>
        <w:top w:val="none" w:sz="0" w:space="0" w:color="auto"/>
        <w:left w:val="none" w:sz="0" w:space="0" w:color="auto"/>
        <w:bottom w:val="none" w:sz="0" w:space="0" w:color="auto"/>
        <w:right w:val="none" w:sz="0" w:space="0" w:color="auto"/>
      </w:divBdr>
    </w:div>
    <w:div w:id="320354367">
      <w:bodyDiv w:val="1"/>
      <w:marLeft w:val="0"/>
      <w:marRight w:val="0"/>
      <w:marTop w:val="0"/>
      <w:marBottom w:val="0"/>
      <w:divBdr>
        <w:top w:val="none" w:sz="0" w:space="0" w:color="auto"/>
        <w:left w:val="none" w:sz="0" w:space="0" w:color="auto"/>
        <w:bottom w:val="none" w:sz="0" w:space="0" w:color="auto"/>
        <w:right w:val="none" w:sz="0" w:space="0" w:color="auto"/>
      </w:divBdr>
    </w:div>
    <w:div w:id="325472859">
      <w:bodyDiv w:val="1"/>
      <w:marLeft w:val="0"/>
      <w:marRight w:val="0"/>
      <w:marTop w:val="0"/>
      <w:marBottom w:val="0"/>
      <w:divBdr>
        <w:top w:val="none" w:sz="0" w:space="0" w:color="auto"/>
        <w:left w:val="none" w:sz="0" w:space="0" w:color="auto"/>
        <w:bottom w:val="none" w:sz="0" w:space="0" w:color="auto"/>
        <w:right w:val="none" w:sz="0" w:space="0" w:color="auto"/>
      </w:divBdr>
    </w:div>
    <w:div w:id="332994509">
      <w:bodyDiv w:val="1"/>
      <w:marLeft w:val="0"/>
      <w:marRight w:val="0"/>
      <w:marTop w:val="0"/>
      <w:marBottom w:val="0"/>
      <w:divBdr>
        <w:top w:val="none" w:sz="0" w:space="0" w:color="auto"/>
        <w:left w:val="none" w:sz="0" w:space="0" w:color="auto"/>
        <w:bottom w:val="none" w:sz="0" w:space="0" w:color="auto"/>
        <w:right w:val="none" w:sz="0" w:space="0" w:color="auto"/>
      </w:divBdr>
    </w:div>
    <w:div w:id="336151354">
      <w:bodyDiv w:val="1"/>
      <w:marLeft w:val="0"/>
      <w:marRight w:val="0"/>
      <w:marTop w:val="0"/>
      <w:marBottom w:val="0"/>
      <w:divBdr>
        <w:top w:val="none" w:sz="0" w:space="0" w:color="auto"/>
        <w:left w:val="none" w:sz="0" w:space="0" w:color="auto"/>
        <w:bottom w:val="none" w:sz="0" w:space="0" w:color="auto"/>
        <w:right w:val="none" w:sz="0" w:space="0" w:color="auto"/>
      </w:divBdr>
    </w:div>
    <w:div w:id="336428052">
      <w:bodyDiv w:val="1"/>
      <w:marLeft w:val="0"/>
      <w:marRight w:val="0"/>
      <w:marTop w:val="0"/>
      <w:marBottom w:val="0"/>
      <w:divBdr>
        <w:top w:val="none" w:sz="0" w:space="0" w:color="auto"/>
        <w:left w:val="none" w:sz="0" w:space="0" w:color="auto"/>
        <w:bottom w:val="none" w:sz="0" w:space="0" w:color="auto"/>
        <w:right w:val="none" w:sz="0" w:space="0" w:color="auto"/>
      </w:divBdr>
    </w:div>
    <w:div w:id="346103690">
      <w:bodyDiv w:val="1"/>
      <w:marLeft w:val="0"/>
      <w:marRight w:val="0"/>
      <w:marTop w:val="0"/>
      <w:marBottom w:val="0"/>
      <w:divBdr>
        <w:top w:val="none" w:sz="0" w:space="0" w:color="auto"/>
        <w:left w:val="none" w:sz="0" w:space="0" w:color="auto"/>
        <w:bottom w:val="none" w:sz="0" w:space="0" w:color="auto"/>
        <w:right w:val="none" w:sz="0" w:space="0" w:color="auto"/>
      </w:divBdr>
    </w:div>
    <w:div w:id="352732867">
      <w:bodyDiv w:val="1"/>
      <w:marLeft w:val="0"/>
      <w:marRight w:val="0"/>
      <w:marTop w:val="0"/>
      <w:marBottom w:val="0"/>
      <w:divBdr>
        <w:top w:val="none" w:sz="0" w:space="0" w:color="auto"/>
        <w:left w:val="none" w:sz="0" w:space="0" w:color="auto"/>
        <w:bottom w:val="none" w:sz="0" w:space="0" w:color="auto"/>
        <w:right w:val="none" w:sz="0" w:space="0" w:color="auto"/>
      </w:divBdr>
    </w:div>
    <w:div w:id="353967070">
      <w:bodyDiv w:val="1"/>
      <w:marLeft w:val="0"/>
      <w:marRight w:val="0"/>
      <w:marTop w:val="0"/>
      <w:marBottom w:val="0"/>
      <w:divBdr>
        <w:top w:val="none" w:sz="0" w:space="0" w:color="auto"/>
        <w:left w:val="none" w:sz="0" w:space="0" w:color="auto"/>
        <w:bottom w:val="none" w:sz="0" w:space="0" w:color="auto"/>
        <w:right w:val="none" w:sz="0" w:space="0" w:color="auto"/>
      </w:divBdr>
    </w:div>
    <w:div w:id="354382015">
      <w:bodyDiv w:val="1"/>
      <w:marLeft w:val="0"/>
      <w:marRight w:val="0"/>
      <w:marTop w:val="0"/>
      <w:marBottom w:val="0"/>
      <w:divBdr>
        <w:top w:val="none" w:sz="0" w:space="0" w:color="auto"/>
        <w:left w:val="none" w:sz="0" w:space="0" w:color="auto"/>
        <w:bottom w:val="none" w:sz="0" w:space="0" w:color="auto"/>
        <w:right w:val="none" w:sz="0" w:space="0" w:color="auto"/>
      </w:divBdr>
    </w:div>
    <w:div w:id="357005054">
      <w:bodyDiv w:val="1"/>
      <w:marLeft w:val="0"/>
      <w:marRight w:val="0"/>
      <w:marTop w:val="0"/>
      <w:marBottom w:val="0"/>
      <w:divBdr>
        <w:top w:val="none" w:sz="0" w:space="0" w:color="auto"/>
        <w:left w:val="none" w:sz="0" w:space="0" w:color="auto"/>
        <w:bottom w:val="none" w:sz="0" w:space="0" w:color="auto"/>
        <w:right w:val="none" w:sz="0" w:space="0" w:color="auto"/>
      </w:divBdr>
    </w:div>
    <w:div w:id="357198836">
      <w:bodyDiv w:val="1"/>
      <w:marLeft w:val="0"/>
      <w:marRight w:val="0"/>
      <w:marTop w:val="0"/>
      <w:marBottom w:val="0"/>
      <w:divBdr>
        <w:top w:val="none" w:sz="0" w:space="0" w:color="auto"/>
        <w:left w:val="none" w:sz="0" w:space="0" w:color="auto"/>
        <w:bottom w:val="none" w:sz="0" w:space="0" w:color="auto"/>
        <w:right w:val="none" w:sz="0" w:space="0" w:color="auto"/>
      </w:divBdr>
    </w:div>
    <w:div w:id="364986387">
      <w:bodyDiv w:val="1"/>
      <w:marLeft w:val="0"/>
      <w:marRight w:val="0"/>
      <w:marTop w:val="0"/>
      <w:marBottom w:val="0"/>
      <w:divBdr>
        <w:top w:val="none" w:sz="0" w:space="0" w:color="auto"/>
        <w:left w:val="none" w:sz="0" w:space="0" w:color="auto"/>
        <w:bottom w:val="none" w:sz="0" w:space="0" w:color="auto"/>
        <w:right w:val="none" w:sz="0" w:space="0" w:color="auto"/>
      </w:divBdr>
    </w:div>
    <w:div w:id="367461176">
      <w:bodyDiv w:val="1"/>
      <w:marLeft w:val="0"/>
      <w:marRight w:val="0"/>
      <w:marTop w:val="0"/>
      <w:marBottom w:val="0"/>
      <w:divBdr>
        <w:top w:val="none" w:sz="0" w:space="0" w:color="auto"/>
        <w:left w:val="none" w:sz="0" w:space="0" w:color="auto"/>
        <w:bottom w:val="none" w:sz="0" w:space="0" w:color="auto"/>
        <w:right w:val="none" w:sz="0" w:space="0" w:color="auto"/>
      </w:divBdr>
    </w:div>
    <w:div w:id="385448940">
      <w:bodyDiv w:val="1"/>
      <w:marLeft w:val="0"/>
      <w:marRight w:val="0"/>
      <w:marTop w:val="0"/>
      <w:marBottom w:val="0"/>
      <w:divBdr>
        <w:top w:val="none" w:sz="0" w:space="0" w:color="auto"/>
        <w:left w:val="none" w:sz="0" w:space="0" w:color="auto"/>
        <w:bottom w:val="none" w:sz="0" w:space="0" w:color="auto"/>
        <w:right w:val="none" w:sz="0" w:space="0" w:color="auto"/>
      </w:divBdr>
    </w:div>
    <w:div w:id="393819371">
      <w:bodyDiv w:val="1"/>
      <w:marLeft w:val="0"/>
      <w:marRight w:val="0"/>
      <w:marTop w:val="0"/>
      <w:marBottom w:val="0"/>
      <w:divBdr>
        <w:top w:val="none" w:sz="0" w:space="0" w:color="auto"/>
        <w:left w:val="none" w:sz="0" w:space="0" w:color="auto"/>
        <w:bottom w:val="none" w:sz="0" w:space="0" w:color="auto"/>
        <w:right w:val="none" w:sz="0" w:space="0" w:color="auto"/>
      </w:divBdr>
    </w:div>
    <w:div w:id="394353373">
      <w:bodyDiv w:val="1"/>
      <w:marLeft w:val="0"/>
      <w:marRight w:val="0"/>
      <w:marTop w:val="0"/>
      <w:marBottom w:val="0"/>
      <w:divBdr>
        <w:top w:val="none" w:sz="0" w:space="0" w:color="auto"/>
        <w:left w:val="none" w:sz="0" w:space="0" w:color="auto"/>
        <w:bottom w:val="none" w:sz="0" w:space="0" w:color="auto"/>
        <w:right w:val="none" w:sz="0" w:space="0" w:color="auto"/>
      </w:divBdr>
    </w:div>
    <w:div w:id="404573758">
      <w:bodyDiv w:val="1"/>
      <w:marLeft w:val="0"/>
      <w:marRight w:val="0"/>
      <w:marTop w:val="0"/>
      <w:marBottom w:val="0"/>
      <w:divBdr>
        <w:top w:val="none" w:sz="0" w:space="0" w:color="auto"/>
        <w:left w:val="none" w:sz="0" w:space="0" w:color="auto"/>
        <w:bottom w:val="none" w:sz="0" w:space="0" w:color="auto"/>
        <w:right w:val="none" w:sz="0" w:space="0" w:color="auto"/>
      </w:divBdr>
    </w:div>
    <w:div w:id="411002602">
      <w:bodyDiv w:val="1"/>
      <w:marLeft w:val="0"/>
      <w:marRight w:val="0"/>
      <w:marTop w:val="0"/>
      <w:marBottom w:val="0"/>
      <w:divBdr>
        <w:top w:val="none" w:sz="0" w:space="0" w:color="auto"/>
        <w:left w:val="none" w:sz="0" w:space="0" w:color="auto"/>
        <w:bottom w:val="none" w:sz="0" w:space="0" w:color="auto"/>
        <w:right w:val="none" w:sz="0" w:space="0" w:color="auto"/>
      </w:divBdr>
    </w:div>
    <w:div w:id="414059254">
      <w:bodyDiv w:val="1"/>
      <w:marLeft w:val="0"/>
      <w:marRight w:val="0"/>
      <w:marTop w:val="0"/>
      <w:marBottom w:val="0"/>
      <w:divBdr>
        <w:top w:val="none" w:sz="0" w:space="0" w:color="auto"/>
        <w:left w:val="none" w:sz="0" w:space="0" w:color="auto"/>
        <w:bottom w:val="none" w:sz="0" w:space="0" w:color="auto"/>
        <w:right w:val="none" w:sz="0" w:space="0" w:color="auto"/>
      </w:divBdr>
    </w:div>
    <w:div w:id="414202507">
      <w:bodyDiv w:val="1"/>
      <w:marLeft w:val="0"/>
      <w:marRight w:val="0"/>
      <w:marTop w:val="0"/>
      <w:marBottom w:val="0"/>
      <w:divBdr>
        <w:top w:val="none" w:sz="0" w:space="0" w:color="auto"/>
        <w:left w:val="none" w:sz="0" w:space="0" w:color="auto"/>
        <w:bottom w:val="none" w:sz="0" w:space="0" w:color="auto"/>
        <w:right w:val="none" w:sz="0" w:space="0" w:color="auto"/>
      </w:divBdr>
    </w:div>
    <w:div w:id="417020504">
      <w:bodyDiv w:val="1"/>
      <w:marLeft w:val="0"/>
      <w:marRight w:val="0"/>
      <w:marTop w:val="0"/>
      <w:marBottom w:val="0"/>
      <w:divBdr>
        <w:top w:val="none" w:sz="0" w:space="0" w:color="auto"/>
        <w:left w:val="none" w:sz="0" w:space="0" w:color="auto"/>
        <w:bottom w:val="none" w:sz="0" w:space="0" w:color="auto"/>
        <w:right w:val="none" w:sz="0" w:space="0" w:color="auto"/>
      </w:divBdr>
    </w:div>
    <w:div w:id="425540993">
      <w:bodyDiv w:val="1"/>
      <w:marLeft w:val="0"/>
      <w:marRight w:val="0"/>
      <w:marTop w:val="0"/>
      <w:marBottom w:val="0"/>
      <w:divBdr>
        <w:top w:val="none" w:sz="0" w:space="0" w:color="auto"/>
        <w:left w:val="none" w:sz="0" w:space="0" w:color="auto"/>
        <w:bottom w:val="none" w:sz="0" w:space="0" w:color="auto"/>
        <w:right w:val="none" w:sz="0" w:space="0" w:color="auto"/>
      </w:divBdr>
    </w:div>
    <w:div w:id="426080616">
      <w:bodyDiv w:val="1"/>
      <w:marLeft w:val="0"/>
      <w:marRight w:val="0"/>
      <w:marTop w:val="0"/>
      <w:marBottom w:val="0"/>
      <w:divBdr>
        <w:top w:val="none" w:sz="0" w:space="0" w:color="auto"/>
        <w:left w:val="none" w:sz="0" w:space="0" w:color="auto"/>
        <w:bottom w:val="none" w:sz="0" w:space="0" w:color="auto"/>
        <w:right w:val="none" w:sz="0" w:space="0" w:color="auto"/>
      </w:divBdr>
    </w:div>
    <w:div w:id="435443408">
      <w:bodyDiv w:val="1"/>
      <w:marLeft w:val="0"/>
      <w:marRight w:val="0"/>
      <w:marTop w:val="0"/>
      <w:marBottom w:val="0"/>
      <w:divBdr>
        <w:top w:val="none" w:sz="0" w:space="0" w:color="auto"/>
        <w:left w:val="none" w:sz="0" w:space="0" w:color="auto"/>
        <w:bottom w:val="none" w:sz="0" w:space="0" w:color="auto"/>
        <w:right w:val="none" w:sz="0" w:space="0" w:color="auto"/>
      </w:divBdr>
    </w:div>
    <w:div w:id="436170676">
      <w:bodyDiv w:val="1"/>
      <w:marLeft w:val="0"/>
      <w:marRight w:val="0"/>
      <w:marTop w:val="0"/>
      <w:marBottom w:val="0"/>
      <w:divBdr>
        <w:top w:val="none" w:sz="0" w:space="0" w:color="auto"/>
        <w:left w:val="none" w:sz="0" w:space="0" w:color="auto"/>
        <w:bottom w:val="none" w:sz="0" w:space="0" w:color="auto"/>
        <w:right w:val="none" w:sz="0" w:space="0" w:color="auto"/>
      </w:divBdr>
    </w:div>
    <w:div w:id="450905573">
      <w:bodyDiv w:val="1"/>
      <w:marLeft w:val="0"/>
      <w:marRight w:val="0"/>
      <w:marTop w:val="0"/>
      <w:marBottom w:val="0"/>
      <w:divBdr>
        <w:top w:val="none" w:sz="0" w:space="0" w:color="auto"/>
        <w:left w:val="none" w:sz="0" w:space="0" w:color="auto"/>
        <w:bottom w:val="none" w:sz="0" w:space="0" w:color="auto"/>
        <w:right w:val="none" w:sz="0" w:space="0" w:color="auto"/>
      </w:divBdr>
    </w:div>
    <w:div w:id="463935973">
      <w:bodyDiv w:val="1"/>
      <w:marLeft w:val="0"/>
      <w:marRight w:val="0"/>
      <w:marTop w:val="0"/>
      <w:marBottom w:val="0"/>
      <w:divBdr>
        <w:top w:val="none" w:sz="0" w:space="0" w:color="auto"/>
        <w:left w:val="none" w:sz="0" w:space="0" w:color="auto"/>
        <w:bottom w:val="none" w:sz="0" w:space="0" w:color="auto"/>
        <w:right w:val="none" w:sz="0" w:space="0" w:color="auto"/>
      </w:divBdr>
    </w:div>
    <w:div w:id="472791794">
      <w:bodyDiv w:val="1"/>
      <w:marLeft w:val="0"/>
      <w:marRight w:val="0"/>
      <w:marTop w:val="0"/>
      <w:marBottom w:val="0"/>
      <w:divBdr>
        <w:top w:val="none" w:sz="0" w:space="0" w:color="auto"/>
        <w:left w:val="none" w:sz="0" w:space="0" w:color="auto"/>
        <w:bottom w:val="none" w:sz="0" w:space="0" w:color="auto"/>
        <w:right w:val="none" w:sz="0" w:space="0" w:color="auto"/>
      </w:divBdr>
    </w:div>
    <w:div w:id="488593902">
      <w:bodyDiv w:val="1"/>
      <w:marLeft w:val="0"/>
      <w:marRight w:val="0"/>
      <w:marTop w:val="0"/>
      <w:marBottom w:val="0"/>
      <w:divBdr>
        <w:top w:val="none" w:sz="0" w:space="0" w:color="auto"/>
        <w:left w:val="none" w:sz="0" w:space="0" w:color="auto"/>
        <w:bottom w:val="none" w:sz="0" w:space="0" w:color="auto"/>
        <w:right w:val="none" w:sz="0" w:space="0" w:color="auto"/>
      </w:divBdr>
    </w:div>
    <w:div w:id="500706392">
      <w:bodyDiv w:val="1"/>
      <w:marLeft w:val="0"/>
      <w:marRight w:val="0"/>
      <w:marTop w:val="0"/>
      <w:marBottom w:val="0"/>
      <w:divBdr>
        <w:top w:val="none" w:sz="0" w:space="0" w:color="auto"/>
        <w:left w:val="none" w:sz="0" w:space="0" w:color="auto"/>
        <w:bottom w:val="none" w:sz="0" w:space="0" w:color="auto"/>
        <w:right w:val="none" w:sz="0" w:space="0" w:color="auto"/>
      </w:divBdr>
    </w:div>
    <w:div w:id="506211925">
      <w:bodyDiv w:val="1"/>
      <w:marLeft w:val="0"/>
      <w:marRight w:val="0"/>
      <w:marTop w:val="0"/>
      <w:marBottom w:val="0"/>
      <w:divBdr>
        <w:top w:val="none" w:sz="0" w:space="0" w:color="auto"/>
        <w:left w:val="none" w:sz="0" w:space="0" w:color="auto"/>
        <w:bottom w:val="none" w:sz="0" w:space="0" w:color="auto"/>
        <w:right w:val="none" w:sz="0" w:space="0" w:color="auto"/>
      </w:divBdr>
    </w:div>
    <w:div w:id="515970881">
      <w:bodyDiv w:val="1"/>
      <w:marLeft w:val="0"/>
      <w:marRight w:val="0"/>
      <w:marTop w:val="0"/>
      <w:marBottom w:val="0"/>
      <w:divBdr>
        <w:top w:val="none" w:sz="0" w:space="0" w:color="auto"/>
        <w:left w:val="none" w:sz="0" w:space="0" w:color="auto"/>
        <w:bottom w:val="none" w:sz="0" w:space="0" w:color="auto"/>
        <w:right w:val="none" w:sz="0" w:space="0" w:color="auto"/>
      </w:divBdr>
    </w:div>
    <w:div w:id="516503868">
      <w:bodyDiv w:val="1"/>
      <w:marLeft w:val="0"/>
      <w:marRight w:val="0"/>
      <w:marTop w:val="0"/>
      <w:marBottom w:val="0"/>
      <w:divBdr>
        <w:top w:val="none" w:sz="0" w:space="0" w:color="auto"/>
        <w:left w:val="none" w:sz="0" w:space="0" w:color="auto"/>
        <w:bottom w:val="none" w:sz="0" w:space="0" w:color="auto"/>
        <w:right w:val="none" w:sz="0" w:space="0" w:color="auto"/>
      </w:divBdr>
    </w:div>
    <w:div w:id="520894194">
      <w:bodyDiv w:val="1"/>
      <w:marLeft w:val="0"/>
      <w:marRight w:val="0"/>
      <w:marTop w:val="0"/>
      <w:marBottom w:val="0"/>
      <w:divBdr>
        <w:top w:val="none" w:sz="0" w:space="0" w:color="auto"/>
        <w:left w:val="none" w:sz="0" w:space="0" w:color="auto"/>
        <w:bottom w:val="none" w:sz="0" w:space="0" w:color="auto"/>
        <w:right w:val="none" w:sz="0" w:space="0" w:color="auto"/>
      </w:divBdr>
    </w:div>
    <w:div w:id="522480842">
      <w:bodyDiv w:val="1"/>
      <w:marLeft w:val="0"/>
      <w:marRight w:val="0"/>
      <w:marTop w:val="0"/>
      <w:marBottom w:val="0"/>
      <w:divBdr>
        <w:top w:val="none" w:sz="0" w:space="0" w:color="auto"/>
        <w:left w:val="none" w:sz="0" w:space="0" w:color="auto"/>
        <w:bottom w:val="none" w:sz="0" w:space="0" w:color="auto"/>
        <w:right w:val="none" w:sz="0" w:space="0" w:color="auto"/>
      </w:divBdr>
    </w:div>
    <w:div w:id="524254125">
      <w:bodyDiv w:val="1"/>
      <w:marLeft w:val="0"/>
      <w:marRight w:val="0"/>
      <w:marTop w:val="0"/>
      <w:marBottom w:val="0"/>
      <w:divBdr>
        <w:top w:val="none" w:sz="0" w:space="0" w:color="auto"/>
        <w:left w:val="none" w:sz="0" w:space="0" w:color="auto"/>
        <w:bottom w:val="none" w:sz="0" w:space="0" w:color="auto"/>
        <w:right w:val="none" w:sz="0" w:space="0" w:color="auto"/>
      </w:divBdr>
    </w:div>
    <w:div w:id="532425733">
      <w:bodyDiv w:val="1"/>
      <w:marLeft w:val="0"/>
      <w:marRight w:val="0"/>
      <w:marTop w:val="0"/>
      <w:marBottom w:val="0"/>
      <w:divBdr>
        <w:top w:val="none" w:sz="0" w:space="0" w:color="auto"/>
        <w:left w:val="none" w:sz="0" w:space="0" w:color="auto"/>
        <w:bottom w:val="none" w:sz="0" w:space="0" w:color="auto"/>
        <w:right w:val="none" w:sz="0" w:space="0" w:color="auto"/>
      </w:divBdr>
    </w:div>
    <w:div w:id="536166020">
      <w:bodyDiv w:val="1"/>
      <w:marLeft w:val="0"/>
      <w:marRight w:val="0"/>
      <w:marTop w:val="0"/>
      <w:marBottom w:val="0"/>
      <w:divBdr>
        <w:top w:val="none" w:sz="0" w:space="0" w:color="auto"/>
        <w:left w:val="none" w:sz="0" w:space="0" w:color="auto"/>
        <w:bottom w:val="none" w:sz="0" w:space="0" w:color="auto"/>
        <w:right w:val="none" w:sz="0" w:space="0" w:color="auto"/>
      </w:divBdr>
    </w:div>
    <w:div w:id="549071561">
      <w:bodyDiv w:val="1"/>
      <w:marLeft w:val="0"/>
      <w:marRight w:val="0"/>
      <w:marTop w:val="0"/>
      <w:marBottom w:val="0"/>
      <w:divBdr>
        <w:top w:val="none" w:sz="0" w:space="0" w:color="auto"/>
        <w:left w:val="none" w:sz="0" w:space="0" w:color="auto"/>
        <w:bottom w:val="none" w:sz="0" w:space="0" w:color="auto"/>
        <w:right w:val="none" w:sz="0" w:space="0" w:color="auto"/>
      </w:divBdr>
    </w:div>
    <w:div w:id="560093860">
      <w:bodyDiv w:val="1"/>
      <w:marLeft w:val="0"/>
      <w:marRight w:val="0"/>
      <w:marTop w:val="0"/>
      <w:marBottom w:val="0"/>
      <w:divBdr>
        <w:top w:val="none" w:sz="0" w:space="0" w:color="auto"/>
        <w:left w:val="none" w:sz="0" w:space="0" w:color="auto"/>
        <w:bottom w:val="none" w:sz="0" w:space="0" w:color="auto"/>
        <w:right w:val="none" w:sz="0" w:space="0" w:color="auto"/>
      </w:divBdr>
    </w:div>
    <w:div w:id="614679536">
      <w:bodyDiv w:val="1"/>
      <w:marLeft w:val="0"/>
      <w:marRight w:val="0"/>
      <w:marTop w:val="0"/>
      <w:marBottom w:val="0"/>
      <w:divBdr>
        <w:top w:val="none" w:sz="0" w:space="0" w:color="auto"/>
        <w:left w:val="none" w:sz="0" w:space="0" w:color="auto"/>
        <w:bottom w:val="none" w:sz="0" w:space="0" w:color="auto"/>
        <w:right w:val="none" w:sz="0" w:space="0" w:color="auto"/>
      </w:divBdr>
    </w:div>
    <w:div w:id="616641743">
      <w:bodyDiv w:val="1"/>
      <w:marLeft w:val="0"/>
      <w:marRight w:val="0"/>
      <w:marTop w:val="0"/>
      <w:marBottom w:val="0"/>
      <w:divBdr>
        <w:top w:val="none" w:sz="0" w:space="0" w:color="auto"/>
        <w:left w:val="none" w:sz="0" w:space="0" w:color="auto"/>
        <w:bottom w:val="none" w:sz="0" w:space="0" w:color="auto"/>
        <w:right w:val="none" w:sz="0" w:space="0" w:color="auto"/>
      </w:divBdr>
    </w:div>
    <w:div w:id="630550112">
      <w:bodyDiv w:val="1"/>
      <w:marLeft w:val="0"/>
      <w:marRight w:val="0"/>
      <w:marTop w:val="0"/>
      <w:marBottom w:val="0"/>
      <w:divBdr>
        <w:top w:val="none" w:sz="0" w:space="0" w:color="auto"/>
        <w:left w:val="none" w:sz="0" w:space="0" w:color="auto"/>
        <w:bottom w:val="none" w:sz="0" w:space="0" w:color="auto"/>
        <w:right w:val="none" w:sz="0" w:space="0" w:color="auto"/>
      </w:divBdr>
    </w:div>
    <w:div w:id="635993539">
      <w:bodyDiv w:val="1"/>
      <w:marLeft w:val="0"/>
      <w:marRight w:val="0"/>
      <w:marTop w:val="0"/>
      <w:marBottom w:val="0"/>
      <w:divBdr>
        <w:top w:val="none" w:sz="0" w:space="0" w:color="auto"/>
        <w:left w:val="none" w:sz="0" w:space="0" w:color="auto"/>
        <w:bottom w:val="none" w:sz="0" w:space="0" w:color="auto"/>
        <w:right w:val="none" w:sz="0" w:space="0" w:color="auto"/>
      </w:divBdr>
    </w:div>
    <w:div w:id="638651908">
      <w:bodyDiv w:val="1"/>
      <w:marLeft w:val="0"/>
      <w:marRight w:val="0"/>
      <w:marTop w:val="0"/>
      <w:marBottom w:val="0"/>
      <w:divBdr>
        <w:top w:val="none" w:sz="0" w:space="0" w:color="auto"/>
        <w:left w:val="none" w:sz="0" w:space="0" w:color="auto"/>
        <w:bottom w:val="none" w:sz="0" w:space="0" w:color="auto"/>
        <w:right w:val="none" w:sz="0" w:space="0" w:color="auto"/>
      </w:divBdr>
    </w:div>
    <w:div w:id="654261749">
      <w:bodyDiv w:val="1"/>
      <w:marLeft w:val="0"/>
      <w:marRight w:val="0"/>
      <w:marTop w:val="0"/>
      <w:marBottom w:val="0"/>
      <w:divBdr>
        <w:top w:val="none" w:sz="0" w:space="0" w:color="auto"/>
        <w:left w:val="none" w:sz="0" w:space="0" w:color="auto"/>
        <w:bottom w:val="none" w:sz="0" w:space="0" w:color="auto"/>
        <w:right w:val="none" w:sz="0" w:space="0" w:color="auto"/>
      </w:divBdr>
    </w:div>
    <w:div w:id="655763857">
      <w:bodyDiv w:val="1"/>
      <w:marLeft w:val="0"/>
      <w:marRight w:val="0"/>
      <w:marTop w:val="0"/>
      <w:marBottom w:val="0"/>
      <w:divBdr>
        <w:top w:val="none" w:sz="0" w:space="0" w:color="auto"/>
        <w:left w:val="none" w:sz="0" w:space="0" w:color="auto"/>
        <w:bottom w:val="none" w:sz="0" w:space="0" w:color="auto"/>
        <w:right w:val="none" w:sz="0" w:space="0" w:color="auto"/>
      </w:divBdr>
    </w:div>
    <w:div w:id="662201579">
      <w:bodyDiv w:val="1"/>
      <w:marLeft w:val="0"/>
      <w:marRight w:val="0"/>
      <w:marTop w:val="0"/>
      <w:marBottom w:val="0"/>
      <w:divBdr>
        <w:top w:val="none" w:sz="0" w:space="0" w:color="auto"/>
        <w:left w:val="none" w:sz="0" w:space="0" w:color="auto"/>
        <w:bottom w:val="none" w:sz="0" w:space="0" w:color="auto"/>
        <w:right w:val="none" w:sz="0" w:space="0" w:color="auto"/>
      </w:divBdr>
    </w:div>
    <w:div w:id="664479757">
      <w:bodyDiv w:val="1"/>
      <w:marLeft w:val="0"/>
      <w:marRight w:val="0"/>
      <w:marTop w:val="0"/>
      <w:marBottom w:val="0"/>
      <w:divBdr>
        <w:top w:val="none" w:sz="0" w:space="0" w:color="auto"/>
        <w:left w:val="none" w:sz="0" w:space="0" w:color="auto"/>
        <w:bottom w:val="none" w:sz="0" w:space="0" w:color="auto"/>
        <w:right w:val="none" w:sz="0" w:space="0" w:color="auto"/>
      </w:divBdr>
    </w:div>
    <w:div w:id="673142460">
      <w:bodyDiv w:val="1"/>
      <w:marLeft w:val="0"/>
      <w:marRight w:val="0"/>
      <w:marTop w:val="0"/>
      <w:marBottom w:val="0"/>
      <w:divBdr>
        <w:top w:val="none" w:sz="0" w:space="0" w:color="auto"/>
        <w:left w:val="none" w:sz="0" w:space="0" w:color="auto"/>
        <w:bottom w:val="none" w:sz="0" w:space="0" w:color="auto"/>
        <w:right w:val="none" w:sz="0" w:space="0" w:color="auto"/>
      </w:divBdr>
    </w:div>
    <w:div w:id="686560775">
      <w:bodyDiv w:val="1"/>
      <w:marLeft w:val="0"/>
      <w:marRight w:val="0"/>
      <w:marTop w:val="0"/>
      <w:marBottom w:val="0"/>
      <w:divBdr>
        <w:top w:val="none" w:sz="0" w:space="0" w:color="auto"/>
        <w:left w:val="none" w:sz="0" w:space="0" w:color="auto"/>
        <w:bottom w:val="none" w:sz="0" w:space="0" w:color="auto"/>
        <w:right w:val="none" w:sz="0" w:space="0" w:color="auto"/>
      </w:divBdr>
    </w:div>
    <w:div w:id="689986269">
      <w:bodyDiv w:val="1"/>
      <w:marLeft w:val="0"/>
      <w:marRight w:val="0"/>
      <w:marTop w:val="0"/>
      <w:marBottom w:val="0"/>
      <w:divBdr>
        <w:top w:val="none" w:sz="0" w:space="0" w:color="auto"/>
        <w:left w:val="none" w:sz="0" w:space="0" w:color="auto"/>
        <w:bottom w:val="none" w:sz="0" w:space="0" w:color="auto"/>
        <w:right w:val="none" w:sz="0" w:space="0" w:color="auto"/>
      </w:divBdr>
    </w:div>
    <w:div w:id="730736724">
      <w:bodyDiv w:val="1"/>
      <w:marLeft w:val="0"/>
      <w:marRight w:val="0"/>
      <w:marTop w:val="0"/>
      <w:marBottom w:val="0"/>
      <w:divBdr>
        <w:top w:val="none" w:sz="0" w:space="0" w:color="auto"/>
        <w:left w:val="none" w:sz="0" w:space="0" w:color="auto"/>
        <w:bottom w:val="none" w:sz="0" w:space="0" w:color="auto"/>
        <w:right w:val="none" w:sz="0" w:space="0" w:color="auto"/>
      </w:divBdr>
    </w:div>
    <w:div w:id="731006268">
      <w:bodyDiv w:val="1"/>
      <w:marLeft w:val="0"/>
      <w:marRight w:val="0"/>
      <w:marTop w:val="0"/>
      <w:marBottom w:val="0"/>
      <w:divBdr>
        <w:top w:val="none" w:sz="0" w:space="0" w:color="auto"/>
        <w:left w:val="none" w:sz="0" w:space="0" w:color="auto"/>
        <w:bottom w:val="none" w:sz="0" w:space="0" w:color="auto"/>
        <w:right w:val="none" w:sz="0" w:space="0" w:color="auto"/>
      </w:divBdr>
    </w:div>
    <w:div w:id="733089022">
      <w:bodyDiv w:val="1"/>
      <w:marLeft w:val="0"/>
      <w:marRight w:val="0"/>
      <w:marTop w:val="0"/>
      <w:marBottom w:val="0"/>
      <w:divBdr>
        <w:top w:val="none" w:sz="0" w:space="0" w:color="auto"/>
        <w:left w:val="none" w:sz="0" w:space="0" w:color="auto"/>
        <w:bottom w:val="none" w:sz="0" w:space="0" w:color="auto"/>
        <w:right w:val="none" w:sz="0" w:space="0" w:color="auto"/>
      </w:divBdr>
    </w:div>
    <w:div w:id="735586105">
      <w:bodyDiv w:val="1"/>
      <w:marLeft w:val="0"/>
      <w:marRight w:val="0"/>
      <w:marTop w:val="0"/>
      <w:marBottom w:val="0"/>
      <w:divBdr>
        <w:top w:val="none" w:sz="0" w:space="0" w:color="auto"/>
        <w:left w:val="none" w:sz="0" w:space="0" w:color="auto"/>
        <w:bottom w:val="none" w:sz="0" w:space="0" w:color="auto"/>
        <w:right w:val="none" w:sz="0" w:space="0" w:color="auto"/>
      </w:divBdr>
    </w:div>
    <w:div w:id="735931974">
      <w:bodyDiv w:val="1"/>
      <w:marLeft w:val="0"/>
      <w:marRight w:val="0"/>
      <w:marTop w:val="0"/>
      <w:marBottom w:val="0"/>
      <w:divBdr>
        <w:top w:val="none" w:sz="0" w:space="0" w:color="auto"/>
        <w:left w:val="none" w:sz="0" w:space="0" w:color="auto"/>
        <w:bottom w:val="none" w:sz="0" w:space="0" w:color="auto"/>
        <w:right w:val="none" w:sz="0" w:space="0" w:color="auto"/>
      </w:divBdr>
    </w:div>
    <w:div w:id="741293848">
      <w:bodyDiv w:val="1"/>
      <w:marLeft w:val="0"/>
      <w:marRight w:val="0"/>
      <w:marTop w:val="0"/>
      <w:marBottom w:val="0"/>
      <w:divBdr>
        <w:top w:val="none" w:sz="0" w:space="0" w:color="auto"/>
        <w:left w:val="none" w:sz="0" w:space="0" w:color="auto"/>
        <w:bottom w:val="none" w:sz="0" w:space="0" w:color="auto"/>
        <w:right w:val="none" w:sz="0" w:space="0" w:color="auto"/>
      </w:divBdr>
    </w:div>
    <w:div w:id="745804287">
      <w:bodyDiv w:val="1"/>
      <w:marLeft w:val="0"/>
      <w:marRight w:val="0"/>
      <w:marTop w:val="0"/>
      <w:marBottom w:val="0"/>
      <w:divBdr>
        <w:top w:val="none" w:sz="0" w:space="0" w:color="auto"/>
        <w:left w:val="none" w:sz="0" w:space="0" w:color="auto"/>
        <w:bottom w:val="none" w:sz="0" w:space="0" w:color="auto"/>
        <w:right w:val="none" w:sz="0" w:space="0" w:color="auto"/>
      </w:divBdr>
    </w:div>
    <w:div w:id="756682027">
      <w:bodyDiv w:val="1"/>
      <w:marLeft w:val="0"/>
      <w:marRight w:val="0"/>
      <w:marTop w:val="0"/>
      <w:marBottom w:val="0"/>
      <w:divBdr>
        <w:top w:val="none" w:sz="0" w:space="0" w:color="auto"/>
        <w:left w:val="none" w:sz="0" w:space="0" w:color="auto"/>
        <w:bottom w:val="none" w:sz="0" w:space="0" w:color="auto"/>
        <w:right w:val="none" w:sz="0" w:space="0" w:color="auto"/>
      </w:divBdr>
    </w:div>
    <w:div w:id="762845894">
      <w:bodyDiv w:val="1"/>
      <w:marLeft w:val="0"/>
      <w:marRight w:val="0"/>
      <w:marTop w:val="0"/>
      <w:marBottom w:val="0"/>
      <w:divBdr>
        <w:top w:val="none" w:sz="0" w:space="0" w:color="auto"/>
        <w:left w:val="none" w:sz="0" w:space="0" w:color="auto"/>
        <w:bottom w:val="none" w:sz="0" w:space="0" w:color="auto"/>
        <w:right w:val="none" w:sz="0" w:space="0" w:color="auto"/>
      </w:divBdr>
    </w:div>
    <w:div w:id="773012624">
      <w:bodyDiv w:val="1"/>
      <w:marLeft w:val="0"/>
      <w:marRight w:val="0"/>
      <w:marTop w:val="0"/>
      <w:marBottom w:val="0"/>
      <w:divBdr>
        <w:top w:val="none" w:sz="0" w:space="0" w:color="auto"/>
        <w:left w:val="none" w:sz="0" w:space="0" w:color="auto"/>
        <w:bottom w:val="none" w:sz="0" w:space="0" w:color="auto"/>
        <w:right w:val="none" w:sz="0" w:space="0" w:color="auto"/>
      </w:divBdr>
    </w:div>
    <w:div w:id="777526928">
      <w:bodyDiv w:val="1"/>
      <w:marLeft w:val="0"/>
      <w:marRight w:val="0"/>
      <w:marTop w:val="0"/>
      <w:marBottom w:val="0"/>
      <w:divBdr>
        <w:top w:val="none" w:sz="0" w:space="0" w:color="auto"/>
        <w:left w:val="none" w:sz="0" w:space="0" w:color="auto"/>
        <w:bottom w:val="none" w:sz="0" w:space="0" w:color="auto"/>
        <w:right w:val="none" w:sz="0" w:space="0" w:color="auto"/>
      </w:divBdr>
    </w:div>
    <w:div w:id="791090327">
      <w:bodyDiv w:val="1"/>
      <w:marLeft w:val="0"/>
      <w:marRight w:val="0"/>
      <w:marTop w:val="0"/>
      <w:marBottom w:val="0"/>
      <w:divBdr>
        <w:top w:val="none" w:sz="0" w:space="0" w:color="auto"/>
        <w:left w:val="none" w:sz="0" w:space="0" w:color="auto"/>
        <w:bottom w:val="none" w:sz="0" w:space="0" w:color="auto"/>
        <w:right w:val="none" w:sz="0" w:space="0" w:color="auto"/>
      </w:divBdr>
    </w:div>
    <w:div w:id="815950571">
      <w:bodyDiv w:val="1"/>
      <w:marLeft w:val="0"/>
      <w:marRight w:val="0"/>
      <w:marTop w:val="0"/>
      <w:marBottom w:val="0"/>
      <w:divBdr>
        <w:top w:val="none" w:sz="0" w:space="0" w:color="auto"/>
        <w:left w:val="none" w:sz="0" w:space="0" w:color="auto"/>
        <w:bottom w:val="none" w:sz="0" w:space="0" w:color="auto"/>
        <w:right w:val="none" w:sz="0" w:space="0" w:color="auto"/>
      </w:divBdr>
    </w:div>
    <w:div w:id="826702380">
      <w:bodyDiv w:val="1"/>
      <w:marLeft w:val="0"/>
      <w:marRight w:val="0"/>
      <w:marTop w:val="0"/>
      <w:marBottom w:val="0"/>
      <w:divBdr>
        <w:top w:val="none" w:sz="0" w:space="0" w:color="auto"/>
        <w:left w:val="none" w:sz="0" w:space="0" w:color="auto"/>
        <w:bottom w:val="none" w:sz="0" w:space="0" w:color="auto"/>
        <w:right w:val="none" w:sz="0" w:space="0" w:color="auto"/>
      </w:divBdr>
    </w:div>
    <w:div w:id="834884190">
      <w:bodyDiv w:val="1"/>
      <w:marLeft w:val="0"/>
      <w:marRight w:val="0"/>
      <w:marTop w:val="0"/>
      <w:marBottom w:val="0"/>
      <w:divBdr>
        <w:top w:val="none" w:sz="0" w:space="0" w:color="auto"/>
        <w:left w:val="none" w:sz="0" w:space="0" w:color="auto"/>
        <w:bottom w:val="none" w:sz="0" w:space="0" w:color="auto"/>
        <w:right w:val="none" w:sz="0" w:space="0" w:color="auto"/>
      </w:divBdr>
    </w:div>
    <w:div w:id="844855652">
      <w:bodyDiv w:val="1"/>
      <w:marLeft w:val="0"/>
      <w:marRight w:val="0"/>
      <w:marTop w:val="0"/>
      <w:marBottom w:val="0"/>
      <w:divBdr>
        <w:top w:val="none" w:sz="0" w:space="0" w:color="auto"/>
        <w:left w:val="none" w:sz="0" w:space="0" w:color="auto"/>
        <w:bottom w:val="none" w:sz="0" w:space="0" w:color="auto"/>
        <w:right w:val="none" w:sz="0" w:space="0" w:color="auto"/>
      </w:divBdr>
    </w:div>
    <w:div w:id="851990128">
      <w:bodyDiv w:val="1"/>
      <w:marLeft w:val="0"/>
      <w:marRight w:val="0"/>
      <w:marTop w:val="0"/>
      <w:marBottom w:val="0"/>
      <w:divBdr>
        <w:top w:val="none" w:sz="0" w:space="0" w:color="auto"/>
        <w:left w:val="none" w:sz="0" w:space="0" w:color="auto"/>
        <w:bottom w:val="none" w:sz="0" w:space="0" w:color="auto"/>
        <w:right w:val="none" w:sz="0" w:space="0" w:color="auto"/>
      </w:divBdr>
    </w:div>
    <w:div w:id="854153864">
      <w:bodyDiv w:val="1"/>
      <w:marLeft w:val="0"/>
      <w:marRight w:val="0"/>
      <w:marTop w:val="0"/>
      <w:marBottom w:val="0"/>
      <w:divBdr>
        <w:top w:val="none" w:sz="0" w:space="0" w:color="auto"/>
        <w:left w:val="none" w:sz="0" w:space="0" w:color="auto"/>
        <w:bottom w:val="none" w:sz="0" w:space="0" w:color="auto"/>
        <w:right w:val="none" w:sz="0" w:space="0" w:color="auto"/>
      </w:divBdr>
    </w:div>
    <w:div w:id="856967706">
      <w:bodyDiv w:val="1"/>
      <w:marLeft w:val="0"/>
      <w:marRight w:val="0"/>
      <w:marTop w:val="0"/>
      <w:marBottom w:val="0"/>
      <w:divBdr>
        <w:top w:val="none" w:sz="0" w:space="0" w:color="auto"/>
        <w:left w:val="none" w:sz="0" w:space="0" w:color="auto"/>
        <w:bottom w:val="none" w:sz="0" w:space="0" w:color="auto"/>
        <w:right w:val="none" w:sz="0" w:space="0" w:color="auto"/>
      </w:divBdr>
    </w:div>
    <w:div w:id="858591300">
      <w:bodyDiv w:val="1"/>
      <w:marLeft w:val="0"/>
      <w:marRight w:val="0"/>
      <w:marTop w:val="0"/>
      <w:marBottom w:val="0"/>
      <w:divBdr>
        <w:top w:val="none" w:sz="0" w:space="0" w:color="auto"/>
        <w:left w:val="none" w:sz="0" w:space="0" w:color="auto"/>
        <w:bottom w:val="none" w:sz="0" w:space="0" w:color="auto"/>
        <w:right w:val="none" w:sz="0" w:space="0" w:color="auto"/>
      </w:divBdr>
    </w:div>
    <w:div w:id="859052071">
      <w:bodyDiv w:val="1"/>
      <w:marLeft w:val="0"/>
      <w:marRight w:val="0"/>
      <w:marTop w:val="0"/>
      <w:marBottom w:val="0"/>
      <w:divBdr>
        <w:top w:val="none" w:sz="0" w:space="0" w:color="auto"/>
        <w:left w:val="none" w:sz="0" w:space="0" w:color="auto"/>
        <w:bottom w:val="none" w:sz="0" w:space="0" w:color="auto"/>
        <w:right w:val="none" w:sz="0" w:space="0" w:color="auto"/>
      </w:divBdr>
    </w:div>
    <w:div w:id="867528979">
      <w:bodyDiv w:val="1"/>
      <w:marLeft w:val="0"/>
      <w:marRight w:val="0"/>
      <w:marTop w:val="0"/>
      <w:marBottom w:val="0"/>
      <w:divBdr>
        <w:top w:val="none" w:sz="0" w:space="0" w:color="auto"/>
        <w:left w:val="none" w:sz="0" w:space="0" w:color="auto"/>
        <w:bottom w:val="none" w:sz="0" w:space="0" w:color="auto"/>
        <w:right w:val="none" w:sz="0" w:space="0" w:color="auto"/>
      </w:divBdr>
    </w:div>
    <w:div w:id="871580158">
      <w:bodyDiv w:val="1"/>
      <w:marLeft w:val="0"/>
      <w:marRight w:val="0"/>
      <w:marTop w:val="0"/>
      <w:marBottom w:val="0"/>
      <w:divBdr>
        <w:top w:val="none" w:sz="0" w:space="0" w:color="auto"/>
        <w:left w:val="none" w:sz="0" w:space="0" w:color="auto"/>
        <w:bottom w:val="none" w:sz="0" w:space="0" w:color="auto"/>
        <w:right w:val="none" w:sz="0" w:space="0" w:color="auto"/>
      </w:divBdr>
    </w:div>
    <w:div w:id="872620824">
      <w:bodyDiv w:val="1"/>
      <w:marLeft w:val="0"/>
      <w:marRight w:val="0"/>
      <w:marTop w:val="0"/>
      <w:marBottom w:val="0"/>
      <w:divBdr>
        <w:top w:val="none" w:sz="0" w:space="0" w:color="auto"/>
        <w:left w:val="none" w:sz="0" w:space="0" w:color="auto"/>
        <w:bottom w:val="none" w:sz="0" w:space="0" w:color="auto"/>
        <w:right w:val="none" w:sz="0" w:space="0" w:color="auto"/>
      </w:divBdr>
    </w:div>
    <w:div w:id="877007473">
      <w:bodyDiv w:val="1"/>
      <w:marLeft w:val="0"/>
      <w:marRight w:val="0"/>
      <w:marTop w:val="0"/>
      <w:marBottom w:val="0"/>
      <w:divBdr>
        <w:top w:val="none" w:sz="0" w:space="0" w:color="auto"/>
        <w:left w:val="none" w:sz="0" w:space="0" w:color="auto"/>
        <w:bottom w:val="none" w:sz="0" w:space="0" w:color="auto"/>
        <w:right w:val="none" w:sz="0" w:space="0" w:color="auto"/>
      </w:divBdr>
    </w:div>
    <w:div w:id="883638286">
      <w:bodyDiv w:val="1"/>
      <w:marLeft w:val="0"/>
      <w:marRight w:val="0"/>
      <w:marTop w:val="0"/>
      <w:marBottom w:val="0"/>
      <w:divBdr>
        <w:top w:val="none" w:sz="0" w:space="0" w:color="auto"/>
        <w:left w:val="none" w:sz="0" w:space="0" w:color="auto"/>
        <w:bottom w:val="none" w:sz="0" w:space="0" w:color="auto"/>
        <w:right w:val="none" w:sz="0" w:space="0" w:color="auto"/>
      </w:divBdr>
    </w:div>
    <w:div w:id="886338019">
      <w:bodyDiv w:val="1"/>
      <w:marLeft w:val="0"/>
      <w:marRight w:val="0"/>
      <w:marTop w:val="0"/>
      <w:marBottom w:val="0"/>
      <w:divBdr>
        <w:top w:val="none" w:sz="0" w:space="0" w:color="auto"/>
        <w:left w:val="none" w:sz="0" w:space="0" w:color="auto"/>
        <w:bottom w:val="none" w:sz="0" w:space="0" w:color="auto"/>
        <w:right w:val="none" w:sz="0" w:space="0" w:color="auto"/>
      </w:divBdr>
    </w:div>
    <w:div w:id="891310780">
      <w:bodyDiv w:val="1"/>
      <w:marLeft w:val="0"/>
      <w:marRight w:val="0"/>
      <w:marTop w:val="0"/>
      <w:marBottom w:val="0"/>
      <w:divBdr>
        <w:top w:val="none" w:sz="0" w:space="0" w:color="auto"/>
        <w:left w:val="none" w:sz="0" w:space="0" w:color="auto"/>
        <w:bottom w:val="none" w:sz="0" w:space="0" w:color="auto"/>
        <w:right w:val="none" w:sz="0" w:space="0" w:color="auto"/>
      </w:divBdr>
    </w:div>
    <w:div w:id="903834426">
      <w:bodyDiv w:val="1"/>
      <w:marLeft w:val="0"/>
      <w:marRight w:val="0"/>
      <w:marTop w:val="0"/>
      <w:marBottom w:val="0"/>
      <w:divBdr>
        <w:top w:val="none" w:sz="0" w:space="0" w:color="auto"/>
        <w:left w:val="none" w:sz="0" w:space="0" w:color="auto"/>
        <w:bottom w:val="none" w:sz="0" w:space="0" w:color="auto"/>
        <w:right w:val="none" w:sz="0" w:space="0" w:color="auto"/>
      </w:divBdr>
    </w:div>
    <w:div w:id="912541821">
      <w:bodyDiv w:val="1"/>
      <w:marLeft w:val="0"/>
      <w:marRight w:val="0"/>
      <w:marTop w:val="0"/>
      <w:marBottom w:val="0"/>
      <w:divBdr>
        <w:top w:val="none" w:sz="0" w:space="0" w:color="auto"/>
        <w:left w:val="none" w:sz="0" w:space="0" w:color="auto"/>
        <w:bottom w:val="none" w:sz="0" w:space="0" w:color="auto"/>
        <w:right w:val="none" w:sz="0" w:space="0" w:color="auto"/>
      </w:divBdr>
    </w:div>
    <w:div w:id="919825406">
      <w:bodyDiv w:val="1"/>
      <w:marLeft w:val="0"/>
      <w:marRight w:val="0"/>
      <w:marTop w:val="0"/>
      <w:marBottom w:val="0"/>
      <w:divBdr>
        <w:top w:val="none" w:sz="0" w:space="0" w:color="auto"/>
        <w:left w:val="none" w:sz="0" w:space="0" w:color="auto"/>
        <w:bottom w:val="none" w:sz="0" w:space="0" w:color="auto"/>
        <w:right w:val="none" w:sz="0" w:space="0" w:color="auto"/>
      </w:divBdr>
    </w:div>
    <w:div w:id="930284866">
      <w:bodyDiv w:val="1"/>
      <w:marLeft w:val="0"/>
      <w:marRight w:val="0"/>
      <w:marTop w:val="0"/>
      <w:marBottom w:val="0"/>
      <w:divBdr>
        <w:top w:val="none" w:sz="0" w:space="0" w:color="auto"/>
        <w:left w:val="none" w:sz="0" w:space="0" w:color="auto"/>
        <w:bottom w:val="none" w:sz="0" w:space="0" w:color="auto"/>
        <w:right w:val="none" w:sz="0" w:space="0" w:color="auto"/>
      </w:divBdr>
    </w:div>
    <w:div w:id="980111767">
      <w:bodyDiv w:val="1"/>
      <w:marLeft w:val="0"/>
      <w:marRight w:val="0"/>
      <w:marTop w:val="0"/>
      <w:marBottom w:val="0"/>
      <w:divBdr>
        <w:top w:val="none" w:sz="0" w:space="0" w:color="auto"/>
        <w:left w:val="none" w:sz="0" w:space="0" w:color="auto"/>
        <w:bottom w:val="none" w:sz="0" w:space="0" w:color="auto"/>
        <w:right w:val="none" w:sz="0" w:space="0" w:color="auto"/>
      </w:divBdr>
    </w:div>
    <w:div w:id="983503504">
      <w:bodyDiv w:val="1"/>
      <w:marLeft w:val="0"/>
      <w:marRight w:val="0"/>
      <w:marTop w:val="0"/>
      <w:marBottom w:val="0"/>
      <w:divBdr>
        <w:top w:val="none" w:sz="0" w:space="0" w:color="auto"/>
        <w:left w:val="none" w:sz="0" w:space="0" w:color="auto"/>
        <w:bottom w:val="none" w:sz="0" w:space="0" w:color="auto"/>
        <w:right w:val="none" w:sz="0" w:space="0" w:color="auto"/>
      </w:divBdr>
    </w:div>
    <w:div w:id="994337078">
      <w:bodyDiv w:val="1"/>
      <w:marLeft w:val="0"/>
      <w:marRight w:val="0"/>
      <w:marTop w:val="0"/>
      <w:marBottom w:val="0"/>
      <w:divBdr>
        <w:top w:val="none" w:sz="0" w:space="0" w:color="auto"/>
        <w:left w:val="none" w:sz="0" w:space="0" w:color="auto"/>
        <w:bottom w:val="none" w:sz="0" w:space="0" w:color="auto"/>
        <w:right w:val="none" w:sz="0" w:space="0" w:color="auto"/>
      </w:divBdr>
    </w:div>
    <w:div w:id="999623022">
      <w:bodyDiv w:val="1"/>
      <w:marLeft w:val="0"/>
      <w:marRight w:val="0"/>
      <w:marTop w:val="0"/>
      <w:marBottom w:val="0"/>
      <w:divBdr>
        <w:top w:val="none" w:sz="0" w:space="0" w:color="auto"/>
        <w:left w:val="none" w:sz="0" w:space="0" w:color="auto"/>
        <w:bottom w:val="none" w:sz="0" w:space="0" w:color="auto"/>
        <w:right w:val="none" w:sz="0" w:space="0" w:color="auto"/>
      </w:divBdr>
    </w:div>
    <w:div w:id="1003123748">
      <w:bodyDiv w:val="1"/>
      <w:marLeft w:val="0"/>
      <w:marRight w:val="0"/>
      <w:marTop w:val="0"/>
      <w:marBottom w:val="0"/>
      <w:divBdr>
        <w:top w:val="none" w:sz="0" w:space="0" w:color="auto"/>
        <w:left w:val="none" w:sz="0" w:space="0" w:color="auto"/>
        <w:bottom w:val="none" w:sz="0" w:space="0" w:color="auto"/>
        <w:right w:val="none" w:sz="0" w:space="0" w:color="auto"/>
      </w:divBdr>
    </w:div>
    <w:div w:id="1010838790">
      <w:bodyDiv w:val="1"/>
      <w:marLeft w:val="0"/>
      <w:marRight w:val="0"/>
      <w:marTop w:val="0"/>
      <w:marBottom w:val="0"/>
      <w:divBdr>
        <w:top w:val="none" w:sz="0" w:space="0" w:color="auto"/>
        <w:left w:val="none" w:sz="0" w:space="0" w:color="auto"/>
        <w:bottom w:val="none" w:sz="0" w:space="0" w:color="auto"/>
        <w:right w:val="none" w:sz="0" w:space="0" w:color="auto"/>
      </w:divBdr>
    </w:div>
    <w:div w:id="1013922056">
      <w:bodyDiv w:val="1"/>
      <w:marLeft w:val="0"/>
      <w:marRight w:val="0"/>
      <w:marTop w:val="0"/>
      <w:marBottom w:val="0"/>
      <w:divBdr>
        <w:top w:val="none" w:sz="0" w:space="0" w:color="auto"/>
        <w:left w:val="none" w:sz="0" w:space="0" w:color="auto"/>
        <w:bottom w:val="none" w:sz="0" w:space="0" w:color="auto"/>
        <w:right w:val="none" w:sz="0" w:space="0" w:color="auto"/>
      </w:divBdr>
    </w:div>
    <w:div w:id="1014920674">
      <w:bodyDiv w:val="1"/>
      <w:marLeft w:val="0"/>
      <w:marRight w:val="0"/>
      <w:marTop w:val="0"/>
      <w:marBottom w:val="0"/>
      <w:divBdr>
        <w:top w:val="none" w:sz="0" w:space="0" w:color="auto"/>
        <w:left w:val="none" w:sz="0" w:space="0" w:color="auto"/>
        <w:bottom w:val="none" w:sz="0" w:space="0" w:color="auto"/>
        <w:right w:val="none" w:sz="0" w:space="0" w:color="auto"/>
      </w:divBdr>
    </w:div>
    <w:div w:id="1017578961">
      <w:bodyDiv w:val="1"/>
      <w:marLeft w:val="0"/>
      <w:marRight w:val="0"/>
      <w:marTop w:val="0"/>
      <w:marBottom w:val="0"/>
      <w:divBdr>
        <w:top w:val="none" w:sz="0" w:space="0" w:color="auto"/>
        <w:left w:val="none" w:sz="0" w:space="0" w:color="auto"/>
        <w:bottom w:val="none" w:sz="0" w:space="0" w:color="auto"/>
        <w:right w:val="none" w:sz="0" w:space="0" w:color="auto"/>
      </w:divBdr>
    </w:div>
    <w:div w:id="1021663691">
      <w:bodyDiv w:val="1"/>
      <w:marLeft w:val="0"/>
      <w:marRight w:val="0"/>
      <w:marTop w:val="0"/>
      <w:marBottom w:val="0"/>
      <w:divBdr>
        <w:top w:val="none" w:sz="0" w:space="0" w:color="auto"/>
        <w:left w:val="none" w:sz="0" w:space="0" w:color="auto"/>
        <w:bottom w:val="none" w:sz="0" w:space="0" w:color="auto"/>
        <w:right w:val="none" w:sz="0" w:space="0" w:color="auto"/>
      </w:divBdr>
    </w:div>
    <w:div w:id="1022584909">
      <w:bodyDiv w:val="1"/>
      <w:marLeft w:val="0"/>
      <w:marRight w:val="0"/>
      <w:marTop w:val="0"/>
      <w:marBottom w:val="0"/>
      <w:divBdr>
        <w:top w:val="none" w:sz="0" w:space="0" w:color="auto"/>
        <w:left w:val="none" w:sz="0" w:space="0" w:color="auto"/>
        <w:bottom w:val="none" w:sz="0" w:space="0" w:color="auto"/>
        <w:right w:val="none" w:sz="0" w:space="0" w:color="auto"/>
      </w:divBdr>
    </w:div>
    <w:div w:id="1037704535">
      <w:bodyDiv w:val="1"/>
      <w:marLeft w:val="0"/>
      <w:marRight w:val="0"/>
      <w:marTop w:val="0"/>
      <w:marBottom w:val="0"/>
      <w:divBdr>
        <w:top w:val="none" w:sz="0" w:space="0" w:color="auto"/>
        <w:left w:val="none" w:sz="0" w:space="0" w:color="auto"/>
        <w:bottom w:val="none" w:sz="0" w:space="0" w:color="auto"/>
        <w:right w:val="none" w:sz="0" w:space="0" w:color="auto"/>
      </w:divBdr>
    </w:div>
    <w:div w:id="1041784881">
      <w:bodyDiv w:val="1"/>
      <w:marLeft w:val="0"/>
      <w:marRight w:val="0"/>
      <w:marTop w:val="0"/>
      <w:marBottom w:val="0"/>
      <w:divBdr>
        <w:top w:val="none" w:sz="0" w:space="0" w:color="auto"/>
        <w:left w:val="none" w:sz="0" w:space="0" w:color="auto"/>
        <w:bottom w:val="none" w:sz="0" w:space="0" w:color="auto"/>
        <w:right w:val="none" w:sz="0" w:space="0" w:color="auto"/>
      </w:divBdr>
    </w:div>
    <w:div w:id="1071275958">
      <w:bodyDiv w:val="1"/>
      <w:marLeft w:val="0"/>
      <w:marRight w:val="0"/>
      <w:marTop w:val="0"/>
      <w:marBottom w:val="0"/>
      <w:divBdr>
        <w:top w:val="none" w:sz="0" w:space="0" w:color="auto"/>
        <w:left w:val="none" w:sz="0" w:space="0" w:color="auto"/>
        <w:bottom w:val="none" w:sz="0" w:space="0" w:color="auto"/>
        <w:right w:val="none" w:sz="0" w:space="0" w:color="auto"/>
      </w:divBdr>
    </w:div>
    <w:div w:id="1122654679">
      <w:bodyDiv w:val="1"/>
      <w:marLeft w:val="0"/>
      <w:marRight w:val="0"/>
      <w:marTop w:val="0"/>
      <w:marBottom w:val="0"/>
      <w:divBdr>
        <w:top w:val="none" w:sz="0" w:space="0" w:color="auto"/>
        <w:left w:val="none" w:sz="0" w:space="0" w:color="auto"/>
        <w:bottom w:val="none" w:sz="0" w:space="0" w:color="auto"/>
        <w:right w:val="none" w:sz="0" w:space="0" w:color="auto"/>
      </w:divBdr>
    </w:div>
    <w:div w:id="1127699095">
      <w:bodyDiv w:val="1"/>
      <w:marLeft w:val="0"/>
      <w:marRight w:val="0"/>
      <w:marTop w:val="0"/>
      <w:marBottom w:val="0"/>
      <w:divBdr>
        <w:top w:val="none" w:sz="0" w:space="0" w:color="auto"/>
        <w:left w:val="none" w:sz="0" w:space="0" w:color="auto"/>
        <w:bottom w:val="none" w:sz="0" w:space="0" w:color="auto"/>
        <w:right w:val="none" w:sz="0" w:space="0" w:color="auto"/>
      </w:divBdr>
    </w:div>
    <w:div w:id="1128351246">
      <w:bodyDiv w:val="1"/>
      <w:marLeft w:val="0"/>
      <w:marRight w:val="0"/>
      <w:marTop w:val="0"/>
      <w:marBottom w:val="0"/>
      <w:divBdr>
        <w:top w:val="none" w:sz="0" w:space="0" w:color="auto"/>
        <w:left w:val="none" w:sz="0" w:space="0" w:color="auto"/>
        <w:bottom w:val="none" w:sz="0" w:space="0" w:color="auto"/>
        <w:right w:val="none" w:sz="0" w:space="0" w:color="auto"/>
      </w:divBdr>
    </w:div>
    <w:div w:id="1132289155">
      <w:bodyDiv w:val="1"/>
      <w:marLeft w:val="0"/>
      <w:marRight w:val="0"/>
      <w:marTop w:val="0"/>
      <w:marBottom w:val="0"/>
      <w:divBdr>
        <w:top w:val="none" w:sz="0" w:space="0" w:color="auto"/>
        <w:left w:val="none" w:sz="0" w:space="0" w:color="auto"/>
        <w:bottom w:val="none" w:sz="0" w:space="0" w:color="auto"/>
        <w:right w:val="none" w:sz="0" w:space="0" w:color="auto"/>
      </w:divBdr>
    </w:div>
    <w:div w:id="1133251870">
      <w:bodyDiv w:val="1"/>
      <w:marLeft w:val="0"/>
      <w:marRight w:val="0"/>
      <w:marTop w:val="0"/>
      <w:marBottom w:val="0"/>
      <w:divBdr>
        <w:top w:val="none" w:sz="0" w:space="0" w:color="auto"/>
        <w:left w:val="none" w:sz="0" w:space="0" w:color="auto"/>
        <w:bottom w:val="none" w:sz="0" w:space="0" w:color="auto"/>
        <w:right w:val="none" w:sz="0" w:space="0" w:color="auto"/>
      </w:divBdr>
    </w:div>
    <w:div w:id="1137071001">
      <w:bodyDiv w:val="1"/>
      <w:marLeft w:val="0"/>
      <w:marRight w:val="0"/>
      <w:marTop w:val="0"/>
      <w:marBottom w:val="0"/>
      <w:divBdr>
        <w:top w:val="none" w:sz="0" w:space="0" w:color="auto"/>
        <w:left w:val="none" w:sz="0" w:space="0" w:color="auto"/>
        <w:bottom w:val="none" w:sz="0" w:space="0" w:color="auto"/>
        <w:right w:val="none" w:sz="0" w:space="0" w:color="auto"/>
      </w:divBdr>
    </w:div>
    <w:div w:id="1161892496">
      <w:bodyDiv w:val="1"/>
      <w:marLeft w:val="0"/>
      <w:marRight w:val="0"/>
      <w:marTop w:val="0"/>
      <w:marBottom w:val="0"/>
      <w:divBdr>
        <w:top w:val="none" w:sz="0" w:space="0" w:color="auto"/>
        <w:left w:val="none" w:sz="0" w:space="0" w:color="auto"/>
        <w:bottom w:val="none" w:sz="0" w:space="0" w:color="auto"/>
        <w:right w:val="none" w:sz="0" w:space="0" w:color="auto"/>
      </w:divBdr>
    </w:div>
    <w:div w:id="1166940880">
      <w:bodyDiv w:val="1"/>
      <w:marLeft w:val="0"/>
      <w:marRight w:val="0"/>
      <w:marTop w:val="0"/>
      <w:marBottom w:val="0"/>
      <w:divBdr>
        <w:top w:val="none" w:sz="0" w:space="0" w:color="auto"/>
        <w:left w:val="none" w:sz="0" w:space="0" w:color="auto"/>
        <w:bottom w:val="none" w:sz="0" w:space="0" w:color="auto"/>
        <w:right w:val="none" w:sz="0" w:space="0" w:color="auto"/>
      </w:divBdr>
    </w:div>
    <w:div w:id="1200245899">
      <w:bodyDiv w:val="1"/>
      <w:marLeft w:val="0"/>
      <w:marRight w:val="0"/>
      <w:marTop w:val="0"/>
      <w:marBottom w:val="0"/>
      <w:divBdr>
        <w:top w:val="none" w:sz="0" w:space="0" w:color="auto"/>
        <w:left w:val="none" w:sz="0" w:space="0" w:color="auto"/>
        <w:bottom w:val="none" w:sz="0" w:space="0" w:color="auto"/>
        <w:right w:val="none" w:sz="0" w:space="0" w:color="auto"/>
      </w:divBdr>
    </w:div>
    <w:div w:id="1203978825">
      <w:bodyDiv w:val="1"/>
      <w:marLeft w:val="0"/>
      <w:marRight w:val="0"/>
      <w:marTop w:val="0"/>
      <w:marBottom w:val="0"/>
      <w:divBdr>
        <w:top w:val="none" w:sz="0" w:space="0" w:color="auto"/>
        <w:left w:val="none" w:sz="0" w:space="0" w:color="auto"/>
        <w:bottom w:val="none" w:sz="0" w:space="0" w:color="auto"/>
        <w:right w:val="none" w:sz="0" w:space="0" w:color="auto"/>
      </w:divBdr>
    </w:div>
    <w:div w:id="1206336573">
      <w:bodyDiv w:val="1"/>
      <w:marLeft w:val="0"/>
      <w:marRight w:val="0"/>
      <w:marTop w:val="0"/>
      <w:marBottom w:val="0"/>
      <w:divBdr>
        <w:top w:val="none" w:sz="0" w:space="0" w:color="auto"/>
        <w:left w:val="none" w:sz="0" w:space="0" w:color="auto"/>
        <w:bottom w:val="none" w:sz="0" w:space="0" w:color="auto"/>
        <w:right w:val="none" w:sz="0" w:space="0" w:color="auto"/>
      </w:divBdr>
    </w:div>
    <w:div w:id="1221600838">
      <w:bodyDiv w:val="1"/>
      <w:marLeft w:val="0"/>
      <w:marRight w:val="0"/>
      <w:marTop w:val="0"/>
      <w:marBottom w:val="0"/>
      <w:divBdr>
        <w:top w:val="none" w:sz="0" w:space="0" w:color="auto"/>
        <w:left w:val="none" w:sz="0" w:space="0" w:color="auto"/>
        <w:bottom w:val="none" w:sz="0" w:space="0" w:color="auto"/>
        <w:right w:val="none" w:sz="0" w:space="0" w:color="auto"/>
      </w:divBdr>
    </w:div>
    <w:div w:id="1238635580">
      <w:bodyDiv w:val="1"/>
      <w:marLeft w:val="0"/>
      <w:marRight w:val="0"/>
      <w:marTop w:val="0"/>
      <w:marBottom w:val="0"/>
      <w:divBdr>
        <w:top w:val="none" w:sz="0" w:space="0" w:color="auto"/>
        <w:left w:val="none" w:sz="0" w:space="0" w:color="auto"/>
        <w:bottom w:val="none" w:sz="0" w:space="0" w:color="auto"/>
        <w:right w:val="none" w:sz="0" w:space="0" w:color="auto"/>
      </w:divBdr>
    </w:div>
    <w:div w:id="1259486827">
      <w:bodyDiv w:val="1"/>
      <w:marLeft w:val="0"/>
      <w:marRight w:val="0"/>
      <w:marTop w:val="0"/>
      <w:marBottom w:val="0"/>
      <w:divBdr>
        <w:top w:val="none" w:sz="0" w:space="0" w:color="auto"/>
        <w:left w:val="none" w:sz="0" w:space="0" w:color="auto"/>
        <w:bottom w:val="none" w:sz="0" w:space="0" w:color="auto"/>
        <w:right w:val="none" w:sz="0" w:space="0" w:color="auto"/>
      </w:divBdr>
    </w:div>
    <w:div w:id="1274244329">
      <w:bodyDiv w:val="1"/>
      <w:marLeft w:val="0"/>
      <w:marRight w:val="0"/>
      <w:marTop w:val="0"/>
      <w:marBottom w:val="0"/>
      <w:divBdr>
        <w:top w:val="none" w:sz="0" w:space="0" w:color="auto"/>
        <w:left w:val="none" w:sz="0" w:space="0" w:color="auto"/>
        <w:bottom w:val="none" w:sz="0" w:space="0" w:color="auto"/>
        <w:right w:val="none" w:sz="0" w:space="0" w:color="auto"/>
      </w:divBdr>
    </w:div>
    <w:div w:id="1297644885">
      <w:bodyDiv w:val="1"/>
      <w:marLeft w:val="0"/>
      <w:marRight w:val="0"/>
      <w:marTop w:val="0"/>
      <w:marBottom w:val="0"/>
      <w:divBdr>
        <w:top w:val="none" w:sz="0" w:space="0" w:color="auto"/>
        <w:left w:val="none" w:sz="0" w:space="0" w:color="auto"/>
        <w:bottom w:val="none" w:sz="0" w:space="0" w:color="auto"/>
        <w:right w:val="none" w:sz="0" w:space="0" w:color="auto"/>
      </w:divBdr>
    </w:div>
    <w:div w:id="1302729798">
      <w:bodyDiv w:val="1"/>
      <w:marLeft w:val="0"/>
      <w:marRight w:val="0"/>
      <w:marTop w:val="0"/>
      <w:marBottom w:val="0"/>
      <w:divBdr>
        <w:top w:val="none" w:sz="0" w:space="0" w:color="auto"/>
        <w:left w:val="none" w:sz="0" w:space="0" w:color="auto"/>
        <w:bottom w:val="none" w:sz="0" w:space="0" w:color="auto"/>
        <w:right w:val="none" w:sz="0" w:space="0" w:color="auto"/>
      </w:divBdr>
    </w:div>
    <w:div w:id="1306158172">
      <w:bodyDiv w:val="1"/>
      <w:marLeft w:val="0"/>
      <w:marRight w:val="0"/>
      <w:marTop w:val="0"/>
      <w:marBottom w:val="0"/>
      <w:divBdr>
        <w:top w:val="none" w:sz="0" w:space="0" w:color="auto"/>
        <w:left w:val="none" w:sz="0" w:space="0" w:color="auto"/>
        <w:bottom w:val="none" w:sz="0" w:space="0" w:color="auto"/>
        <w:right w:val="none" w:sz="0" w:space="0" w:color="auto"/>
      </w:divBdr>
    </w:div>
    <w:div w:id="1306470600">
      <w:bodyDiv w:val="1"/>
      <w:marLeft w:val="0"/>
      <w:marRight w:val="0"/>
      <w:marTop w:val="0"/>
      <w:marBottom w:val="0"/>
      <w:divBdr>
        <w:top w:val="none" w:sz="0" w:space="0" w:color="auto"/>
        <w:left w:val="none" w:sz="0" w:space="0" w:color="auto"/>
        <w:bottom w:val="none" w:sz="0" w:space="0" w:color="auto"/>
        <w:right w:val="none" w:sz="0" w:space="0" w:color="auto"/>
      </w:divBdr>
    </w:div>
    <w:div w:id="1308628802">
      <w:bodyDiv w:val="1"/>
      <w:marLeft w:val="0"/>
      <w:marRight w:val="0"/>
      <w:marTop w:val="0"/>
      <w:marBottom w:val="0"/>
      <w:divBdr>
        <w:top w:val="none" w:sz="0" w:space="0" w:color="auto"/>
        <w:left w:val="none" w:sz="0" w:space="0" w:color="auto"/>
        <w:bottom w:val="none" w:sz="0" w:space="0" w:color="auto"/>
        <w:right w:val="none" w:sz="0" w:space="0" w:color="auto"/>
      </w:divBdr>
    </w:div>
    <w:div w:id="1312245703">
      <w:bodyDiv w:val="1"/>
      <w:marLeft w:val="0"/>
      <w:marRight w:val="0"/>
      <w:marTop w:val="0"/>
      <w:marBottom w:val="0"/>
      <w:divBdr>
        <w:top w:val="none" w:sz="0" w:space="0" w:color="auto"/>
        <w:left w:val="none" w:sz="0" w:space="0" w:color="auto"/>
        <w:bottom w:val="none" w:sz="0" w:space="0" w:color="auto"/>
        <w:right w:val="none" w:sz="0" w:space="0" w:color="auto"/>
      </w:divBdr>
    </w:div>
    <w:div w:id="1324357645">
      <w:bodyDiv w:val="1"/>
      <w:marLeft w:val="0"/>
      <w:marRight w:val="0"/>
      <w:marTop w:val="0"/>
      <w:marBottom w:val="0"/>
      <w:divBdr>
        <w:top w:val="none" w:sz="0" w:space="0" w:color="auto"/>
        <w:left w:val="none" w:sz="0" w:space="0" w:color="auto"/>
        <w:bottom w:val="none" w:sz="0" w:space="0" w:color="auto"/>
        <w:right w:val="none" w:sz="0" w:space="0" w:color="auto"/>
      </w:divBdr>
    </w:div>
    <w:div w:id="1325742069">
      <w:bodyDiv w:val="1"/>
      <w:marLeft w:val="0"/>
      <w:marRight w:val="0"/>
      <w:marTop w:val="0"/>
      <w:marBottom w:val="0"/>
      <w:divBdr>
        <w:top w:val="none" w:sz="0" w:space="0" w:color="auto"/>
        <w:left w:val="none" w:sz="0" w:space="0" w:color="auto"/>
        <w:bottom w:val="none" w:sz="0" w:space="0" w:color="auto"/>
        <w:right w:val="none" w:sz="0" w:space="0" w:color="auto"/>
      </w:divBdr>
    </w:div>
    <w:div w:id="1333483296">
      <w:bodyDiv w:val="1"/>
      <w:marLeft w:val="0"/>
      <w:marRight w:val="0"/>
      <w:marTop w:val="0"/>
      <w:marBottom w:val="0"/>
      <w:divBdr>
        <w:top w:val="none" w:sz="0" w:space="0" w:color="auto"/>
        <w:left w:val="none" w:sz="0" w:space="0" w:color="auto"/>
        <w:bottom w:val="none" w:sz="0" w:space="0" w:color="auto"/>
        <w:right w:val="none" w:sz="0" w:space="0" w:color="auto"/>
      </w:divBdr>
    </w:div>
    <w:div w:id="1338272375">
      <w:bodyDiv w:val="1"/>
      <w:marLeft w:val="0"/>
      <w:marRight w:val="0"/>
      <w:marTop w:val="0"/>
      <w:marBottom w:val="0"/>
      <w:divBdr>
        <w:top w:val="none" w:sz="0" w:space="0" w:color="auto"/>
        <w:left w:val="none" w:sz="0" w:space="0" w:color="auto"/>
        <w:bottom w:val="none" w:sz="0" w:space="0" w:color="auto"/>
        <w:right w:val="none" w:sz="0" w:space="0" w:color="auto"/>
      </w:divBdr>
    </w:div>
    <w:div w:id="1340425647">
      <w:bodyDiv w:val="1"/>
      <w:marLeft w:val="0"/>
      <w:marRight w:val="0"/>
      <w:marTop w:val="0"/>
      <w:marBottom w:val="0"/>
      <w:divBdr>
        <w:top w:val="none" w:sz="0" w:space="0" w:color="auto"/>
        <w:left w:val="none" w:sz="0" w:space="0" w:color="auto"/>
        <w:bottom w:val="none" w:sz="0" w:space="0" w:color="auto"/>
        <w:right w:val="none" w:sz="0" w:space="0" w:color="auto"/>
      </w:divBdr>
    </w:div>
    <w:div w:id="1340498584">
      <w:bodyDiv w:val="1"/>
      <w:marLeft w:val="0"/>
      <w:marRight w:val="0"/>
      <w:marTop w:val="0"/>
      <w:marBottom w:val="0"/>
      <w:divBdr>
        <w:top w:val="none" w:sz="0" w:space="0" w:color="auto"/>
        <w:left w:val="none" w:sz="0" w:space="0" w:color="auto"/>
        <w:bottom w:val="none" w:sz="0" w:space="0" w:color="auto"/>
        <w:right w:val="none" w:sz="0" w:space="0" w:color="auto"/>
      </w:divBdr>
    </w:div>
    <w:div w:id="1341156749">
      <w:bodyDiv w:val="1"/>
      <w:marLeft w:val="0"/>
      <w:marRight w:val="0"/>
      <w:marTop w:val="0"/>
      <w:marBottom w:val="0"/>
      <w:divBdr>
        <w:top w:val="none" w:sz="0" w:space="0" w:color="auto"/>
        <w:left w:val="none" w:sz="0" w:space="0" w:color="auto"/>
        <w:bottom w:val="none" w:sz="0" w:space="0" w:color="auto"/>
        <w:right w:val="none" w:sz="0" w:space="0" w:color="auto"/>
      </w:divBdr>
    </w:div>
    <w:div w:id="1350715494">
      <w:bodyDiv w:val="1"/>
      <w:marLeft w:val="0"/>
      <w:marRight w:val="0"/>
      <w:marTop w:val="0"/>
      <w:marBottom w:val="0"/>
      <w:divBdr>
        <w:top w:val="none" w:sz="0" w:space="0" w:color="auto"/>
        <w:left w:val="none" w:sz="0" w:space="0" w:color="auto"/>
        <w:bottom w:val="none" w:sz="0" w:space="0" w:color="auto"/>
        <w:right w:val="none" w:sz="0" w:space="0" w:color="auto"/>
      </w:divBdr>
    </w:div>
    <w:div w:id="1365836520">
      <w:bodyDiv w:val="1"/>
      <w:marLeft w:val="0"/>
      <w:marRight w:val="0"/>
      <w:marTop w:val="0"/>
      <w:marBottom w:val="0"/>
      <w:divBdr>
        <w:top w:val="none" w:sz="0" w:space="0" w:color="auto"/>
        <w:left w:val="none" w:sz="0" w:space="0" w:color="auto"/>
        <w:bottom w:val="none" w:sz="0" w:space="0" w:color="auto"/>
        <w:right w:val="none" w:sz="0" w:space="0" w:color="auto"/>
      </w:divBdr>
    </w:div>
    <w:div w:id="1381827285">
      <w:bodyDiv w:val="1"/>
      <w:marLeft w:val="0"/>
      <w:marRight w:val="0"/>
      <w:marTop w:val="0"/>
      <w:marBottom w:val="0"/>
      <w:divBdr>
        <w:top w:val="none" w:sz="0" w:space="0" w:color="auto"/>
        <w:left w:val="none" w:sz="0" w:space="0" w:color="auto"/>
        <w:bottom w:val="none" w:sz="0" w:space="0" w:color="auto"/>
        <w:right w:val="none" w:sz="0" w:space="0" w:color="auto"/>
      </w:divBdr>
    </w:div>
    <w:div w:id="1397823780">
      <w:bodyDiv w:val="1"/>
      <w:marLeft w:val="0"/>
      <w:marRight w:val="0"/>
      <w:marTop w:val="0"/>
      <w:marBottom w:val="0"/>
      <w:divBdr>
        <w:top w:val="none" w:sz="0" w:space="0" w:color="auto"/>
        <w:left w:val="none" w:sz="0" w:space="0" w:color="auto"/>
        <w:bottom w:val="none" w:sz="0" w:space="0" w:color="auto"/>
        <w:right w:val="none" w:sz="0" w:space="0" w:color="auto"/>
      </w:divBdr>
    </w:div>
    <w:div w:id="1399399268">
      <w:bodyDiv w:val="1"/>
      <w:marLeft w:val="0"/>
      <w:marRight w:val="0"/>
      <w:marTop w:val="0"/>
      <w:marBottom w:val="0"/>
      <w:divBdr>
        <w:top w:val="none" w:sz="0" w:space="0" w:color="auto"/>
        <w:left w:val="none" w:sz="0" w:space="0" w:color="auto"/>
        <w:bottom w:val="none" w:sz="0" w:space="0" w:color="auto"/>
        <w:right w:val="none" w:sz="0" w:space="0" w:color="auto"/>
      </w:divBdr>
    </w:div>
    <w:div w:id="1399593851">
      <w:bodyDiv w:val="1"/>
      <w:marLeft w:val="0"/>
      <w:marRight w:val="0"/>
      <w:marTop w:val="0"/>
      <w:marBottom w:val="0"/>
      <w:divBdr>
        <w:top w:val="none" w:sz="0" w:space="0" w:color="auto"/>
        <w:left w:val="none" w:sz="0" w:space="0" w:color="auto"/>
        <w:bottom w:val="none" w:sz="0" w:space="0" w:color="auto"/>
        <w:right w:val="none" w:sz="0" w:space="0" w:color="auto"/>
      </w:divBdr>
    </w:div>
    <w:div w:id="1410687313">
      <w:bodyDiv w:val="1"/>
      <w:marLeft w:val="0"/>
      <w:marRight w:val="0"/>
      <w:marTop w:val="0"/>
      <w:marBottom w:val="0"/>
      <w:divBdr>
        <w:top w:val="none" w:sz="0" w:space="0" w:color="auto"/>
        <w:left w:val="none" w:sz="0" w:space="0" w:color="auto"/>
        <w:bottom w:val="none" w:sz="0" w:space="0" w:color="auto"/>
        <w:right w:val="none" w:sz="0" w:space="0" w:color="auto"/>
      </w:divBdr>
    </w:div>
    <w:div w:id="1414008286">
      <w:bodyDiv w:val="1"/>
      <w:marLeft w:val="0"/>
      <w:marRight w:val="0"/>
      <w:marTop w:val="0"/>
      <w:marBottom w:val="0"/>
      <w:divBdr>
        <w:top w:val="none" w:sz="0" w:space="0" w:color="auto"/>
        <w:left w:val="none" w:sz="0" w:space="0" w:color="auto"/>
        <w:bottom w:val="none" w:sz="0" w:space="0" w:color="auto"/>
        <w:right w:val="none" w:sz="0" w:space="0" w:color="auto"/>
      </w:divBdr>
    </w:div>
    <w:div w:id="1423528084">
      <w:bodyDiv w:val="1"/>
      <w:marLeft w:val="0"/>
      <w:marRight w:val="0"/>
      <w:marTop w:val="0"/>
      <w:marBottom w:val="0"/>
      <w:divBdr>
        <w:top w:val="none" w:sz="0" w:space="0" w:color="auto"/>
        <w:left w:val="none" w:sz="0" w:space="0" w:color="auto"/>
        <w:bottom w:val="none" w:sz="0" w:space="0" w:color="auto"/>
        <w:right w:val="none" w:sz="0" w:space="0" w:color="auto"/>
      </w:divBdr>
    </w:div>
    <w:div w:id="1424303070">
      <w:bodyDiv w:val="1"/>
      <w:marLeft w:val="0"/>
      <w:marRight w:val="0"/>
      <w:marTop w:val="0"/>
      <w:marBottom w:val="0"/>
      <w:divBdr>
        <w:top w:val="none" w:sz="0" w:space="0" w:color="auto"/>
        <w:left w:val="none" w:sz="0" w:space="0" w:color="auto"/>
        <w:bottom w:val="none" w:sz="0" w:space="0" w:color="auto"/>
        <w:right w:val="none" w:sz="0" w:space="0" w:color="auto"/>
      </w:divBdr>
    </w:div>
    <w:div w:id="1434982672">
      <w:bodyDiv w:val="1"/>
      <w:marLeft w:val="0"/>
      <w:marRight w:val="0"/>
      <w:marTop w:val="0"/>
      <w:marBottom w:val="0"/>
      <w:divBdr>
        <w:top w:val="none" w:sz="0" w:space="0" w:color="auto"/>
        <w:left w:val="none" w:sz="0" w:space="0" w:color="auto"/>
        <w:bottom w:val="none" w:sz="0" w:space="0" w:color="auto"/>
        <w:right w:val="none" w:sz="0" w:space="0" w:color="auto"/>
      </w:divBdr>
    </w:div>
    <w:div w:id="1436635197">
      <w:bodyDiv w:val="1"/>
      <w:marLeft w:val="0"/>
      <w:marRight w:val="0"/>
      <w:marTop w:val="0"/>
      <w:marBottom w:val="0"/>
      <w:divBdr>
        <w:top w:val="none" w:sz="0" w:space="0" w:color="auto"/>
        <w:left w:val="none" w:sz="0" w:space="0" w:color="auto"/>
        <w:bottom w:val="none" w:sz="0" w:space="0" w:color="auto"/>
        <w:right w:val="none" w:sz="0" w:space="0" w:color="auto"/>
      </w:divBdr>
    </w:div>
    <w:div w:id="1437678197">
      <w:bodyDiv w:val="1"/>
      <w:marLeft w:val="0"/>
      <w:marRight w:val="0"/>
      <w:marTop w:val="0"/>
      <w:marBottom w:val="0"/>
      <w:divBdr>
        <w:top w:val="none" w:sz="0" w:space="0" w:color="auto"/>
        <w:left w:val="none" w:sz="0" w:space="0" w:color="auto"/>
        <w:bottom w:val="none" w:sz="0" w:space="0" w:color="auto"/>
        <w:right w:val="none" w:sz="0" w:space="0" w:color="auto"/>
      </w:divBdr>
    </w:div>
    <w:div w:id="1438528606">
      <w:bodyDiv w:val="1"/>
      <w:marLeft w:val="0"/>
      <w:marRight w:val="0"/>
      <w:marTop w:val="0"/>
      <w:marBottom w:val="0"/>
      <w:divBdr>
        <w:top w:val="none" w:sz="0" w:space="0" w:color="auto"/>
        <w:left w:val="none" w:sz="0" w:space="0" w:color="auto"/>
        <w:bottom w:val="none" w:sz="0" w:space="0" w:color="auto"/>
        <w:right w:val="none" w:sz="0" w:space="0" w:color="auto"/>
      </w:divBdr>
    </w:div>
    <w:div w:id="1457018175">
      <w:bodyDiv w:val="1"/>
      <w:marLeft w:val="0"/>
      <w:marRight w:val="0"/>
      <w:marTop w:val="0"/>
      <w:marBottom w:val="0"/>
      <w:divBdr>
        <w:top w:val="none" w:sz="0" w:space="0" w:color="auto"/>
        <w:left w:val="none" w:sz="0" w:space="0" w:color="auto"/>
        <w:bottom w:val="none" w:sz="0" w:space="0" w:color="auto"/>
        <w:right w:val="none" w:sz="0" w:space="0" w:color="auto"/>
      </w:divBdr>
    </w:div>
    <w:div w:id="1459958219">
      <w:bodyDiv w:val="1"/>
      <w:marLeft w:val="0"/>
      <w:marRight w:val="0"/>
      <w:marTop w:val="0"/>
      <w:marBottom w:val="0"/>
      <w:divBdr>
        <w:top w:val="none" w:sz="0" w:space="0" w:color="auto"/>
        <w:left w:val="none" w:sz="0" w:space="0" w:color="auto"/>
        <w:bottom w:val="none" w:sz="0" w:space="0" w:color="auto"/>
        <w:right w:val="none" w:sz="0" w:space="0" w:color="auto"/>
      </w:divBdr>
    </w:div>
    <w:div w:id="1464426678">
      <w:bodyDiv w:val="1"/>
      <w:marLeft w:val="0"/>
      <w:marRight w:val="0"/>
      <w:marTop w:val="0"/>
      <w:marBottom w:val="0"/>
      <w:divBdr>
        <w:top w:val="none" w:sz="0" w:space="0" w:color="auto"/>
        <w:left w:val="none" w:sz="0" w:space="0" w:color="auto"/>
        <w:bottom w:val="none" w:sz="0" w:space="0" w:color="auto"/>
        <w:right w:val="none" w:sz="0" w:space="0" w:color="auto"/>
      </w:divBdr>
    </w:div>
    <w:div w:id="1467241868">
      <w:bodyDiv w:val="1"/>
      <w:marLeft w:val="0"/>
      <w:marRight w:val="0"/>
      <w:marTop w:val="0"/>
      <w:marBottom w:val="0"/>
      <w:divBdr>
        <w:top w:val="none" w:sz="0" w:space="0" w:color="auto"/>
        <w:left w:val="none" w:sz="0" w:space="0" w:color="auto"/>
        <w:bottom w:val="none" w:sz="0" w:space="0" w:color="auto"/>
        <w:right w:val="none" w:sz="0" w:space="0" w:color="auto"/>
      </w:divBdr>
    </w:div>
    <w:div w:id="1477916921">
      <w:bodyDiv w:val="1"/>
      <w:marLeft w:val="0"/>
      <w:marRight w:val="0"/>
      <w:marTop w:val="0"/>
      <w:marBottom w:val="0"/>
      <w:divBdr>
        <w:top w:val="none" w:sz="0" w:space="0" w:color="auto"/>
        <w:left w:val="none" w:sz="0" w:space="0" w:color="auto"/>
        <w:bottom w:val="none" w:sz="0" w:space="0" w:color="auto"/>
        <w:right w:val="none" w:sz="0" w:space="0" w:color="auto"/>
      </w:divBdr>
    </w:div>
    <w:div w:id="1480879341">
      <w:bodyDiv w:val="1"/>
      <w:marLeft w:val="0"/>
      <w:marRight w:val="0"/>
      <w:marTop w:val="0"/>
      <w:marBottom w:val="0"/>
      <w:divBdr>
        <w:top w:val="none" w:sz="0" w:space="0" w:color="auto"/>
        <w:left w:val="none" w:sz="0" w:space="0" w:color="auto"/>
        <w:bottom w:val="none" w:sz="0" w:space="0" w:color="auto"/>
        <w:right w:val="none" w:sz="0" w:space="0" w:color="auto"/>
      </w:divBdr>
    </w:div>
    <w:div w:id="1494684779">
      <w:bodyDiv w:val="1"/>
      <w:marLeft w:val="0"/>
      <w:marRight w:val="0"/>
      <w:marTop w:val="0"/>
      <w:marBottom w:val="0"/>
      <w:divBdr>
        <w:top w:val="none" w:sz="0" w:space="0" w:color="auto"/>
        <w:left w:val="none" w:sz="0" w:space="0" w:color="auto"/>
        <w:bottom w:val="none" w:sz="0" w:space="0" w:color="auto"/>
        <w:right w:val="none" w:sz="0" w:space="0" w:color="auto"/>
      </w:divBdr>
    </w:div>
    <w:div w:id="1498571118">
      <w:bodyDiv w:val="1"/>
      <w:marLeft w:val="0"/>
      <w:marRight w:val="0"/>
      <w:marTop w:val="0"/>
      <w:marBottom w:val="0"/>
      <w:divBdr>
        <w:top w:val="none" w:sz="0" w:space="0" w:color="auto"/>
        <w:left w:val="none" w:sz="0" w:space="0" w:color="auto"/>
        <w:bottom w:val="none" w:sz="0" w:space="0" w:color="auto"/>
        <w:right w:val="none" w:sz="0" w:space="0" w:color="auto"/>
      </w:divBdr>
    </w:div>
    <w:div w:id="1502502099">
      <w:bodyDiv w:val="1"/>
      <w:marLeft w:val="0"/>
      <w:marRight w:val="0"/>
      <w:marTop w:val="0"/>
      <w:marBottom w:val="0"/>
      <w:divBdr>
        <w:top w:val="none" w:sz="0" w:space="0" w:color="auto"/>
        <w:left w:val="none" w:sz="0" w:space="0" w:color="auto"/>
        <w:bottom w:val="none" w:sz="0" w:space="0" w:color="auto"/>
        <w:right w:val="none" w:sz="0" w:space="0" w:color="auto"/>
      </w:divBdr>
    </w:div>
    <w:div w:id="1515456731">
      <w:bodyDiv w:val="1"/>
      <w:marLeft w:val="0"/>
      <w:marRight w:val="0"/>
      <w:marTop w:val="0"/>
      <w:marBottom w:val="0"/>
      <w:divBdr>
        <w:top w:val="none" w:sz="0" w:space="0" w:color="auto"/>
        <w:left w:val="none" w:sz="0" w:space="0" w:color="auto"/>
        <w:bottom w:val="none" w:sz="0" w:space="0" w:color="auto"/>
        <w:right w:val="none" w:sz="0" w:space="0" w:color="auto"/>
      </w:divBdr>
    </w:div>
    <w:div w:id="1520849108">
      <w:bodyDiv w:val="1"/>
      <w:marLeft w:val="0"/>
      <w:marRight w:val="0"/>
      <w:marTop w:val="0"/>
      <w:marBottom w:val="0"/>
      <w:divBdr>
        <w:top w:val="none" w:sz="0" w:space="0" w:color="auto"/>
        <w:left w:val="none" w:sz="0" w:space="0" w:color="auto"/>
        <w:bottom w:val="none" w:sz="0" w:space="0" w:color="auto"/>
        <w:right w:val="none" w:sz="0" w:space="0" w:color="auto"/>
      </w:divBdr>
    </w:div>
    <w:div w:id="1531452611">
      <w:bodyDiv w:val="1"/>
      <w:marLeft w:val="0"/>
      <w:marRight w:val="0"/>
      <w:marTop w:val="0"/>
      <w:marBottom w:val="0"/>
      <w:divBdr>
        <w:top w:val="none" w:sz="0" w:space="0" w:color="auto"/>
        <w:left w:val="none" w:sz="0" w:space="0" w:color="auto"/>
        <w:bottom w:val="none" w:sz="0" w:space="0" w:color="auto"/>
        <w:right w:val="none" w:sz="0" w:space="0" w:color="auto"/>
      </w:divBdr>
    </w:div>
    <w:div w:id="1537693431">
      <w:bodyDiv w:val="1"/>
      <w:marLeft w:val="0"/>
      <w:marRight w:val="0"/>
      <w:marTop w:val="0"/>
      <w:marBottom w:val="0"/>
      <w:divBdr>
        <w:top w:val="none" w:sz="0" w:space="0" w:color="auto"/>
        <w:left w:val="none" w:sz="0" w:space="0" w:color="auto"/>
        <w:bottom w:val="none" w:sz="0" w:space="0" w:color="auto"/>
        <w:right w:val="none" w:sz="0" w:space="0" w:color="auto"/>
      </w:divBdr>
    </w:div>
    <w:div w:id="1546941340">
      <w:bodyDiv w:val="1"/>
      <w:marLeft w:val="0"/>
      <w:marRight w:val="0"/>
      <w:marTop w:val="0"/>
      <w:marBottom w:val="0"/>
      <w:divBdr>
        <w:top w:val="none" w:sz="0" w:space="0" w:color="auto"/>
        <w:left w:val="none" w:sz="0" w:space="0" w:color="auto"/>
        <w:bottom w:val="none" w:sz="0" w:space="0" w:color="auto"/>
        <w:right w:val="none" w:sz="0" w:space="0" w:color="auto"/>
      </w:divBdr>
    </w:div>
    <w:div w:id="1554006826">
      <w:bodyDiv w:val="1"/>
      <w:marLeft w:val="0"/>
      <w:marRight w:val="0"/>
      <w:marTop w:val="0"/>
      <w:marBottom w:val="0"/>
      <w:divBdr>
        <w:top w:val="none" w:sz="0" w:space="0" w:color="auto"/>
        <w:left w:val="none" w:sz="0" w:space="0" w:color="auto"/>
        <w:bottom w:val="none" w:sz="0" w:space="0" w:color="auto"/>
        <w:right w:val="none" w:sz="0" w:space="0" w:color="auto"/>
      </w:divBdr>
    </w:div>
    <w:div w:id="1554466007">
      <w:bodyDiv w:val="1"/>
      <w:marLeft w:val="0"/>
      <w:marRight w:val="0"/>
      <w:marTop w:val="0"/>
      <w:marBottom w:val="0"/>
      <w:divBdr>
        <w:top w:val="none" w:sz="0" w:space="0" w:color="auto"/>
        <w:left w:val="none" w:sz="0" w:space="0" w:color="auto"/>
        <w:bottom w:val="none" w:sz="0" w:space="0" w:color="auto"/>
        <w:right w:val="none" w:sz="0" w:space="0" w:color="auto"/>
      </w:divBdr>
    </w:div>
    <w:div w:id="1554661942">
      <w:bodyDiv w:val="1"/>
      <w:marLeft w:val="0"/>
      <w:marRight w:val="0"/>
      <w:marTop w:val="0"/>
      <w:marBottom w:val="0"/>
      <w:divBdr>
        <w:top w:val="none" w:sz="0" w:space="0" w:color="auto"/>
        <w:left w:val="none" w:sz="0" w:space="0" w:color="auto"/>
        <w:bottom w:val="none" w:sz="0" w:space="0" w:color="auto"/>
        <w:right w:val="none" w:sz="0" w:space="0" w:color="auto"/>
      </w:divBdr>
    </w:div>
    <w:div w:id="1555120747">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567764866">
      <w:bodyDiv w:val="1"/>
      <w:marLeft w:val="0"/>
      <w:marRight w:val="0"/>
      <w:marTop w:val="0"/>
      <w:marBottom w:val="0"/>
      <w:divBdr>
        <w:top w:val="none" w:sz="0" w:space="0" w:color="auto"/>
        <w:left w:val="none" w:sz="0" w:space="0" w:color="auto"/>
        <w:bottom w:val="none" w:sz="0" w:space="0" w:color="auto"/>
        <w:right w:val="none" w:sz="0" w:space="0" w:color="auto"/>
      </w:divBdr>
    </w:div>
    <w:div w:id="1575050058">
      <w:bodyDiv w:val="1"/>
      <w:marLeft w:val="0"/>
      <w:marRight w:val="0"/>
      <w:marTop w:val="0"/>
      <w:marBottom w:val="0"/>
      <w:divBdr>
        <w:top w:val="none" w:sz="0" w:space="0" w:color="auto"/>
        <w:left w:val="none" w:sz="0" w:space="0" w:color="auto"/>
        <w:bottom w:val="none" w:sz="0" w:space="0" w:color="auto"/>
        <w:right w:val="none" w:sz="0" w:space="0" w:color="auto"/>
      </w:divBdr>
    </w:div>
    <w:div w:id="1588730573">
      <w:bodyDiv w:val="1"/>
      <w:marLeft w:val="0"/>
      <w:marRight w:val="0"/>
      <w:marTop w:val="0"/>
      <w:marBottom w:val="0"/>
      <w:divBdr>
        <w:top w:val="none" w:sz="0" w:space="0" w:color="auto"/>
        <w:left w:val="none" w:sz="0" w:space="0" w:color="auto"/>
        <w:bottom w:val="none" w:sz="0" w:space="0" w:color="auto"/>
        <w:right w:val="none" w:sz="0" w:space="0" w:color="auto"/>
      </w:divBdr>
    </w:div>
    <w:div w:id="1589731361">
      <w:bodyDiv w:val="1"/>
      <w:marLeft w:val="0"/>
      <w:marRight w:val="0"/>
      <w:marTop w:val="0"/>
      <w:marBottom w:val="0"/>
      <w:divBdr>
        <w:top w:val="none" w:sz="0" w:space="0" w:color="auto"/>
        <w:left w:val="none" w:sz="0" w:space="0" w:color="auto"/>
        <w:bottom w:val="none" w:sz="0" w:space="0" w:color="auto"/>
        <w:right w:val="none" w:sz="0" w:space="0" w:color="auto"/>
      </w:divBdr>
    </w:div>
    <w:div w:id="1608082583">
      <w:bodyDiv w:val="1"/>
      <w:marLeft w:val="0"/>
      <w:marRight w:val="0"/>
      <w:marTop w:val="0"/>
      <w:marBottom w:val="0"/>
      <w:divBdr>
        <w:top w:val="none" w:sz="0" w:space="0" w:color="auto"/>
        <w:left w:val="none" w:sz="0" w:space="0" w:color="auto"/>
        <w:bottom w:val="none" w:sz="0" w:space="0" w:color="auto"/>
        <w:right w:val="none" w:sz="0" w:space="0" w:color="auto"/>
      </w:divBdr>
    </w:div>
    <w:div w:id="1609771615">
      <w:bodyDiv w:val="1"/>
      <w:marLeft w:val="0"/>
      <w:marRight w:val="0"/>
      <w:marTop w:val="0"/>
      <w:marBottom w:val="0"/>
      <w:divBdr>
        <w:top w:val="none" w:sz="0" w:space="0" w:color="auto"/>
        <w:left w:val="none" w:sz="0" w:space="0" w:color="auto"/>
        <w:bottom w:val="none" w:sz="0" w:space="0" w:color="auto"/>
        <w:right w:val="none" w:sz="0" w:space="0" w:color="auto"/>
      </w:divBdr>
    </w:div>
    <w:div w:id="1623489086">
      <w:bodyDiv w:val="1"/>
      <w:marLeft w:val="0"/>
      <w:marRight w:val="0"/>
      <w:marTop w:val="0"/>
      <w:marBottom w:val="0"/>
      <w:divBdr>
        <w:top w:val="none" w:sz="0" w:space="0" w:color="auto"/>
        <w:left w:val="none" w:sz="0" w:space="0" w:color="auto"/>
        <w:bottom w:val="none" w:sz="0" w:space="0" w:color="auto"/>
        <w:right w:val="none" w:sz="0" w:space="0" w:color="auto"/>
      </w:divBdr>
    </w:div>
    <w:div w:id="1627858530">
      <w:bodyDiv w:val="1"/>
      <w:marLeft w:val="0"/>
      <w:marRight w:val="0"/>
      <w:marTop w:val="0"/>
      <w:marBottom w:val="0"/>
      <w:divBdr>
        <w:top w:val="none" w:sz="0" w:space="0" w:color="auto"/>
        <w:left w:val="none" w:sz="0" w:space="0" w:color="auto"/>
        <w:bottom w:val="none" w:sz="0" w:space="0" w:color="auto"/>
        <w:right w:val="none" w:sz="0" w:space="0" w:color="auto"/>
      </w:divBdr>
    </w:div>
    <w:div w:id="1629168715">
      <w:bodyDiv w:val="1"/>
      <w:marLeft w:val="0"/>
      <w:marRight w:val="0"/>
      <w:marTop w:val="0"/>
      <w:marBottom w:val="0"/>
      <w:divBdr>
        <w:top w:val="none" w:sz="0" w:space="0" w:color="auto"/>
        <w:left w:val="none" w:sz="0" w:space="0" w:color="auto"/>
        <w:bottom w:val="none" w:sz="0" w:space="0" w:color="auto"/>
        <w:right w:val="none" w:sz="0" w:space="0" w:color="auto"/>
      </w:divBdr>
    </w:div>
    <w:div w:id="1630356042">
      <w:bodyDiv w:val="1"/>
      <w:marLeft w:val="0"/>
      <w:marRight w:val="0"/>
      <w:marTop w:val="0"/>
      <w:marBottom w:val="0"/>
      <w:divBdr>
        <w:top w:val="none" w:sz="0" w:space="0" w:color="auto"/>
        <w:left w:val="none" w:sz="0" w:space="0" w:color="auto"/>
        <w:bottom w:val="none" w:sz="0" w:space="0" w:color="auto"/>
        <w:right w:val="none" w:sz="0" w:space="0" w:color="auto"/>
      </w:divBdr>
    </w:div>
    <w:div w:id="1639413570">
      <w:bodyDiv w:val="1"/>
      <w:marLeft w:val="0"/>
      <w:marRight w:val="0"/>
      <w:marTop w:val="0"/>
      <w:marBottom w:val="0"/>
      <w:divBdr>
        <w:top w:val="none" w:sz="0" w:space="0" w:color="auto"/>
        <w:left w:val="none" w:sz="0" w:space="0" w:color="auto"/>
        <w:bottom w:val="none" w:sz="0" w:space="0" w:color="auto"/>
        <w:right w:val="none" w:sz="0" w:space="0" w:color="auto"/>
      </w:divBdr>
    </w:div>
    <w:div w:id="1642419977">
      <w:bodyDiv w:val="1"/>
      <w:marLeft w:val="0"/>
      <w:marRight w:val="0"/>
      <w:marTop w:val="0"/>
      <w:marBottom w:val="0"/>
      <w:divBdr>
        <w:top w:val="none" w:sz="0" w:space="0" w:color="auto"/>
        <w:left w:val="none" w:sz="0" w:space="0" w:color="auto"/>
        <w:bottom w:val="none" w:sz="0" w:space="0" w:color="auto"/>
        <w:right w:val="none" w:sz="0" w:space="0" w:color="auto"/>
      </w:divBdr>
    </w:div>
    <w:div w:id="1654020007">
      <w:bodyDiv w:val="1"/>
      <w:marLeft w:val="0"/>
      <w:marRight w:val="0"/>
      <w:marTop w:val="0"/>
      <w:marBottom w:val="0"/>
      <w:divBdr>
        <w:top w:val="none" w:sz="0" w:space="0" w:color="auto"/>
        <w:left w:val="none" w:sz="0" w:space="0" w:color="auto"/>
        <w:bottom w:val="none" w:sz="0" w:space="0" w:color="auto"/>
        <w:right w:val="none" w:sz="0" w:space="0" w:color="auto"/>
      </w:divBdr>
    </w:div>
    <w:div w:id="1658992256">
      <w:bodyDiv w:val="1"/>
      <w:marLeft w:val="0"/>
      <w:marRight w:val="0"/>
      <w:marTop w:val="0"/>
      <w:marBottom w:val="0"/>
      <w:divBdr>
        <w:top w:val="none" w:sz="0" w:space="0" w:color="auto"/>
        <w:left w:val="none" w:sz="0" w:space="0" w:color="auto"/>
        <w:bottom w:val="none" w:sz="0" w:space="0" w:color="auto"/>
        <w:right w:val="none" w:sz="0" w:space="0" w:color="auto"/>
      </w:divBdr>
    </w:div>
    <w:div w:id="1666738525">
      <w:bodyDiv w:val="1"/>
      <w:marLeft w:val="0"/>
      <w:marRight w:val="0"/>
      <w:marTop w:val="0"/>
      <w:marBottom w:val="0"/>
      <w:divBdr>
        <w:top w:val="none" w:sz="0" w:space="0" w:color="auto"/>
        <w:left w:val="none" w:sz="0" w:space="0" w:color="auto"/>
        <w:bottom w:val="none" w:sz="0" w:space="0" w:color="auto"/>
        <w:right w:val="none" w:sz="0" w:space="0" w:color="auto"/>
      </w:divBdr>
    </w:div>
    <w:div w:id="1675448582">
      <w:bodyDiv w:val="1"/>
      <w:marLeft w:val="0"/>
      <w:marRight w:val="0"/>
      <w:marTop w:val="0"/>
      <w:marBottom w:val="0"/>
      <w:divBdr>
        <w:top w:val="none" w:sz="0" w:space="0" w:color="auto"/>
        <w:left w:val="none" w:sz="0" w:space="0" w:color="auto"/>
        <w:bottom w:val="none" w:sz="0" w:space="0" w:color="auto"/>
        <w:right w:val="none" w:sz="0" w:space="0" w:color="auto"/>
      </w:divBdr>
    </w:div>
    <w:div w:id="1700817175">
      <w:bodyDiv w:val="1"/>
      <w:marLeft w:val="0"/>
      <w:marRight w:val="0"/>
      <w:marTop w:val="0"/>
      <w:marBottom w:val="0"/>
      <w:divBdr>
        <w:top w:val="none" w:sz="0" w:space="0" w:color="auto"/>
        <w:left w:val="none" w:sz="0" w:space="0" w:color="auto"/>
        <w:bottom w:val="none" w:sz="0" w:space="0" w:color="auto"/>
        <w:right w:val="none" w:sz="0" w:space="0" w:color="auto"/>
      </w:divBdr>
    </w:div>
    <w:div w:id="1706372687">
      <w:bodyDiv w:val="1"/>
      <w:marLeft w:val="0"/>
      <w:marRight w:val="0"/>
      <w:marTop w:val="0"/>
      <w:marBottom w:val="0"/>
      <w:divBdr>
        <w:top w:val="none" w:sz="0" w:space="0" w:color="auto"/>
        <w:left w:val="none" w:sz="0" w:space="0" w:color="auto"/>
        <w:bottom w:val="none" w:sz="0" w:space="0" w:color="auto"/>
        <w:right w:val="none" w:sz="0" w:space="0" w:color="auto"/>
      </w:divBdr>
    </w:div>
    <w:div w:id="1708335751">
      <w:bodyDiv w:val="1"/>
      <w:marLeft w:val="0"/>
      <w:marRight w:val="0"/>
      <w:marTop w:val="0"/>
      <w:marBottom w:val="0"/>
      <w:divBdr>
        <w:top w:val="none" w:sz="0" w:space="0" w:color="auto"/>
        <w:left w:val="none" w:sz="0" w:space="0" w:color="auto"/>
        <w:bottom w:val="none" w:sz="0" w:space="0" w:color="auto"/>
        <w:right w:val="none" w:sz="0" w:space="0" w:color="auto"/>
      </w:divBdr>
    </w:div>
    <w:div w:id="1717703188">
      <w:bodyDiv w:val="1"/>
      <w:marLeft w:val="0"/>
      <w:marRight w:val="0"/>
      <w:marTop w:val="0"/>
      <w:marBottom w:val="0"/>
      <w:divBdr>
        <w:top w:val="none" w:sz="0" w:space="0" w:color="auto"/>
        <w:left w:val="none" w:sz="0" w:space="0" w:color="auto"/>
        <w:bottom w:val="none" w:sz="0" w:space="0" w:color="auto"/>
        <w:right w:val="none" w:sz="0" w:space="0" w:color="auto"/>
      </w:divBdr>
    </w:div>
    <w:div w:id="1725910992">
      <w:bodyDiv w:val="1"/>
      <w:marLeft w:val="0"/>
      <w:marRight w:val="0"/>
      <w:marTop w:val="0"/>
      <w:marBottom w:val="0"/>
      <w:divBdr>
        <w:top w:val="none" w:sz="0" w:space="0" w:color="auto"/>
        <w:left w:val="none" w:sz="0" w:space="0" w:color="auto"/>
        <w:bottom w:val="none" w:sz="0" w:space="0" w:color="auto"/>
        <w:right w:val="none" w:sz="0" w:space="0" w:color="auto"/>
      </w:divBdr>
    </w:div>
    <w:div w:id="1746805576">
      <w:bodyDiv w:val="1"/>
      <w:marLeft w:val="0"/>
      <w:marRight w:val="0"/>
      <w:marTop w:val="0"/>
      <w:marBottom w:val="0"/>
      <w:divBdr>
        <w:top w:val="none" w:sz="0" w:space="0" w:color="auto"/>
        <w:left w:val="none" w:sz="0" w:space="0" w:color="auto"/>
        <w:bottom w:val="none" w:sz="0" w:space="0" w:color="auto"/>
        <w:right w:val="none" w:sz="0" w:space="0" w:color="auto"/>
      </w:divBdr>
    </w:div>
    <w:div w:id="1760785223">
      <w:bodyDiv w:val="1"/>
      <w:marLeft w:val="0"/>
      <w:marRight w:val="0"/>
      <w:marTop w:val="0"/>
      <w:marBottom w:val="0"/>
      <w:divBdr>
        <w:top w:val="none" w:sz="0" w:space="0" w:color="auto"/>
        <w:left w:val="none" w:sz="0" w:space="0" w:color="auto"/>
        <w:bottom w:val="none" w:sz="0" w:space="0" w:color="auto"/>
        <w:right w:val="none" w:sz="0" w:space="0" w:color="auto"/>
      </w:divBdr>
    </w:div>
    <w:div w:id="1765999577">
      <w:bodyDiv w:val="1"/>
      <w:marLeft w:val="0"/>
      <w:marRight w:val="0"/>
      <w:marTop w:val="0"/>
      <w:marBottom w:val="0"/>
      <w:divBdr>
        <w:top w:val="none" w:sz="0" w:space="0" w:color="auto"/>
        <w:left w:val="none" w:sz="0" w:space="0" w:color="auto"/>
        <w:bottom w:val="none" w:sz="0" w:space="0" w:color="auto"/>
        <w:right w:val="none" w:sz="0" w:space="0" w:color="auto"/>
      </w:divBdr>
    </w:div>
    <w:div w:id="1785076417">
      <w:bodyDiv w:val="1"/>
      <w:marLeft w:val="0"/>
      <w:marRight w:val="0"/>
      <w:marTop w:val="0"/>
      <w:marBottom w:val="0"/>
      <w:divBdr>
        <w:top w:val="none" w:sz="0" w:space="0" w:color="auto"/>
        <w:left w:val="none" w:sz="0" w:space="0" w:color="auto"/>
        <w:bottom w:val="none" w:sz="0" w:space="0" w:color="auto"/>
        <w:right w:val="none" w:sz="0" w:space="0" w:color="auto"/>
      </w:divBdr>
    </w:div>
    <w:div w:id="1793742710">
      <w:bodyDiv w:val="1"/>
      <w:marLeft w:val="0"/>
      <w:marRight w:val="0"/>
      <w:marTop w:val="0"/>
      <w:marBottom w:val="0"/>
      <w:divBdr>
        <w:top w:val="none" w:sz="0" w:space="0" w:color="auto"/>
        <w:left w:val="none" w:sz="0" w:space="0" w:color="auto"/>
        <w:bottom w:val="none" w:sz="0" w:space="0" w:color="auto"/>
        <w:right w:val="none" w:sz="0" w:space="0" w:color="auto"/>
      </w:divBdr>
    </w:div>
    <w:div w:id="1814323775">
      <w:bodyDiv w:val="1"/>
      <w:marLeft w:val="0"/>
      <w:marRight w:val="0"/>
      <w:marTop w:val="0"/>
      <w:marBottom w:val="0"/>
      <w:divBdr>
        <w:top w:val="none" w:sz="0" w:space="0" w:color="auto"/>
        <w:left w:val="none" w:sz="0" w:space="0" w:color="auto"/>
        <w:bottom w:val="none" w:sz="0" w:space="0" w:color="auto"/>
        <w:right w:val="none" w:sz="0" w:space="0" w:color="auto"/>
      </w:divBdr>
    </w:div>
    <w:div w:id="1820027816">
      <w:bodyDiv w:val="1"/>
      <w:marLeft w:val="0"/>
      <w:marRight w:val="0"/>
      <w:marTop w:val="0"/>
      <w:marBottom w:val="0"/>
      <w:divBdr>
        <w:top w:val="none" w:sz="0" w:space="0" w:color="auto"/>
        <w:left w:val="none" w:sz="0" w:space="0" w:color="auto"/>
        <w:bottom w:val="none" w:sz="0" w:space="0" w:color="auto"/>
        <w:right w:val="none" w:sz="0" w:space="0" w:color="auto"/>
      </w:divBdr>
    </w:div>
    <w:div w:id="1825050245">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50414031">
      <w:bodyDiv w:val="1"/>
      <w:marLeft w:val="0"/>
      <w:marRight w:val="0"/>
      <w:marTop w:val="0"/>
      <w:marBottom w:val="0"/>
      <w:divBdr>
        <w:top w:val="none" w:sz="0" w:space="0" w:color="auto"/>
        <w:left w:val="none" w:sz="0" w:space="0" w:color="auto"/>
        <w:bottom w:val="none" w:sz="0" w:space="0" w:color="auto"/>
        <w:right w:val="none" w:sz="0" w:space="0" w:color="auto"/>
      </w:divBdr>
    </w:div>
    <w:div w:id="1851722915">
      <w:bodyDiv w:val="1"/>
      <w:marLeft w:val="0"/>
      <w:marRight w:val="0"/>
      <w:marTop w:val="0"/>
      <w:marBottom w:val="0"/>
      <w:divBdr>
        <w:top w:val="none" w:sz="0" w:space="0" w:color="auto"/>
        <w:left w:val="none" w:sz="0" w:space="0" w:color="auto"/>
        <w:bottom w:val="none" w:sz="0" w:space="0" w:color="auto"/>
        <w:right w:val="none" w:sz="0" w:space="0" w:color="auto"/>
      </w:divBdr>
    </w:div>
    <w:div w:id="1858692548">
      <w:bodyDiv w:val="1"/>
      <w:marLeft w:val="0"/>
      <w:marRight w:val="0"/>
      <w:marTop w:val="0"/>
      <w:marBottom w:val="0"/>
      <w:divBdr>
        <w:top w:val="none" w:sz="0" w:space="0" w:color="auto"/>
        <w:left w:val="none" w:sz="0" w:space="0" w:color="auto"/>
        <w:bottom w:val="none" w:sz="0" w:space="0" w:color="auto"/>
        <w:right w:val="none" w:sz="0" w:space="0" w:color="auto"/>
      </w:divBdr>
    </w:div>
    <w:div w:id="1860117820">
      <w:bodyDiv w:val="1"/>
      <w:marLeft w:val="0"/>
      <w:marRight w:val="0"/>
      <w:marTop w:val="0"/>
      <w:marBottom w:val="0"/>
      <w:divBdr>
        <w:top w:val="none" w:sz="0" w:space="0" w:color="auto"/>
        <w:left w:val="none" w:sz="0" w:space="0" w:color="auto"/>
        <w:bottom w:val="none" w:sz="0" w:space="0" w:color="auto"/>
        <w:right w:val="none" w:sz="0" w:space="0" w:color="auto"/>
      </w:divBdr>
    </w:div>
    <w:div w:id="1861892714">
      <w:bodyDiv w:val="1"/>
      <w:marLeft w:val="0"/>
      <w:marRight w:val="0"/>
      <w:marTop w:val="0"/>
      <w:marBottom w:val="0"/>
      <w:divBdr>
        <w:top w:val="none" w:sz="0" w:space="0" w:color="auto"/>
        <w:left w:val="none" w:sz="0" w:space="0" w:color="auto"/>
        <w:bottom w:val="none" w:sz="0" w:space="0" w:color="auto"/>
        <w:right w:val="none" w:sz="0" w:space="0" w:color="auto"/>
      </w:divBdr>
    </w:div>
    <w:div w:id="1873154900">
      <w:bodyDiv w:val="1"/>
      <w:marLeft w:val="0"/>
      <w:marRight w:val="0"/>
      <w:marTop w:val="0"/>
      <w:marBottom w:val="0"/>
      <w:divBdr>
        <w:top w:val="none" w:sz="0" w:space="0" w:color="auto"/>
        <w:left w:val="none" w:sz="0" w:space="0" w:color="auto"/>
        <w:bottom w:val="none" w:sz="0" w:space="0" w:color="auto"/>
        <w:right w:val="none" w:sz="0" w:space="0" w:color="auto"/>
      </w:divBdr>
    </w:div>
    <w:div w:id="1877811118">
      <w:bodyDiv w:val="1"/>
      <w:marLeft w:val="0"/>
      <w:marRight w:val="0"/>
      <w:marTop w:val="0"/>
      <w:marBottom w:val="0"/>
      <w:divBdr>
        <w:top w:val="none" w:sz="0" w:space="0" w:color="auto"/>
        <w:left w:val="none" w:sz="0" w:space="0" w:color="auto"/>
        <w:bottom w:val="none" w:sz="0" w:space="0" w:color="auto"/>
        <w:right w:val="none" w:sz="0" w:space="0" w:color="auto"/>
      </w:divBdr>
    </w:div>
    <w:div w:id="1879514436">
      <w:bodyDiv w:val="1"/>
      <w:marLeft w:val="0"/>
      <w:marRight w:val="0"/>
      <w:marTop w:val="0"/>
      <w:marBottom w:val="0"/>
      <w:divBdr>
        <w:top w:val="none" w:sz="0" w:space="0" w:color="auto"/>
        <w:left w:val="none" w:sz="0" w:space="0" w:color="auto"/>
        <w:bottom w:val="none" w:sz="0" w:space="0" w:color="auto"/>
        <w:right w:val="none" w:sz="0" w:space="0" w:color="auto"/>
      </w:divBdr>
    </w:div>
    <w:div w:id="1882203599">
      <w:bodyDiv w:val="1"/>
      <w:marLeft w:val="0"/>
      <w:marRight w:val="0"/>
      <w:marTop w:val="0"/>
      <w:marBottom w:val="0"/>
      <w:divBdr>
        <w:top w:val="none" w:sz="0" w:space="0" w:color="auto"/>
        <w:left w:val="none" w:sz="0" w:space="0" w:color="auto"/>
        <w:bottom w:val="none" w:sz="0" w:space="0" w:color="auto"/>
        <w:right w:val="none" w:sz="0" w:space="0" w:color="auto"/>
      </w:divBdr>
    </w:div>
    <w:div w:id="1885291542">
      <w:bodyDiv w:val="1"/>
      <w:marLeft w:val="0"/>
      <w:marRight w:val="0"/>
      <w:marTop w:val="0"/>
      <w:marBottom w:val="0"/>
      <w:divBdr>
        <w:top w:val="none" w:sz="0" w:space="0" w:color="auto"/>
        <w:left w:val="none" w:sz="0" w:space="0" w:color="auto"/>
        <w:bottom w:val="none" w:sz="0" w:space="0" w:color="auto"/>
        <w:right w:val="none" w:sz="0" w:space="0" w:color="auto"/>
      </w:divBdr>
    </w:div>
    <w:div w:id="1889221930">
      <w:bodyDiv w:val="1"/>
      <w:marLeft w:val="0"/>
      <w:marRight w:val="0"/>
      <w:marTop w:val="0"/>
      <w:marBottom w:val="0"/>
      <w:divBdr>
        <w:top w:val="none" w:sz="0" w:space="0" w:color="auto"/>
        <w:left w:val="none" w:sz="0" w:space="0" w:color="auto"/>
        <w:bottom w:val="none" w:sz="0" w:space="0" w:color="auto"/>
        <w:right w:val="none" w:sz="0" w:space="0" w:color="auto"/>
      </w:divBdr>
    </w:div>
    <w:div w:id="1906183203">
      <w:bodyDiv w:val="1"/>
      <w:marLeft w:val="0"/>
      <w:marRight w:val="0"/>
      <w:marTop w:val="0"/>
      <w:marBottom w:val="0"/>
      <w:divBdr>
        <w:top w:val="none" w:sz="0" w:space="0" w:color="auto"/>
        <w:left w:val="none" w:sz="0" w:space="0" w:color="auto"/>
        <w:bottom w:val="none" w:sz="0" w:space="0" w:color="auto"/>
        <w:right w:val="none" w:sz="0" w:space="0" w:color="auto"/>
      </w:divBdr>
    </w:div>
    <w:div w:id="1920099039">
      <w:bodyDiv w:val="1"/>
      <w:marLeft w:val="0"/>
      <w:marRight w:val="0"/>
      <w:marTop w:val="0"/>
      <w:marBottom w:val="0"/>
      <w:divBdr>
        <w:top w:val="none" w:sz="0" w:space="0" w:color="auto"/>
        <w:left w:val="none" w:sz="0" w:space="0" w:color="auto"/>
        <w:bottom w:val="none" w:sz="0" w:space="0" w:color="auto"/>
        <w:right w:val="none" w:sz="0" w:space="0" w:color="auto"/>
      </w:divBdr>
    </w:div>
    <w:div w:id="1924216910">
      <w:bodyDiv w:val="1"/>
      <w:marLeft w:val="0"/>
      <w:marRight w:val="0"/>
      <w:marTop w:val="0"/>
      <w:marBottom w:val="0"/>
      <w:divBdr>
        <w:top w:val="none" w:sz="0" w:space="0" w:color="auto"/>
        <w:left w:val="none" w:sz="0" w:space="0" w:color="auto"/>
        <w:bottom w:val="none" w:sz="0" w:space="0" w:color="auto"/>
        <w:right w:val="none" w:sz="0" w:space="0" w:color="auto"/>
      </w:divBdr>
    </w:div>
    <w:div w:id="1928229335">
      <w:bodyDiv w:val="1"/>
      <w:marLeft w:val="0"/>
      <w:marRight w:val="0"/>
      <w:marTop w:val="0"/>
      <w:marBottom w:val="0"/>
      <w:divBdr>
        <w:top w:val="none" w:sz="0" w:space="0" w:color="auto"/>
        <w:left w:val="none" w:sz="0" w:space="0" w:color="auto"/>
        <w:bottom w:val="none" w:sz="0" w:space="0" w:color="auto"/>
        <w:right w:val="none" w:sz="0" w:space="0" w:color="auto"/>
      </w:divBdr>
    </w:div>
    <w:div w:id="1941330566">
      <w:bodyDiv w:val="1"/>
      <w:marLeft w:val="0"/>
      <w:marRight w:val="0"/>
      <w:marTop w:val="0"/>
      <w:marBottom w:val="0"/>
      <w:divBdr>
        <w:top w:val="none" w:sz="0" w:space="0" w:color="auto"/>
        <w:left w:val="none" w:sz="0" w:space="0" w:color="auto"/>
        <w:bottom w:val="none" w:sz="0" w:space="0" w:color="auto"/>
        <w:right w:val="none" w:sz="0" w:space="0" w:color="auto"/>
      </w:divBdr>
    </w:div>
    <w:div w:id="1954900573">
      <w:bodyDiv w:val="1"/>
      <w:marLeft w:val="0"/>
      <w:marRight w:val="0"/>
      <w:marTop w:val="0"/>
      <w:marBottom w:val="0"/>
      <w:divBdr>
        <w:top w:val="none" w:sz="0" w:space="0" w:color="auto"/>
        <w:left w:val="none" w:sz="0" w:space="0" w:color="auto"/>
        <w:bottom w:val="none" w:sz="0" w:space="0" w:color="auto"/>
        <w:right w:val="none" w:sz="0" w:space="0" w:color="auto"/>
      </w:divBdr>
    </w:div>
    <w:div w:id="1959291012">
      <w:bodyDiv w:val="1"/>
      <w:marLeft w:val="0"/>
      <w:marRight w:val="0"/>
      <w:marTop w:val="0"/>
      <w:marBottom w:val="0"/>
      <w:divBdr>
        <w:top w:val="none" w:sz="0" w:space="0" w:color="auto"/>
        <w:left w:val="none" w:sz="0" w:space="0" w:color="auto"/>
        <w:bottom w:val="none" w:sz="0" w:space="0" w:color="auto"/>
        <w:right w:val="none" w:sz="0" w:space="0" w:color="auto"/>
      </w:divBdr>
    </w:div>
    <w:div w:id="1969628050">
      <w:bodyDiv w:val="1"/>
      <w:marLeft w:val="0"/>
      <w:marRight w:val="0"/>
      <w:marTop w:val="0"/>
      <w:marBottom w:val="0"/>
      <w:divBdr>
        <w:top w:val="none" w:sz="0" w:space="0" w:color="auto"/>
        <w:left w:val="none" w:sz="0" w:space="0" w:color="auto"/>
        <w:bottom w:val="none" w:sz="0" w:space="0" w:color="auto"/>
        <w:right w:val="none" w:sz="0" w:space="0" w:color="auto"/>
      </w:divBdr>
    </w:div>
    <w:div w:id="1988895493">
      <w:bodyDiv w:val="1"/>
      <w:marLeft w:val="0"/>
      <w:marRight w:val="0"/>
      <w:marTop w:val="0"/>
      <w:marBottom w:val="0"/>
      <w:divBdr>
        <w:top w:val="none" w:sz="0" w:space="0" w:color="auto"/>
        <w:left w:val="none" w:sz="0" w:space="0" w:color="auto"/>
        <w:bottom w:val="none" w:sz="0" w:space="0" w:color="auto"/>
        <w:right w:val="none" w:sz="0" w:space="0" w:color="auto"/>
      </w:divBdr>
    </w:div>
    <w:div w:id="1989744054">
      <w:bodyDiv w:val="1"/>
      <w:marLeft w:val="0"/>
      <w:marRight w:val="0"/>
      <w:marTop w:val="0"/>
      <w:marBottom w:val="0"/>
      <w:divBdr>
        <w:top w:val="none" w:sz="0" w:space="0" w:color="auto"/>
        <w:left w:val="none" w:sz="0" w:space="0" w:color="auto"/>
        <w:bottom w:val="none" w:sz="0" w:space="0" w:color="auto"/>
        <w:right w:val="none" w:sz="0" w:space="0" w:color="auto"/>
      </w:divBdr>
    </w:div>
    <w:div w:id="1997299145">
      <w:bodyDiv w:val="1"/>
      <w:marLeft w:val="0"/>
      <w:marRight w:val="0"/>
      <w:marTop w:val="0"/>
      <w:marBottom w:val="0"/>
      <w:divBdr>
        <w:top w:val="none" w:sz="0" w:space="0" w:color="auto"/>
        <w:left w:val="none" w:sz="0" w:space="0" w:color="auto"/>
        <w:bottom w:val="none" w:sz="0" w:space="0" w:color="auto"/>
        <w:right w:val="none" w:sz="0" w:space="0" w:color="auto"/>
      </w:divBdr>
    </w:div>
    <w:div w:id="2010599130">
      <w:bodyDiv w:val="1"/>
      <w:marLeft w:val="0"/>
      <w:marRight w:val="0"/>
      <w:marTop w:val="0"/>
      <w:marBottom w:val="0"/>
      <w:divBdr>
        <w:top w:val="none" w:sz="0" w:space="0" w:color="auto"/>
        <w:left w:val="none" w:sz="0" w:space="0" w:color="auto"/>
        <w:bottom w:val="none" w:sz="0" w:space="0" w:color="auto"/>
        <w:right w:val="none" w:sz="0" w:space="0" w:color="auto"/>
      </w:divBdr>
    </w:div>
    <w:div w:id="2011759222">
      <w:bodyDiv w:val="1"/>
      <w:marLeft w:val="0"/>
      <w:marRight w:val="0"/>
      <w:marTop w:val="0"/>
      <w:marBottom w:val="0"/>
      <w:divBdr>
        <w:top w:val="none" w:sz="0" w:space="0" w:color="auto"/>
        <w:left w:val="none" w:sz="0" w:space="0" w:color="auto"/>
        <w:bottom w:val="none" w:sz="0" w:space="0" w:color="auto"/>
        <w:right w:val="none" w:sz="0" w:space="0" w:color="auto"/>
      </w:divBdr>
    </w:div>
    <w:div w:id="2015957672">
      <w:bodyDiv w:val="1"/>
      <w:marLeft w:val="0"/>
      <w:marRight w:val="0"/>
      <w:marTop w:val="0"/>
      <w:marBottom w:val="0"/>
      <w:divBdr>
        <w:top w:val="none" w:sz="0" w:space="0" w:color="auto"/>
        <w:left w:val="none" w:sz="0" w:space="0" w:color="auto"/>
        <w:bottom w:val="none" w:sz="0" w:space="0" w:color="auto"/>
        <w:right w:val="none" w:sz="0" w:space="0" w:color="auto"/>
      </w:divBdr>
    </w:div>
    <w:div w:id="2024085852">
      <w:bodyDiv w:val="1"/>
      <w:marLeft w:val="0"/>
      <w:marRight w:val="0"/>
      <w:marTop w:val="0"/>
      <w:marBottom w:val="0"/>
      <w:divBdr>
        <w:top w:val="none" w:sz="0" w:space="0" w:color="auto"/>
        <w:left w:val="none" w:sz="0" w:space="0" w:color="auto"/>
        <w:bottom w:val="none" w:sz="0" w:space="0" w:color="auto"/>
        <w:right w:val="none" w:sz="0" w:space="0" w:color="auto"/>
      </w:divBdr>
    </w:div>
    <w:div w:id="2033069792">
      <w:bodyDiv w:val="1"/>
      <w:marLeft w:val="0"/>
      <w:marRight w:val="0"/>
      <w:marTop w:val="0"/>
      <w:marBottom w:val="0"/>
      <w:divBdr>
        <w:top w:val="none" w:sz="0" w:space="0" w:color="auto"/>
        <w:left w:val="none" w:sz="0" w:space="0" w:color="auto"/>
        <w:bottom w:val="none" w:sz="0" w:space="0" w:color="auto"/>
        <w:right w:val="none" w:sz="0" w:space="0" w:color="auto"/>
      </w:divBdr>
    </w:div>
    <w:div w:id="2041009552">
      <w:bodyDiv w:val="1"/>
      <w:marLeft w:val="0"/>
      <w:marRight w:val="0"/>
      <w:marTop w:val="0"/>
      <w:marBottom w:val="0"/>
      <w:divBdr>
        <w:top w:val="none" w:sz="0" w:space="0" w:color="auto"/>
        <w:left w:val="none" w:sz="0" w:space="0" w:color="auto"/>
        <w:bottom w:val="none" w:sz="0" w:space="0" w:color="auto"/>
        <w:right w:val="none" w:sz="0" w:space="0" w:color="auto"/>
      </w:divBdr>
    </w:div>
    <w:div w:id="2042658440">
      <w:bodyDiv w:val="1"/>
      <w:marLeft w:val="0"/>
      <w:marRight w:val="0"/>
      <w:marTop w:val="0"/>
      <w:marBottom w:val="0"/>
      <w:divBdr>
        <w:top w:val="none" w:sz="0" w:space="0" w:color="auto"/>
        <w:left w:val="none" w:sz="0" w:space="0" w:color="auto"/>
        <w:bottom w:val="none" w:sz="0" w:space="0" w:color="auto"/>
        <w:right w:val="none" w:sz="0" w:space="0" w:color="auto"/>
      </w:divBdr>
    </w:div>
    <w:div w:id="2044937852">
      <w:bodyDiv w:val="1"/>
      <w:marLeft w:val="0"/>
      <w:marRight w:val="0"/>
      <w:marTop w:val="0"/>
      <w:marBottom w:val="0"/>
      <w:divBdr>
        <w:top w:val="none" w:sz="0" w:space="0" w:color="auto"/>
        <w:left w:val="none" w:sz="0" w:space="0" w:color="auto"/>
        <w:bottom w:val="none" w:sz="0" w:space="0" w:color="auto"/>
        <w:right w:val="none" w:sz="0" w:space="0" w:color="auto"/>
      </w:divBdr>
    </w:div>
    <w:div w:id="2079744852">
      <w:bodyDiv w:val="1"/>
      <w:marLeft w:val="0"/>
      <w:marRight w:val="0"/>
      <w:marTop w:val="0"/>
      <w:marBottom w:val="0"/>
      <w:divBdr>
        <w:top w:val="none" w:sz="0" w:space="0" w:color="auto"/>
        <w:left w:val="none" w:sz="0" w:space="0" w:color="auto"/>
        <w:bottom w:val="none" w:sz="0" w:space="0" w:color="auto"/>
        <w:right w:val="none" w:sz="0" w:space="0" w:color="auto"/>
      </w:divBdr>
    </w:div>
    <w:div w:id="2084176009">
      <w:bodyDiv w:val="1"/>
      <w:marLeft w:val="0"/>
      <w:marRight w:val="0"/>
      <w:marTop w:val="0"/>
      <w:marBottom w:val="0"/>
      <w:divBdr>
        <w:top w:val="none" w:sz="0" w:space="0" w:color="auto"/>
        <w:left w:val="none" w:sz="0" w:space="0" w:color="auto"/>
        <w:bottom w:val="none" w:sz="0" w:space="0" w:color="auto"/>
        <w:right w:val="none" w:sz="0" w:space="0" w:color="auto"/>
      </w:divBdr>
    </w:div>
    <w:div w:id="2088068412">
      <w:bodyDiv w:val="1"/>
      <w:marLeft w:val="0"/>
      <w:marRight w:val="0"/>
      <w:marTop w:val="0"/>
      <w:marBottom w:val="0"/>
      <w:divBdr>
        <w:top w:val="none" w:sz="0" w:space="0" w:color="auto"/>
        <w:left w:val="none" w:sz="0" w:space="0" w:color="auto"/>
        <w:bottom w:val="none" w:sz="0" w:space="0" w:color="auto"/>
        <w:right w:val="none" w:sz="0" w:space="0" w:color="auto"/>
      </w:divBdr>
    </w:div>
    <w:div w:id="2088916486">
      <w:bodyDiv w:val="1"/>
      <w:marLeft w:val="0"/>
      <w:marRight w:val="0"/>
      <w:marTop w:val="0"/>
      <w:marBottom w:val="0"/>
      <w:divBdr>
        <w:top w:val="none" w:sz="0" w:space="0" w:color="auto"/>
        <w:left w:val="none" w:sz="0" w:space="0" w:color="auto"/>
        <w:bottom w:val="none" w:sz="0" w:space="0" w:color="auto"/>
        <w:right w:val="none" w:sz="0" w:space="0" w:color="auto"/>
      </w:divBdr>
    </w:div>
    <w:div w:id="2113279956">
      <w:bodyDiv w:val="1"/>
      <w:marLeft w:val="0"/>
      <w:marRight w:val="0"/>
      <w:marTop w:val="0"/>
      <w:marBottom w:val="0"/>
      <w:divBdr>
        <w:top w:val="none" w:sz="0" w:space="0" w:color="auto"/>
        <w:left w:val="none" w:sz="0" w:space="0" w:color="auto"/>
        <w:bottom w:val="none" w:sz="0" w:space="0" w:color="auto"/>
        <w:right w:val="none" w:sz="0" w:space="0" w:color="auto"/>
      </w:divBdr>
    </w:div>
    <w:div w:id="2119525144">
      <w:bodyDiv w:val="1"/>
      <w:marLeft w:val="0"/>
      <w:marRight w:val="0"/>
      <w:marTop w:val="0"/>
      <w:marBottom w:val="0"/>
      <w:divBdr>
        <w:top w:val="none" w:sz="0" w:space="0" w:color="auto"/>
        <w:left w:val="none" w:sz="0" w:space="0" w:color="auto"/>
        <w:bottom w:val="none" w:sz="0" w:space="0" w:color="auto"/>
        <w:right w:val="none" w:sz="0" w:space="0" w:color="auto"/>
      </w:divBdr>
    </w:div>
    <w:div w:id="2127694668">
      <w:bodyDiv w:val="1"/>
      <w:marLeft w:val="0"/>
      <w:marRight w:val="0"/>
      <w:marTop w:val="0"/>
      <w:marBottom w:val="0"/>
      <w:divBdr>
        <w:top w:val="none" w:sz="0" w:space="0" w:color="auto"/>
        <w:left w:val="none" w:sz="0" w:space="0" w:color="auto"/>
        <w:bottom w:val="none" w:sz="0" w:space="0" w:color="auto"/>
        <w:right w:val="none" w:sz="0" w:space="0" w:color="auto"/>
      </w:divBdr>
    </w:div>
    <w:div w:id="2131314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C1084D-A5CD-4D6D-A713-6BAA57D6D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79</TotalTime>
  <Pages>6</Pages>
  <Words>1907</Words>
  <Characters>10870</Characters>
  <Application>Microsoft Office Word</Application>
  <DocSecurity>0</DocSecurity>
  <Lines>90</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Ernst &amp; Young</Company>
  <LinksUpToDate>false</LinksUpToDate>
  <CharactersWithSpaces>12752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Ludvová Miriama</cp:lastModifiedBy>
  <cp:revision>35</cp:revision>
  <cp:lastPrinted>2024-06-23T10:23:00Z</cp:lastPrinted>
  <dcterms:created xsi:type="dcterms:W3CDTF">2024-06-23T19:14:00Z</dcterms:created>
  <dcterms:modified xsi:type="dcterms:W3CDTF">2025-06-27T10:21:00Z</dcterms:modified>
</cp:coreProperties>
</file>