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82310A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  <w:szCs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82310A">
        <w:rPr>
          <w:b/>
          <w:bCs/>
          <w:sz w:val="20"/>
          <w:szCs w:val="20"/>
          <w:highlight w:val="lightGray"/>
        </w:rPr>
        <w:t>Všeobecné údaje</w:t>
      </w:r>
    </w:p>
    <w:p w:rsidR="006C0F8A" w:rsidRPr="0082310A" w:rsidRDefault="006C0F8A" w:rsidP="004E2926">
      <w:pPr>
        <w:ind w:left="425"/>
        <w:jc w:val="both"/>
        <w:rPr>
          <w:b/>
          <w:bCs/>
          <w:sz w:val="20"/>
          <w:szCs w:val="20"/>
        </w:rPr>
      </w:pPr>
    </w:p>
    <w:tbl>
      <w:tblPr>
        <w:tblW w:w="905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6"/>
        <w:gridCol w:w="7072"/>
      </w:tblGrid>
      <w:tr w:rsidR="00F21F19" w:rsidRPr="0082310A" w:rsidTr="007031A0">
        <w:trPr>
          <w:trHeight w:val="116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</w:p>
          <w:p w:rsidR="00F21F19" w:rsidRPr="0082310A" w:rsidRDefault="00F21F19" w:rsidP="005E6063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 </w:t>
            </w:r>
            <w:r w:rsidR="00E57B69" w:rsidRPr="0082310A">
              <w:rPr>
                <w:sz w:val="20"/>
                <w:szCs w:val="20"/>
              </w:rPr>
              <w:t>FRENKO - FORTE spol. s r.o.</w:t>
            </w:r>
          </w:p>
        </w:tc>
      </w:tr>
      <w:tr w:rsidR="00F21F19" w:rsidRPr="0082310A" w:rsidTr="007031A0">
        <w:trPr>
          <w:trHeight w:val="412"/>
        </w:trPr>
        <w:tc>
          <w:tcPr>
            <w:tcW w:w="1096" w:type="pct"/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82310A" w:rsidRDefault="00E57B69" w:rsidP="005E6063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Gelnicka 14, 831 06  Bratislava</w:t>
            </w:r>
          </w:p>
        </w:tc>
      </w:tr>
      <w:tr w:rsidR="007031A0" w:rsidRPr="0082310A" w:rsidTr="007031A0">
        <w:trPr>
          <w:trHeight w:val="412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1A0" w:rsidRPr="0082310A" w:rsidRDefault="007031A0" w:rsidP="000913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Hospodárska činnosť: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1A0" w:rsidRPr="007031A0" w:rsidRDefault="007031A0" w:rsidP="007031A0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7031A0">
              <w:rPr>
                <w:snapToGrid w:val="0"/>
                <w:sz w:val="20"/>
                <w:szCs w:val="20"/>
              </w:rPr>
              <w:t>kúpa tovaru za účelom jeho ďalšieho predaja a predaj všetkých druhov tovaru, ktoré nevyžadujú špeciálne licencie,</w:t>
            </w:r>
          </w:p>
          <w:p w:rsidR="007031A0" w:rsidRPr="007031A0" w:rsidRDefault="007031A0" w:rsidP="007031A0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7031A0">
              <w:rPr>
                <w:snapToGrid w:val="0"/>
                <w:sz w:val="20"/>
                <w:szCs w:val="20"/>
              </w:rPr>
              <w:t>poskytovvanie služieb v oblasti opráv motorových vozidiel,</w:t>
            </w:r>
            <w:r>
              <w:rPr>
                <w:snapToGrid w:val="0"/>
                <w:sz w:val="20"/>
                <w:szCs w:val="20"/>
              </w:rPr>
              <w:t xml:space="preserve"> pneuservis</w:t>
            </w:r>
          </w:p>
          <w:p w:rsidR="007031A0" w:rsidRPr="0082310A" w:rsidRDefault="007031A0" w:rsidP="007031A0">
            <w:pPr>
              <w:rPr>
                <w:sz w:val="20"/>
                <w:szCs w:val="20"/>
              </w:rPr>
            </w:pPr>
          </w:p>
        </w:tc>
      </w:tr>
    </w:tbl>
    <w:p w:rsidR="007031A0" w:rsidRPr="0082310A" w:rsidRDefault="007031A0" w:rsidP="00F21F19">
      <w:pPr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82310A" w:rsidTr="005D26AA">
        <w:trPr>
          <w:trHeight w:val="245"/>
        </w:trPr>
        <w:tc>
          <w:tcPr>
            <w:tcW w:w="9072" w:type="dxa"/>
            <w:gridSpan w:val="4"/>
          </w:tcPr>
          <w:p w:rsidR="004E2926" w:rsidRPr="0082310A" w:rsidRDefault="004E2926" w:rsidP="00AE078E">
            <w:pPr>
              <w:jc w:val="center"/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Údaje o konsolidovanom celku</w:t>
            </w:r>
          </w:p>
        </w:tc>
      </w:tr>
      <w:tr w:rsidR="00F355BC" w:rsidRPr="0082310A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5571A2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="005571A2"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</w:t>
            </w:r>
            <w:r w:rsidR="00F355BC" w:rsidRPr="0082310A">
              <w:rPr>
                <w:b/>
                <w:sz w:val="20"/>
                <w:szCs w:val="20"/>
              </w:rPr>
              <w:t>ie je</w:t>
            </w:r>
            <w:r w:rsidR="00F355BC" w:rsidRPr="0082310A">
              <w:rPr>
                <w:sz w:val="20"/>
                <w:szCs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je</w:t>
            </w:r>
            <w:r w:rsidR="00F355BC" w:rsidRPr="0082310A">
              <w:rPr>
                <w:sz w:val="20"/>
                <w:szCs w:val="20"/>
              </w:rPr>
              <w:t xml:space="preserve">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ind w:left="56"/>
              <w:rPr>
                <w:sz w:val="20"/>
                <w:szCs w:val="20"/>
              </w:rPr>
            </w:pPr>
          </w:p>
        </w:tc>
      </w:tr>
      <w:tr w:rsidR="007854C2" w:rsidRPr="0082310A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nie je</w:t>
            </w:r>
            <w:r w:rsidRPr="0082310A">
              <w:rPr>
                <w:sz w:val="20"/>
                <w:szCs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ind w:left="56"/>
              <w:rPr>
                <w:sz w:val="20"/>
                <w:szCs w:val="20"/>
              </w:rPr>
            </w:pPr>
          </w:p>
        </w:tc>
      </w:tr>
    </w:tbl>
    <w:p w:rsidR="00F355BC" w:rsidRPr="0082310A" w:rsidRDefault="00F355BC" w:rsidP="00F355BC">
      <w:pPr>
        <w:rPr>
          <w:i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82310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82310A" w:rsidRDefault="004E2926" w:rsidP="005D26AA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82310A" w:rsidRDefault="000017E1" w:rsidP="005D26AA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7854C2" w:rsidRPr="0082310A" w:rsidRDefault="007854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47AC2" w:rsidRPr="0082310A" w:rsidRDefault="00947A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31C39" w:rsidRPr="0082310A" w:rsidRDefault="00931C39" w:rsidP="00C13C94">
      <w:pPr>
        <w:jc w:val="center"/>
        <w:rPr>
          <w:b/>
          <w:sz w:val="20"/>
          <w:szCs w:val="20"/>
        </w:rPr>
      </w:pPr>
      <w:r w:rsidRPr="0082310A">
        <w:rPr>
          <w:b/>
          <w:sz w:val="20"/>
          <w:szCs w:val="20"/>
          <w:highlight w:val="lightGray"/>
        </w:rPr>
        <w:t>Informácie o prijatých postupoch</w:t>
      </w:r>
    </w:p>
    <w:p w:rsidR="00A72848" w:rsidRPr="0082310A" w:rsidRDefault="00A72848" w:rsidP="00931C39">
      <w:pPr>
        <w:ind w:left="1121"/>
        <w:jc w:val="both"/>
        <w:rPr>
          <w:b/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82310A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82310A" w:rsidRDefault="007854C2" w:rsidP="00E13CC7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368" w:type="dxa"/>
            <w:vAlign w:val="center"/>
          </w:tcPr>
          <w:p w:rsidR="007854C2" w:rsidRPr="0082310A" w:rsidRDefault="007854C2" w:rsidP="005D26AA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4E2926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5571A2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82310A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7854C2" w:rsidRPr="0082310A" w:rsidRDefault="007854C2" w:rsidP="007854C2">
      <w:pPr>
        <w:ind w:left="709"/>
        <w:jc w:val="both"/>
        <w:rPr>
          <w:sz w:val="20"/>
          <w:szCs w:val="20"/>
        </w:rPr>
      </w:pPr>
    </w:p>
    <w:p w:rsidR="006F74F4" w:rsidRPr="0082310A" w:rsidRDefault="00A72848" w:rsidP="00E13CC7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b/>
          <w:sz w:val="20"/>
          <w:szCs w:val="20"/>
        </w:rPr>
      </w:pPr>
      <w:r w:rsidRPr="0082310A">
        <w:rPr>
          <w:b/>
          <w:sz w:val="20"/>
          <w:szCs w:val="20"/>
        </w:rPr>
        <w:t>Spôsob oceňovania</w:t>
      </w:r>
      <w:r w:rsidR="003213EC" w:rsidRPr="0082310A">
        <w:rPr>
          <w:b/>
          <w:sz w:val="20"/>
          <w:szCs w:val="20"/>
        </w:rPr>
        <w:t xml:space="preserve"> jednotlivých </w:t>
      </w:r>
      <w:r w:rsidRPr="0082310A">
        <w:rPr>
          <w:b/>
          <w:sz w:val="20"/>
          <w:szCs w:val="20"/>
        </w:rPr>
        <w:t>položiek majetku a</w:t>
      </w:r>
      <w:r w:rsidR="00C51B12" w:rsidRPr="0082310A">
        <w:rPr>
          <w:b/>
          <w:sz w:val="20"/>
          <w:szCs w:val="20"/>
        </w:rPr>
        <w:t> </w:t>
      </w:r>
      <w:r w:rsidRPr="0082310A">
        <w:rPr>
          <w:b/>
          <w:sz w:val="20"/>
          <w:szCs w:val="20"/>
        </w:rPr>
        <w:t xml:space="preserve">záväzkov </w:t>
      </w:r>
    </w:p>
    <w:p w:rsidR="00F62946" w:rsidRPr="0082310A" w:rsidRDefault="00F62946" w:rsidP="00F62946">
      <w:pPr>
        <w:rPr>
          <w:b/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  <w:r w:rsidRPr="0082310A">
        <w:rPr>
          <w:sz w:val="20"/>
          <w:szCs w:val="20"/>
        </w:rPr>
        <w:t>Pri obstaraní majetku sa uplatňuje princíp obstarávacích cien (t. j. historických cien). Ocenenie jednotlivých položiek majetku a záväzkov je takéto: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nehmotný a hmotný majetok obstaraný iným spôsobom – realnou hodnotou v prípade bezodplatného nadobudnutia majetku alebo majetku novo zisteného pri inventarizácii, t. j. cenou, za ktorú by sa majetok obstaral v čase, keď sa o ňom účtuje.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kúpou:</w:t>
      </w:r>
    </w:p>
    <w:p w:rsidR="00F62946" w:rsidRPr="0082310A" w:rsidRDefault="00F62946" w:rsidP="00E13CC7">
      <w:pPr>
        <w:numPr>
          <w:ilvl w:val="0"/>
          <w:numId w:val="4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 xml:space="preserve">Nakupovaný materiál – obstarávacou cenou. Pri úbytku rovnakého druhu zásob sa používa metóda </w:t>
      </w:r>
      <w:r w:rsidRPr="0082310A">
        <w:rPr>
          <w:sz w:val="20"/>
          <w:szCs w:val="20"/>
        </w:rPr>
        <w:t>FIFO</w:t>
      </w:r>
      <w:r w:rsidRPr="0082310A">
        <w:rPr>
          <w:snapToGrid w:val="0"/>
          <w:sz w:val="20"/>
          <w:szCs w:val="20"/>
        </w:rPr>
        <w:t xml:space="preserve">. </w:t>
      </w:r>
    </w:p>
    <w:p w:rsidR="00F62946" w:rsidRPr="00196E9D" w:rsidRDefault="00F62946" w:rsidP="00F62946">
      <w:pPr>
        <w:numPr>
          <w:ilvl w:val="0"/>
          <w:numId w:val="4"/>
        </w:numPr>
        <w:jc w:val="both"/>
        <w:rPr>
          <w:sz w:val="20"/>
          <w:szCs w:val="20"/>
        </w:rPr>
      </w:pPr>
      <w:r w:rsidRPr="00196E9D">
        <w:rPr>
          <w:snapToGrid w:val="0"/>
          <w:sz w:val="20"/>
          <w:szCs w:val="20"/>
        </w:rPr>
        <w:t xml:space="preserve">Nakupovaný tovar – obstarávacou cenou. Pri úbytku rovnakého druhu zásob sa používa metóda </w:t>
      </w:r>
      <w:r w:rsidRPr="00196E9D">
        <w:rPr>
          <w:sz w:val="20"/>
          <w:szCs w:val="20"/>
        </w:rPr>
        <w:t>FIFO</w:t>
      </w:r>
      <w:r w:rsidRPr="00196E9D">
        <w:rPr>
          <w:snapToGrid w:val="0"/>
          <w:sz w:val="20"/>
          <w:szCs w:val="20"/>
        </w:rPr>
        <w:t xml:space="preserve">. </w:t>
      </w: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iným spôsobom – reálnou hodnotou v prípade bezodplatného nadobudnutia zásob alebo zásob novo zistených pri inventarizácii, t. j. cenou, za ktorú by sa majetok obstaral v čase, keď sa o ňom účtuje.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Pohľadávky: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alebo bezodplatnom nadobudnutí – menovitou hodnotou,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odplatnom nadobudnutí (postúpení) alebo nadobudnutí vkladom do základného imania – obstarávacou cenou.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Záväzky:</w:t>
      </w:r>
    </w:p>
    <w:p w:rsidR="00F62946" w:rsidRPr="0082310A" w:rsidRDefault="00F62946" w:rsidP="00E13CC7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– menovitou hodnotou,</w:t>
      </w:r>
    </w:p>
    <w:p w:rsidR="00F62946" w:rsidRPr="0082310A" w:rsidRDefault="00F62946" w:rsidP="00E13CC7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prevzatí – obstarávacou cenou.</w:t>
      </w:r>
    </w:p>
    <w:p w:rsidR="00F62946" w:rsidRPr="0082310A" w:rsidRDefault="00F62946" w:rsidP="00F62946">
      <w:pPr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Daň z príjmov splatná – podľa slovenského zákona o dani z príjmov sa splatné dane z príjmov určujú z účtovného zisku pred zdanením pri sadzbe </w:t>
      </w:r>
      <w:r w:rsidR="000017E1">
        <w:rPr>
          <w:sz w:val="20"/>
          <w:szCs w:val="20"/>
        </w:rPr>
        <w:t>15</w:t>
      </w:r>
      <w:r w:rsidRPr="0082310A">
        <w:rPr>
          <w:sz w:val="20"/>
          <w:szCs w:val="20"/>
        </w:rPr>
        <w:t>% po úpravách o niektoré položky na daňové účely.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947AC2" w:rsidRPr="0082310A" w:rsidRDefault="00947AC2" w:rsidP="00AC7913">
      <w:pPr>
        <w:jc w:val="both"/>
        <w:rPr>
          <w:sz w:val="20"/>
          <w:szCs w:val="20"/>
        </w:rPr>
      </w:pPr>
    </w:p>
    <w:p w:rsidR="00F62946" w:rsidRPr="0082310A" w:rsidRDefault="00F62946" w:rsidP="00F62946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(3) Spôsob ocenenia jednotlivých zložiek majetku a záväzkov – nasledujúce ocenenie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8"/>
        </w:numPr>
        <w:jc w:val="both"/>
        <w:rPr>
          <w:sz w:val="20"/>
          <w:szCs w:val="20"/>
        </w:rPr>
      </w:pPr>
      <w:bookmarkStart w:id="0" w:name="_Ref150575467"/>
      <w:r w:rsidRPr="0082310A">
        <w:rPr>
          <w:sz w:val="20"/>
          <w:szCs w:val="20"/>
        </w:rPr>
        <w:t>Predpokladané riziká, straty a zníženia hodnoty, ktoré sa týkajú majetku a záväzkov, sa vyjadrujú prostredníctvom rezerv, opravných položiek a odpisov.</w:t>
      </w:r>
      <w:bookmarkEnd w:id="0"/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7"/>
        </w:numPr>
        <w:tabs>
          <w:tab w:val="clear" w:pos="539"/>
          <w:tab w:val="num" w:pos="900"/>
        </w:tabs>
        <w:ind w:left="900" w:hanging="360"/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  <w:u w:val="single"/>
        </w:rPr>
        <w:t xml:space="preserve">Plán odpisov </w:t>
      </w:r>
    </w:p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 xml:space="preserve">Dlhodobý hmotný a nehmotný majetok sa odpisuje podľa plánu odpisov, ktorý bol stanovený vzhľadom na odhad jeho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>Priemerné životnosti podľa plánu odpisov sú:</w:t>
      </w:r>
    </w:p>
    <w:p w:rsidR="00F62946" w:rsidRPr="0082310A" w:rsidRDefault="00F62946" w:rsidP="00F62946">
      <w:pPr>
        <w:ind w:left="539"/>
        <w:rPr>
          <w:b/>
          <w:snapToGrid w:val="0"/>
          <w:sz w:val="20"/>
          <w:szCs w:val="20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487"/>
        <w:gridCol w:w="1276"/>
        <w:gridCol w:w="2409"/>
      </w:tblGrid>
      <w:tr w:rsidR="00F62946" w:rsidRPr="0082310A" w:rsidTr="00E13CC7">
        <w:tc>
          <w:tcPr>
            <w:tcW w:w="4487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Druh majetku</w:t>
            </w:r>
          </w:p>
        </w:tc>
        <w:tc>
          <w:tcPr>
            <w:tcW w:w="1276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Životnosť</w:t>
            </w:r>
          </w:p>
        </w:tc>
        <w:tc>
          <w:tcPr>
            <w:tcW w:w="2409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Ročná sadzba odpisov</w:t>
            </w:r>
          </w:p>
        </w:tc>
      </w:tr>
      <w:tr w:rsidR="00F62946" w:rsidRPr="0082310A" w:rsidTr="00E13CC7">
        <w:tc>
          <w:tcPr>
            <w:tcW w:w="4487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Budovy a stavby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40 rokov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2,5%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tabs>
                <w:tab w:val="left" w:pos="1920"/>
              </w:tabs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Stroje, prístroje a zariadenia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Dopravné prostriedky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Inventár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6 rokov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16,67%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Drobný dlhodobý hmotný majetok do 1700 EUR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neodpisuje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neodpisuje</w:t>
            </w:r>
          </w:p>
        </w:tc>
      </w:tr>
      <w:tr w:rsidR="00F62946" w:rsidRPr="0082310A" w:rsidTr="00E13CC7">
        <w:tc>
          <w:tcPr>
            <w:tcW w:w="4487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Softvér, oceniteľné práva (licencie)</w:t>
            </w:r>
          </w:p>
        </w:tc>
        <w:tc>
          <w:tcPr>
            <w:tcW w:w="1276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5 rokov</w:t>
            </w:r>
          </w:p>
        </w:tc>
        <w:tc>
          <w:tcPr>
            <w:tcW w:w="2409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20%</w:t>
            </w:r>
          </w:p>
        </w:tc>
      </w:tr>
    </w:tbl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napToGrid w:val="0"/>
          <w:sz w:val="20"/>
          <w:szCs w:val="20"/>
        </w:rPr>
        <w:t>Daňové odpisy sa uplatňujú podľa sadzieb uvedených v zákone o dani z príjmov platných pre rovnomerné</w:t>
      </w:r>
      <w:r w:rsidRPr="0082310A">
        <w:rPr>
          <w:sz w:val="20"/>
          <w:szCs w:val="20"/>
        </w:rPr>
        <w:t xml:space="preserve"> odpisovanie. Drobný dlhodobý hmotný majetok do 1700 EUR sa odpisuje jednorázovo do spotreby.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D334E" w:rsidRPr="0082310A" w:rsidRDefault="00FD334E" w:rsidP="00FD334E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bookmarkStart w:id="1" w:name="_Ref150575427"/>
      <w:r w:rsidRPr="0082310A">
        <w:rPr>
          <w:rFonts w:cs="Times New Roman"/>
          <w:sz w:val="20"/>
          <w:szCs w:val="20"/>
        </w:rPr>
        <w:t xml:space="preserve">(4) </w:t>
      </w:r>
      <w:r w:rsidR="0082310A" w:rsidRPr="0082310A">
        <w:rPr>
          <w:rFonts w:cs="Times New Roman"/>
          <w:sz w:val="20"/>
          <w:szCs w:val="20"/>
        </w:rPr>
        <w:t xml:space="preserve">Použité účtovné zásady </w:t>
      </w:r>
      <w:r w:rsidR="00196E9D">
        <w:rPr>
          <w:rFonts w:cs="Times New Roman"/>
          <w:sz w:val="20"/>
          <w:szCs w:val="20"/>
        </w:rPr>
        <w:t>a</w:t>
      </w:r>
      <w:r w:rsidR="0082310A" w:rsidRPr="0082310A">
        <w:rPr>
          <w:rFonts w:cs="Times New Roman"/>
          <w:sz w:val="20"/>
          <w:szCs w:val="20"/>
        </w:rPr>
        <w:t xml:space="preserve"> účtovné metódy</w:t>
      </w:r>
    </w:p>
    <w:bookmarkEnd w:id="1"/>
    <w:p w:rsidR="00FD334E" w:rsidRPr="0082310A" w:rsidRDefault="00FD334E" w:rsidP="00FD334E">
      <w:pPr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7031A0" w:rsidRDefault="00FD334E" w:rsidP="00321F48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F27021" w:rsidRDefault="00F27021" w:rsidP="00F27021">
      <w:pPr>
        <w:tabs>
          <w:tab w:val="num" w:pos="539"/>
        </w:tabs>
        <w:jc w:val="both"/>
        <w:rPr>
          <w:sz w:val="20"/>
          <w:szCs w:val="20"/>
        </w:rPr>
      </w:pPr>
    </w:p>
    <w:p w:rsidR="00F27021" w:rsidRDefault="00F27021" w:rsidP="00F27021">
      <w:pPr>
        <w:tabs>
          <w:tab w:val="num" w:pos="539"/>
        </w:tabs>
        <w:jc w:val="both"/>
        <w:rPr>
          <w:sz w:val="20"/>
          <w:szCs w:val="20"/>
        </w:rPr>
      </w:pPr>
    </w:p>
    <w:p w:rsidR="00F27021" w:rsidRDefault="00F27021" w:rsidP="00F27021">
      <w:pPr>
        <w:tabs>
          <w:tab w:val="num" w:pos="539"/>
        </w:tabs>
        <w:jc w:val="both"/>
        <w:rPr>
          <w:sz w:val="20"/>
          <w:szCs w:val="20"/>
        </w:rPr>
      </w:pPr>
    </w:p>
    <w:p w:rsidR="00F27021" w:rsidRDefault="00F27021" w:rsidP="00F27021">
      <w:pPr>
        <w:tabs>
          <w:tab w:val="num" w:pos="539"/>
        </w:tabs>
        <w:jc w:val="both"/>
        <w:rPr>
          <w:sz w:val="20"/>
          <w:szCs w:val="20"/>
        </w:rPr>
      </w:pPr>
    </w:p>
    <w:p w:rsidR="00F27021" w:rsidRDefault="00F27021" w:rsidP="00F27021">
      <w:pPr>
        <w:tabs>
          <w:tab w:val="num" w:pos="539"/>
        </w:tabs>
        <w:jc w:val="both"/>
        <w:rPr>
          <w:sz w:val="20"/>
          <w:szCs w:val="20"/>
        </w:rPr>
      </w:pPr>
    </w:p>
    <w:p w:rsidR="00F27021" w:rsidRDefault="00F27021" w:rsidP="00F27021">
      <w:pPr>
        <w:tabs>
          <w:tab w:val="num" w:pos="539"/>
        </w:tabs>
        <w:jc w:val="both"/>
        <w:rPr>
          <w:sz w:val="20"/>
          <w:szCs w:val="20"/>
        </w:rPr>
      </w:pPr>
    </w:p>
    <w:p w:rsidR="00F27021" w:rsidRDefault="00F27021" w:rsidP="00F27021">
      <w:pPr>
        <w:tabs>
          <w:tab w:val="num" w:pos="539"/>
        </w:tabs>
        <w:jc w:val="both"/>
        <w:rPr>
          <w:sz w:val="20"/>
          <w:szCs w:val="20"/>
        </w:rPr>
      </w:pPr>
    </w:p>
    <w:p w:rsidR="00F27021" w:rsidRDefault="00F27021" w:rsidP="00F27021">
      <w:pPr>
        <w:tabs>
          <w:tab w:val="num" w:pos="539"/>
        </w:tabs>
        <w:jc w:val="both"/>
        <w:rPr>
          <w:sz w:val="20"/>
          <w:szCs w:val="20"/>
        </w:rPr>
      </w:pPr>
    </w:p>
    <w:p w:rsidR="00F27021" w:rsidRDefault="00F27021" w:rsidP="00F27021">
      <w:pPr>
        <w:tabs>
          <w:tab w:val="num" w:pos="539"/>
        </w:tabs>
        <w:jc w:val="both"/>
        <w:rPr>
          <w:sz w:val="20"/>
          <w:szCs w:val="20"/>
        </w:rPr>
      </w:pPr>
    </w:p>
    <w:p w:rsidR="00F27021" w:rsidRDefault="00F27021" w:rsidP="00F27021">
      <w:pPr>
        <w:tabs>
          <w:tab w:val="num" w:pos="539"/>
        </w:tabs>
        <w:jc w:val="both"/>
        <w:rPr>
          <w:sz w:val="20"/>
          <w:szCs w:val="20"/>
        </w:rPr>
      </w:pPr>
    </w:p>
    <w:p w:rsidR="00F27021" w:rsidRPr="00321F48" w:rsidRDefault="00F27021" w:rsidP="00F27021">
      <w:pPr>
        <w:tabs>
          <w:tab w:val="num" w:pos="539"/>
        </w:tabs>
        <w:jc w:val="both"/>
        <w:rPr>
          <w:sz w:val="20"/>
          <w:szCs w:val="20"/>
        </w:rPr>
      </w:pPr>
    </w:p>
    <w:p w:rsidR="007031A0" w:rsidRDefault="007031A0" w:rsidP="007031A0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C92F19" w:rsidRPr="007031A0" w:rsidRDefault="00C92F19" w:rsidP="007031A0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(</w:t>
      </w:r>
      <w:r w:rsidR="0082310A" w:rsidRPr="0082310A">
        <w:rPr>
          <w:rFonts w:cs="Times New Roman"/>
          <w:sz w:val="20"/>
          <w:szCs w:val="20"/>
        </w:rPr>
        <w:t>5</w:t>
      </w:r>
      <w:r w:rsidRPr="0082310A">
        <w:rPr>
          <w:rFonts w:cs="Times New Roman"/>
          <w:sz w:val="20"/>
          <w:szCs w:val="20"/>
        </w:rPr>
        <w:t>)  Informácie, ktoré vysvetľujú a dopĺňajú súvahu a výkaz ziskov a strát</w:t>
      </w:r>
    </w:p>
    <w:p w:rsidR="007031A0" w:rsidRDefault="007031A0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p w:rsidR="00C92F19" w:rsidRPr="0082310A" w:rsidRDefault="00C92F19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Záväzky </w:t>
      </w:r>
    </w:p>
    <w:p w:rsidR="00C92F19" w:rsidRPr="0082310A" w:rsidRDefault="00C92F19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</w:p>
    <w:p w:rsidR="00FD334E" w:rsidRPr="0082310A" w:rsidRDefault="00FD334E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  <w:r w:rsidRPr="0082310A">
        <w:rPr>
          <w:sz w:val="20"/>
          <w:szCs w:val="20"/>
        </w:rPr>
        <w:t>Výška záväzkov so zostatkovou dobou splatnosti dlhšou ako 1 rok</w:t>
      </w:r>
      <w:r w:rsidR="000017E1">
        <w:rPr>
          <w:sz w:val="20"/>
          <w:szCs w:val="20"/>
        </w:rPr>
        <w:t xml:space="preserve"> </w:t>
      </w:r>
      <w:r w:rsidRPr="0082310A">
        <w:rPr>
          <w:sz w:val="20"/>
          <w:szCs w:val="20"/>
        </w:rPr>
        <w:t>do lehoty a po lehote splatnosti vrátane skupiny a záväzky podľa zostatkovej doby splatnosti</w:t>
      </w: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6014"/>
        <w:gridCol w:w="842"/>
        <w:gridCol w:w="1376"/>
        <w:gridCol w:w="1376"/>
      </w:tblGrid>
      <w:tr w:rsidR="00FD334E" w:rsidRPr="0082310A" w:rsidTr="00E13CC7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bookmarkStart w:id="2" w:name="RANGE!B9:E18"/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  <w:bookmarkEnd w:id="2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0017E1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196E9D">
              <w:rPr>
                <w:b/>
                <w:i/>
                <w:sz w:val="20"/>
                <w:szCs w:val="20"/>
              </w:rPr>
              <w:t>2</w:t>
            </w:r>
            <w:r w:rsidR="000017E1">
              <w:rPr>
                <w:b/>
                <w:i/>
                <w:sz w:val="20"/>
                <w:szCs w:val="20"/>
              </w:rPr>
              <w:t>4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0017E1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C30102">
              <w:rPr>
                <w:b/>
                <w:i/>
                <w:sz w:val="20"/>
                <w:szCs w:val="20"/>
              </w:rPr>
              <w:t>2</w:t>
            </w:r>
            <w:r w:rsidR="000017E1">
              <w:rPr>
                <w:b/>
                <w:i/>
                <w:sz w:val="20"/>
                <w:szCs w:val="20"/>
              </w:rPr>
              <w:t>3</w:t>
            </w:r>
          </w:p>
        </w:tc>
      </w:tr>
      <w:tr w:rsidR="00FD334E" w:rsidRPr="0082310A" w:rsidTr="00E13CC7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vAlign w:val="bottom"/>
            <w:hideMark/>
          </w:tcPr>
          <w:p w:rsidR="00FD334E" w:rsidRPr="0082310A" w:rsidRDefault="000017E1" w:rsidP="00321F4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716" w:type="pct"/>
            <w:vAlign w:val="bottom"/>
            <w:hideMark/>
          </w:tcPr>
          <w:p w:rsidR="00FD334E" w:rsidRPr="0082310A" w:rsidRDefault="00321F48" w:rsidP="000017E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017E1">
              <w:rPr>
                <w:sz w:val="20"/>
                <w:szCs w:val="20"/>
              </w:rPr>
              <w:t>126</w:t>
            </w: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-</w:t>
            </w:r>
          </w:p>
        </w:tc>
      </w:tr>
      <w:tr w:rsidR="00FD334E" w:rsidRPr="0082310A" w:rsidTr="00E13CC7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dlhodobé 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872349" w:rsidRPr="0082310A" w:rsidRDefault="000017E1" w:rsidP="00321F48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82310A" w:rsidRDefault="00321F48" w:rsidP="000017E1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0017E1">
              <w:rPr>
                <w:b/>
                <w:bCs/>
                <w:sz w:val="20"/>
                <w:szCs w:val="20"/>
              </w:rPr>
              <w:t>126</w:t>
            </w:r>
          </w:p>
        </w:tc>
      </w:tr>
    </w:tbl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  <w:r w:rsidRPr="0082310A">
        <w:rPr>
          <w:snapToGrid w:val="0"/>
          <w:sz w:val="20"/>
          <w:szCs w:val="20"/>
        </w:rPr>
        <w:t xml:space="preserve">1.2. </w:t>
      </w:r>
      <w:r w:rsidRPr="0082310A">
        <w:rPr>
          <w:snapToGrid w:val="0"/>
          <w:sz w:val="20"/>
          <w:szCs w:val="20"/>
          <w:u w:val="single"/>
        </w:rPr>
        <w:t xml:space="preserve">Výška krátkodobých záväzkov – veková štruktúra </w:t>
      </w:r>
    </w:p>
    <w:p w:rsidR="00FD334E" w:rsidRPr="0082310A" w:rsidRDefault="00FD334E" w:rsidP="00FD334E">
      <w:pPr>
        <w:rPr>
          <w:snapToGrid w:val="0"/>
          <w:sz w:val="20"/>
          <w:szCs w:val="20"/>
          <w:highlight w:val="yellow"/>
        </w:rPr>
      </w:pPr>
    </w:p>
    <w:tbl>
      <w:tblPr>
        <w:tblW w:w="9322" w:type="dxa"/>
        <w:tblLook w:val="04A0"/>
      </w:tblPr>
      <w:tblGrid>
        <w:gridCol w:w="6487"/>
        <w:gridCol w:w="1418"/>
        <w:gridCol w:w="1417"/>
      </w:tblGrid>
      <w:tr w:rsidR="00FD334E" w:rsidRPr="0082310A" w:rsidTr="00FD334E">
        <w:tc>
          <w:tcPr>
            <w:tcW w:w="648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0017E1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65558E">
              <w:rPr>
                <w:b/>
                <w:bCs/>
                <w:i/>
                <w:sz w:val="20"/>
                <w:szCs w:val="20"/>
              </w:rPr>
              <w:t>2</w:t>
            </w:r>
            <w:r w:rsidR="000017E1">
              <w:rPr>
                <w:b/>
                <w:bCs/>
                <w:i/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0017E1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C30102">
              <w:rPr>
                <w:b/>
                <w:bCs/>
                <w:i/>
                <w:sz w:val="20"/>
                <w:szCs w:val="20"/>
              </w:rPr>
              <w:t>2</w:t>
            </w:r>
            <w:r w:rsidR="000017E1">
              <w:rPr>
                <w:b/>
                <w:bCs/>
                <w:i/>
                <w:sz w:val="20"/>
                <w:szCs w:val="20"/>
              </w:rPr>
              <w:t>3</w:t>
            </w: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Krátkodobé záväzky z obchodného styku: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  <w:tr w:rsidR="00896942" w:rsidRPr="0082310A" w:rsidTr="00FD334E">
        <w:tc>
          <w:tcPr>
            <w:tcW w:w="6487" w:type="dxa"/>
            <w:shd w:val="clear" w:color="auto" w:fill="auto"/>
          </w:tcPr>
          <w:p w:rsidR="00896942" w:rsidRPr="0082310A" w:rsidRDefault="00896942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do lehoty splatnosti</w:t>
            </w:r>
          </w:p>
        </w:tc>
        <w:tc>
          <w:tcPr>
            <w:tcW w:w="1418" w:type="dxa"/>
            <w:shd w:val="clear" w:color="auto" w:fill="auto"/>
          </w:tcPr>
          <w:p w:rsidR="00896942" w:rsidRPr="0082310A" w:rsidRDefault="00896942" w:rsidP="000017E1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 xml:space="preserve">   </w:t>
            </w:r>
            <w:r w:rsidR="000017E1">
              <w:rPr>
                <w:b/>
                <w:bCs/>
                <w:i/>
                <w:snapToGrid w:val="0"/>
                <w:sz w:val="20"/>
                <w:szCs w:val="20"/>
              </w:rPr>
              <w:t>356</w:t>
            </w:r>
          </w:p>
        </w:tc>
        <w:tc>
          <w:tcPr>
            <w:tcW w:w="1417" w:type="dxa"/>
          </w:tcPr>
          <w:p w:rsidR="00896942" w:rsidRPr="0082310A" w:rsidRDefault="000017E1" w:rsidP="00EB2DDC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22 016</w:t>
            </w:r>
          </w:p>
        </w:tc>
      </w:tr>
      <w:tr w:rsidR="00896942" w:rsidRPr="0082310A" w:rsidTr="00FD334E">
        <w:tc>
          <w:tcPr>
            <w:tcW w:w="6487" w:type="dxa"/>
            <w:shd w:val="clear" w:color="auto" w:fill="auto"/>
          </w:tcPr>
          <w:p w:rsidR="00896942" w:rsidRPr="0082310A" w:rsidRDefault="00896942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po lehote splatnosti</w:t>
            </w:r>
          </w:p>
        </w:tc>
        <w:tc>
          <w:tcPr>
            <w:tcW w:w="1418" w:type="dxa"/>
            <w:shd w:val="clear" w:color="auto" w:fill="auto"/>
          </w:tcPr>
          <w:p w:rsidR="000017E1" w:rsidRPr="0082310A" w:rsidRDefault="000017E1" w:rsidP="00321F48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146 400</w:t>
            </w:r>
          </w:p>
        </w:tc>
        <w:tc>
          <w:tcPr>
            <w:tcW w:w="1417" w:type="dxa"/>
          </w:tcPr>
          <w:p w:rsidR="00896942" w:rsidRPr="0082310A" w:rsidRDefault="00321F48" w:rsidP="000017E1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</w:t>
            </w:r>
            <w:r w:rsidR="000017E1">
              <w:rPr>
                <w:b/>
                <w:bCs/>
                <w:i/>
                <w:snapToGrid w:val="0"/>
                <w:sz w:val="20"/>
                <w:szCs w:val="20"/>
              </w:rPr>
              <w:t>2</w:t>
            </w:r>
            <w:r>
              <w:rPr>
                <w:b/>
                <w:bCs/>
                <w:i/>
                <w:snapToGrid w:val="0"/>
                <w:sz w:val="20"/>
                <w:szCs w:val="20"/>
              </w:rPr>
              <w:t>5 100</w:t>
            </w:r>
          </w:p>
        </w:tc>
      </w:tr>
      <w:tr w:rsidR="0065558E" w:rsidRPr="0082310A" w:rsidTr="00FD334E">
        <w:trPr>
          <w:trHeight w:val="287"/>
        </w:trPr>
        <w:tc>
          <w:tcPr>
            <w:tcW w:w="6487" w:type="dxa"/>
            <w:shd w:val="clear" w:color="auto" w:fill="auto"/>
          </w:tcPr>
          <w:p w:rsidR="0065558E" w:rsidRPr="0082310A" w:rsidRDefault="0065558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000000"/>
            </w:tcBorders>
            <w:shd w:val="clear" w:color="auto" w:fill="auto"/>
          </w:tcPr>
          <w:p w:rsidR="0065558E" w:rsidRPr="0082310A" w:rsidRDefault="0065558E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:rsidR="0065558E" w:rsidRPr="0082310A" w:rsidRDefault="0065558E" w:rsidP="00AF7569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</w:tr>
      <w:tr w:rsidR="0065558E" w:rsidRPr="0082310A" w:rsidTr="00FD334E">
        <w:trPr>
          <w:trHeight w:val="237"/>
        </w:trPr>
        <w:tc>
          <w:tcPr>
            <w:tcW w:w="6487" w:type="dxa"/>
            <w:tcBorders>
              <w:bottom w:val="single" w:sz="4" w:space="0" w:color="auto"/>
            </w:tcBorders>
            <w:shd w:val="clear" w:color="auto" w:fill="auto"/>
          </w:tcPr>
          <w:p w:rsidR="0065558E" w:rsidRPr="0082310A" w:rsidRDefault="0065558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krátkodobé záväzky z obchodného styku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</w:tcPr>
          <w:p w:rsidR="0065558E" w:rsidRPr="0082310A" w:rsidRDefault="00321F48" w:rsidP="000017E1">
            <w:pPr>
              <w:ind w:right="-468"/>
              <w:jc w:val="center"/>
              <w:rPr>
                <w:b/>
                <w:bCs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14</w:t>
            </w:r>
            <w:r w:rsidR="000017E1">
              <w:rPr>
                <w:b/>
                <w:bCs/>
                <w:i/>
                <w:snapToGrid w:val="0"/>
                <w:sz w:val="20"/>
                <w:szCs w:val="20"/>
              </w:rPr>
              <w:t>6</w:t>
            </w:r>
            <w:r>
              <w:rPr>
                <w:b/>
                <w:bCs/>
                <w:i/>
                <w:snapToGrid w:val="0"/>
                <w:sz w:val="20"/>
                <w:szCs w:val="20"/>
              </w:rPr>
              <w:t xml:space="preserve"> </w:t>
            </w:r>
            <w:r w:rsidR="000017E1">
              <w:rPr>
                <w:b/>
                <w:bCs/>
                <w:i/>
                <w:snapToGrid w:val="0"/>
                <w:sz w:val="20"/>
                <w:szCs w:val="20"/>
              </w:rPr>
              <w:t>756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auto"/>
            </w:tcBorders>
          </w:tcPr>
          <w:p w:rsidR="0065558E" w:rsidRPr="0082310A" w:rsidRDefault="000017E1" w:rsidP="00AF7569">
            <w:pPr>
              <w:ind w:right="-468"/>
              <w:jc w:val="center"/>
              <w:rPr>
                <w:b/>
                <w:bCs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147 116</w:t>
            </w: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</w:tbl>
    <w:p w:rsidR="00FD334E" w:rsidRPr="0082310A" w:rsidRDefault="0082310A" w:rsidP="00FD334E">
      <w:pPr>
        <w:pStyle w:val="Obyajntext"/>
        <w:rPr>
          <w:rFonts w:ascii="Times New Roman" w:hAnsi="Times New Roman"/>
          <w:b/>
          <w:sz w:val="20"/>
          <w:szCs w:val="20"/>
        </w:rPr>
      </w:pPr>
      <w:r w:rsidRPr="0082310A">
        <w:rPr>
          <w:rFonts w:ascii="Times New Roman" w:hAnsi="Times New Roman"/>
          <w:b/>
          <w:sz w:val="20"/>
          <w:szCs w:val="20"/>
        </w:rPr>
        <w:t>(6) Informácie o nákladoch a výnosoch, ktoré majú výnimočný rozsah alebo výskyt</w:t>
      </w:r>
    </w:p>
    <w:p w:rsidR="0082310A" w:rsidRDefault="0082310A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INÉ AKTÍVA A INÉ PASÍVA</w:t>
      </w:r>
    </w:p>
    <w:p w:rsidR="00C92F19" w:rsidRPr="0082310A" w:rsidRDefault="00C92F19" w:rsidP="00C92F19">
      <w:pPr>
        <w:rPr>
          <w:sz w:val="20"/>
          <w:szCs w:val="20"/>
        </w:rPr>
      </w:pPr>
    </w:p>
    <w:p w:rsidR="0065558E" w:rsidRPr="0082310A" w:rsidRDefault="0065558E" w:rsidP="0065558E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Podmienené záväzky</w:t>
      </w:r>
    </w:p>
    <w:p w:rsidR="0065558E" w:rsidRPr="0082310A" w:rsidRDefault="0065558E" w:rsidP="0065558E">
      <w:pPr>
        <w:rPr>
          <w:snapToGrid w:val="0"/>
          <w:sz w:val="20"/>
          <w:szCs w:val="20"/>
        </w:rPr>
      </w:pPr>
    </w:p>
    <w:p w:rsidR="0065558E" w:rsidRPr="003A548C" w:rsidRDefault="0065558E" w:rsidP="0065558E">
      <w:pPr>
        <w:rPr>
          <w:snapToGrid w:val="0"/>
          <w:sz w:val="20"/>
          <w:szCs w:val="20"/>
        </w:rPr>
      </w:pPr>
      <w:r w:rsidRPr="003A548C">
        <w:rPr>
          <w:snapToGrid w:val="0"/>
          <w:sz w:val="20"/>
          <w:szCs w:val="20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31. decembru 202</w:t>
      </w:r>
      <w:r w:rsidR="000017E1">
        <w:rPr>
          <w:snapToGrid w:val="0"/>
          <w:sz w:val="20"/>
          <w:szCs w:val="20"/>
        </w:rPr>
        <w:t>4</w:t>
      </w:r>
      <w:r w:rsidRPr="003A548C">
        <w:rPr>
          <w:snapToGrid w:val="0"/>
          <w:sz w:val="20"/>
          <w:szCs w:val="20"/>
        </w:rPr>
        <w:t xml:space="preserve"> daňové priznania spoločnosti za roky 20</w:t>
      </w:r>
      <w:r w:rsidR="000017E1">
        <w:rPr>
          <w:snapToGrid w:val="0"/>
          <w:sz w:val="20"/>
          <w:szCs w:val="20"/>
        </w:rPr>
        <w:t>20</w:t>
      </w:r>
      <w:r w:rsidRPr="003A548C">
        <w:rPr>
          <w:snapToGrid w:val="0"/>
          <w:sz w:val="20"/>
          <w:szCs w:val="20"/>
        </w:rPr>
        <w:t xml:space="preserve"> až 202</w:t>
      </w:r>
      <w:r w:rsidR="000017E1">
        <w:rPr>
          <w:snapToGrid w:val="0"/>
          <w:sz w:val="20"/>
          <w:szCs w:val="20"/>
        </w:rPr>
        <w:t>4</w:t>
      </w:r>
      <w:r w:rsidRPr="003A548C">
        <w:rPr>
          <w:snapToGrid w:val="0"/>
          <w:sz w:val="20"/>
          <w:szCs w:val="20"/>
        </w:rPr>
        <w:t xml:space="preserve"> otvorené a môžu sa stať predmetom kontroly.</w:t>
      </w:r>
    </w:p>
    <w:p w:rsidR="0065558E" w:rsidRPr="0082310A" w:rsidRDefault="0065558E" w:rsidP="0065558E">
      <w:pPr>
        <w:ind w:left="360"/>
        <w:rPr>
          <w:sz w:val="20"/>
          <w:szCs w:val="20"/>
        </w:rPr>
      </w:pPr>
    </w:p>
    <w:p w:rsidR="0065558E" w:rsidRPr="0082310A" w:rsidRDefault="0065558E" w:rsidP="0065558E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SKUTOČNOSTI, KTORÉ NASTALI PO DNI, KU KTORÉMU SA ZOSTAVUJE ÚČTOVNÁ</w:t>
      </w:r>
    </w:p>
    <w:p w:rsidR="0065558E" w:rsidRPr="0082310A" w:rsidRDefault="0065558E" w:rsidP="0065558E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ZÁVIERKA,A DO DŇA ZOSTAVENIA ÚČTOVNEJ ZÁVIERKY</w:t>
      </w:r>
    </w:p>
    <w:p w:rsidR="0065558E" w:rsidRPr="0082310A" w:rsidRDefault="0065558E" w:rsidP="0065558E">
      <w:pPr>
        <w:pStyle w:val="Obyajntext"/>
        <w:rPr>
          <w:rFonts w:ascii="Times New Roman" w:hAnsi="Times New Roman"/>
          <w:sz w:val="20"/>
          <w:szCs w:val="20"/>
        </w:rPr>
      </w:pPr>
    </w:p>
    <w:p w:rsidR="000524A8" w:rsidRPr="000524A8" w:rsidRDefault="000524A8" w:rsidP="000524A8">
      <w:pPr>
        <w:pStyle w:val="Obyajntext"/>
        <w:rPr>
          <w:rFonts w:ascii="Times New Roman" w:hAnsi="Times New Roman"/>
          <w:sz w:val="20"/>
          <w:szCs w:val="20"/>
        </w:rPr>
      </w:pPr>
      <w:r w:rsidRPr="000524A8">
        <w:rPr>
          <w:rFonts w:ascii="Times New Roman" w:hAnsi="Times New Roman"/>
          <w:sz w:val="20"/>
          <w:szCs w:val="20"/>
        </w:rPr>
        <w:t>V súvislosti s</w:t>
      </w:r>
      <w:r w:rsidR="00896942">
        <w:rPr>
          <w:rFonts w:ascii="Times New Roman" w:hAnsi="Times New Roman"/>
          <w:sz w:val="20"/>
          <w:szCs w:val="20"/>
        </w:rPr>
        <w:t xml:space="preserve"> pokračujúcim</w:t>
      </w:r>
      <w:r w:rsidRPr="000524A8">
        <w:rPr>
          <w:rFonts w:ascii="Times New Roman" w:hAnsi="Times New Roman"/>
          <w:sz w:val="20"/>
          <w:szCs w:val="20"/>
        </w:rPr>
        <w:t xml:space="preserve">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</w:t>
      </w:r>
      <w:r>
        <w:rPr>
          <w:rFonts w:ascii="Times New Roman" w:hAnsi="Times New Roman"/>
          <w:sz w:val="20"/>
          <w:szCs w:val="20"/>
        </w:rPr>
        <w:t>z</w:t>
      </w:r>
      <w:r w:rsidRPr="000524A8">
        <w:rPr>
          <w:rFonts w:ascii="Times New Roman" w:hAnsi="Times New Roman"/>
          <w:sz w:val="20"/>
          <w:szCs w:val="20"/>
        </w:rPr>
        <w:t>ostavenia UZ).</w:t>
      </w:r>
    </w:p>
    <w:p w:rsidR="000524A8" w:rsidRPr="000524A8" w:rsidRDefault="000524A8" w:rsidP="000524A8">
      <w:pPr>
        <w:pStyle w:val="Obyajntext"/>
        <w:rPr>
          <w:rFonts w:ascii="Times New Roman" w:hAnsi="Times New Roman"/>
          <w:sz w:val="20"/>
          <w:szCs w:val="20"/>
        </w:rPr>
      </w:pPr>
    </w:p>
    <w:p w:rsidR="000524A8" w:rsidRPr="000524A8" w:rsidRDefault="000524A8" w:rsidP="000524A8">
      <w:pPr>
        <w:pStyle w:val="Obyajntext"/>
        <w:jc w:val="both"/>
        <w:rPr>
          <w:rFonts w:ascii="Times New Roman" w:hAnsi="Times New Roman"/>
          <w:sz w:val="20"/>
          <w:szCs w:val="20"/>
        </w:rPr>
      </w:pPr>
      <w:r w:rsidRPr="000524A8">
        <w:rPr>
          <w:rFonts w:ascii="Times New Roman" w:hAnsi="Times New Roman"/>
          <w:sz w:val="20"/>
          <w:szCs w:val="20"/>
        </w:rPr>
        <w:t>Okrem vyššie spomenutého po 31.12.20</w:t>
      </w:r>
      <w:r w:rsidR="000017E1">
        <w:rPr>
          <w:rFonts w:ascii="Times New Roman" w:hAnsi="Times New Roman"/>
          <w:sz w:val="20"/>
          <w:szCs w:val="20"/>
        </w:rPr>
        <w:t>24</w:t>
      </w:r>
      <w:r w:rsidR="00321F48">
        <w:rPr>
          <w:rFonts w:ascii="Times New Roman" w:hAnsi="Times New Roman"/>
          <w:sz w:val="20"/>
          <w:szCs w:val="20"/>
        </w:rPr>
        <w:t xml:space="preserve"> </w:t>
      </w:r>
      <w:r w:rsidRPr="000524A8">
        <w:rPr>
          <w:rFonts w:ascii="Times New Roman" w:hAnsi="Times New Roman"/>
          <w:sz w:val="20"/>
          <w:szCs w:val="20"/>
        </w:rPr>
        <w:t xml:space="preserve">nenastali také udalosti, ktoré majú vplyv na verné </w:t>
      </w:r>
      <w:r>
        <w:rPr>
          <w:rFonts w:ascii="Times New Roman" w:hAnsi="Times New Roman"/>
          <w:sz w:val="20"/>
          <w:szCs w:val="20"/>
        </w:rPr>
        <w:t>z</w:t>
      </w:r>
      <w:r w:rsidRPr="000524A8">
        <w:rPr>
          <w:rFonts w:ascii="Times New Roman" w:hAnsi="Times New Roman"/>
          <w:sz w:val="20"/>
          <w:szCs w:val="20"/>
        </w:rPr>
        <w:t>obrazenie skutočností uvádzaných v tejto účtovnej závierke.</w:t>
      </w:r>
    </w:p>
    <w:p w:rsidR="00C92F19" w:rsidRPr="000524A8" w:rsidRDefault="00C92F19" w:rsidP="0065558E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sectPr w:rsidR="00C92F19" w:rsidRPr="000524A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288B" w:rsidRDefault="00C6288B" w:rsidP="001869C8">
      <w:r>
        <w:separator/>
      </w:r>
    </w:p>
  </w:endnote>
  <w:endnote w:type="continuationSeparator" w:id="1">
    <w:p w:rsidR="00C6288B" w:rsidRDefault="00C6288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34083">
    <w:pPr>
      <w:pStyle w:val="Pta"/>
      <w:jc w:val="center"/>
    </w:pPr>
    <w:fldSimple w:instr=" PAGE   \* MERGEFORMAT ">
      <w:r w:rsidR="000017E1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288B" w:rsidRDefault="00C6288B" w:rsidP="001869C8">
      <w:r>
        <w:separator/>
      </w:r>
    </w:p>
  </w:footnote>
  <w:footnote w:type="continuationSeparator" w:id="1">
    <w:p w:rsidR="00C6288B" w:rsidRDefault="00C6288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6"/>
  </w:num>
  <w:num w:numId="5">
    <w:abstractNumId w:val="4"/>
  </w:num>
  <w:num w:numId="6">
    <w:abstractNumId w:val="8"/>
  </w:num>
  <w:num w:numId="7">
    <w:abstractNumId w:val="5"/>
  </w:num>
  <w:num w:numId="8">
    <w:abstractNumId w:val="3"/>
  </w:num>
  <w:num w:numId="9">
    <w:abstractNumId w:val="2"/>
  </w:num>
  <w:num w:numId="10">
    <w:abstractNumId w:val="7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17E1"/>
    <w:rsid w:val="00014BBA"/>
    <w:rsid w:val="0002184E"/>
    <w:rsid w:val="00033903"/>
    <w:rsid w:val="000363E9"/>
    <w:rsid w:val="00040568"/>
    <w:rsid w:val="000524A8"/>
    <w:rsid w:val="000549FD"/>
    <w:rsid w:val="00057ACB"/>
    <w:rsid w:val="00061DBD"/>
    <w:rsid w:val="00065EAA"/>
    <w:rsid w:val="00073DFA"/>
    <w:rsid w:val="000750CC"/>
    <w:rsid w:val="000863E3"/>
    <w:rsid w:val="00091325"/>
    <w:rsid w:val="00091F5F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6FA8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5EF4"/>
    <w:rsid w:val="00176DB6"/>
    <w:rsid w:val="00180E8F"/>
    <w:rsid w:val="001869C8"/>
    <w:rsid w:val="00196E9D"/>
    <w:rsid w:val="00197F6B"/>
    <w:rsid w:val="001B23AC"/>
    <w:rsid w:val="001B3754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1567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1018B"/>
    <w:rsid w:val="00320CAB"/>
    <w:rsid w:val="003213EC"/>
    <w:rsid w:val="00321F48"/>
    <w:rsid w:val="00330E0A"/>
    <w:rsid w:val="00330FFB"/>
    <w:rsid w:val="003313DA"/>
    <w:rsid w:val="00334083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43166"/>
    <w:rsid w:val="0065558E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31A0"/>
    <w:rsid w:val="00703C30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10A"/>
    <w:rsid w:val="008239E1"/>
    <w:rsid w:val="00825A52"/>
    <w:rsid w:val="008319B3"/>
    <w:rsid w:val="00833C92"/>
    <w:rsid w:val="00842A60"/>
    <w:rsid w:val="00850F45"/>
    <w:rsid w:val="00855DDD"/>
    <w:rsid w:val="00862911"/>
    <w:rsid w:val="0086313E"/>
    <w:rsid w:val="00870CEE"/>
    <w:rsid w:val="008719EE"/>
    <w:rsid w:val="00872349"/>
    <w:rsid w:val="008904A0"/>
    <w:rsid w:val="00896942"/>
    <w:rsid w:val="008A144B"/>
    <w:rsid w:val="008A57E1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4545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AF7569"/>
    <w:rsid w:val="00B01A1E"/>
    <w:rsid w:val="00B0336F"/>
    <w:rsid w:val="00B06868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133B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D7B1C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0102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288B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F19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3CC7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7B69"/>
    <w:rsid w:val="00E6578B"/>
    <w:rsid w:val="00E92E55"/>
    <w:rsid w:val="00E9535E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7021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946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334E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2F19"/>
    <w:rPr>
      <w:sz w:val="24"/>
      <w:szCs w:val="24"/>
    </w:rPr>
  </w:style>
  <w:style w:type="paragraph" w:styleId="Nadpis1">
    <w:name w:val="heading 1"/>
    <w:next w:val="Nadpis2"/>
    <w:link w:val="Nadpis1Char"/>
    <w:qFormat/>
    <w:rsid w:val="00703C3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qFormat/>
    <w:rsid w:val="00703C3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03C3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03C3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03C3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03C3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paragraph" w:styleId="Nadpis7">
    <w:name w:val="heading 7"/>
    <w:basedOn w:val="Normlny"/>
    <w:next w:val="Normlny"/>
    <w:link w:val="Nadpis7Char"/>
    <w:qFormat/>
    <w:rsid w:val="00F62946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lang w:eastAsia="en-US"/>
    </w:rPr>
  </w:style>
  <w:style w:type="paragraph" w:styleId="Nadpis8">
    <w:name w:val="heading 8"/>
    <w:basedOn w:val="Normlny"/>
    <w:next w:val="Normlny"/>
    <w:link w:val="Nadpis8Char"/>
    <w:qFormat/>
    <w:rsid w:val="00F62946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qFormat/>
    <w:rsid w:val="00F62946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703C3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03C30"/>
    <w:rPr>
      <w:sz w:val="20"/>
      <w:szCs w:val="20"/>
    </w:rPr>
  </w:style>
  <w:style w:type="character" w:styleId="Odkaznapoznmkupodiarou">
    <w:name w:val="footnote reference"/>
    <w:semiHidden/>
    <w:rsid w:val="00703C3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03C30"/>
  </w:style>
  <w:style w:type="paragraph" w:styleId="Zkladntext0">
    <w:name w:val="Body Text"/>
    <w:basedOn w:val="Normlny"/>
    <w:semiHidden/>
    <w:rsid w:val="00703C3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03C30"/>
    <w:pPr>
      <w:jc w:val="both"/>
    </w:pPr>
  </w:style>
  <w:style w:type="paragraph" w:styleId="Zarkazkladnhotextu">
    <w:name w:val="Body Text Indent"/>
    <w:basedOn w:val="Normlny"/>
    <w:semiHidden/>
    <w:rsid w:val="00703C3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03C30"/>
    <w:pPr>
      <w:ind w:firstLine="360"/>
    </w:pPr>
  </w:style>
  <w:style w:type="paragraph" w:styleId="Zkladntext3">
    <w:name w:val="Body Text 3"/>
    <w:basedOn w:val="Normlny"/>
    <w:semiHidden/>
    <w:rsid w:val="00703C3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03C3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03C3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03C3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adpis7Char">
    <w:name w:val="Nadpis 7 Char"/>
    <w:basedOn w:val="Predvolenpsmoodseku"/>
    <w:link w:val="Nadpis7"/>
    <w:rsid w:val="00F62946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F62946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F62946"/>
    <w:rPr>
      <w:rFonts w:ascii="Verdana" w:hAnsi="Verdana" w:cs="Arial"/>
      <w:sz w:val="17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334E"/>
    <w:rPr>
      <w:rFonts w:ascii="Calibri" w:eastAsia="Calibri" w:hAnsi="Calibri"/>
      <w:sz w:val="22"/>
      <w:szCs w:val="21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334E"/>
    <w:rPr>
      <w:rFonts w:ascii="Calibri" w:eastAsia="Calibri" w:hAnsi="Calibri" w:cs="Times New Roman"/>
      <w:sz w:val="22"/>
      <w:szCs w:val="21"/>
      <w:lang w:eastAsia="en-US"/>
    </w:rPr>
  </w:style>
  <w:style w:type="character" w:customStyle="1" w:styleId="Nadpis1Char">
    <w:name w:val="Nadpis 1 Char"/>
    <w:basedOn w:val="Predvolenpsmoodseku"/>
    <w:link w:val="Nadpis1"/>
    <w:rsid w:val="00C92F19"/>
    <w:rPr>
      <w:rFonts w:cs="Arial"/>
      <w:b/>
      <w:bCs/>
      <w:kern w:val="32"/>
      <w:sz w:val="24"/>
      <w:szCs w:val="32"/>
      <w:lang w:val="sk-SK" w:eastAsia="sk-SK" w:bidi="ar-SA"/>
    </w:rPr>
  </w:style>
  <w:style w:type="character" w:customStyle="1" w:styleId="Nadpis2Char">
    <w:name w:val="Nadpis 2 Char"/>
    <w:basedOn w:val="Predvolenpsmoodseku"/>
    <w:link w:val="Nadpis2"/>
    <w:rsid w:val="00C92F19"/>
    <w:rPr>
      <w:b/>
      <w:sz w:val="24"/>
      <w:szCs w:val="24"/>
    </w:rPr>
  </w:style>
  <w:style w:type="character" w:styleId="Odkaznakomentr">
    <w:name w:val="annotation reference"/>
    <w:semiHidden/>
    <w:rsid w:val="000524A8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0524A8"/>
    <w:pPr>
      <w:jc w:val="both"/>
    </w:pPr>
    <w:rPr>
      <w:rFonts w:ascii="Verdana" w:hAnsi="Verdana"/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semiHidden/>
    <w:rsid w:val="000524A8"/>
    <w:rPr>
      <w:rFonts w:ascii="Verdana" w:hAnsi="Verdana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B6FB51-5D56-4ED9-ABD7-CA9666C89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965</Words>
  <Characters>5505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6458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Magda</cp:lastModifiedBy>
  <cp:revision>8</cp:revision>
  <cp:lastPrinted>2016-12-18T15:02:00Z</cp:lastPrinted>
  <dcterms:created xsi:type="dcterms:W3CDTF">2022-06-30T10:37:00Z</dcterms:created>
  <dcterms:modified xsi:type="dcterms:W3CDTF">2025-06-29T18:44:00Z</dcterms:modified>
</cp:coreProperties>
</file>