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007CED">
        <w:rPr>
          <w:rFonts w:ascii="Arial Narrow" w:hAnsi="Arial Narrow"/>
          <w:b/>
        </w:rPr>
        <w:t>2024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E97900" w:rsidRPr="00755848" w:rsidRDefault="00E97900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 xml:space="preserve">v znení Opatrenia č.MF/19927/2015-74 (FS č.12/2015)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C361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RENAD-STAV,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A0EDC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925 03 Horné Saliby č. 604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9A38E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01.01.1992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8A0EDC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Stavebná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A0EDC">
              <w:rPr>
                <w:rFonts w:ascii="Arial Narrow" w:hAnsi="Arial Narrow" w:cs="Arial Narrow"/>
                <w:sz w:val="22"/>
                <w:szCs w:val="22"/>
              </w:rPr>
              <w:t>RENAD-STAV</w:t>
            </w:r>
            <w:r w:rsidR="009A38E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F46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</w:t>
            </w:r>
            <w:r w:rsidR="007E01B6">
              <w:rPr>
                <w:rFonts w:ascii="Arial Narrow" w:hAnsi="Arial Narrow" w:cs="Arial Narrow"/>
                <w:sz w:val="22"/>
                <w:szCs w:val="22"/>
              </w:rPr>
              <w:t>rny rok 202</w:t>
            </w:r>
            <w:r w:rsidR="00330CB9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A496B" w:rsidP="00330CB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1.441.692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07C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1.435.908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07CED" w:rsidP="009D403F">
            <w:pPr>
              <w:tabs>
                <w:tab w:val="center" w:pos="1309"/>
              </w:tabs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1.427751,26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07CED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342728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CA496B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330CB9" w:rsidP="00C4415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B0B29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</w:t>
      </w:r>
      <w:r w:rsidR="00E97900">
        <w:rPr>
          <w:rFonts w:ascii="Arial Narrow" w:hAnsi="Arial Narrow"/>
          <w:sz w:val="22"/>
          <w:szCs w:val="22"/>
        </w:rPr>
        <w:t xml:space="preserve"> v znení neskorších predpisov</w:t>
      </w:r>
      <w:r w:rsidR="00396C6C" w:rsidRPr="00755848">
        <w:rPr>
          <w:rFonts w:ascii="Arial Narrow" w:hAnsi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CA496B">
        <w:rPr>
          <w:rFonts w:ascii="Arial Narrow" w:hAnsi="Arial Narrow" w:cs="Arial Narrow"/>
          <w:sz w:val="22"/>
          <w:szCs w:val="22"/>
        </w:rPr>
        <w:t xml:space="preserve"> 27.06.2025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AB0B29">
        <w:rPr>
          <w:rFonts w:ascii="Arial Narrow" w:hAnsi="Arial Narrow" w:cs="Arial Narrow"/>
          <w:sz w:val="22"/>
          <w:szCs w:val="22"/>
        </w:rPr>
        <w:t xml:space="preserve"> koniec účtovného obdobia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F463BD">
        <w:rPr>
          <w:rFonts w:ascii="Arial Narrow" w:hAnsi="Arial Narrow" w:cs="Arial Narrow"/>
          <w:bCs/>
          <w:sz w:val="22"/>
          <w:szCs w:val="22"/>
        </w:rPr>
        <w:t xml:space="preserve"> neaktuálne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755848">
        <w:rPr>
          <w:rFonts w:ascii="Arial Narrow" w:hAnsi="Arial Narrow" w:cs="Arial Narrow"/>
          <w:sz w:val="22"/>
          <w:szCs w:val="22"/>
        </w:rPr>
        <w:t>účt</w:t>
      </w:r>
      <w:r w:rsidRPr="00755848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755848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755848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755848">
        <w:rPr>
          <w:rFonts w:ascii="Arial Narrow" w:hAnsi="Arial Narrow" w:cs="Arial Narrow"/>
          <w:sz w:val="22"/>
          <w:szCs w:val="22"/>
        </w:rPr>
        <w:t>)</w:t>
      </w:r>
      <w:r w:rsidR="00EA33CE" w:rsidRPr="00755848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755848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755848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d) Údaj, či </w:t>
      </w:r>
      <w:r w:rsidR="0067616D" w:rsidRPr="00755848">
        <w:rPr>
          <w:rFonts w:ascii="Arial Narrow" w:hAnsi="Arial Narrow" w:cs="Arial Narrow"/>
          <w:sz w:val="22"/>
          <w:szCs w:val="22"/>
        </w:rPr>
        <w:t>účtovná jednotka j</w:t>
      </w:r>
      <w:r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o účtovníctve</w:t>
      </w:r>
      <w:r w:rsidRPr="00755848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755848">
        <w:rPr>
          <w:rFonts w:ascii="Arial Narrow" w:hAnsi="Arial Narrow" w:cs="Arial Narrow"/>
          <w:sz w:val="22"/>
          <w:szCs w:val="22"/>
        </w:rPr>
        <w:t>jú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755848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755848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755848">
        <w:rPr>
          <w:rFonts w:ascii="Arial Narrow" w:hAnsi="Arial Narrow" w:cs="Arial Narrow"/>
          <w:sz w:val="22"/>
          <w:szCs w:val="22"/>
        </w:rPr>
        <w:t>IFRS</w:t>
      </w:r>
      <w:r w:rsidR="0067616D" w:rsidRPr="00755848">
        <w:rPr>
          <w:rFonts w:ascii="Arial Narrow" w:hAnsi="Arial Narrow" w:cs="Arial Narrow"/>
          <w:sz w:val="22"/>
          <w:szCs w:val="22"/>
        </w:rPr>
        <w:t>/EÚ):</w:t>
      </w: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755848">
        <w:rPr>
          <w:rFonts w:ascii="Arial Narrow" w:hAnsi="Arial Narrow" w:cs="Arial Narrow"/>
          <w:sz w:val="22"/>
          <w:szCs w:val="22"/>
        </w:rPr>
        <w:t>p</w:t>
      </w:r>
      <w:r w:rsidRPr="00755848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755848">
        <w:rPr>
          <w:rFonts w:ascii="Arial Narrow" w:hAnsi="Arial Narrow" w:cs="Arial Narrow"/>
          <w:sz w:val="22"/>
          <w:szCs w:val="22"/>
        </w:rPr>
        <w:t>0 a 1</w:t>
      </w:r>
      <w:r w:rsidRPr="00755848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755848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F463B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A496B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330C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330CB9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  <w:bookmarkStart w:id="0" w:name="_GoBack"/>
        <w:bookmarkEnd w:id="0"/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6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Konateľ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EF4F08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755848">
        <w:rPr>
          <w:rFonts w:ascii="Arial Narrow" w:hAnsi="Arial Narrow" w:cs="Arial Narrow"/>
          <w:sz w:val="22"/>
          <w:szCs w:val="22"/>
        </w:rPr>
        <w:t>d</w:t>
      </w:r>
      <w:r w:rsidRPr="00755848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755848">
        <w:rPr>
          <w:rFonts w:ascii="Arial Narrow" w:hAnsi="Arial Narrow" w:cs="Arial Narrow"/>
          <w:sz w:val="22"/>
          <w:szCs w:val="22"/>
        </w:rPr>
        <w:t xml:space="preserve">dlhodobých </w:t>
      </w:r>
      <w:r w:rsidRPr="00755848">
        <w:rPr>
          <w:rFonts w:ascii="Arial Narrow" w:hAnsi="Arial Narrow" w:cs="Arial Narrow"/>
          <w:sz w:val="22"/>
          <w:szCs w:val="22"/>
        </w:rPr>
        <w:t>rezerv):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330CB9">
        <w:rPr>
          <w:rFonts w:ascii="Arial Narrow" w:hAnsi="Arial Narrow" w:cs="Arial Narrow"/>
          <w:sz w:val="22"/>
          <w:szCs w:val="22"/>
        </w:rPr>
        <w:t>bude pokračovať</w:t>
      </w:r>
    </w:p>
    <w:p w:rsidR="00235630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755848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755848">
        <w:rPr>
          <w:rFonts w:ascii="Arial Narrow" w:hAnsi="Arial Narrow" w:cs="Arial Narrow"/>
          <w:sz w:val="22"/>
          <w:szCs w:val="22"/>
        </w:rPr>
        <w:t>účtovných metód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  <w:r w:rsidRPr="00755848">
        <w:rPr>
          <w:rFonts w:ascii="Arial Narrow" w:hAnsi="Arial Narrow" w:cs="Arial Narrow"/>
          <w:sz w:val="22"/>
          <w:szCs w:val="22"/>
        </w:rPr>
        <w:t xml:space="preserve">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755848"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330CB9">
        <w:rPr>
          <w:rFonts w:ascii="Arial Narrow" w:hAnsi="Arial Narrow" w:cs="Arial Narrow"/>
          <w:sz w:val="22"/>
          <w:szCs w:val="22"/>
        </w:rPr>
        <w:t xml:space="preserve"> bez zmien</w:t>
      </w:r>
    </w:p>
    <w:p w:rsidR="00755E77" w:rsidRPr="00755848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755848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lastRenderedPageBreak/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9C61DF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="009C61DF"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FA612D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eálna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9C61DF" w:rsidRPr="00755848" w:rsidTr="00433587">
        <w:tc>
          <w:tcPr>
            <w:tcW w:w="706" w:type="dxa"/>
            <w:shd w:val="clear" w:color="auto" w:fill="auto"/>
          </w:tcPr>
          <w:p w:rsidR="009C61DF" w:rsidRPr="00755848" w:rsidRDefault="009C61DF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20.</w:t>
            </w:r>
          </w:p>
        </w:tc>
        <w:tc>
          <w:tcPr>
            <w:tcW w:w="5300" w:type="dxa"/>
            <w:shd w:val="clear" w:color="auto" w:fill="auto"/>
          </w:tcPr>
          <w:p w:rsidR="009C61DF" w:rsidRPr="00755848" w:rsidRDefault="009C61DF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9C61DF" w:rsidRPr="00755848" w:rsidRDefault="009C61DF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AB0B29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AB0B29">
        <w:rPr>
          <w:rFonts w:ascii="Arial Narrow" w:hAnsi="Arial Narrow" w:cs="Arial Narrow"/>
          <w:b w:val="0"/>
          <w:bCs w:val="0"/>
          <w:sz w:val="22"/>
          <w:szCs w:val="22"/>
        </w:rPr>
        <w:t xml:space="preserve"> účtovné a daňové odpisy sa rovnajú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4"/>
        <w:gridCol w:w="2088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</w:t>
            </w:r>
            <w:r w:rsidR="00F463BD">
              <w:rPr>
                <w:rFonts w:ascii="Arial Narrow" w:hAnsi="Arial Narrow" w:cs="Arial"/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F463BD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</w:p>
        </w:tc>
      </w:tr>
    </w:tbl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755848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 xml:space="preserve">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42-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nevýznamné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AB0B29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5*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755848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755848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Významné o</w:t>
      </w:r>
      <w:r w:rsidR="00F836A0" w:rsidRPr="00755848">
        <w:rPr>
          <w:rFonts w:ascii="Arial Narrow" w:hAnsi="Arial Narrow" w:cs="Arial Narrow"/>
          <w:sz w:val="22"/>
          <w:szCs w:val="22"/>
        </w:rPr>
        <w:t>pravy</w:t>
      </w:r>
      <w:r w:rsidRPr="00755848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755848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Pri ukladaní pokuty za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nesprávnosti v </w:t>
      </w:r>
      <w:r w:rsidRPr="00755848">
        <w:rPr>
          <w:rFonts w:ascii="Arial Narrow" w:hAnsi="Arial Narrow" w:cs="Arial Narrow"/>
          <w:sz w:val="22"/>
          <w:szCs w:val="22"/>
        </w:rPr>
        <w:t>účtovníctv</w:t>
      </w:r>
      <w:r w:rsidR="004C30CE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755848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755848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755848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 w:rsidRPr="00755848">
        <w:rPr>
          <w:rFonts w:ascii="Arial Narrow" w:hAnsi="Arial Narrow" w:cs="Arial Narrow"/>
          <w:sz w:val="22"/>
          <w:szCs w:val="22"/>
        </w:rPr>
        <w:t xml:space="preserve"> a</w:t>
      </w:r>
      <w:r w:rsidR="00350E31" w:rsidRPr="00755848">
        <w:rPr>
          <w:rFonts w:ascii="Arial Narrow" w:hAnsi="Arial Narrow" w:cs="Arial Narrow"/>
          <w:sz w:val="22"/>
          <w:szCs w:val="22"/>
        </w:rPr>
        <w:t xml:space="preserve"> pravidiel </w:t>
      </w:r>
      <w:r w:rsidR="004C30CE" w:rsidRPr="00755848">
        <w:rPr>
          <w:rFonts w:ascii="Arial Narrow" w:hAnsi="Arial Narrow" w:cs="Arial Narrow"/>
          <w:sz w:val="22"/>
          <w:szCs w:val="22"/>
        </w:rPr>
        <w:t>v daňovom poriadku (§ 16)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Záporný goodwill sa účtovne odpíše do výnosov (075/551) jednorázovo v roku jeho vzniku (§ 37 PU). Daňovo sa goodwill z podnikových kombinácií spravidla odpisuje najdlhšie počas 7 rokov podľa pravidiel v zákone o dani z príjmov (§ 17/11; § 17a - 17e ZDP)]</w:t>
      </w:r>
    </w:p>
    <w:p w:rsidR="00117E62" w:rsidRPr="00755848" w:rsidRDefault="00117E6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037969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0810" w:rsidRPr="00755848" w:rsidRDefault="00037969" w:rsidP="00610810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</w:t>
      </w:r>
      <w:r w:rsidR="00610810" w:rsidRPr="00755848">
        <w:rPr>
          <w:rFonts w:ascii="Arial Narrow" w:hAnsi="Arial Narrow" w:cs="Arial Narrow"/>
          <w:sz w:val="22"/>
          <w:szCs w:val="22"/>
        </w:rPr>
        <w:t>ri</w:t>
      </w:r>
      <w:r w:rsidRPr="00755848">
        <w:rPr>
          <w:rFonts w:ascii="Arial Narrow" w:hAnsi="Arial Narrow" w:cs="Arial Narrow"/>
          <w:sz w:val="22"/>
          <w:szCs w:val="22"/>
        </w:rPr>
        <w:t xml:space="preserve">tom sa </w:t>
      </w:r>
      <w:r w:rsidR="00610810" w:rsidRPr="00755848">
        <w:rPr>
          <w:rFonts w:ascii="Arial Narrow" w:hAnsi="Arial Narrow" w:cs="Arial Narrow"/>
          <w:sz w:val="22"/>
          <w:szCs w:val="22"/>
        </w:rPr>
        <w:t>uvádza forma tohto zabezpečenia a uvádza sa zmena reálnej hodnoty v priebehu účtovného obdobia</w:t>
      </w:r>
      <w:r w:rsidRPr="00755848">
        <w:rPr>
          <w:rFonts w:ascii="Arial Narrow" w:hAnsi="Arial Narrow" w:cs="Arial Narrow"/>
          <w:sz w:val="22"/>
          <w:szCs w:val="22"/>
        </w:rPr>
        <w:t xml:space="preserve"> (§ 27 ZoU)</w:t>
      </w:r>
      <w:r w:rsidR="003408EA" w:rsidRPr="00755848">
        <w:rPr>
          <w:rFonts w:ascii="Arial Narrow" w:hAnsi="Arial Narrow" w:cs="Arial Narrow"/>
          <w:sz w:val="22"/>
          <w:szCs w:val="22"/>
        </w:rPr>
        <w:t>. Pre každý druh derivátov sa uvádza informácia o rozsahu a povahe týchto derivátov vrátane významných podmienok, ktoré môžu ovplyvniť sumu, načasovanie a mieru istoty budúcich peňažných tokov a 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v tabuľkovej forme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informácia zobrazujúca pohyby v oceňovacích rozdieloch </w:t>
      </w:r>
      <w:r w:rsidR="003408EA" w:rsidRPr="00755848">
        <w:rPr>
          <w:rFonts w:ascii="Arial Narrow" w:hAnsi="Arial Narrow" w:cs="Arial Narrow"/>
          <w:sz w:val="22"/>
          <w:szCs w:val="22"/>
          <w:u w:val="single"/>
        </w:rPr>
        <w:t>z ocenenia reálnou hodnotou</w:t>
      </w:r>
      <w:r w:rsidR="003408EA" w:rsidRPr="00755848">
        <w:rPr>
          <w:rFonts w:ascii="Arial Narrow" w:hAnsi="Arial Narrow" w:cs="Arial Narrow"/>
          <w:sz w:val="22"/>
          <w:szCs w:val="22"/>
        </w:rPr>
        <w:t xml:space="preserve"> počas účtovného obdobia.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69"/>
        <w:gridCol w:w="1109"/>
        <w:gridCol w:w="1109"/>
        <w:gridCol w:w="1801"/>
        <w:gridCol w:w="1794"/>
      </w:tblGrid>
      <w:tr w:rsidR="00764219" w:rsidRPr="00755848" w:rsidTr="00764219">
        <w:trPr>
          <w:trHeight w:val="153"/>
        </w:trPr>
        <w:tc>
          <w:tcPr>
            <w:tcW w:w="1902" w:type="pct"/>
            <w:shd w:val="clear" w:color="auto" w:fill="auto"/>
          </w:tcPr>
          <w:p w:rsidR="00037969" w:rsidRPr="00755848" w:rsidRDefault="00037969" w:rsidP="0048469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Názov položky</w:t>
            </w:r>
            <w:r w:rsidR="00764219"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derivátov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Vplyv na imanie</w:t>
            </w:r>
          </w:p>
        </w:tc>
      </w:tr>
      <w:tr w:rsidR="00764219" w:rsidRPr="00755848" w:rsidTr="00764219">
        <w:trPr>
          <w:trHeight w:val="62"/>
        </w:trPr>
        <w:tc>
          <w:tcPr>
            <w:tcW w:w="1902" w:type="pct"/>
            <w:shd w:val="clear" w:color="auto" w:fill="auto"/>
          </w:tcPr>
          <w:p w:rsidR="00037969" w:rsidRPr="00755848" w:rsidRDefault="00AB0B2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64219" w:rsidRPr="00755848" w:rsidTr="00764219">
        <w:trPr>
          <w:trHeight w:val="109"/>
        </w:trPr>
        <w:tc>
          <w:tcPr>
            <w:tcW w:w="1902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91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60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57" w:type="pct"/>
            <w:shd w:val="clear" w:color="auto" w:fill="auto"/>
          </w:tcPr>
          <w:p w:rsidR="00037969" w:rsidRPr="00755848" w:rsidRDefault="00037969" w:rsidP="0004086F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84695" w:rsidRPr="00755848" w:rsidRDefault="00484695" w:rsidP="00484695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755848">
        <w:rPr>
          <w:rFonts w:ascii="Arial Narrow" w:hAnsi="Arial Narrow" w:cs="Arial Narrow"/>
          <w:sz w:val="22"/>
          <w:szCs w:val="22"/>
        </w:rPr>
        <w:t>: Prvotné ocenenie reálnou hodnotou (§ 25 ZoU) počas účtovného obdobia – bez náplne.</w:t>
      </w:r>
    </w:p>
    <w:p w:rsidR="00484695" w:rsidRPr="00755848" w:rsidRDefault="00620893" w:rsidP="0048469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– sa k závierkovému dňu oceňuj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ú, okrem iného, aj deriváty a majetok a záväzky zabezpečené derivátmi </w:t>
      </w:r>
      <w:r w:rsidR="00484695" w:rsidRPr="00755848">
        <w:rPr>
          <w:rFonts w:ascii="Arial Narrow" w:hAnsi="Arial Narrow" w:cs="Arial Narrow"/>
          <w:sz w:val="22"/>
          <w:szCs w:val="22"/>
        </w:rPr>
        <w:t>(§ 27/1</w:t>
      </w:r>
      <w:r w:rsidR="00764219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484695" w:rsidRPr="00755848">
        <w:rPr>
          <w:rFonts w:ascii="Arial Narrow" w:hAnsi="Arial Narrow" w:cs="Arial Narrow"/>
          <w:sz w:val="22"/>
          <w:szCs w:val="22"/>
        </w:rPr>
        <w:t>ZoU)</w:t>
      </w:r>
      <w:r w:rsidRPr="00755848">
        <w:rPr>
          <w:rFonts w:ascii="Arial Narrow" w:hAnsi="Arial Narrow" w:cs="Arial Narrow"/>
          <w:sz w:val="22"/>
          <w:szCs w:val="22"/>
        </w:rPr>
        <w:t>; p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recenenie </w:t>
      </w:r>
      <w:r w:rsidRPr="00755848">
        <w:rPr>
          <w:rFonts w:ascii="Arial Narrow" w:hAnsi="Arial Narrow" w:cs="Arial Narrow"/>
          <w:sz w:val="22"/>
          <w:szCs w:val="22"/>
        </w:rPr>
        <w:t xml:space="preserve">na reálnu hodnotu </w:t>
      </w:r>
      <w:r w:rsidR="00484695" w:rsidRPr="00755848">
        <w:rPr>
          <w:rFonts w:ascii="Arial Narrow" w:hAnsi="Arial Narrow" w:cs="Arial Narrow"/>
          <w:sz w:val="22"/>
          <w:szCs w:val="22"/>
        </w:rPr>
        <w:t>k závierkovému dňu sa účtuje (§ 1</w:t>
      </w:r>
      <w:r w:rsidR="00037969" w:rsidRPr="00755848">
        <w:rPr>
          <w:rFonts w:ascii="Arial Narrow" w:hAnsi="Arial Narrow" w:cs="Arial Narrow"/>
          <w:sz w:val="22"/>
          <w:szCs w:val="22"/>
        </w:rPr>
        <w:t>6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 PU) - výsledkovo (účty 56x</w:t>
      </w:r>
      <w:r w:rsidR="00037969" w:rsidRPr="00755848">
        <w:rPr>
          <w:rFonts w:ascii="Arial Narrow" w:hAnsi="Arial Narrow" w:cs="Arial Narrow"/>
          <w:sz w:val="22"/>
          <w:szCs w:val="22"/>
        </w:rPr>
        <w:t>, 66x</w:t>
      </w:r>
      <w:r w:rsidR="00484695" w:rsidRPr="00755848">
        <w:rPr>
          <w:rFonts w:ascii="Arial Narrow" w:hAnsi="Arial Narrow" w:cs="Arial Narrow"/>
          <w:sz w:val="22"/>
          <w:szCs w:val="22"/>
        </w:rPr>
        <w:t xml:space="preserve">) alebo </w:t>
      </w:r>
      <w:r w:rsidR="00037969" w:rsidRPr="00755848">
        <w:rPr>
          <w:rFonts w:ascii="Arial Narrow" w:hAnsi="Arial Narrow" w:cs="Arial Narrow"/>
          <w:sz w:val="22"/>
          <w:szCs w:val="22"/>
        </w:rPr>
        <w:t xml:space="preserve">súvahovo </w:t>
      </w:r>
      <w:r w:rsidR="00484695" w:rsidRPr="00755848">
        <w:rPr>
          <w:rFonts w:ascii="Arial Narrow" w:hAnsi="Arial Narrow" w:cs="Arial Narrow"/>
          <w:sz w:val="22"/>
          <w:szCs w:val="22"/>
        </w:rPr>
        <w:t>(účet 414)</w:t>
      </w:r>
      <w:r w:rsidRPr="00755848">
        <w:rPr>
          <w:rFonts w:ascii="Arial Narrow" w:hAnsi="Arial Narrow" w:cs="Arial Narrow"/>
          <w:sz w:val="22"/>
          <w:szCs w:val="22"/>
        </w:rPr>
        <w:t>]</w:t>
      </w:r>
      <w:r w:rsidR="00484695" w:rsidRPr="00755848">
        <w:rPr>
          <w:rFonts w:ascii="Arial Narrow" w:hAnsi="Arial Narrow" w:cs="Arial Narrow"/>
          <w:sz w:val="22"/>
          <w:szCs w:val="22"/>
        </w:rPr>
        <w:t>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lastRenderedPageBreak/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23" w:type="pct"/>
            <w:vAlign w:val="center"/>
          </w:tcPr>
          <w:p w:rsidR="00620893" w:rsidRPr="00755848" w:rsidRDefault="00AB0B29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8"/>
        <w:gridCol w:w="2787"/>
        <w:gridCol w:w="2373"/>
      </w:tblGrid>
      <w:tr w:rsidR="00620893" w:rsidRPr="00755848" w:rsidTr="00446B45">
        <w:trPr>
          <w:jc w:val="center"/>
        </w:trPr>
        <w:tc>
          <w:tcPr>
            <w:tcW w:w="4201" w:type="dxa"/>
            <w:vMerge w:val="restart"/>
            <w:vAlign w:val="center"/>
          </w:tcPr>
          <w:p w:rsidR="00620893" w:rsidRPr="00755848" w:rsidRDefault="00F60A13" w:rsidP="00F60A13">
            <w:pPr>
              <w:pStyle w:val="TopHeader"/>
            </w:pPr>
            <w:r w:rsidRPr="00755848">
              <w:t xml:space="preserve">Zabezpečené </w:t>
            </w:r>
            <w:r w:rsidR="00620893" w:rsidRPr="00755848">
              <w:t>záväzk</w:t>
            </w:r>
            <w:r w:rsidRPr="00755848">
              <w:t>y</w:t>
            </w:r>
          </w:p>
        </w:tc>
        <w:tc>
          <w:tcPr>
            <w:tcW w:w="5010" w:type="dxa"/>
            <w:gridSpan w:val="2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</w:tr>
      <w:tr w:rsidR="00620893" w:rsidRPr="00755848" w:rsidTr="00446B45">
        <w:trPr>
          <w:jc w:val="center"/>
        </w:trPr>
        <w:tc>
          <w:tcPr>
            <w:tcW w:w="4201" w:type="dxa"/>
            <w:vMerge/>
            <w:vAlign w:val="center"/>
          </w:tcPr>
          <w:p w:rsidR="00620893" w:rsidRPr="00755848" w:rsidRDefault="00620893" w:rsidP="00446B45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620893" w:rsidRPr="00755848" w:rsidRDefault="00F60A13" w:rsidP="00446B45">
            <w:pPr>
              <w:pStyle w:val="TopHeader"/>
            </w:pPr>
            <w:r w:rsidRPr="00755848">
              <w:t xml:space="preserve">Spôsob </w:t>
            </w:r>
          </w:p>
          <w:p w:rsidR="00620893" w:rsidRPr="00755848" w:rsidRDefault="00620893" w:rsidP="00446B45">
            <w:pPr>
              <w:pStyle w:val="TopHeader"/>
            </w:pPr>
            <w:r w:rsidRPr="00755848">
              <w:t>zabezpečenia</w:t>
            </w:r>
          </w:p>
        </w:tc>
        <w:tc>
          <w:tcPr>
            <w:tcW w:w="2304" w:type="dxa"/>
            <w:vAlign w:val="center"/>
          </w:tcPr>
          <w:p w:rsidR="00620893" w:rsidRPr="00755848" w:rsidRDefault="00620893" w:rsidP="00446B45">
            <w:pPr>
              <w:pStyle w:val="TopHeader"/>
            </w:pPr>
            <w:r w:rsidRPr="00755848">
              <w:t>Hodnota záväzkov</w:t>
            </w:r>
          </w:p>
        </w:tc>
      </w:tr>
      <w:tr w:rsidR="00620893" w:rsidRPr="00755848" w:rsidTr="00446B45">
        <w:trPr>
          <w:trHeight w:val="69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446B4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F60A1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62089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620893" w:rsidRPr="00755848" w:rsidRDefault="00620893" w:rsidP="00F60A1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706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304" w:type="dxa"/>
            <w:vAlign w:val="center"/>
          </w:tcPr>
          <w:p w:rsidR="0062089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F60A13" w:rsidRPr="00755848" w:rsidTr="00446B45">
        <w:trPr>
          <w:trHeight w:val="117"/>
          <w:jc w:val="center"/>
        </w:trPr>
        <w:tc>
          <w:tcPr>
            <w:tcW w:w="4201" w:type="dxa"/>
            <w:vAlign w:val="center"/>
          </w:tcPr>
          <w:p w:rsidR="00F60A13" w:rsidRPr="00755848" w:rsidRDefault="00F60A13" w:rsidP="00F60A13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706" w:type="dxa"/>
            <w:vAlign w:val="center"/>
          </w:tcPr>
          <w:p w:rsidR="00F60A13" w:rsidRPr="00755848" w:rsidRDefault="00F60A13" w:rsidP="00446B45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F60A13" w:rsidRPr="00755848" w:rsidRDefault="00AB0B29" w:rsidP="00446B45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dôvod nadobudnutia vlastných akcií počas účtovného obdobia: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b1) počet a menovitá hodnota nadobudnutých vlastných akcií počas účtovného obdobia a počet a menovitá hodnota prevedených vlastných akcií počas účtovného obdobia, pričom sa uvádza percentuálna hodnota týchto vlastných akcií na upísanom základnom imaní:</w:t>
      </w: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b2) počet a protihodnota, za ktorú sa vlastné akcie počas účtovného obdobia nadobudli a počet a protihodnota, za ktorú sa vlastné akcie počas účtovného obdobia previedli na inú osobu:</w:t>
      </w:r>
    </w:p>
    <w:p w:rsidR="00117E62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c) počet, menovitá hodnota a protihodnota, za ktorú sa vlastné akcie nadobudli a ktoré účtovná jednotka má v držbe k poslednému dňu účtovného obdobia; uvádza sa aj ich percentuálny podiel na upísanom základnom imaní:</w:t>
      </w: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755848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1357F4" w:rsidRPr="00755848" w:rsidRDefault="001357F4" w:rsidP="001357F4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1357F4" w:rsidRPr="00755848" w:rsidRDefault="001357F4" w:rsidP="001357F4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137CDE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AB0B29"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E97900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  <w:tc>
          <w:tcPr>
            <w:tcW w:w="1593" w:type="dxa"/>
            <w:noWrap/>
            <w:vAlign w:val="center"/>
          </w:tcPr>
          <w:p w:rsidR="001357F4" w:rsidRPr="00755848" w:rsidRDefault="00AB0B29" w:rsidP="00F5015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0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521298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dôsledk</w:t>
      </w:r>
      <w:r>
        <w:rPr>
          <w:rFonts w:ascii="Arial Narrow" w:hAnsi="Arial Narrow" w:cs="Arial Narrow"/>
          <w:sz w:val="22"/>
          <w:szCs w:val="22"/>
        </w:rPr>
        <w:t xml:space="preserve">u udalostí, </w:t>
      </w:r>
      <w:r w:rsidRPr="003A351E">
        <w:rPr>
          <w:rFonts w:ascii="Arial Narrow" w:hAnsi="Arial Narrow" w:cs="Arial Narrow"/>
          <w:sz w:val="22"/>
          <w:szCs w:val="22"/>
        </w:rPr>
        <w:t xml:space="preserve">ktoré nastali po dni, ku ktorému sa zostavuje účtovná závierka do dňa zostavenia účtovnej závierky s uvedením dôvodu týchto zmien: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ktoré nastali v dôsledku udalostí po dni, ku ktorému sa zostavuje účtovná závierka do dňa zostavenia účtovnej závierky: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330CB9">
        <w:rPr>
          <w:rFonts w:ascii="Arial Narrow" w:hAnsi="Arial Narrow" w:cs="Arial Narrow"/>
          <w:sz w:val="22"/>
          <w:szCs w:val="22"/>
        </w:rPr>
        <w:t xml:space="preserve"> neaktuálne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 riadne sa vykazuje vo výkazoch (§ 17/8 ZoU; § 2a; § 18/9; § 19/6; § 48/3; § 50/6 PU).]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330CB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330CB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330CB9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330CB9">
        <w:rPr>
          <w:rFonts w:ascii="Arial Narrow" w:hAnsi="Arial Narrow" w:cs="Arial Narrow"/>
          <w:sz w:val="22"/>
          <w:szCs w:val="22"/>
        </w:rPr>
        <w:t>neaktuálne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B53D9" w:rsidRDefault="00FB53D9">
      <w:r>
        <w:separator/>
      </w:r>
    </w:p>
  </w:endnote>
  <w:endnote w:type="continuationSeparator" w:id="0">
    <w:p w:rsidR="00FB53D9" w:rsidRDefault="00FB53D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351D4C">
    <w:pPr>
      <w:pStyle w:val="Pta"/>
      <w:jc w:val="right"/>
    </w:pPr>
    <w:r>
      <w:rPr>
        <w:noProof/>
      </w:rPr>
      <w:fldChar w:fldCharType="begin"/>
    </w:r>
    <w:r>
      <w:rPr>
        <w:noProof/>
      </w:rPr>
      <w:instrText>PAGE   \* MERGEFORMAT</w:instrText>
    </w:r>
    <w:r>
      <w:rPr>
        <w:noProof/>
      </w:rPr>
      <w:fldChar w:fldCharType="separate"/>
    </w:r>
    <w:r w:rsidR="00CA496B">
      <w:rPr>
        <w:noProof/>
      </w:rPr>
      <w:t>1</w:t>
    </w:r>
    <w:r>
      <w:rPr>
        <w:noProof/>
      </w:rP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B53D9" w:rsidRDefault="00FB53D9">
      <w:r>
        <w:separator/>
      </w:r>
    </w:p>
  </w:footnote>
  <w:footnote w:type="continuationSeparator" w:id="0">
    <w:p w:rsidR="00FB53D9" w:rsidRDefault="00FB53D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A0EDC">
    <w:pPr>
      <w:pStyle w:val="Zkladntext0"/>
      <w:tabs>
        <w:tab w:val="left" w:pos="2990"/>
        <w:tab w:val="left" w:pos="6348"/>
      </w:tabs>
      <w:ind w:left="-397" w:firstLine="0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36260576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8A0EDC">
      <w:rPr>
        <w:rFonts w:ascii="Arial" w:hAnsi="Arial" w:cs="Arial"/>
        <w:sz w:val="22"/>
        <w:szCs w:val="22"/>
        <w:bdr w:val="single" w:sz="4" w:space="0" w:color="auto" w:frame="1"/>
      </w:rPr>
      <w:t>2021813024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5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6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07CED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50CCD"/>
    <w:rsid w:val="00251BD9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75C4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3AB"/>
    <w:rsid w:val="003208FD"/>
    <w:rsid w:val="00330CB9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1D4C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48D0"/>
    <w:rsid w:val="0057641B"/>
    <w:rsid w:val="00580FDD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2D86"/>
    <w:rsid w:val="005E4F88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0FF0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75CED"/>
    <w:rsid w:val="00780227"/>
    <w:rsid w:val="007805CE"/>
    <w:rsid w:val="0078433D"/>
    <w:rsid w:val="007A17D1"/>
    <w:rsid w:val="007A1F08"/>
    <w:rsid w:val="007A6219"/>
    <w:rsid w:val="007A6BEE"/>
    <w:rsid w:val="007B6B6C"/>
    <w:rsid w:val="007C04E4"/>
    <w:rsid w:val="007C24FE"/>
    <w:rsid w:val="007C40F2"/>
    <w:rsid w:val="007C6DC0"/>
    <w:rsid w:val="007D0D5D"/>
    <w:rsid w:val="007D50DA"/>
    <w:rsid w:val="007E01B6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053B9"/>
    <w:rsid w:val="008119BF"/>
    <w:rsid w:val="008156A6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0EDC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3CAF"/>
    <w:rsid w:val="008F7BD4"/>
    <w:rsid w:val="0090056C"/>
    <w:rsid w:val="00900BDE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A38E8"/>
    <w:rsid w:val="009B124D"/>
    <w:rsid w:val="009B17D1"/>
    <w:rsid w:val="009C2162"/>
    <w:rsid w:val="009C49BF"/>
    <w:rsid w:val="009C58C9"/>
    <w:rsid w:val="009C61DF"/>
    <w:rsid w:val="009D0C18"/>
    <w:rsid w:val="009D2303"/>
    <w:rsid w:val="009D3DB8"/>
    <w:rsid w:val="009D403F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0FD4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0B29"/>
    <w:rsid w:val="00AC5487"/>
    <w:rsid w:val="00AD1402"/>
    <w:rsid w:val="00AD3DD9"/>
    <w:rsid w:val="00AD5E55"/>
    <w:rsid w:val="00AE0094"/>
    <w:rsid w:val="00AE28DD"/>
    <w:rsid w:val="00AE370A"/>
    <w:rsid w:val="00AE433D"/>
    <w:rsid w:val="00AE45F3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61B9"/>
    <w:rsid w:val="00C36A24"/>
    <w:rsid w:val="00C41DAA"/>
    <w:rsid w:val="00C42CE5"/>
    <w:rsid w:val="00C44159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32D4"/>
    <w:rsid w:val="00CA496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1FD7"/>
    <w:rsid w:val="00D56526"/>
    <w:rsid w:val="00D57B09"/>
    <w:rsid w:val="00D65F08"/>
    <w:rsid w:val="00D676D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6FA4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97900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463BD"/>
    <w:rsid w:val="00F5015F"/>
    <w:rsid w:val="00F5097F"/>
    <w:rsid w:val="00F540FF"/>
    <w:rsid w:val="00F57983"/>
    <w:rsid w:val="00F60A13"/>
    <w:rsid w:val="00F616AF"/>
    <w:rsid w:val="00F62032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A612D"/>
    <w:rsid w:val="00FB124C"/>
    <w:rsid w:val="00FB427A"/>
    <w:rsid w:val="00FB53D9"/>
    <w:rsid w:val="00FB7889"/>
    <w:rsid w:val="00FC64AE"/>
    <w:rsid w:val="00FC75CB"/>
    <w:rsid w:val="00FD2FB8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53D50207"/>
  <w15:docId w15:val="{45821CF8-DDA7-45EE-B2C2-227DA277742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semiHidden="1" w:unhideWhenUsed="1"/>
    <w:lsdException w:name="toc 2" w:locked="1" w:semiHidden="1" w:unhideWhenUsed="1"/>
    <w:lsdException w:name="toc 3" w:locked="1" w:semiHidden="1" w:unhideWhenUsed="1"/>
    <w:lsdException w:name="toc 4" w:locked="1" w:semiHidden="1" w:unhideWhenUsed="1"/>
    <w:lsdException w:name="toc 5" w:locked="1" w:semiHidden="1" w:unhideWhenUsed="1"/>
    <w:lsdException w:name="toc 6" w:locked="1" w:semiHidden="1" w:unhideWhenUsed="1"/>
    <w:lsdException w:name="toc 7" w:locked="1" w:semiHidden="1" w:unhideWhenUsed="1"/>
    <w:lsdException w:name="toc 8" w:locked="1" w:semiHidden="1" w:unhideWhenUsed="1"/>
    <w:lsdException w:name="toc 9" w:locked="1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locked="1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99" w:qFormat="1"/>
    <w:lsdException w:name="Closing" w:semiHidden="1" w:unhideWhenUsed="1"/>
    <w:lsdException w:name="Signature" w:semiHidden="1" w:unhideWhenUsed="1"/>
    <w:lsdException w:name="Default Paragraph Font" w:locked="1" w:semiHidden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qFormat="1"/>
    <w:lsdException w:name="Emphasis" w:lock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A845D28-C767-4F37-BFD4-241810BF825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2958</Words>
  <Characters>16864</Characters>
  <Application>Microsoft Office Word</Application>
  <DocSecurity>0</DocSecurity>
  <Lines>140</Lines>
  <Paragraphs>39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19783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Brinďáková Tatiana</cp:lastModifiedBy>
  <cp:revision>3</cp:revision>
  <cp:lastPrinted>2015-07-22T08:26:00Z</cp:lastPrinted>
  <dcterms:created xsi:type="dcterms:W3CDTF">2025-06-30T08:29:00Z</dcterms:created>
  <dcterms:modified xsi:type="dcterms:W3CDTF">2025-06-30T08:30:00Z</dcterms:modified>
</cp:coreProperties>
</file>