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pBdr/>
        <w:spacing w:lineRule="auto" w:line="240"/>
        <w:ind w:left="18" w:hanging="0"/>
        <w:rPr>
          <w:color w:val="000000"/>
        </w:rPr>
      </w:pPr>
      <w:r>
        <w:rPr>
          <w:color w:val="000000"/>
        </w:rPr>
        <w:t xml:space="preserve">Poznámky Úč MÚJ 3 -01   IČO  44428642                            DIČ  2022690978 </w:t>
      </w:r>
    </w:p>
    <w:p>
      <w:pPr>
        <w:pStyle w:val="Normal"/>
        <w:widowControl w:val="false"/>
        <w:pBdr/>
        <w:spacing w:lineRule="auto" w:line="240" w:before="1271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Čl. 1 </w:t>
      </w:r>
    </w:p>
    <w:p>
      <w:pPr>
        <w:pStyle w:val="Normal"/>
        <w:widowControl w:val="false"/>
        <w:pBdr/>
        <w:spacing w:lineRule="auto" w:line="240" w:before="251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Všeobecné údaje </w:t>
      </w:r>
    </w:p>
    <w:p>
      <w:pPr>
        <w:pStyle w:val="Normal"/>
        <w:widowControl w:val="false"/>
        <w:pBdr/>
        <w:spacing w:lineRule="auto" w:line="460" w:before="760" w:after="0"/>
        <w:ind w:left="13" w:right="800" w:hanging="6"/>
        <w:rPr>
          <w:color w:val="000000"/>
        </w:rPr>
      </w:pPr>
      <w:r>
        <w:rPr>
          <w:color w:val="000000"/>
        </w:rPr>
        <w:t xml:space="preserve">Spoločnosť Bistár spol s r.o. /ďalej len Spoločnosť/ so sídlom Roháčska 109, 027 32 Zuberec bola založená dňa 3.oktobra 2008 a je zapísaná v Obchodnom registri Okresného súdu v Žiline </w:t>
      </w:r>
    </w:p>
    <w:p>
      <w:pPr>
        <w:pStyle w:val="Normal"/>
        <w:widowControl w:val="false"/>
        <w:pBdr/>
        <w:spacing w:lineRule="auto" w:line="278" w:before="48" w:after="0"/>
        <w:ind w:left="13" w:right="493" w:hanging="5"/>
        <w:rPr>
          <w:color w:val="000000"/>
        </w:rPr>
      </w:pPr>
      <w:r>
        <w:rPr>
          <w:color w:val="000000"/>
        </w:rPr>
        <w:t xml:space="preserve">oddiel Sro Vložka číslo 50221/L. Predmetom činnosti spoločnosti sú podľa výpisu z Obchodného  registra nasledovné činnosti. </w:t>
      </w:r>
    </w:p>
    <w:p>
      <w:pPr>
        <w:pStyle w:val="Normal"/>
        <w:widowControl w:val="false"/>
        <w:pBdr/>
        <w:spacing w:lineRule="auto" w:line="240" w:before="214" w:after="0"/>
        <w:ind w:left="6" w:hanging="0"/>
        <w:rPr>
          <w:color w:val="000000"/>
        </w:rPr>
      </w:pPr>
      <w:r>
        <w:rPr>
          <w:color w:val="000000"/>
        </w:rPr>
        <w:t xml:space="preserve">- poskytovanie služieb v lesníctve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-spracovanie drevnej hmoty a výroba komponentov z dreva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-ubytovacie služby bez poskytovania pohostinckých činnosti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-sprostredkovateľska činnosť v oblasti obchodu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-prípravné práce k realizácií stavby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-dokončovacie stavebné práce pri realizácií exterierov a interierov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-prenájom hnuteľných veci /športových potrieb/ </w:t>
      </w:r>
    </w:p>
    <w:p>
      <w:pPr>
        <w:pStyle w:val="Normal"/>
        <w:widowControl w:val="false"/>
        <w:pBdr/>
        <w:spacing w:lineRule="auto" w:line="460" w:before="251" w:after="0"/>
        <w:ind w:right="847" w:hanging="0"/>
        <w:rPr>
          <w:color w:val="000000"/>
        </w:rPr>
      </w:pPr>
      <w:r>
        <w:rPr>
          <w:color w:val="000000"/>
        </w:rPr>
        <w:t>/ Účtovná závierka k 31.12.2024</w:t>
      </w:r>
      <w:r>
        <w:rPr/>
        <w:t xml:space="preserve"> </w:t>
      </w:r>
      <w:r>
        <w:rPr>
          <w:color w:val="000000"/>
        </w:rPr>
        <w:t xml:space="preserve"> je zostavená ako riadna účtovná závierka podľa § 17 odsta.6  zákona č. 431/2002 Z.z. o účtovníctve v znení neskorších predpisov. </w:t>
      </w:r>
    </w:p>
    <w:p>
      <w:pPr>
        <w:pStyle w:val="Normal"/>
        <w:widowControl w:val="false"/>
        <w:pBdr/>
        <w:spacing w:lineRule="auto" w:line="460" w:before="50" w:after="0"/>
        <w:ind w:right="2583" w:hanging="0"/>
        <w:rPr>
          <w:color w:val="000000"/>
        </w:rPr>
      </w:pPr>
      <w:r>
        <w:rPr>
          <w:color w:val="000000"/>
        </w:rPr>
        <w:t xml:space="preserve">/ Spoločnosť Bistár spol s r.o. nie je súčasťou skupiny účtovných jednotiek. /Spoločnosť Bistár spol s.r.o. v roku 2024 nemala zamestnancov.  </w:t>
      </w:r>
    </w:p>
    <w:p>
      <w:pPr>
        <w:pStyle w:val="Normal"/>
        <w:widowControl w:val="false"/>
        <w:pBdr/>
        <w:spacing w:lineRule="auto" w:line="240" w:before="48" w:after="0"/>
        <w:rPr>
          <w:color w:val="000000"/>
        </w:rPr>
      </w:pPr>
      <w:r>
        <w:rPr>
          <w:color w:val="000000"/>
        </w:rPr>
        <w:t xml:space="preserve">  </w:t>
      </w:r>
    </w:p>
    <w:p>
      <w:pPr>
        <w:pStyle w:val="Normal"/>
        <w:widowControl w:val="false"/>
        <w:pBdr/>
        <w:spacing w:lineRule="auto" w:line="240" w:before="251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Čl. II </w:t>
      </w:r>
    </w:p>
    <w:p>
      <w:pPr>
        <w:pStyle w:val="Normal"/>
        <w:widowControl w:val="false"/>
        <w:pBdr/>
        <w:spacing w:lineRule="auto" w:line="240" w:before="251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Informácie o orgánoch spoločnosti </w:t>
      </w:r>
    </w:p>
    <w:p>
      <w:pPr>
        <w:pStyle w:val="Normal"/>
        <w:widowControl w:val="false"/>
        <w:pBdr/>
        <w:spacing w:lineRule="auto" w:line="240" w:before="251" w:after="0"/>
        <w:ind w:left="3" w:hanging="0"/>
        <w:rPr>
          <w:color w:val="000000"/>
        </w:rPr>
      </w:pPr>
      <w:r>
        <w:rPr>
          <w:color w:val="000000"/>
        </w:rPr>
        <w:t>Štatutárným orgánom spoločnosti</w:t>
      </w:r>
      <w:r>
        <w:rPr/>
        <w:t xml:space="preserve"> </w:t>
      </w:r>
      <w:r>
        <w:rPr>
          <w:color w:val="000000"/>
        </w:rPr>
        <w:t xml:space="preserve"> Bistár spol s,r.o. je konateľ</w:t>
      </w:r>
    </w:p>
    <w:p>
      <w:pPr>
        <w:pStyle w:val="Normal"/>
        <w:widowControl w:val="false"/>
        <w:pBdr/>
        <w:spacing w:lineRule="auto" w:line="240" w:before="251" w:after="0"/>
        <w:ind w:left="3" w:hanging="0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pBdr/>
        <w:spacing w:lineRule="auto" w:line="24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Bistár Marek  </w:t>
      </w:r>
    </w:p>
    <w:p>
      <w:pPr>
        <w:pStyle w:val="Normal"/>
        <w:widowControl w:val="false"/>
        <w:pBdr/>
        <w:spacing w:lineRule="auto" w:line="240" w:before="251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Bistár Matúš  </w:t>
      </w:r>
    </w:p>
    <w:p>
      <w:pPr>
        <w:pStyle w:val="Normal"/>
        <w:widowControl w:val="false"/>
        <w:pBdr/>
        <w:spacing w:lineRule="auto" w:line="240" w:before="760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Čl.III. </w:t>
      </w:r>
    </w:p>
    <w:p>
      <w:pPr>
        <w:pStyle w:val="Normal"/>
        <w:widowControl w:val="false"/>
        <w:pBdr/>
        <w:spacing w:lineRule="auto" w:line="240" w:before="254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Informácie o prijatých postupoch </w:t>
      </w:r>
    </w:p>
    <w:p>
      <w:pPr>
        <w:pStyle w:val="Normal"/>
        <w:widowControl w:val="false"/>
        <w:pBdr/>
        <w:spacing w:lineRule="auto" w:line="276" w:before="760" w:after="0"/>
        <w:ind w:left="13" w:right="152" w:firstLine="1"/>
        <w:rPr>
          <w:color w:val="000000"/>
        </w:rPr>
      </w:pPr>
      <w:r>
        <w:rPr>
          <w:color w:val="000000"/>
        </w:rPr>
        <w:t xml:space="preserve">Účtovná závierka k 31.12.2024 je zostavená za splnenia predpokladu, že spoločnosť bude nepretržite  pokračovať vo svojej činnosti </w:t>
      </w:r>
    </w:p>
    <w:p>
      <w:pPr>
        <w:pStyle w:val="Normal"/>
        <w:widowControl w:val="false"/>
        <w:pBdr/>
        <w:spacing w:lineRule="auto" w:line="460" w:before="218" w:after="0"/>
        <w:ind w:right="1087" w:firstLine="6"/>
        <w:rPr>
          <w:color w:val="000000"/>
        </w:rPr>
      </w:pPr>
      <w:r>
        <w:rPr>
          <w:color w:val="000000"/>
        </w:rPr>
        <w:t xml:space="preserve">- účtovné zásady a účtovné metody boli aplikované v rámci platného zákona o účtovníctve,  zmeny účtovných zásad a účtovných metod neboli uplatnené. </w:t>
      </w:r>
    </w:p>
    <w:p>
      <w:pPr>
        <w:pStyle w:val="Normal"/>
        <w:widowControl w:val="false"/>
        <w:pBdr/>
        <w:spacing w:lineRule="auto" w:line="240" w:before="48" w:after="0"/>
        <w:ind w:left="15" w:hanging="0"/>
        <w:rPr>
          <w:color w:val="000000"/>
        </w:rPr>
      </w:pPr>
      <w:r>
        <w:rPr>
          <w:color w:val="000000"/>
        </w:rPr>
        <w:t xml:space="preserve">Dlhodobý nehmotný majetok </w:t>
      </w:r>
    </w:p>
    <w:p>
      <w:pPr>
        <w:pStyle w:val="Normal"/>
        <w:widowControl w:val="false"/>
        <w:pBdr/>
        <w:spacing w:lineRule="auto" w:line="240" w:before="251" w:after="0"/>
        <w:ind w:left="7" w:hanging="0"/>
        <w:rPr>
          <w:color w:val="000000"/>
        </w:rPr>
      </w:pPr>
      <w:r>
        <w:rPr>
          <w:color w:val="000000"/>
        </w:rPr>
        <w:t xml:space="preserve">spoločnosť nedisponuje a nemá dlhodobý nehmotný majetok  </w:t>
      </w:r>
    </w:p>
    <w:p>
      <w:pPr>
        <w:pStyle w:val="Normal"/>
        <w:widowControl w:val="false"/>
        <w:pBdr/>
        <w:spacing w:lineRule="auto" w:line="240" w:before="760" w:after="0"/>
        <w:ind w:left="15" w:hanging="0"/>
        <w:rPr>
          <w:color w:val="000000"/>
        </w:rPr>
      </w:pPr>
      <w:r>
        <w:rPr>
          <w:color w:val="000000"/>
        </w:rPr>
        <w:t xml:space="preserve">Dlhodobý hmotný majetok </w:t>
      </w:r>
    </w:p>
    <w:p>
      <w:pPr>
        <w:pStyle w:val="Normal"/>
        <w:widowControl w:val="false"/>
        <w:pBdr/>
        <w:spacing w:lineRule="auto" w:line="278" w:before="251" w:after="0"/>
        <w:ind w:left="6" w:right="147" w:hanging="0"/>
        <w:rPr>
          <w:color w:val="000000"/>
        </w:rPr>
      </w:pPr>
      <w:r>
        <w:rPr>
          <w:color w:val="000000"/>
        </w:rPr>
        <w:t xml:space="preserve">Spoločnosť v roku 2024 ma dlhodobý hmotný majetok v sume 36 625,-Tento majetok obstarala v  minulých rokoch ocenila obstarávacou cenou, ktorá zahrňa cenu obstarania a náklady súvisiace s  obstaraním. Odpisy si stanovila podľa predpokladanej doby používania a predpokladaného priebehu  opotrebovania zaradovaného majetku zodpovedajúceho bežným podmienkam jeho používania. </w:t>
      </w:r>
    </w:p>
    <w:p>
      <w:pPr>
        <w:pStyle w:val="Normal"/>
        <w:widowControl w:val="false"/>
        <w:pBdr/>
        <w:spacing w:lineRule="auto" w:line="240" w:before="723" w:after="0"/>
        <w:ind w:left="15" w:hanging="0"/>
        <w:rPr>
          <w:color w:val="000000"/>
        </w:rPr>
      </w:pPr>
      <w:r>
        <w:rPr>
          <w:color w:val="000000"/>
        </w:rPr>
        <w:t xml:space="preserve">Dlhodobý finančný majetok </w:t>
      </w:r>
    </w:p>
    <w:p>
      <w:pPr>
        <w:pStyle w:val="Normal"/>
        <w:widowControl w:val="false"/>
        <w:pBdr/>
        <w:spacing w:lineRule="auto" w:line="240" w:before="254" w:after="0"/>
        <w:ind w:left="6" w:hanging="0"/>
        <w:rPr>
          <w:color w:val="000000"/>
        </w:rPr>
      </w:pPr>
      <w:r>
        <w:rPr>
          <w:color w:val="000000"/>
        </w:rPr>
        <w:t xml:space="preserve">Spoločnosť nevlastní dlhodobý finančný majetok. </w:t>
      </w:r>
    </w:p>
    <w:p>
      <w:pPr>
        <w:pStyle w:val="Normal"/>
        <w:widowControl w:val="false"/>
        <w:pBdr/>
        <w:spacing w:lineRule="auto" w:line="240" w:before="760" w:after="0"/>
        <w:ind w:left="5" w:hanging="0"/>
        <w:rPr>
          <w:color w:val="000000"/>
        </w:rPr>
      </w:pPr>
      <w:r>
        <w:rPr>
          <w:color w:val="000000"/>
        </w:rPr>
        <w:t xml:space="preserve">Zásoby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Spoločnosť nemá zásoby. </w:t>
      </w:r>
    </w:p>
    <w:p>
      <w:pPr>
        <w:pStyle w:val="Normal"/>
        <w:widowControl w:val="false"/>
        <w:pBdr/>
        <w:spacing w:lineRule="auto" w:line="240" w:before="760" w:after="0"/>
        <w:ind w:left="15" w:hanging="0"/>
        <w:rPr>
          <w:color w:val="000000"/>
        </w:rPr>
      </w:pPr>
      <w:r>
        <w:rPr>
          <w:color w:val="000000"/>
        </w:rPr>
        <w:t xml:space="preserve">Pohľadávky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>Spoločnosť oceňuje pohľadávky pri ich vzniku menovitou hodnotou k 31.12.2023 nemala</w:t>
      </w:r>
    </w:p>
    <w:p>
      <w:pPr>
        <w:pStyle w:val="Normal"/>
        <w:widowControl w:val="false"/>
        <w:pBdr/>
        <w:spacing w:lineRule="auto" w:line="240"/>
        <w:ind w:left="13" w:hanging="0"/>
        <w:rPr>
          <w:color w:val="000000"/>
        </w:rPr>
      </w:pPr>
      <w:r>
        <w:rPr>
          <w:color w:val="000000"/>
        </w:rPr>
        <w:t xml:space="preserve">nevysporiadane pohľadávky z obchodného styku. Opravné položky k pohľadávkam neboli tvorené. </w:t>
      </w:r>
    </w:p>
    <w:p>
      <w:pPr>
        <w:pStyle w:val="Normal"/>
        <w:widowControl w:val="false"/>
        <w:pBdr/>
        <w:spacing w:lineRule="auto" w:line="240" w:before="760" w:after="0"/>
        <w:ind w:left="15" w:hanging="0"/>
        <w:rPr>
          <w:color w:val="000000"/>
        </w:rPr>
      </w:pPr>
      <w:r>
        <w:rPr>
          <w:color w:val="000000"/>
        </w:rPr>
        <w:t xml:space="preserve">Krátkodobý finančný majetok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Spoločnosť oceňuje peňažné prostriedky menovitou hodnotou.  </w:t>
      </w:r>
    </w:p>
    <w:p>
      <w:pPr>
        <w:pStyle w:val="Normal"/>
        <w:widowControl w:val="false"/>
        <w:pBdr/>
        <w:spacing w:lineRule="auto" w:line="240" w:before="762" w:after="0"/>
        <w:ind w:left="5" w:hanging="0"/>
        <w:rPr>
          <w:color w:val="000000"/>
        </w:rPr>
      </w:pPr>
      <w:r>
        <w:rPr>
          <w:color w:val="000000"/>
        </w:rPr>
        <w:t xml:space="preserve">Záväzky </w:t>
      </w:r>
    </w:p>
    <w:p>
      <w:pPr>
        <w:pStyle w:val="Normal"/>
        <w:widowControl w:val="false"/>
        <w:pBdr/>
        <w:spacing w:lineRule="auto" w:line="240" w:before="251" w:after="0"/>
        <w:ind w:left="6" w:hanging="0"/>
        <w:rPr>
          <w:color w:val="000000"/>
        </w:rPr>
      </w:pPr>
      <w:r>
        <w:rPr>
          <w:color w:val="000000"/>
        </w:rPr>
        <w:t xml:space="preserve">Spoločnosť oceňuje záväzky pri ich vzniku menovitou hodnotou. </w:t>
      </w:r>
    </w:p>
    <w:p>
      <w:pPr>
        <w:pStyle w:val="Normal"/>
        <w:widowControl w:val="false"/>
        <w:pBdr/>
        <w:spacing w:lineRule="auto" w:line="240" w:before="251" w:after="0"/>
        <w:ind w:left="8" w:hanging="0"/>
        <w:rPr>
          <w:color w:val="000000"/>
        </w:rPr>
      </w:pPr>
      <w:r>
        <w:rPr>
          <w:color w:val="000000"/>
        </w:rPr>
        <w:t xml:space="preserve">Odložená daň </w:t>
      </w:r>
    </w:p>
    <w:p>
      <w:pPr>
        <w:pStyle w:val="Normal"/>
        <w:widowControl w:val="false"/>
        <w:pBdr/>
        <w:spacing w:lineRule="auto" w:line="460" w:before="251" w:after="0"/>
        <w:ind w:left="13" w:right="1463" w:hanging="6"/>
        <w:rPr>
          <w:color w:val="000000"/>
        </w:rPr>
      </w:pPr>
      <w:r>
        <w:rPr>
          <w:color w:val="000000"/>
        </w:rPr>
        <w:t xml:space="preserve">Spoločnosť neúčtuje o odloženej dani, nakoľko nevznikajú významné dočasné rozdiely medzi účtovnou hodnotou majetku a účtovnou hodnotou záväzkov. </w:t>
      </w:r>
    </w:p>
    <w:p>
      <w:pPr>
        <w:pStyle w:val="Normal"/>
        <w:widowControl w:val="false"/>
        <w:pBdr/>
        <w:spacing w:lineRule="auto" w:line="240" w:before="556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Čl.IV. </w:t>
      </w:r>
    </w:p>
    <w:p>
      <w:pPr>
        <w:pStyle w:val="Normal"/>
        <w:widowControl w:val="false"/>
        <w:pBdr/>
        <w:spacing w:lineRule="auto" w:line="240" w:before="251" w:after="0"/>
        <w:ind w:left="15" w:hanging="0"/>
        <w:rPr>
          <w:color w:val="000000"/>
        </w:rPr>
      </w:pPr>
      <w:r>
        <w:rPr>
          <w:color w:val="000000"/>
        </w:rPr>
        <w:t xml:space="preserve">Informácie , ktoré vysvetľujú a doplňajú súvahu a výkaz ziskov strát </w:t>
      </w:r>
    </w:p>
    <w:p>
      <w:pPr>
        <w:pStyle w:val="Normal"/>
        <w:widowControl w:val="false"/>
        <w:pBdr/>
        <w:spacing w:lineRule="auto" w:line="278" w:before="760" w:after="0"/>
        <w:ind w:left="13" w:right="16" w:hanging="6"/>
        <w:rPr>
          <w:color w:val="000000"/>
        </w:rPr>
      </w:pPr>
      <w:r>
        <w:rPr>
          <w:color w:val="000000"/>
        </w:rPr>
        <w:t xml:space="preserve">Spoločnosť nemá deriváty, majetok a záväzky zabezpečené derivátmi. Neeviduje v bežnom období ani predchadzajúcom účtovnom období záväzky so zostatkovou dobou splatnosti dlhšou ako päť rokov. </w:t>
      </w:r>
    </w:p>
    <w:p>
      <w:pPr>
        <w:pStyle w:val="Normal"/>
        <w:widowControl w:val="false"/>
        <w:pBdr/>
        <w:spacing w:lineRule="auto" w:line="240" w:before="722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Čl. V. </w:t>
      </w:r>
    </w:p>
    <w:p>
      <w:pPr>
        <w:pStyle w:val="Normal"/>
        <w:widowControl w:val="false"/>
        <w:pBdr/>
        <w:spacing w:lineRule="auto" w:line="240" w:before="251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Udalosti,ktoré nastali po dni, ku ktorému sa zostavuje účtovná závierka </w:t>
      </w:r>
    </w:p>
    <w:p>
      <w:pPr>
        <w:pStyle w:val="Normal"/>
        <w:widowControl w:val="false"/>
        <w:pBdr/>
        <w:spacing w:lineRule="auto" w:line="278" w:before="251" w:after="0"/>
        <w:ind w:left="7" w:hanging="7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>V spoločnost</w:t>
      </w:r>
      <w:r>
        <w:rPr/>
        <w:t>i</w:t>
      </w:r>
      <w:r>
        <w:rPr>
          <w:color w:val="000000"/>
        </w:rPr>
        <w:t xml:space="preserve"> Bistar spol s.r.o. nenastali významné udalosti</w:t>
      </w:r>
      <w:r>
        <w:rPr/>
        <w:t xml:space="preserve"> </w:t>
      </w:r>
      <w:r>
        <w:rPr>
          <w:color w:val="000000"/>
        </w:rPr>
        <w:t xml:space="preserve">po dni , ku ktorému sa zostavuje účtovná závierka do dňa zostavenia účtovnej závierky. </w:t>
      </w:r>
    </w:p>
    <w:p>
      <w:pPr>
        <w:pStyle w:val="Normal"/>
        <w:widowControl w:val="false"/>
        <w:pBdr/>
        <w:spacing w:lineRule="auto" w:line="240" w:before="722" w:after="0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 xml:space="preserve">Čl. VI. </w:t>
      </w:r>
    </w:p>
    <w:p>
      <w:pPr>
        <w:pStyle w:val="Normal"/>
        <w:widowControl w:val="false"/>
        <w:pBdr/>
        <w:spacing w:lineRule="auto" w:line="463" w:before="251" w:after="0"/>
        <w:ind w:left="7" w:right="1261" w:hanging="7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>Spoločnosť Bistár spol s.r.o. nebolo udelené výlučné alebo osobitné právo poskytovať služby vo verejnom záujme.</w:t>
      </w:r>
    </w:p>
    <w:p>
      <w:pPr>
        <w:sectPr>
          <w:type w:val="nextPage"/>
          <w:pgSz w:w="12240" w:h="15840"/>
          <w:pgMar w:left="1442" w:right="1441" w:gutter="0" w:header="0" w:top="1433" w:footer="0" w:bottom="1660"/>
          <w:pgNumType w:start="1" w:fmt="decimal"/>
          <w:formProt w:val="false"/>
          <w:textDirection w:val="lrTb"/>
          <w:docGrid w:type="default" w:linePitch="100" w:charSpace="4096"/>
        </w:sectPr>
      </w:pPr>
    </w:p>
    <w:p>
      <w:pPr>
        <w:pStyle w:val="Normal"/>
        <w:widowControl w:val="false"/>
        <w:pBdr/>
        <w:spacing w:lineRule="auto" w:line="10164"/>
        <w:rPr>
          <w:color w:val="000000"/>
        </w:rPr>
      </w:pPr>
      <w:r>
        <w:rPr>
          <w:color w:val="000000"/>
        </w:rPr>
        <w:t xml:space="preserve">   </w:t>
      </w:r>
    </w:p>
    <w:sectPr>
      <w:type w:val="continuous"/>
      <w:pgSz w:w="12240" w:h="15840"/>
      <w:pgMar w:left="1442" w:right="1441" w:gutter="0" w:header="0" w:top="1433" w:footer="0" w:bottom="1660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next w:val="Normal"/>
    <w:uiPriority w:val="9"/>
    <w:qFormat/>
    <w:pPr>
      <w:keepNext w:val="true"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</w:rPr>
  </w:style>
  <w:style w:type="paragraph" w:styleId="Nadpis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zov">
    <w:name w:val="Title"/>
    <w:basedOn w:val="Normal"/>
    <w:next w:val="Normal"/>
    <w:uiPriority w:val="10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LibreOffice/7.5.4.2$Windows_X86_64 LibreOffice_project/36ccfdc35048b057fd9854c757a8b67ec53977b6</Application>
  <AppVersion>15.0000</AppVersion>
  <Pages>2</Pages>
  <Words>430</Words>
  <Characters>2740</Characters>
  <CharactersWithSpaces>3231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2025-06-27T11:21:00Z</dcterms:created>
  <dc:creator>abalakova01</dc:creator>
  <dc:description/>
  <dc:language>sk-SK</dc:language>
  <cp:lastModifiedBy>Anna Balakova</cp:lastModifiedBy>
  <dcterms:modified xsi:type="dcterms:W3CDTF">2025-06-27T11:21:00Z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