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536" w:leader="none"/>
          <w:tab w:val="left" w:pos="9072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  <w:t xml:space="preserve">Poznámky k individuálnej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  <w:t xml:space="preserve">čtovnej </w:t>
      </w:r>
    </w:p>
    <w:p>
      <w:pPr>
        <w:tabs>
          <w:tab w:val="left" w:pos="4536" w:leader="none"/>
          <w:tab w:val="left" w:pos="9072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40"/>
          <w:shd w:fill="auto" w:val="clear"/>
        </w:rPr>
        <w:t xml:space="preserve">závierke zostavenej k 31.12.2024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za obdobie:                                        od 1.1.2024 do 31.12.2024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za bezprostredne pred. obdobie:          od 1.1.2023 do 31.12.2023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dátum vzniku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čt. jednotky:                13.5.2008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závierka:                               riadna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závierka:                               zostavená 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ČO:                                                 44135467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Č:                                                 2022608709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Kód SK NACE:                                71.12.9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Obchodné meno:                                Bio&amp;Plast technology, s.r.o.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Sídlo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čnosti:                               Botanick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1720/13, 949 01 Nitra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tbl>
      <w:tblPr/>
      <w:tblGrid>
        <w:gridCol w:w="2345"/>
        <w:gridCol w:w="2345"/>
        <w:gridCol w:w="2345"/>
        <w:gridCol w:w="2346"/>
      </w:tblGrid>
      <w:tr>
        <w:trPr>
          <w:trHeight w:val="1515" w:hRule="auto"/>
          <w:jc w:val="left"/>
        </w:trPr>
        <w:tc>
          <w:tcPr>
            <w:tcW w:w="2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Zostavená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30.6.2024</w:t>
            </w:r>
          </w:p>
        </w:tc>
        <w:tc>
          <w:tcPr>
            <w:tcW w:w="2345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Podpisový záznam osoby zodpovednej za vedenie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íctva: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Marc Siracusa</w:t>
            </w:r>
          </w:p>
        </w:tc>
        <w:tc>
          <w:tcPr>
            <w:tcW w:w="2345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Podpisový záznam osoby zodpovednej za zostavenie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ávierky: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Marc Siracusa</w:t>
            </w:r>
          </w:p>
        </w:tc>
        <w:tc>
          <w:tcPr>
            <w:tcW w:w="2346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Podpisový záznam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člena štatut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árneho orgánu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čtovnej jednotky alebo fyzickej osoby,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á 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čtovnou jednotkou: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Marc Siracusa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015" w:hRule="auto"/>
          <w:jc w:val="left"/>
        </w:trPr>
        <w:tc>
          <w:tcPr>
            <w:tcW w:w="2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Schválená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30.6.2024</w:t>
            </w:r>
          </w:p>
        </w:tc>
        <w:tc>
          <w:tcPr>
            <w:tcW w:w="2345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345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346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keepNext w:val="true"/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čte zamestnancov 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6804"/>
        <w:gridCol w:w="2516"/>
      </w:tblGrid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 k 31.12.2024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pracovn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 k 31.decembru 2024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riadiaci pracovníci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6804"/>
        <w:gridCol w:w="2516"/>
      </w:tblGrid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 k 31.12.2023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pracovn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 k 31.decembru 2023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riadiaci pracovníci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2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Neobmedzené ru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čenie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4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Dôvod zostavenia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Táto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 je riadna individuálna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 za Bio&amp;Plast technology, s.r.o. bola zostavená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obdobie od 1.1.2024 do 31.12.2024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slovensk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právnych predpisov, a to zákona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č. 431/ 2002 Z. z. a postupov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čtovania pre podnikateľov. </w:t>
      </w:r>
    </w:p>
    <w:p>
      <w:pPr>
        <w:tabs>
          <w:tab w:val="left" w:pos="0" w:leader="none"/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0" w:leader="none"/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Schválenie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 za rok 2023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Bio&amp;Plast technology, s.r.o. za rok 2023 bola schválená na riadnom valnom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ktoré sa konalo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30.6.2024.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  <w:t xml:space="preserve">Test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  <w:t xml:space="preserve">ľkostnej skupiny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  <w:t xml:space="preserve">čtovnej jednotky (2 ZoU)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(Do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ľkostnej skupiny mikro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jednotka patrí taká, ktorá za dve po sebe idúce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 obdobia sp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ĺňa aspoň dve z troch podmienok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suma netto aktív nepresiahla 350 000 eura,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ý obrat nepresiahol 700 000 eur, a 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čet zamestnancov počas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ého obdobia nepresiahol 10). 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38" w:type="dxa"/>
      </w:tblPr>
      <w:tblGrid>
        <w:gridCol w:w="2147"/>
        <w:gridCol w:w="2683"/>
        <w:gridCol w:w="3046"/>
        <w:gridCol w:w="1692"/>
      </w:tblGrid>
      <w:tr>
        <w:trPr>
          <w:trHeight w:val="570" w:hRule="auto"/>
          <w:jc w:val="left"/>
        </w:trPr>
        <w:tc>
          <w:tcPr>
            <w:tcW w:w="2147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8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 1/2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2/2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46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  <w:p>
            <w:pPr>
              <w:spacing w:before="0" w:after="0" w:line="240"/>
              <w:ind w:right="0" w:left="72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1/2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-12/2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169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Áno/Nie</w:t>
            </w:r>
          </w:p>
        </w:tc>
      </w:tr>
      <w:tr>
        <w:trPr>
          <w:trHeight w:val="1" w:hRule="atLeast"/>
          <w:jc w:val="left"/>
        </w:trPr>
        <w:tc>
          <w:tcPr>
            <w:tcW w:w="2147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Netto aktíva celkom</w:t>
            </w:r>
          </w:p>
        </w:tc>
        <w:tc>
          <w:tcPr>
            <w:tcW w:w="2683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566</w:t>
            </w:r>
          </w:p>
        </w:tc>
        <w:tc>
          <w:tcPr>
            <w:tcW w:w="304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7 070</w:t>
            </w:r>
          </w:p>
        </w:tc>
        <w:tc>
          <w:tcPr>
            <w:tcW w:w="1692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  <w:tr>
        <w:trPr>
          <w:trHeight w:val="1" w:hRule="atLeast"/>
          <w:jc w:val="left"/>
        </w:trPr>
        <w:tc>
          <w:tcPr>
            <w:tcW w:w="2147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683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4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692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  <w:tr>
        <w:trPr>
          <w:trHeight w:val="1" w:hRule="atLeast"/>
          <w:jc w:val="left"/>
        </w:trPr>
        <w:tc>
          <w:tcPr>
            <w:tcW w:w="2147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83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4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 </w:t>
            </w:r>
          </w:p>
        </w:tc>
        <w:tc>
          <w:tcPr>
            <w:tcW w:w="1692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72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UJ sp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ĺň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a ve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ľkostn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podmienky na zatriedenie do ve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kostnej skupiny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á jednotka.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Informácia: 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ť Bio&amp;Plast technology, s.r.o. nie je subjektom verejn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ého záujmu (§ 2/14 ZoU).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nformácie o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úre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íkov, akcionárov ku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závierka a o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úre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íkov, akcionárov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ňa jej zmeny vzniknutej v priebehu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ého obdobia 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tbl>
      <w:tblPr>
        <w:tblInd w:w="70" w:type="dxa"/>
      </w:tblPr>
      <w:tblGrid>
        <w:gridCol w:w="3025"/>
        <w:gridCol w:w="3212"/>
        <w:gridCol w:w="3123"/>
      </w:tblGrid>
      <w:tr>
        <w:trPr>
          <w:trHeight w:val="1" w:hRule="atLeast"/>
          <w:jc w:val="left"/>
        </w:trPr>
        <w:tc>
          <w:tcPr>
            <w:tcW w:w="3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Orgán</w:t>
            </w:r>
          </w:p>
        </w:tc>
        <w:tc>
          <w:tcPr>
            <w:tcW w:w="32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Funkcia</w:t>
            </w:r>
          </w:p>
        </w:tc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Meno a priezvisko</w:t>
            </w:r>
          </w:p>
        </w:tc>
      </w:tr>
      <w:tr>
        <w:trPr>
          <w:trHeight w:val="1" w:hRule="atLeast"/>
          <w:jc w:val="left"/>
        </w:trPr>
        <w:tc>
          <w:tcPr>
            <w:tcW w:w="3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Výkonné vedenie</w:t>
            </w:r>
          </w:p>
        </w:tc>
        <w:tc>
          <w:tcPr>
            <w:tcW w:w="32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Konate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</w:p>
        </w:tc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Marc Thierry Siracusa</w:t>
            </w:r>
          </w:p>
        </w:tc>
      </w:tr>
    </w:tbl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0"/>
        </w:numPr>
        <w:tabs>
          <w:tab w:val="left" w:pos="567" w:leader="none"/>
        </w:tabs>
        <w:spacing w:before="0" w:after="0" w:line="240"/>
        <w:ind w:right="0" w:left="432" w:hanging="43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úra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íkov a ich podiel na základnom imaní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2024</w:t>
      </w:r>
    </w:p>
    <w:tbl>
      <w:tblPr>
        <w:tblInd w:w="108" w:type="dxa"/>
      </w:tblPr>
      <w:tblGrid>
        <w:gridCol w:w="2552"/>
        <w:gridCol w:w="1559"/>
        <w:gridCol w:w="1276"/>
        <w:gridCol w:w="1843"/>
        <w:gridCol w:w="2119"/>
        <w:gridCol w:w="1559"/>
      </w:tblGrid>
      <w:tr>
        <w:trPr>
          <w:trHeight w:val="1" w:hRule="atLeast"/>
          <w:jc w:val="left"/>
          <w:cantSplit w:val="1"/>
        </w:trPr>
        <w:tc>
          <w:tcPr>
            <w:tcW w:w="2552" w:type="dxa"/>
            <w:vMerge w:val="restart"/>
            <w:tcBorders>
              <w:top w:val="single" w:color="000000" w:sz="4"/>
              <w:left w:val="single" w:color="00000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íci</w:t>
            </w:r>
          </w:p>
        </w:tc>
        <w:tc>
          <w:tcPr>
            <w:tcW w:w="2835" w:type="dxa"/>
            <w:gridSpan w:val="2"/>
            <w:tcBorders>
              <w:top w:val="single" w:color="00000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základnom imaní</w:t>
            </w:r>
          </w:p>
        </w:tc>
        <w:tc>
          <w:tcPr>
            <w:tcW w:w="1843" w:type="dxa"/>
            <w:tcBorders>
              <w:top w:val="single" w:color="00000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Hlasovacie práva</w:t>
            </w:r>
          </w:p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%</w:t>
            </w:r>
          </w:p>
        </w:tc>
        <w:tc>
          <w:tcPr>
            <w:tcW w:w="2119" w:type="dxa"/>
            <w:tcBorders>
              <w:top w:val="single" w:color="000000" w:sz="4"/>
              <w:left w:val="single" w:color="c0c0c0" w:sz="4"/>
              <w:bottom w:val="single" w:color="c0c0c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ostatných 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ách vlastného imania v %</w:t>
            </w:r>
          </w:p>
        </w:tc>
      </w:tr>
      <w:tr>
        <w:trPr>
          <w:trHeight w:val="1" w:hRule="atLeast"/>
          <w:jc w:val="left"/>
        </w:trPr>
        <w:tc>
          <w:tcPr>
            <w:tcW w:w="2552" w:type="dxa"/>
            <w:vMerge/>
            <w:tcBorders>
              <w:top w:val="single" w:color="c0c0c0" w:sz="4"/>
              <w:left w:val="single" w:color="00000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  <w:tc>
          <w:tcPr>
            <w:tcW w:w="1276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%</w:t>
            </w:r>
          </w:p>
        </w:tc>
        <w:tc>
          <w:tcPr>
            <w:tcW w:w="1843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78" w:type="dxa"/>
            <w:gridSpan w:val="2"/>
            <w:tcBorders>
              <w:top w:val="single" w:color="c0c0c0" w:sz="4"/>
              <w:left w:val="single" w:color="c0c0c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Marc Thierry Siracusa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459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60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85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3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  <w:tr>
        <w:trPr>
          <w:trHeight w:val="1" w:hRule="atLeast"/>
          <w:jc w:val="left"/>
        </w:trPr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Celkom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84" w:leader="none"/>
                <w:tab w:val="left" w:pos="6521" w:leader="none"/>
              </w:tabs>
              <w:spacing w:before="0" w:after="0" w:line="240"/>
              <w:ind w:right="459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6.639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60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85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3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</w:tbl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52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2023</w:t>
      </w:r>
    </w:p>
    <w:tbl>
      <w:tblPr>
        <w:tblInd w:w="108" w:type="dxa"/>
      </w:tblPr>
      <w:tblGrid>
        <w:gridCol w:w="2552"/>
        <w:gridCol w:w="1559"/>
        <w:gridCol w:w="1276"/>
        <w:gridCol w:w="1843"/>
        <w:gridCol w:w="2119"/>
        <w:gridCol w:w="1559"/>
      </w:tblGrid>
      <w:tr>
        <w:trPr>
          <w:trHeight w:val="1" w:hRule="atLeast"/>
          <w:jc w:val="left"/>
          <w:cantSplit w:val="1"/>
        </w:trPr>
        <w:tc>
          <w:tcPr>
            <w:tcW w:w="2552" w:type="dxa"/>
            <w:vMerge w:val="restart"/>
            <w:tcBorders>
              <w:top w:val="single" w:color="000000" w:sz="4"/>
              <w:left w:val="single" w:color="00000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íci</w:t>
            </w:r>
          </w:p>
        </w:tc>
        <w:tc>
          <w:tcPr>
            <w:tcW w:w="2835" w:type="dxa"/>
            <w:gridSpan w:val="2"/>
            <w:tcBorders>
              <w:top w:val="single" w:color="00000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základnom imaní</w:t>
            </w:r>
          </w:p>
        </w:tc>
        <w:tc>
          <w:tcPr>
            <w:tcW w:w="1843" w:type="dxa"/>
            <w:tcBorders>
              <w:top w:val="single" w:color="00000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Hlasovacie práva</w:t>
            </w:r>
          </w:p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%</w:t>
            </w:r>
          </w:p>
        </w:tc>
        <w:tc>
          <w:tcPr>
            <w:tcW w:w="2119" w:type="dxa"/>
            <w:tcBorders>
              <w:top w:val="single" w:color="000000" w:sz="4"/>
              <w:left w:val="single" w:color="c0c0c0" w:sz="4"/>
              <w:bottom w:val="single" w:color="c0c0c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ostatných 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ách vlastného imania v %</w:t>
            </w:r>
          </w:p>
        </w:tc>
      </w:tr>
      <w:tr>
        <w:trPr>
          <w:trHeight w:val="1" w:hRule="atLeast"/>
          <w:jc w:val="left"/>
        </w:trPr>
        <w:tc>
          <w:tcPr>
            <w:tcW w:w="2552" w:type="dxa"/>
            <w:vMerge/>
            <w:tcBorders>
              <w:top w:val="single" w:color="c0c0c0" w:sz="4"/>
              <w:left w:val="single" w:color="00000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 EUR</w:t>
            </w:r>
          </w:p>
        </w:tc>
        <w:tc>
          <w:tcPr>
            <w:tcW w:w="1276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v %</w:t>
            </w:r>
          </w:p>
        </w:tc>
        <w:tc>
          <w:tcPr>
            <w:tcW w:w="1843" w:type="dxa"/>
            <w:tcBorders>
              <w:top w:val="single" w:color="c0c0c0" w:sz="4"/>
              <w:left w:val="single" w:color="c0c0c0" w:sz="4"/>
              <w:bottom w:val="single" w:color="000000" w:sz="4"/>
              <w:right w:val="single" w:color="c0c0c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78" w:type="dxa"/>
            <w:gridSpan w:val="2"/>
            <w:tcBorders>
              <w:top w:val="single" w:color="c0c0c0" w:sz="4"/>
              <w:left w:val="single" w:color="c0c0c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Marc Thierry Siracusa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459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60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85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3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  <w:tr>
        <w:trPr>
          <w:trHeight w:val="1" w:hRule="atLeast"/>
          <w:jc w:val="left"/>
        </w:trPr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Celkom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84" w:leader="none"/>
                <w:tab w:val="left" w:pos="6521" w:leader="none"/>
              </w:tabs>
              <w:spacing w:before="0" w:after="0" w:line="240"/>
              <w:ind w:right="459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6.639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60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851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3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52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</w:tbl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INFORMÁCIE O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ÝCH METÓDACH A V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ÝCH Ú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ÝCH ZÁSADÁCH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uplatňuje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princípy a postupy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čtovania v 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úlade so zákonom o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íctve a s postupmi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čtovania pre podnikateľov,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platia v Slovenskej republike.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íctvo sa vedie v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jednotkách €, t. j. v eurách. 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íctvo sa vedie na základe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žania časovej a vecnej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úvislosti nákladov a výnosov. Za základ sa berú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šetky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áklady a výnosy,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obdobie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ľadu na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átum ich platenia. 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majetku a záväzkov sa uplat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ňuje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ásada opatrnosti, t. j. berú sa za základ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šetky rizik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á, straty a 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ženia hodnoty,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sa týkajú majetku a záväzkov a sú známe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závierka.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Moment 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čtovania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ýnosov. Výnosy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pri splnení dodacích podmienok, nako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ľko v tomto okamihu prech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ádzajú na odberate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ýznamné riziká a vlastnícke práva.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Dlhodobé a krátkodobé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ávky, záväzky, úvery a 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žičky.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ávky a záväzky sa v súvahe vykazujú ako dlhodobé alebo krátkodobé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zostatkovej doby splatnosti ku dňu,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dlhodobej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ávky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záväzku, ktorých splatnos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 nie je dlhšia ako jeden rok odo dňa,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závierka, sa vykazuje v súvahe ako krátkodobá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ávka alebo krátkodobý záväzok.</w:t>
      </w:r>
    </w:p>
    <w:p>
      <w:pPr>
        <w:tabs>
          <w:tab w:val="left" w:pos="425" w:leader="none"/>
        </w:tabs>
        <w:spacing w:before="0" w:after="0" w:line="240"/>
        <w:ind w:right="0" w:left="567" w:hanging="56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žitie odhadov. Zostavenie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 si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žaduje, aby vedenie podniku vypracovalo odhady a predpoklady,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majú vplyv na vykazované sumy aktív a pasív, uvedenie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budúcich aktív a pasív k dátumu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ávierky, ako aj na vykazovanú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šku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ýnosov a nákladov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 roka. Skutočn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výsledky sa mô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žu od 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ýchto odhadov 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šiť.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8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ocenenia jednotlivých zlo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prvé ocenenie</w:t>
      </w:r>
    </w:p>
    <w:p>
      <w:pPr>
        <w:tabs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obstaraní majetku sa uplat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ňuje princ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íp obstarávacích cien (t. j. historických cien). Ocenenie jednotlivých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je takéto:</w:t>
      </w:r>
    </w:p>
    <w:p>
      <w:pPr>
        <w:tabs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2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dlhodobý hmotný a nehmotný majetok obstaraný kúpou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obstarávacia cena je cena, za ktorú sa majetok obstaral, a náklady súvisiace s jeho obstaraním (prepravné a clo),</w:t>
      </w:r>
    </w:p>
    <w:p>
      <w:pPr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4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dlhodobý hmotný majetok vytvorený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činnosťou -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ými nákladmi; vlastné náklady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ŕňaj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priame náklady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činnosť, a nepriame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činnosť,</w:t>
      </w:r>
    </w:p>
    <w:p>
      <w:pPr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6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dlhodobý nehmotný a hmotný majetok obstaraný iným spôsobom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reproduk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ávacou cenou v prípade bezodplatného nadobudnutia majetku alebo majetku novo zisteného pri inventarizácii; t. j. cenou, za ktorú by sa majetok obstaral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čase, keď sa o ňom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čtuje,</w:t>
      </w:r>
    </w:p>
    <w:p>
      <w:pPr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majetok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obstarávacia cena predstavuje cenu, za ktorú sa majetok obstaral, a náklady súvisiace s jeho obstaraním (poplatky a provízie maklérom, poradcom, burzám),</w:t>
      </w:r>
    </w:p>
    <w:p>
      <w:pPr>
        <w:tabs>
          <w:tab w:val="left" w:pos="530" w:leader="none"/>
        </w:tabs>
        <w:spacing w:before="0" w:after="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zásoby obstarané kúpou:</w:t>
      </w:r>
    </w:p>
    <w:p>
      <w:pPr>
        <w:tabs>
          <w:tab w:val="left" w:pos="709" w:leader="none"/>
        </w:tabs>
        <w:spacing w:before="0" w:after="0" w:line="240"/>
        <w:ind w:right="0" w:left="1701" w:hanging="28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nakupovaný materiál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pri úbytku rovnakého druhu zásob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 metóda FIFO,</w:t>
      </w:r>
    </w:p>
    <w:p>
      <w:pPr>
        <w:tabs>
          <w:tab w:val="left" w:pos="709" w:leader="none"/>
        </w:tabs>
        <w:spacing w:before="0" w:after="0" w:line="240"/>
        <w:ind w:right="0" w:left="1701" w:hanging="261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nakupovaný tovar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pri úbytku rovnakého druhu zásob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 metóda FIFO,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zásoby vytvorené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činnosťou:</w:t>
      </w:r>
    </w:p>
    <w:p>
      <w:pPr>
        <w:tabs>
          <w:tab w:val="left" w:pos="709" w:leader="none"/>
        </w:tabs>
        <w:spacing w:before="0" w:after="0" w:line="240"/>
        <w:ind w:right="0" w:left="1701" w:hanging="28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nedokon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výroba, polotovary a výrobky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vlastnými nákladmi, ktoré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ŕňaj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priame náklady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činnosť,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ípadne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nepriamych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ákladov,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na výrobu alebo na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činnosť,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7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zásoby obstarané iným spôsobom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reproduk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ávacou cenou v prípade bezodplatného nadobudnutia zásob alebo zásob novo zistených pri inventarizácii; t. j. cenou, za ktorú by sa majetok obstaral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čase, keď sa o ňom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9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ávky: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ich vzniku alebo bezodplatnom nadobudnutí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hodnotou. Hodnota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a 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ávok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žuje opravnou položkou,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odplatnom nadobudnutí (postúpení) alebo nadobudnutí vkladom do základného imania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cenou,</w:t>
      </w:r>
    </w:p>
    <w:p>
      <w:pPr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majetok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cenou; obstarávacia cena je cena, za ktorú sa majetok obstaral, a náklady súvisiace s jeho obstaraním (poplatky a provízie maklérom, poradcom, burzám),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4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 súvahy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záväzky: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ich vzniku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hodnotou, ak sa pri inventariz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ška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ávierke v tomto zistenom ocenení, pri prevzatí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cenou,</w:t>
      </w:r>
    </w:p>
    <w:p>
      <w:pPr>
        <w:tabs>
          <w:tab w:val="left" w:pos="4536" w:leader="none"/>
          <w:tab w:val="left" w:pos="9072" w:leader="none"/>
          <w:tab w:val="left" w:pos="709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9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rezervy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áväzku,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1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žičky,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úvery: 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ich vzniku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hodnotou,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 prevzatí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obstarávacou cenou,</w:t>
      </w:r>
    </w:p>
    <w:p>
      <w:pPr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Úroky z dlhopisov,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žičiek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úverov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do obdobia, s ktorým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časovo a vecne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úvisia.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6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šenie na strane pas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 súvahy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menovitou hodnotou,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8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majetok obstaraný formou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lízingu, t.j. nájom s dohodnutým právom kúpy prenajatej veci, pri ktorom majetok nájomca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 za dohodnuté platby uhrádzané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 dohodnutej doby, je aktivovan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 prijatia predmetu 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ízingu v ocenení rovnajúcom sa istine. Lízingové splátky sú rozdelené medzi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náklad a 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ženie nesplaten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záväzku, t.j. istinu.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náklad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 priamo cez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ýkaz ziskov a strát.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si uplatňuje na tento majetok odpisy.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81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 z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íjmov splatná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slovensk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zákona o daniach z príjmov sa splatné dane z príjmov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z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zisku pri sadzbe 21 %, po úpravách o niektoré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žky na daňov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čely,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84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íjmov odlo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 sa pri dočasn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rozdieloch medzi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čtovnou hodnotou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vykázanou v súvahe a ich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ňovou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ňou, pri možnosti umorovať daňov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stratu v budúcnosti a pri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žnosti previesť nevyužit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odpo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čty do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úcich období; pri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šky odloženej dane z 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íjmov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žila sadzba dane z 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íjmov platná v nasledujúcom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í, t. j. 21 %,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86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ocenenia jednotlivých zlo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nasledujúce ocenenie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88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Predpokladané riziká, straty a 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ženia hodnoty,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sa týkajú majetku a záväzkov, sa vyjadrujú prostredníctvom rezerv, opravných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žiek a odpisov: </w:t>
      </w:r>
    </w:p>
    <w:p>
      <w:pPr>
        <w:spacing w:before="0" w:after="0" w:line="240"/>
        <w:ind w:right="0" w:left="108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Rezervy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ške,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áväzku. </w:t>
      </w:r>
    </w:p>
    <w:p>
      <w:pPr>
        <w:spacing w:before="0" w:after="0" w:line="240"/>
        <w:ind w:right="0" w:left="65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92"/>
        </w:numPr>
        <w:tabs>
          <w:tab w:val="left" w:pos="1440" w:leader="none"/>
        </w:tabs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Podiely na základnom imaní v obchodných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čnostiach sa ponech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ávajú v pôvodnom ocenení. Ocenenie je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opravnou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žkou.</w:t>
      </w:r>
    </w:p>
    <w:p>
      <w:pPr>
        <w:spacing w:before="0" w:after="0" w:line="240"/>
        <w:ind w:right="0" w:left="108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709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95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čet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údajov v cudzích menách na € - Majetok a záväzky vyjadrené v 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ítavajú na € menu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 v kurzovom lístku ECB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prípadu a 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ávierke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 jej zostavenia. Pri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úpe a predaji cudzej meny za euro menu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žil kurz,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boli tieto hodnoty nakúpené alebo predané.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dlhodobom nehmotnom majetku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dlhodobom hmotnom majetku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dlhodobom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opravných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zásobách, na ktoré je zriadené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právo a o zásobách, pri ktorých má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obmedzené právo s nimi naklada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vekovej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ávok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 o vývoji opravnej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ávkam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čenia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krátkodobom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čty (r. 21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ávierky)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majetok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úre (v €)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tbl>
      <w:tblPr>
        <w:tblInd w:w="70" w:type="dxa"/>
      </w:tblPr>
      <w:tblGrid>
        <w:gridCol w:w="5387"/>
        <w:gridCol w:w="1984"/>
        <w:gridCol w:w="1984"/>
      </w:tblGrid>
      <w:tr>
        <w:trPr>
          <w:trHeight w:val="1" w:hRule="atLeast"/>
          <w:jc w:val="left"/>
          <w:cantSplit w:val="1"/>
        </w:trPr>
        <w:tc>
          <w:tcPr>
            <w:tcW w:w="53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žka 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2024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2023</w:t>
            </w:r>
          </w:p>
        </w:tc>
      </w:tr>
      <w:tr>
        <w:trPr>
          <w:trHeight w:val="1" w:hRule="atLeast"/>
          <w:jc w:val="left"/>
        </w:trPr>
        <w:tc>
          <w:tcPr>
            <w:tcW w:w="53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prostriedky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3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a 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 bank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ách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8 979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070</w:t>
            </w:r>
          </w:p>
        </w:tc>
      </w:tr>
      <w:tr>
        <w:trPr>
          <w:trHeight w:val="1" w:hRule="atLeast"/>
          <w:jc w:val="left"/>
        </w:trPr>
        <w:tc>
          <w:tcPr>
            <w:tcW w:w="53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8 979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7 070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krátkodobom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čnom majetku, na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právo a o krátkodobom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čnom majetku, pri ktorom 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obmedzené právo s ním naklada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 o 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šenia na strane akt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ív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Informácie o majetku prenajatom formou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ého prenájmu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Údaje vykázané na strane PasÍv súvahy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Vlastné imanie 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Informácie o vlastnom imaní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Základné imanie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čnosti pozost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 z vkladu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íka Marc Thierry Siracusa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ške 6638,78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€.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rozdelení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Rozdelenie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zisku  alebo vyrovnanie straty za rok 2023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6804"/>
        <w:gridCol w:w="2268"/>
      </w:tblGrid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prídelu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Schválené vysporiadanie VH  za  rok  2023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 zvý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fondov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ostatných fondov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žitie na vyrovnanie straty z minul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Dividendy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 minulých období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496</w:t>
            </w:r>
          </w:p>
        </w:tc>
      </w:tr>
      <w:tr>
        <w:trPr>
          <w:trHeight w:val="1" w:hRule="atLeast"/>
          <w:jc w:val="left"/>
        </w:trPr>
        <w:tc>
          <w:tcPr>
            <w:tcW w:w="68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VH na rozdelenie spolu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496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rezervách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záväzkoch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Záväzky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ška kr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átkodobých záväzkov do lehoty a po lehote splatnosti vrátane skupiny: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Dlhodobé záväzky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zostatkovej doby splatnosti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odlo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ávke alebo odlo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 o bankových úveroch, pô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šenia na strane pas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ív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 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Deriváty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tržby z predaja tovaru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zmene stavu vnútroorganiza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Ostatné výnosy z hospodárskej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činnosti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Výnosy z 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čnej činnosti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nákladoch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Náklady z 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činnosti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Ostatné náklady z hospodárskej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činnosti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náklady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820"/>
        <w:gridCol w:w="1701"/>
        <w:gridCol w:w="1701"/>
      </w:tblGrid>
      <w:tr>
        <w:trPr>
          <w:trHeight w:val="1" w:hRule="atLeast"/>
          <w:jc w:val="left"/>
        </w:trPr>
        <w:tc>
          <w:tcPr>
            <w:tcW w:w="482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žka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2024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2023</w:t>
            </w:r>
          </w:p>
        </w:tc>
      </w:tr>
      <w:tr>
        <w:trPr>
          <w:trHeight w:val="1" w:hRule="atLeast"/>
          <w:jc w:val="left"/>
        </w:trPr>
        <w:tc>
          <w:tcPr>
            <w:tcW w:w="48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na 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318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318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</w:tr>
      <w:tr>
        <w:trPr>
          <w:trHeight w:val="1" w:hRule="atLeast"/>
          <w:jc w:val="left"/>
        </w:trPr>
        <w:tc>
          <w:tcPr>
            <w:tcW w:w="48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nformácia o daniach z príjmov</w:t>
      </w:r>
    </w:p>
    <w:p>
      <w:pPr>
        <w:tabs>
          <w:tab w:val="left" w:pos="907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tbl>
      <w:tblPr>
        <w:tblInd w:w="108" w:type="dxa"/>
      </w:tblPr>
      <w:tblGrid>
        <w:gridCol w:w="4253"/>
        <w:gridCol w:w="1701"/>
        <w:gridCol w:w="170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žka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2024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2023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celkom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</w:p>
    <w:tbl>
      <w:tblPr>
        <w:tblInd w:w="108" w:type="dxa"/>
      </w:tblPr>
      <w:tblGrid>
        <w:gridCol w:w="5670"/>
        <w:gridCol w:w="1701"/>
        <w:gridCol w:w="1701"/>
      </w:tblGrid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Polo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žka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2024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2023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VH pred zdanením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1909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1496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Minim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lna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340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upravujúcich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žiek: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176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žky 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176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čitateľn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žky 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00" w:hRule="auto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zmeny sadzby dane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00" w:hRule="auto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straty 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cccccc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2" w:hanging="142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celkom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c0c0c0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Informácie o podsúvahových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ách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podmienených záväzkoch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726" w:leader="none"/>
          <w:tab w:val="left" w:pos="1425" w:leader="none"/>
          <w:tab w:val="left" w:pos="2159" w:leader="none"/>
          <w:tab w:val="left" w:pos="2892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príjmoch a výhodách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árnych orgánov, dozorných orgánov a iných orgánov</w:t>
      </w:r>
    </w:p>
    <w:p>
      <w:pPr>
        <w:tabs>
          <w:tab w:val="left" w:pos="726" w:leader="none"/>
          <w:tab w:val="left" w:pos="1425" w:leader="none"/>
          <w:tab w:val="left" w:pos="2159" w:leader="none"/>
          <w:tab w:val="left" w:pos="2892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tabs>
          <w:tab w:val="left" w:pos="425" w:leader="none"/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SKUTO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ČNOSTI,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ZÁVIERKA A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ÁVIERKY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žiadne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num w:numId="16">
    <w:abstractNumId w:val="198"/>
  </w:num>
  <w:num w:numId="42">
    <w:abstractNumId w:val="192"/>
  </w:num>
  <w:num w:numId="44">
    <w:abstractNumId w:val="186"/>
  </w:num>
  <w:num w:numId="48">
    <w:abstractNumId w:val="180"/>
  </w:num>
  <w:num w:numId="71">
    <w:abstractNumId w:val="174"/>
  </w:num>
  <w:num w:numId="80">
    <w:abstractNumId w:val="168"/>
  </w:num>
  <w:num w:numId="126">
    <w:abstractNumId w:val="162"/>
  </w:num>
  <w:num w:numId="128">
    <w:abstractNumId w:val="156"/>
  </w:num>
  <w:num w:numId="130">
    <w:abstractNumId w:val="150"/>
  </w:num>
  <w:num w:numId="132">
    <w:abstractNumId w:val="144"/>
  </w:num>
  <w:num w:numId="134">
    <w:abstractNumId w:val="138"/>
  </w:num>
  <w:num w:numId="136">
    <w:abstractNumId w:val="132"/>
  </w:num>
  <w:num w:numId="138">
    <w:abstractNumId w:val="126"/>
  </w:num>
  <w:num w:numId="142">
    <w:abstractNumId w:val="120"/>
  </w:num>
  <w:num w:numId="144">
    <w:abstractNumId w:val="114"/>
  </w:num>
  <w:num w:numId="146">
    <w:abstractNumId w:val="108"/>
  </w:num>
  <w:num w:numId="148">
    <w:abstractNumId w:val="102"/>
  </w:num>
  <w:num w:numId="150">
    <w:abstractNumId w:val="96"/>
  </w:num>
  <w:num w:numId="154">
    <w:abstractNumId w:val="90"/>
  </w:num>
  <w:num w:numId="157">
    <w:abstractNumId w:val="84"/>
  </w:num>
  <w:num w:numId="159">
    <w:abstractNumId w:val="78"/>
  </w:num>
  <w:num w:numId="162">
    <w:abstractNumId w:val="72"/>
  </w:num>
  <w:num w:numId="164">
    <w:abstractNumId w:val="66"/>
  </w:num>
  <w:num w:numId="166">
    <w:abstractNumId w:val="60"/>
  </w:num>
  <w:num w:numId="169">
    <w:abstractNumId w:val="54"/>
  </w:num>
  <w:num w:numId="171">
    <w:abstractNumId w:val="48"/>
  </w:num>
  <w:num w:numId="176">
    <w:abstractNumId w:val="42"/>
  </w:num>
  <w:num w:numId="178">
    <w:abstractNumId w:val="36"/>
  </w:num>
  <w:num w:numId="181">
    <w:abstractNumId w:val="30"/>
  </w:num>
  <w:num w:numId="184">
    <w:abstractNumId w:val="24"/>
  </w:num>
  <w:num w:numId="186">
    <w:abstractNumId w:val="18"/>
  </w:num>
  <w:num w:numId="188">
    <w:abstractNumId w:val="12"/>
  </w:num>
  <w:num w:numId="192">
    <w:abstractNumId w:val="6"/>
  </w:num>
  <w:num w:numId="19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