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  <w:t>A.)  Všeobecná časť</w:t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widowControl/>
        <w:tabs>
          <w:tab w:val="clear" w:pos="708"/>
          <w:tab w:val="left" w:pos="284" w:leader="none"/>
        </w:tabs>
        <w:ind w:left="720" w:hanging="0"/>
        <w:jc w:val="both"/>
        <w:rPr>
          <w:rFonts w:ascii="Arial Narrow" w:hAnsi="Arial Narrow" w:eastAsia="SimSun" w:cs="Arial Narrow"/>
          <w:color w:val="auto"/>
          <w:kern w:val="2"/>
          <w:sz w:val="22"/>
          <w:szCs w:val="22"/>
          <w:lang w:val="sk-SK" w:eastAsia="zh-CN" w:bidi="hi-IN"/>
        </w:rPr>
      </w:pPr>
      <w:r>
        <w:rPr>
          <w:rFonts w:eastAsia="SimSun" w:cs="Arial Narrow" w:ascii="Arial Narrow" w:hAnsi="Arial Narrow"/>
          <w:color w:val="auto"/>
          <w:kern w:val="2"/>
          <w:sz w:val="22"/>
          <w:szCs w:val="22"/>
          <w:lang w:val="sk-SK" w:eastAsia="zh-CN" w:bidi="hi-IN"/>
        </w:rPr>
        <w:t>Miloš &amp; Marek, s.r.o.</w:t>
      </w:r>
    </w:p>
    <w:p>
      <w:pPr>
        <w:pStyle w:val="Standard"/>
        <w:widowControl/>
        <w:tabs>
          <w:tab w:val="clear" w:pos="708"/>
          <w:tab w:val="left" w:pos="284" w:leader="none"/>
        </w:tabs>
        <w:ind w:left="720" w:hanging="0"/>
        <w:jc w:val="both"/>
        <w:rPr>
          <w:rFonts w:ascii="Arial Narrow" w:hAnsi="Arial Narrow" w:eastAsia="SimSun" w:cs="Arial Narrow"/>
          <w:color w:val="auto"/>
          <w:kern w:val="2"/>
          <w:sz w:val="22"/>
          <w:szCs w:val="22"/>
          <w:lang w:val="sk-SK" w:eastAsia="zh-CN" w:bidi="hi-IN"/>
        </w:rPr>
      </w:pPr>
      <w:r>
        <w:rPr>
          <w:rFonts w:eastAsia="SimSun" w:cs="Arial Narrow" w:ascii="Arial Narrow" w:hAnsi="Arial Narrow"/>
          <w:color w:val="auto"/>
          <w:kern w:val="2"/>
          <w:sz w:val="22"/>
          <w:szCs w:val="22"/>
          <w:lang w:val="sk-SK" w:eastAsia="zh-CN" w:bidi="hi-IN"/>
        </w:rPr>
        <w:t>Jánošíková 67/17</w:t>
      </w:r>
    </w:p>
    <w:p>
      <w:pPr>
        <w:pStyle w:val="Standard"/>
        <w:widowControl/>
        <w:tabs>
          <w:tab w:val="clear" w:pos="708"/>
          <w:tab w:val="left" w:pos="284" w:leader="none"/>
        </w:tabs>
        <w:ind w:left="720" w:hanging="0"/>
        <w:jc w:val="both"/>
        <w:rPr>
          <w:rFonts w:ascii="Arial Narrow" w:hAnsi="Arial Narrow" w:eastAsia="SimSun" w:cs="Arial Narrow"/>
          <w:color w:val="auto"/>
          <w:kern w:val="2"/>
          <w:sz w:val="22"/>
          <w:szCs w:val="22"/>
          <w:lang w:val="sk-SK" w:eastAsia="zh-CN" w:bidi="hi-IN"/>
        </w:rPr>
      </w:pPr>
      <w:r>
        <w:rPr>
          <w:rFonts w:eastAsia="SimSun" w:cs="Arial Narrow" w:ascii="Arial Narrow" w:hAnsi="Arial Narrow"/>
          <w:color w:val="auto"/>
          <w:kern w:val="2"/>
          <w:sz w:val="22"/>
          <w:szCs w:val="22"/>
          <w:lang w:val="sk-SK" w:eastAsia="zh-CN" w:bidi="hi-IN"/>
        </w:rPr>
        <w:t>98052 Hrachov0</w:t>
      </w:r>
    </w:p>
    <w:p>
      <w:pPr>
        <w:pStyle w:val="Standard"/>
        <w:ind w:left="42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84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Spoločnosť bola založená a vznikla </w:t>
      </w:r>
      <w:r>
        <w:rPr>
          <w:rFonts w:cs="Arial Narrow" w:ascii="Arial Narrow" w:hAnsi="Arial Narrow"/>
          <w:sz w:val="22"/>
          <w:szCs w:val="22"/>
        </w:rPr>
        <w:t>18.04.2023</w:t>
      </w:r>
    </w:p>
    <w:p>
      <w:pPr>
        <w:pStyle w:val="Standard"/>
        <w:keepNext w:val="true"/>
        <w:spacing w:before="0" w:after="60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Standard"/>
        <w:numPr>
          <w:ilvl w:val="0"/>
          <w:numId w:val="4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Predmet podnikania:      </w:t>
      </w:r>
    </w:p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441"/>
        <w:gridCol w:w="3196"/>
      </w:tblGrid>
      <w:tr>
        <w:trPr/>
        <w:tc>
          <w:tcPr>
            <w:tcW w:w="6441" w:type="dxa"/>
            <w:tcBorders/>
            <w:vAlign w:val="center"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 w:ascii="Arial CE;Helvetica CE;Arial;sans-serif" w:hAnsi="Arial CE;Helvetica CE;Arial;sans-serif"/>
                <w:b/>
                <w:color w:val="000000"/>
                <w:kern w:val="0"/>
                <w:lang w:eastAsia="sk-SK" w:bidi="ar-SA"/>
              </w:rPr>
              <w:t>Kúpa tovaru na účely jeho predaja konečnému spotrebiteľovi(maloobchod) alebo iným prevádzkovateľom živnosti(veľkoobchod)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br/>
              <w:t>  </w:t>
            </w:r>
            <w:r>
              <w:rPr>
                <w:rFonts w:eastAsia="Times New Roman" w:cs="Times New Roman" w:ascii="Arial CE;Helvetica CE;Arial;sans-serif" w:hAnsi="Arial CE;Helvetica CE;Arial;sans-serif"/>
                <w:b/>
                <w:color w:val="000000"/>
                <w:kern w:val="0"/>
                <w:lang w:eastAsia="sk-SK" w:bidi="ar-SA"/>
              </w:rPr>
              <w:t>(od: 18.04.2023)Sprostredkovateľská činnosť v oblasti obchodu, služieb a výroby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br/>
              <w:t>  </w:t>
            </w:r>
            <w:r>
              <w:rPr>
                <w:rFonts w:eastAsia="Times New Roman" w:cs="Times New Roman" w:ascii="Arial CE;Helvetica CE;Arial;sans-serif" w:hAnsi="Arial CE;Helvetica CE;Arial;sans-serif"/>
                <w:b/>
                <w:color w:val="000000"/>
                <w:kern w:val="0"/>
                <w:lang w:eastAsia="sk-SK" w:bidi="ar-SA"/>
              </w:rPr>
              <w:t>(od: 18.04.2023)Reklamné, marketingové, fotografické a informačné služby, prieskum trhu a verejnej mienky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br/>
              <w:t>  </w:t>
            </w:r>
            <w:r>
              <w:rPr>
                <w:rFonts w:eastAsia="Times New Roman" w:cs="Times New Roman" w:ascii="Arial CE;Helvetica CE;Arial;sans-serif" w:hAnsi="Arial CE;Helvetica CE;Arial;sans-serif"/>
                <w:b/>
                <w:color w:val="000000"/>
                <w:kern w:val="0"/>
                <w:lang w:eastAsia="sk-SK" w:bidi="ar-SA"/>
              </w:rPr>
              <w:t>(od: 18.04.2023)Poskytovanie služieb osobného charakteru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br/>
              <w:t>  </w:t>
            </w:r>
            <w:r>
              <w:rPr>
                <w:rFonts w:eastAsia="Times New Roman" w:cs="Times New Roman" w:ascii="Arial CE;Helvetica CE;Arial;sans-serif" w:hAnsi="Arial CE;Helvetica CE;Arial;sans-serif"/>
                <w:b/>
                <w:color w:val="000000"/>
                <w:kern w:val="0"/>
                <w:lang w:eastAsia="sk-SK" w:bidi="ar-SA"/>
              </w:rPr>
              <w:t>(od: 18.04.2023)Prípravné práce k realizácii stavby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br/>
              <w:t>  </w:t>
            </w:r>
            <w:r>
              <w:rPr>
                <w:rFonts w:eastAsia="Times New Roman" w:cs="Times New Roman" w:ascii="Arial CE;Helvetica CE;Arial;sans-serif" w:hAnsi="Arial CE;Helvetica CE;Arial;sans-serif"/>
                <w:b/>
                <w:color w:val="000000"/>
                <w:kern w:val="0"/>
                <w:lang w:eastAsia="sk-SK" w:bidi="ar-SA"/>
              </w:rPr>
              <w:t>(od: 18.04.2023)Uskutočňovanie stavieb a ich zmien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br/>
              <w:t>  </w:t>
            </w:r>
            <w:r>
              <w:rPr>
                <w:rFonts w:eastAsia="Times New Roman" w:cs="Times New Roman" w:ascii="Arial CE;Helvetica CE;Arial;sans-serif" w:hAnsi="Arial CE;Helvetica CE;Arial;sans-serif"/>
                <w:b/>
                <w:color w:val="000000"/>
                <w:kern w:val="0"/>
                <w:lang w:eastAsia="sk-SK" w:bidi="ar-SA"/>
              </w:rPr>
              <w:t>(od: 18.04.2023)Dokončovacie stavebné práce pri realizácii exteriérov a interiérov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br/>
              <w:t>  </w:t>
            </w:r>
            <w:r>
              <w:rPr>
                <w:rFonts w:eastAsia="Times New Roman" w:cs="Times New Roman" w:ascii="Arial CE;Helvetica CE;Arial;sans-serif" w:hAnsi="Arial CE;Helvetica CE;Arial;sans-serif"/>
                <w:b/>
                <w:color w:val="000000"/>
                <w:kern w:val="0"/>
                <w:lang w:eastAsia="sk-SK" w:bidi="ar-SA"/>
              </w:rPr>
              <w:t>(od: 18.04.2023)Ubytovacie služby bez poskytovania pohostinských činností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br/>
              <w:t>  </w:t>
            </w:r>
            <w:r>
              <w:rPr>
                <w:rFonts w:eastAsia="Times New Roman" w:cs="Times New Roman" w:ascii="Arial CE;Helvetica CE;Arial;sans-serif" w:hAnsi="Arial CE;Helvetica CE;Arial;sans-serif"/>
                <w:b/>
                <w:color w:val="000000"/>
                <w:kern w:val="0"/>
                <w:lang w:eastAsia="sk-SK" w:bidi="ar-SA"/>
              </w:rPr>
              <w:t>(od: 18.04.2023)Poskytovanie služieb rýchleho občerstvenia v spojení s predajom na priamu konzumáciu, prevádzkovanie výdajne stravy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br/>
              <w:t>  </w:t>
            </w:r>
            <w:r>
              <w:rPr>
                <w:rFonts w:eastAsia="Times New Roman" w:cs="Times New Roman" w:ascii="Arial CE;Helvetica CE;Arial;sans-serif" w:hAnsi="Arial CE;Helvetica CE;Arial;sans-serif"/>
                <w:b/>
                <w:color w:val="000000"/>
                <w:kern w:val="0"/>
                <w:lang w:eastAsia="sk-SK" w:bidi="ar-SA"/>
              </w:rPr>
              <w:t>(od: 18.04.2023)Vydavateľská činnosť, polygrafická výroba a knihárske práce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br/>
              <w:t>  </w:t>
            </w:r>
            <w:r>
              <w:rPr>
                <w:rFonts w:eastAsia="Times New Roman" w:cs="Times New Roman" w:ascii="Arial CE;Helvetica CE;Arial;sans-serif" w:hAnsi="Arial CE;Helvetica CE;Arial;sans-serif"/>
                <w:b/>
                <w:color w:val="000000"/>
                <w:kern w:val="0"/>
                <w:lang w:eastAsia="sk-SK" w:bidi="ar-SA"/>
              </w:rPr>
              <w:t>(od: 18.04.2023)Počítačové služby a služby súvisiace s počítačovým spracovaním údajov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br/>
              <w:t>  </w:t>
            </w:r>
            <w:r>
              <w:rPr>
                <w:rFonts w:eastAsia="Times New Roman" w:cs="Times New Roman" w:ascii="Arial CE;Helvetica CE;Arial;sans-serif" w:hAnsi="Arial CE;Helvetica CE;Arial;sans-serif"/>
                <w:b/>
                <w:color w:val="000000"/>
                <w:kern w:val="0"/>
                <w:lang w:eastAsia="sk-SK" w:bidi="ar-SA"/>
              </w:rPr>
              <w:t>(od: 18.04.2023)Vedenie účtovníctva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br/>
              <w:t>  </w:t>
            </w:r>
            <w:r>
              <w:rPr>
                <w:rFonts w:eastAsia="Times New Roman" w:cs="Times New Roman" w:ascii="Arial CE;Helvetica CE;Arial;sans-serif" w:hAnsi="Arial CE;Helvetica CE;Arial;sans-serif"/>
                <w:b/>
                <w:color w:val="000000"/>
                <w:kern w:val="0"/>
                <w:lang w:eastAsia="sk-SK" w:bidi="ar-SA"/>
              </w:rPr>
              <w:t>(od: 18.04.2023)Činnosť podnikateľských, organizačných a ekonomických poradcov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br/>
              <w:t>  </w:t>
            </w:r>
            <w:r>
              <w:rPr>
                <w:rFonts w:eastAsia="Times New Roman" w:cs="Times New Roman" w:ascii="Arial CE;Helvetica CE;Arial;sans-serif" w:hAnsi="Arial CE;Helvetica CE;Arial;sans-serif"/>
                <w:b/>
                <w:color w:val="000000"/>
                <w:kern w:val="0"/>
                <w:lang w:eastAsia="sk-SK" w:bidi="ar-SA"/>
              </w:rPr>
              <w:t>(od: 18.04.2023)Čistiace a upratovacie služby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br/>
              <w:t>  </w:t>
            </w:r>
            <w:r>
              <w:rPr>
                <w:rFonts w:eastAsia="Times New Roman" w:cs="Times New Roman" w:ascii="Arial CE;Helvetica CE;Arial;sans-serif" w:hAnsi="Arial CE;Helvetica CE;Arial;sans-serif"/>
                <w:b/>
                <w:color w:val="000000"/>
                <w:kern w:val="0"/>
                <w:lang w:eastAsia="sk-SK" w:bidi="ar-SA"/>
              </w:rPr>
              <w:t>(od: 18.04.2023)Služby v oblasti administratívnej správy a služby organizačno- hospodárskej povahy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br/>
              <w:t>  </w:t>
            </w:r>
            <w:r>
              <w:rPr>
                <w:rFonts w:eastAsia="Times New Roman" w:cs="Times New Roman" w:ascii="Arial CE;Helvetica CE;Arial;sans-serif" w:hAnsi="Arial CE;Helvetica CE;Arial;sans-serif"/>
                <w:b/>
                <w:color w:val="000000"/>
                <w:kern w:val="0"/>
                <w:lang w:eastAsia="sk-SK" w:bidi="ar-SA"/>
              </w:rPr>
              <w:t>(od: 18.04.2023)Mimoškolská vzdelávacia činnosť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br/>
              <w:t>  </w:t>
            </w:r>
            <w:r>
              <w:rPr>
                <w:rFonts w:eastAsia="Times New Roman" w:cs="Times New Roman" w:ascii="Arial CE;Helvetica CE;Arial;sans-serif" w:hAnsi="Arial CE;Helvetica CE;Arial;sans-serif"/>
                <w:b/>
                <w:color w:val="000000"/>
                <w:kern w:val="0"/>
                <w:lang w:eastAsia="sk-SK" w:bidi="ar-SA"/>
              </w:rPr>
              <w:t>(od: 18.04.2023)Prevádzkovanie kultúrnych, spoločenských, zábavných, športových zariadení a zariadení slúžiacich na regenerácia a rekondíciu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br/>
              <w:t>  </w:t>
            </w:r>
            <w:r>
              <w:rPr>
                <w:rFonts w:eastAsia="Times New Roman" w:cs="Times New Roman" w:ascii="Arial CE;Helvetica CE;Arial;sans-serif" w:hAnsi="Arial CE;Helvetica CE;Arial;sans-serif"/>
                <w:b/>
                <w:color w:val="000000"/>
                <w:kern w:val="0"/>
                <w:lang w:eastAsia="sk-SK" w:bidi="ar-SA"/>
              </w:rPr>
              <w:t>(od: 18.04.2023)Organizovanie športových, kultúrnych a iných spoločenských podujatí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br/>
              <w:t>  </w:t>
            </w:r>
            <w:r>
              <w:rPr>
                <w:rFonts w:eastAsia="Times New Roman" w:cs="Times New Roman" w:ascii="Arial CE;Helvetica CE;Arial;sans-serif" w:hAnsi="Arial CE;Helvetica CE;Arial;sans-serif"/>
                <w:b/>
                <w:color w:val="000000"/>
                <w:kern w:val="0"/>
                <w:lang w:eastAsia="sk-SK" w:bidi="ar-SA"/>
              </w:rPr>
              <w:t>(od: 18.04.2023)Skladové, pomocné a prepravné služby v doprave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t xml:space="preserve"> </w:t>
            </w:r>
          </w:p>
        </w:tc>
        <w:tc>
          <w:tcPr>
            <w:tcW w:w="3196" w:type="dxa"/>
            <w:tcBorders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</w:r>
          </w:p>
        </w:tc>
      </w:tr>
    </w:tbl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637"/>
      </w:tblGrid>
      <w:tr>
        <w:trPr/>
        <w:tc>
          <w:tcPr>
            <w:tcW w:w="9637" w:type="dxa"/>
            <w:tcBorders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 xml:space="preserve">  </w:t>
            </w:r>
          </w:p>
        </w:tc>
      </w:tr>
    </w:tbl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441"/>
        <w:gridCol w:w="3196"/>
      </w:tblGrid>
      <w:tr>
        <w:trPr/>
        <w:tc>
          <w:tcPr>
            <w:tcW w:w="6441" w:type="dxa"/>
            <w:tcBorders/>
            <w:vAlign w:val="center"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 xml:space="preserve"> </w:t>
            </w:r>
          </w:p>
        </w:tc>
        <w:tc>
          <w:tcPr>
            <w:tcW w:w="3196" w:type="dxa"/>
            <w:tcBorders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</w:r>
          </w:p>
        </w:tc>
      </w:tr>
    </w:tbl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441"/>
        <w:gridCol w:w="3196"/>
      </w:tblGrid>
      <w:tr>
        <w:trPr/>
        <w:tc>
          <w:tcPr>
            <w:tcW w:w="6441" w:type="dxa"/>
            <w:tcBorders/>
            <w:vAlign w:val="center"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</w:r>
          </w:p>
        </w:tc>
        <w:tc>
          <w:tcPr>
            <w:tcW w:w="3196" w:type="dxa"/>
            <w:tcBorders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> </w:t>
            </w:r>
          </w:p>
        </w:tc>
      </w:tr>
    </w:tbl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441"/>
        <w:gridCol w:w="3196"/>
      </w:tblGrid>
      <w:tr>
        <w:trPr/>
        <w:tc>
          <w:tcPr>
            <w:tcW w:w="6441" w:type="dxa"/>
            <w:tcBorders/>
            <w:vAlign w:val="center"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</w:r>
          </w:p>
        </w:tc>
        <w:tc>
          <w:tcPr>
            <w:tcW w:w="3196" w:type="dxa"/>
            <w:tcBorders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</w:r>
          </w:p>
        </w:tc>
      </w:tr>
    </w:tbl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441"/>
        <w:gridCol w:w="3196"/>
      </w:tblGrid>
      <w:tr>
        <w:trPr>
          <w:trHeight w:val="450" w:hRule="atLeast"/>
        </w:trPr>
        <w:tc>
          <w:tcPr>
            <w:tcW w:w="6441" w:type="dxa"/>
            <w:tcBorders/>
            <w:vAlign w:val="center"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</w:r>
          </w:p>
        </w:tc>
        <w:tc>
          <w:tcPr>
            <w:tcW w:w="3196" w:type="dxa"/>
            <w:tcBorders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</w:r>
          </w:p>
        </w:tc>
      </w:tr>
    </w:tbl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441"/>
        <w:gridCol w:w="3196"/>
      </w:tblGrid>
      <w:tr>
        <w:trPr/>
        <w:tc>
          <w:tcPr>
            <w:tcW w:w="6441" w:type="dxa"/>
            <w:tcBorders/>
            <w:vAlign w:val="center"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</w:r>
          </w:p>
        </w:tc>
        <w:tc>
          <w:tcPr>
            <w:tcW w:w="3196" w:type="dxa"/>
            <w:tcBorders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</w:r>
          </w:p>
        </w:tc>
      </w:tr>
    </w:tbl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441"/>
        <w:gridCol w:w="3196"/>
      </w:tblGrid>
      <w:tr>
        <w:trPr/>
        <w:tc>
          <w:tcPr>
            <w:tcW w:w="6441" w:type="dxa"/>
            <w:tcBorders/>
            <w:vAlign w:val="center"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</w:r>
          </w:p>
        </w:tc>
        <w:tc>
          <w:tcPr>
            <w:tcW w:w="3196" w:type="dxa"/>
            <w:tcBorders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</w:r>
          </w:p>
        </w:tc>
      </w:tr>
    </w:tbl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441"/>
        <w:gridCol w:w="3196"/>
      </w:tblGrid>
      <w:tr>
        <w:trPr/>
        <w:tc>
          <w:tcPr>
            <w:tcW w:w="6441" w:type="dxa"/>
            <w:tcBorders/>
            <w:vAlign w:val="center"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</w:r>
          </w:p>
        </w:tc>
        <w:tc>
          <w:tcPr>
            <w:tcW w:w="3196" w:type="dxa"/>
            <w:tcBorders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</w:r>
          </w:p>
        </w:tc>
      </w:tr>
    </w:tbl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441"/>
        <w:gridCol w:w="3196"/>
      </w:tblGrid>
      <w:tr>
        <w:trPr/>
        <w:tc>
          <w:tcPr>
            <w:tcW w:w="6441" w:type="dxa"/>
            <w:tcBorders/>
            <w:vAlign w:val="center"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</w:r>
          </w:p>
        </w:tc>
        <w:tc>
          <w:tcPr>
            <w:tcW w:w="3196" w:type="dxa"/>
            <w:tcBorders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</w:r>
          </w:p>
        </w:tc>
      </w:tr>
    </w:tbl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p>
      <w:pPr>
        <w:pStyle w:val="Standard"/>
        <w:ind w:left="72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    </w:t>
      </w:r>
    </w:p>
    <w:p>
      <w:pPr>
        <w:pStyle w:val="Nzov"/>
        <w:numPr>
          <w:ilvl w:val="0"/>
          <w:numId w:val="54"/>
        </w:numPr>
        <w:ind w:left="360" w:hanging="360"/>
        <w:jc w:val="left"/>
        <w:rPr>
          <w:szCs w:val="22"/>
        </w:rPr>
      </w:pPr>
      <w:r>
        <w:rPr>
          <w:szCs w:val="22"/>
        </w:rPr>
        <w:t xml:space="preserve"> </w:t>
      </w:r>
      <w:r>
        <w:rPr>
          <w:szCs w:val="22"/>
        </w:rPr>
        <w:t>Informácie k prílohe č. 3 časti A. písm. c) o počte zamestnancov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665"/>
        <w:gridCol w:w="2621"/>
        <w:gridCol w:w="2856"/>
      </w:tblGrid>
      <w:tr>
        <w:trPr/>
        <w:tc>
          <w:tcPr>
            <w:tcW w:w="366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5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6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Priemerný prepočítaný počet zamestnancov</w:t>
            </w:r>
          </w:p>
        </w:tc>
        <w:tc>
          <w:tcPr>
            <w:tcW w:w="26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  <w:t>4</w:t>
            </w:r>
          </w:p>
        </w:tc>
        <w:tc>
          <w:tcPr>
            <w:tcW w:w="285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  <w:t>0</w:t>
            </w:r>
          </w:p>
        </w:tc>
      </w:tr>
      <w:tr>
        <w:trPr>
          <w:trHeight w:val="285" w:hRule="atLeast"/>
        </w:trPr>
        <w:tc>
          <w:tcPr>
            <w:tcW w:w="366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Stav zamestnancov ku dňu, ku ktorému sa zostavuje účtovná závierka, z toho:</w:t>
            </w:r>
          </w:p>
        </w:tc>
        <w:tc>
          <w:tcPr>
            <w:tcW w:w="26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85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366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počet vedúcich zamestnancov</w:t>
            </w:r>
          </w:p>
        </w:tc>
        <w:tc>
          <w:tcPr>
            <w:tcW w:w="26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285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</w:tr>
    </w:tbl>
    <w:p>
      <w:pPr>
        <w:pStyle w:val="Standard"/>
        <w:tabs>
          <w:tab w:val="clear" w:pos="708"/>
          <w:tab w:val="left" w:pos="142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42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d)   Spoločnosť  nevlastnila a nevlastní žiadne majetkové podiely v iných firmách.</w:t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e)  </w:t>
      </w:r>
      <w:r>
        <w:rPr>
          <w:rFonts w:cs="Arial Narrow" w:ascii="Arial Narrow" w:hAnsi="Arial Narrow"/>
          <w:sz w:val="22"/>
          <w:szCs w:val="22"/>
        </w:rPr>
        <w:t>Miloš&amp;Marek, s.r.o.</w:t>
      </w:r>
      <w:r>
        <w:rPr>
          <w:rFonts w:cs="Arial Narrow" w:ascii="Arial Narrow" w:hAnsi="Arial Narrow"/>
          <w:sz w:val="22"/>
          <w:szCs w:val="22"/>
        </w:rPr>
        <w:t>. predkladá riadnu účtovnú závierku za rok 2024 v zmysle zákona č.431/2002 Z. z. o účtovníctve v znení neskorších predpisov.</w:t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993" w:leader="none"/>
        </w:tabs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36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adpis1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05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  <w:t>B.)   Ďalšie informácie</w:t>
      </w:r>
    </w:p>
    <w:p>
      <w:pPr>
        <w:pStyle w:val="Standard"/>
        <w:jc w:val="both"/>
        <w:rPr>
          <w:rFonts w:ascii="Arial Narrow" w:hAnsi="Arial Narrow" w:cs="Arial Narrow"/>
          <w:i/>
          <w:i/>
          <w:iCs/>
          <w:sz w:val="22"/>
          <w:szCs w:val="22"/>
        </w:rPr>
      </w:pPr>
      <w:r>
        <w:rPr>
          <w:rFonts w:cs="Arial Narrow" w:ascii="Arial Narrow" w:hAnsi="Arial Narrow"/>
          <w:i/>
          <w:iCs/>
          <w:sz w:val="22"/>
          <w:szCs w:val="22"/>
        </w:rPr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a)</w:t>
        <w:tab/>
        <w:t>V priebehu účtovného obdobia za rok 2024 účtovníctvo spoločnosti bolo vedené v zmysle zákona o účtovníctve č.431/2002 Z. z. v plnom znení, účtovnej osnovy a postupov účtovníctva pre podnikateľov platnými od 01.01.2003 v plnom znení .</w:t>
      </w:r>
    </w:p>
    <w:p>
      <w:pPr>
        <w:pStyle w:val="Standard"/>
        <w:ind w:left="993" w:hanging="56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V rámci uvedených predpisov hlavný dôraz bol kladený na základné účtovné zásady, a to najmä na:</w:t>
      </w:r>
    </w:p>
    <w:p>
      <w:pPr>
        <w:pStyle w:val="Standard"/>
        <w:numPr>
          <w:ilvl w:val="0"/>
          <w:numId w:val="1"/>
        </w:numPr>
        <w:tabs>
          <w:tab w:val="clear" w:pos="708"/>
          <w:tab w:val="left" w:pos="2127" w:leader="none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časovú a vecnú súvislosť účtovných prípadov,</w:t>
      </w:r>
    </w:p>
    <w:p>
      <w:pPr>
        <w:pStyle w:val="Standard"/>
        <w:numPr>
          <w:ilvl w:val="0"/>
          <w:numId w:val="1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nepretržitosť vedenia účtovníctva,</w:t>
      </w:r>
    </w:p>
    <w:p>
      <w:pPr>
        <w:pStyle w:val="Standard"/>
        <w:numPr>
          <w:ilvl w:val="0"/>
          <w:numId w:val="1"/>
        </w:numPr>
        <w:tabs>
          <w:tab w:val="clear" w:pos="708"/>
          <w:tab w:val="left" w:pos="2127" w:leader="none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zásadu vecného a pravdivého obrazu účtovnej závierky,</w:t>
      </w:r>
    </w:p>
    <w:p>
      <w:pPr>
        <w:pStyle w:val="Standard"/>
        <w:numPr>
          <w:ilvl w:val="0"/>
          <w:numId w:val="1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celistvosť účtovníctva – vedenie účtovníctva za firmu ako celok,</w:t>
      </w:r>
    </w:p>
    <w:p>
      <w:pPr>
        <w:pStyle w:val="Standard"/>
        <w:numPr>
          <w:ilvl w:val="0"/>
          <w:numId w:val="1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vedenie účtovníctva formou sústavy účtovných zápisov, podložených účtovnými dokladmi,</w:t>
      </w:r>
    </w:p>
    <w:p>
      <w:pPr>
        <w:pStyle w:val="Standard"/>
        <w:numPr>
          <w:ilvl w:val="0"/>
          <w:numId w:val="1"/>
        </w:numPr>
        <w:tabs>
          <w:tab w:val="clear" w:pos="708"/>
          <w:tab w:val="left" w:pos="2127" w:leader="none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vedenie účtovníctva a  zostavenie účtovnej závierky v peňažných jednotkách v mene euro a v štátnom jazyku,</w:t>
      </w:r>
    </w:p>
    <w:p>
      <w:pPr>
        <w:pStyle w:val="Standard"/>
        <w:numPr>
          <w:ilvl w:val="0"/>
          <w:numId w:val="1"/>
        </w:numPr>
        <w:tabs>
          <w:tab w:val="clear" w:pos="708"/>
          <w:tab w:val="left" w:pos="2127" w:leader="none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povinnosť inventarizovania majetku, záväzkov a rozdielu majetku a záväzkov,</w:t>
      </w:r>
    </w:p>
    <w:p>
      <w:pPr>
        <w:pStyle w:val="Standard"/>
        <w:numPr>
          <w:ilvl w:val="0"/>
          <w:numId w:val="1"/>
        </w:numPr>
        <w:tabs>
          <w:tab w:val="clear" w:pos="708"/>
          <w:tab w:val="left" w:pos="2127" w:leader="none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povinnosť viesť účtovníctvo správne, úplne, preukázateľne, zrozumiteľne a spôsobom  zaručujúcim trvanlivosť účtovných záznamov.</w:t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567" w:hanging="56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b) - l) Ďalšie informácie o údajoch vykázaných v súvahe, o výnosoch, nákladoch, daniach z príjmov, o údajoch na podsúvahových účtoch, iných aktívach a pasívach, spriaznených osobách, o skutočnostiach, ktoré nastali medzi dňom, ku ktorému sa zostavuje účtovná závierka a dňom jej zostavenia, o prehľade zmien vlastného imania a prehľade peňažných tokov sú postupne uvádzané v nasledujúcich bodoch.</w:t>
      </w:r>
    </w:p>
    <w:p>
      <w:pPr>
        <w:pStyle w:val="Nadpis1"/>
        <w:rPr>
          <w:rFonts w:ascii="Arial Narrow" w:hAnsi="Arial Narrow" w:cs="Arial Narrow"/>
          <w:i/>
          <w:i/>
          <w:sz w:val="22"/>
          <w:szCs w:val="22"/>
        </w:rPr>
      </w:pPr>
      <w:r>
        <w:rPr>
          <w:rFonts w:cs="Arial Narrow" w:ascii="Arial Narrow" w:hAnsi="Arial Narrow"/>
          <w:i/>
          <w:sz w:val="22"/>
          <w:szCs w:val="22"/>
        </w:rPr>
        <w:t xml:space="preserve">C.)    Konkretizácia použitých účtovných zásad a účtovných metód  </w:t>
      </w:r>
    </w:p>
    <w:p>
      <w:pPr>
        <w:pStyle w:val="Nadpis1"/>
        <w:numPr>
          <w:ilvl w:val="0"/>
          <w:numId w:val="55"/>
        </w:numPr>
        <w:ind w:left="426" w:hanging="426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>Spoločnosť nepretržite pokračuje vo svojej činnosti a  súčasne má vytvorené všetky predpoklady nepretržite pokračovať v podnikaní aj v budúcich rokoch.</w:t>
      </w:r>
    </w:p>
    <w:p>
      <w:pPr>
        <w:pStyle w:val="Nadpis1"/>
        <w:numPr>
          <w:ilvl w:val="0"/>
          <w:numId w:val="56"/>
        </w:numPr>
        <w:tabs>
          <w:tab w:val="clear" w:pos="708"/>
          <w:tab w:val="left" w:pos="1135" w:leader="none"/>
        </w:tabs>
        <w:ind w:left="426" w:hanging="426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>V roku 2024 nenastali zmeny účtovných zásad a účtovných metód.</w:t>
      </w:r>
    </w:p>
    <w:p>
      <w:pPr>
        <w:pStyle w:val="Nadpis1"/>
        <w:numPr>
          <w:ilvl w:val="0"/>
          <w:numId w:val="57"/>
        </w:numPr>
        <w:tabs>
          <w:tab w:val="clear" w:pos="708"/>
          <w:tab w:val="left" w:pos="720" w:leader="none"/>
        </w:tabs>
        <w:ind w:left="360" w:hanging="360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>Spôsob oceňovania jednotlivých zložiek majetku :</w:t>
      </w:r>
    </w:p>
    <w:p>
      <w:pPr>
        <w:pStyle w:val="Nadpis1"/>
        <w:tabs>
          <w:tab w:val="clear" w:pos="708"/>
          <w:tab w:val="left" w:pos="1560" w:leader="none"/>
        </w:tabs>
        <w:ind w:left="780" w:hanging="360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>1.</w:t>
        <w:tab/>
        <w:t>Dlhodobý nehmotný majetok spoločnosť v roku 2024 nebol obstaraný.</w:t>
      </w:r>
    </w:p>
    <w:p>
      <w:pPr>
        <w:pStyle w:val="Standard"/>
        <w:tabs>
          <w:tab w:val="clear" w:pos="708"/>
          <w:tab w:val="left" w:pos="5786" w:leader="none"/>
        </w:tabs>
        <w:jc w:val="both"/>
        <w:rPr/>
      </w:pPr>
      <w:r>
        <w:rPr>
          <w:rFonts w:cs="Arial Narrow" w:ascii="Arial Narrow" w:hAnsi="Arial Narrow"/>
          <w:sz w:val="22"/>
          <w:szCs w:val="22"/>
        </w:rPr>
        <w:tab/>
      </w:r>
    </w:p>
    <w:p>
      <w:pPr>
        <w:pStyle w:val="Standard"/>
        <w:tabs>
          <w:tab w:val="clear" w:pos="708"/>
          <w:tab w:val="left" w:pos="360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104" w:leader="none"/>
        </w:tabs>
        <w:ind w:left="544" w:hanging="99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805" w:leader="none"/>
        </w:tabs>
        <w:ind w:left="445" w:hanging="0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adpis1"/>
        <w:rPr>
          <w:rFonts w:ascii="Arial Narrow" w:hAnsi="Arial Narrow" w:cs="Arial Narrow"/>
          <w:i/>
          <w:i/>
          <w:sz w:val="22"/>
          <w:szCs w:val="22"/>
        </w:rPr>
      </w:pPr>
      <w:r>
        <w:rPr>
          <w:rFonts w:cs="Arial Narrow" w:ascii="Arial Narrow" w:hAnsi="Arial Narrow"/>
          <w:i/>
          <w:sz w:val="22"/>
          <w:szCs w:val="22"/>
        </w:rPr>
        <w:t>F.)    Údaje vykázané na strane aktív súvahy</w:t>
      </w:r>
    </w:p>
    <w:p>
      <w:pPr>
        <w:pStyle w:val="Standard"/>
        <w:keepNext w:val="true"/>
        <w:tabs>
          <w:tab w:val="clear" w:pos="708"/>
          <w:tab w:val="left" w:pos="360" w:leader="none"/>
        </w:tabs>
        <w:rPr/>
      </w:pPr>
      <w:r>
        <w:rPr>
          <w:rFonts w:cs="Arial Narrow" w:ascii="Arial Narrow" w:hAnsi="Arial Narrow"/>
          <w:bCs/>
          <w:sz w:val="22"/>
          <w:szCs w:val="22"/>
        </w:rPr>
        <w:t>a)</w:t>
      </w:r>
      <w:r>
        <w:rPr>
          <w:rFonts w:cs="Arial Narrow" w:ascii="Arial Narrow" w:hAnsi="Arial Narrow"/>
          <w:b/>
          <w:bCs/>
          <w:sz w:val="22"/>
          <w:szCs w:val="22"/>
        </w:rPr>
        <w:t xml:space="preserve"> Informácie o dlhodobom nehmotnom majetku</w:t>
      </w:r>
    </w:p>
    <w:p>
      <w:pPr>
        <w:pStyle w:val="Standard"/>
        <w:numPr>
          <w:ilvl w:val="0"/>
          <w:numId w:val="58"/>
        </w:numPr>
        <w:tabs>
          <w:tab w:val="clear" w:pos="708"/>
          <w:tab w:val="left" w:pos="1680" w:leader="none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Prehľad o pohybe dlhodobého majetku v €</w:t>
      </w:r>
    </w:p>
    <w:p>
      <w:pPr>
        <w:pStyle w:val="Standard"/>
        <w:numPr>
          <w:ilvl w:val="0"/>
          <w:numId w:val="59"/>
        </w:numPr>
        <w:tabs>
          <w:tab w:val="clear" w:pos="708"/>
          <w:tab w:val="left" w:pos="1680" w:leader="none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Prehľad oprávok a opravných položiek  dlhodobého majetku v  €</w:t>
      </w:r>
    </w:p>
    <w:p>
      <w:pPr>
        <w:pStyle w:val="Standard"/>
        <w:numPr>
          <w:ilvl w:val="0"/>
          <w:numId w:val="60"/>
        </w:numPr>
        <w:tabs>
          <w:tab w:val="clear" w:pos="708"/>
          <w:tab w:val="left" w:pos="1680" w:leader="none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Prehľad o zostatkových hodnotách dlhodobého majetku v  €</w:t>
      </w:r>
    </w:p>
    <w:p>
      <w:pPr>
        <w:pStyle w:val="Nzov"/>
        <w:numPr>
          <w:ilvl w:val="0"/>
          <w:numId w:val="61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05" w:type="dxa"/>
        <w:jc w:val="left"/>
        <w:tblInd w:w="-45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851"/>
        <w:gridCol w:w="997"/>
        <w:gridCol w:w="851"/>
        <w:gridCol w:w="862"/>
        <w:gridCol w:w="975"/>
        <w:gridCol w:w="706"/>
        <w:gridCol w:w="848"/>
        <w:gridCol w:w="1069"/>
        <w:gridCol w:w="945"/>
      </w:tblGrid>
      <w:tr>
        <w:trPr>
          <w:trHeight w:val="334" w:hRule="atLeast"/>
        </w:trPr>
        <w:tc>
          <w:tcPr>
            <w:tcW w:w="185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Dlhodobý nehmotný majetok</w:t>
            </w:r>
          </w:p>
        </w:tc>
        <w:tc>
          <w:tcPr>
            <w:tcW w:w="7253" w:type="dxa"/>
            <w:gridSpan w:val="8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51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Softvér</w:t>
            </w:r>
          </w:p>
        </w:tc>
        <w:tc>
          <w:tcPr>
            <w:tcW w:w="86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Oceni-teľné práva</w:t>
            </w:r>
          </w:p>
        </w:tc>
        <w:tc>
          <w:tcPr>
            <w:tcW w:w="9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Goodwill</w:t>
            </w:r>
          </w:p>
        </w:tc>
        <w:tc>
          <w:tcPr>
            <w:tcW w:w="7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Ostat-ný DNM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Obsta-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rávaný DNM</w:t>
            </w:r>
          </w:p>
        </w:tc>
        <w:tc>
          <w:tcPr>
            <w:tcW w:w="106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Poskytnuté preddavky na DNM</w:t>
            </w:r>
          </w:p>
        </w:tc>
        <w:tc>
          <w:tcPr>
            <w:tcW w:w="94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5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99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5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6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106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94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04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5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 na začiatku účtovného obdobia</w:t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5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5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650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5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Nzov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9105" w:type="dxa"/>
        <w:jc w:val="left"/>
        <w:tblInd w:w="-45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851"/>
        <w:gridCol w:w="997"/>
        <w:gridCol w:w="851"/>
        <w:gridCol w:w="862"/>
        <w:gridCol w:w="975"/>
        <w:gridCol w:w="669"/>
        <w:gridCol w:w="37"/>
        <w:gridCol w:w="848"/>
        <w:gridCol w:w="1069"/>
        <w:gridCol w:w="945"/>
      </w:tblGrid>
      <w:tr>
        <w:trPr>
          <w:trHeight w:val="334" w:hRule="atLeast"/>
        </w:trPr>
        <w:tc>
          <w:tcPr>
            <w:tcW w:w="185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Dlhodobý nehmotný majetok</w:t>
            </w:r>
          </w:p>
        </w:tc>
        <w:tc>
          <w:tcPr>
            <w:tcW w:w="7253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51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Softvér</w:t>
            </w:r>
          </w:p>
        </w:tc>
        <w:tc>
          <w:tcPr>
            <w:tcW w:w="86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Oceni-teľné práva</w:t>
            </w:r>
          </w:p>
        </w:tc>
        <w:tc>
          <w:tcPr>
            <w:tcW w:w="9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Goodwill</w:t>
            </w:r>
          </w:p>
        </w:tc>
        <w:tc>
          <w:tcPr>
            <w:tcW w:w="706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Ostat-ný DNM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Obsta-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rávaný DNM</w:t>
            </w:r>
          </w:p>
        </w:tc>
        <w:tc>
          <w:tcPr>
            <w:tcW w:w="106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Poskytnuté preddavky na DNM</w:t>
            </w:r>
          </w:p>
        </w:tc>
        <w:tc>
          <w:tcPr>
            <w:tcW w:w="94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5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99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5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6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6" w:type="dxa"/>
            <w:gridSpan w:val="2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106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94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04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5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 na začiatku účtovného obdobia</w:t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5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5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650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5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Nzov"/>
        <w:jc w:val="left"/>
        <w:rPr>
          <w:szCs w:val="22"/>
        </w:rPr>
      </w:pPr>
      <w:r>
        <w:rPr>
          <w:szCs w:val="22"/>
        </w:rPr>
      </w:r>
    </w:p>
    <w:p>
      <w:pPr>
        <w:pStyle w:val="Standard"/>
        <w:spacing w:lineRule="auto" w:line="276"/>
        <w:rPr>
          <w:szCs w:val="36"/>
        </w:rPr>
      </w:pPr>
      <w:r>
        <w:rPr>
          <w:szCs w:val="36"/>
        </w:rPr>
      </w:r>
    </w:p>
    <w:p>
      <w:pPr>
        <w:pStyle w:val="Standard"/>
        <w:spacing w:lineRule="auto" w:line="276"/>
        <w:rPr>
          <w:szCs w:val="36"/>
        </w:rPr>
      </w:pPr>
      <w:r>
        <w:rPr>
          <w:szCs w:val="36"/>
        </w:rPr>
      </w:r>
    </w:p>
    <w:p>
      <w:pPr>
        <w:pStyle w:val="Standard"/>
        <w:spacing w:lineRule="auto" w:line="276"/>
        <w:rPr>
          <w:szCs w:val="36"/>
        </w:rPr>
      </w:pPr>
      <w:r>
        <w:rPr>
          <w:szCs w:val="36"/>
        </w:rPr>
      </w:r>
    </w:p>
    <w:p>
      <w:pPr>
        <w:pStyle w:val="Nzov"/>
        <w:numPr>
          <w:ilvl w:val="0"/>
          <w:numId w:val="62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F. písm. c) o dlhodobom nehmotnom majetku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399"/>
        <w:gridCol w:w="2742"/>
      </w:tblGrid>
      <w:tr>
        <w:trPr>
          <w:trHeight w:val="340" w:hRule="atLeast"/>
        </w:trPr>
        <w:tc>
          <w:tcPr>
            <w:tcW w:w="6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4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9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Dlhodobý nehmotný majetok, na ktorý je zriadené záložné právo</w:t>
            </w:r>
          </w:p>
        </w:tc>
        <w:tc>
          <w:tcPr>
            <w:tcW w:w="274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 xml:space="preserve">                           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455" w:leader="none"/>
        </w:tabs>
        <w:spacing w:before="0" w:after="200"/>
        <w:ind w:left="15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455" w:leader="none"/>
        </w:tabs>
        <w:spacing w:lineRule="auto" w:line="276" w:before="0" w:after="200"/>
        <w:ind w:left="15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Na dlhodobý nehmotný majetok vykazovaný v účtovníctve v bezprostredne predchádzajúcom účtovnom období nebolo zriadené záložné právo ani obmedzené právo s nim nakladať.</w:t>
      </w:r>
    </w:p>
    <w:p>
      <w:pPr>
        <w:pStyle w:val="Nadpis1"/>
        <w:tabs>
          <w:tab w:val="clear" w:pos="708"/>
          <w:tab w:val="left" w:pos="360" w:leader="none"/>
        </w:tabs>
        <w:rPr>
          <w:rFonts w:ascii="Arial Narrow" w:hAnsi="Arial Narrow" w:cs="Arial Narrow"/>
          <w:i/>
          <w:i/>
          <w:sz w:val="22"/>
          <w:szCs w:val="22"/>
        </w:rPr>
      </w:pPr>
      <w:r>
        <w:rPr>
          <w:rFonts w:cs="Arial Narrow" w:ascii="Arial Narrow" w:hAnsi="Arial Narrow"/>
          <w:i/>
          <w:sz w:val="22"/>
          <w:szCs w:val="22"/>
        </w:rPr>
        <w:t>F.)</w:t>
      </w:r>
    </w:p>
    <w:p>
      <w:pPr>
        <w:pStyle w:val="Standard"/>
        <w:tabs>
          <w:tab w:val="clear" w:pos="708"/>
          <w:tab w:val="left" w:pos="360" w:leader="none"/>
        </w:tabs>
        <w:rPr/>
      </w:pPr>
      <w:r>
        <w:rPr>
          <w:rFonts w:cs="Arial Narrow" w:ascii="Arial Narrow" w:hAnsi="Arial Narrow"/>
          <w:bCs/>
          <w:sz w:val="22"/>
          <w:szCs w:val="22"/>
        </w:rPr>
        <w:t>a)</w:t>
      </w:r>
      <w:r>
        <w:rPr>
          <w:rFonts w:cs="Arial Narrow" w:ascii="Arial Narrow" w:hAnsi="Arial Narrow"/>
          <w:b/>
          <w:bCs/>
          <w:sz w:val="22"/>
          <w:szCs w:val="22"/>
        </w:rPr>
        <w:t xml:space="preserve"> Informácie o dlhodobom hmotnom majetku</w:t>
      </w:r>
    </w:p>
    <w:p>
      <w:pPr>
        <w:pStyle w:val="Standard"/>
        <w:tabs>
          <w:tab w:val="clear" w:pos="708"/>
          <w:tab w:val="left" w:pos="1680" w:leader="none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1) Prehľad o pohybe dlhodobého majetku v €</w:t>
      </w:r>
    </w:p>
    <w:p>
      <w:pPr>
        <w:pStyle w:val="Standard"/>
        <w:tabs>
          <w:tab w:val="clear" w:pos="708"/>
          <w:tab w:val="left" w:pos="1680" w:leader="none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2) Prehľad oprávok a opravných položiek  dlhodobého majetku v  €</w:t>
      </w:r>
    </w:p>
    <w:p>
      <w:pPr>
        <w:pStyle w:val="Standard"/>
        <w:tabs>
          <w:tab w:val="clear" w:pos="708"/>
          <w:tab w:val="left" w:pos="1680" w:leader="none"/>
        </w:tabs>
        <w:spacing w:lineRule="auto" w:line="276" w:before="0" w:after="200"/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3) Prehľad o zostatkových hodnotách dlhodobého majetku v  €</w:t>
      </w:r>
    </w:p>
    <w:p>
      <w:pPr>
        <w:pStyle w:val="Nzov"/>
        <w:numPr>
          <w:ilvl w:val="0"/>
          <w:numId w:val="63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213" w:type="dxa"/>
        <w:jc w:val="left"/>
        <w:tblInd w:w="-45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533"/>
        <w:gridCol w:w="1038"/>
        <w:gridCol w:w="846"/>
        <w:gridCol w:w="847"/>
        <w:gridCol w:w="25"/>
        <w:gridCol w:w="856"/>
        <w:gridCol w:w="965"/>
        <w:gridCol w:w="745"/>
        <w:gridCol w:w="690"/>
        <w:gridCol w:w="779"/>
        <w:gridCol w:w="888"/>
      </w:tblGrid>
      <w:tr>
        <w:trPr>
          <w:trHeight w:val="145" w:hRule="atLeast"/>
        </w:trPr>
        <w:tc>
          <w:tcPr>
            <w:tcW w:w="1533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Dlhodobý hmotný majetok</w:t>
            </w:r>
          </w:p>
        </w:tc>
        <w:tc>
          <w:tcPr>
            <w:tcW w:w="7679" w:type="dxa"/>
            <w:gridSpan w:val="10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>
        <w:trPr>
          <w:trHeight w:val="1537" w:hRule="atLeast"/>
        </w:trPr>
        <w:tc>
          <w:tcPr>
            <w:tcW w:w="1533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03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Pozemky</w:t>
            </w:r>
          </w:p>
        </w:tc>
        <w:tc>
          <w:tcPr>
            <w:tcW w:w="84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Stavby</w:t>
            </w:r>
          </w:p>
        </w:tc>
        <w:tc>
          <w:tcPr>
            <w:tcW w:w="84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Samos-tatné hnuteľné veci a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súbory hnuteľ-ných vecí</w:t>
            </w:r>
          </w:p>
        </w:tc>
        <w:tc>
          <w:tcPr>
            <w:tcW w:w="881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/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Pestova-teľské celky</w:t>
            </w:r>
            <w:r>
              <w:rPr/>
              <w:br/>
            </w: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 xml:space="preserve"> trvalých porastov</w:t>
            </w:r>
          </w:p>
        </w:tc>
        <w:tc>
          <w:tcPr>
            <w:tcW w:w="96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Základné stádo a ťažné zvieratá</w:t>
            </w:r>
          </w:p>
        </w:tc>
        <w:tc>
          <w:tcPr>
            <w:tcW w:w="74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Os-tatný DHM</w:t>
            </w:r>
          </w:p>
        </w:tc>
        <w:tc>
          <w:tcPr>
            <w:tcW w:w="6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Ob-stará-vaný DHM</w:t>
            </w:r>
          </w:p>
        </w:tc>
        <w:tc>
          <w:tcPr>
            <w:tcW w:w="77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Poskyt-nuté pred-davky na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DHM</w:t>
            </w:r>
          </w:p>
        </w:tc>
        <w:tc>
          <w:tcPr>
            <w:tcW w:w="88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3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0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4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881" w:type="dxa"/>
            <w:gridSpan w:val="2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96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74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6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7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i</w:t>
            </w:r>
          </w:p>
        </w:tc>
        <w:tc>
          <w:tcPr>
            <w:tcW w:w="8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Prvotné ocenenie</w:t>
            </w:r>
          </w:p>
        </w:tc>
      </w:tr>
      <w:tr>
        <w:trPr>
          <w:trHeight w:val="1157" w:hRule="atLeast"/>
        </w:trPr>
        <w:tc>
          <w:tcPr>
            <w:tcW w:w="153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rPr/>
              <w:br/>
            </w: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1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77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1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1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1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8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1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3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rPr/>
              <w:br/>
            </w: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1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1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1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8" w:type="dxa"/>
            <w:tcBorders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7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1" w:type="dxa"/>
            <w:gridSpan w:val="2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1533" w:type="dxa"/>
            <w:vMerge w:val="restart"/>
            <w:tcBorders>
              <w:top w:val="single" w:sz="6" w:space="0" w:color="000001"/>
              <w:lef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Dlhodobý hmotný majetok</w:t>
            </w:r>
          </w:p>
        </w:tc>
        <w:tc>
          <w:tcPr>
            <w:tcW w:w="7679" w:type="dxa"/>
            <w:gridSpan w:val="10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>
        <w:trPr>
          <w:trHeight w:val="278" w:hRule="atLeast"/>
        </w:trPr>
        <w:tc>
          <w:tcPr>
            <w:tcW w:w="1533" w:type="dxa"/>
            <w:vMerge w:val="continue"/>
            <w:tcBorders>
              <w:top w:val="single" w:sz="6" w:space="0" w:color="000001"/>
              <w:lef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038" w:type="dxa"/>
            <w:tcBorders>
              <w:lef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Pozemky</w:t>
            </w:r>
          </w:p>
        </w:tc>
        <w:tc>
          <w:tcPr>
            <w:tcW w:w="846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Stavby</w:t>
            </w:r>
          </w:p>
        </w:tc>
        <w:tc>
          <w:tcPr>
            <w:tcW w:w="847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Samos-tatné hnuteľné veci a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súbory hnuteľ-ných vecí</w:t>
            </w:r>
          </w:p>
        </w:tc>
        <w:tc>
          <w:tcPr>
            <w:tcW w:w="881" w:type="dxa"/>
            <w:gridSpan w:val="2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/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Pestova-teľské celky</w:t>
            </w:r>
            <w:r>
              <w:rPr/>
              <w:br/>
            </w: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 xml:space="preserve"> trvalých porastov</w:t>
            </w:r>
          </w:p>
        </w:tc>
        <w:tc>
          <w:tcPr>
            <w:tcW w:w="965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Základné stádo a ťažné zvieratá</w:t>
            </w:r>
          </w:p>
        </w:tc>
        <w:tc>
          <w:tcPr>
            <w:tcW w:w="745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Os-tatný DHM</w:t>
            </w:r>
          </w:p>
        </w:tc>
        <w:tc>
          <w:tcPr>
            <w:tcW w:w="690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Ob-stará-vaný DHM</w:t>
            </w:r>
          </w:p>
        </w:tc>
        <w:tc>
          <w:tcPr>
            <w:tcW w:w="779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Poskyt-nuté pred-davky na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DHM</w:t>
            </w:r>
          </w:p>
        </w:tc>
        <w:tc>
          <w:tcPr>
            <w:tcW w:w="888" w:type="dxa"/>
            <w:tcBorders>
              <w:left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>
        <w:trPr>
          <w:trHeight w:val="278" w:hRule="atLeast"/>
        </w:trPr>
        <w:tc>
          <w:tcPr>
            <w:tcW w:w="153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038" w:type="dxa"/>
            <w:tcBorders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6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47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881" w:type="dxa"/>
            <w:gridSpan w:val="2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965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745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690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779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i</w:t>
            </w:r>
          </w:p>
        </w:tc>
        <w:tc>
          <w:tcPr>
            <w:tcW w:w="888" w:type="dxa"/>
            <w:tcBorders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153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8" w:type="dxa"/>
            <w:tcBorders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7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1" w:type="dxa"/>
            <w:gridSpan w:val="2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153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rPr/>
              <w:br/>
            </w: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7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72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72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72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8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7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153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rPr/>
              <w:br/>
            </w: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72" w:type="dxa"/>
            <w:gridSpan w:val="2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90" w:hRule="atLeast"/>
        </w:trPr>
        <w:tc>
          <w:tcPr>
            <w:tcW w:w="153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72" w:type="dxa"/>
            <w:gridSpan w:val="2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rPr>
          <w:szCs w:val="22"/>
        </w:rPr>
      </w:pPr>
      <w:r>
        <w:rPr>
          <w:szCs w:val="22"/>
        </w:rPr>
      </w:r>
    </w:p>
    <w:p>
      <w:pPr>
        <w:pStyle w:val="Standard"/>
        <w:rPr>
          <w:szCs w:val="22"/>
        </w:rPr>
      </w:pPr>
      <w:r>
        <w:rPr>
          <w:szCs w:val="22"/>
        </w:rPr>
        <w:t>Tabuľka č. 2</w:t>
      </w:r>
    </w:p>
    <w:tbl>
      <w:tblPr>
        <w:tblW w:w="9213" w:type="dxa"/>
        <w:jc w:val="left"/>
        <w:tblInd w:w="-45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533"/>
        <w:gridCol w:w="1038"/>
        <w:gridCol w:w="846"/>
        <w:gridCol w:w="993"/>
        <w:gridCol w:w="849"/>
        <w:gridCol w:w="992"/>
        <w:gridCol w:w="710"/>
        <w:gridCol w:w="708"/>
        <w:gridCol w:w="701"/>
        <w:gridCol w:w="842"/>
      </w:tblGrid>
      <w:tr>
        <w:trPr>
          <w:trHeight w:val="145" w:hRule="atLeast"/>
        </w:trPr>
        <w:tc>
          <w:tcPr>
            <w:tcW w:w="1533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Dlhodobý hmotný majetok</w:t>
            </w:r>
          </w:p>
        </w:tc>
        <w:tc>
          <w:tcPr>
            <w:tcW w:w="7679" w:type="dxa"/>
            <w:gridSpan w:val="9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>
        <w:trPr>
          <w:trHeight w:val="1537" w:hRule="atLeast"/>
        </w:trPr>
        <w:tc>
          <w:tcPr>
            <w:tcW w:w="1533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03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Pozemky</w:t>
            </w:r>
          </w:p>
        </w:tc>
        <w:tc>
          <w:tcPr>
            <w:tcW w:w="84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Stavby</w:t>
            </w:r>
          </w:p>
        </w:tc>
        <w:tc>
          <w:tcPr>
            <w:tcW w:w="99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Samos-tatné hnuteľné veci a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súbory hnuteľ-ných vecí</w:t>
            </w:r>
          </w:p>
        </w:tc>
        <w:tc>
          <w:tcPr>
            <w:tcW w:w="8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/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Pestova-teľské celky</w:t>
            </w:r>
            <w:r>
              <w:rPr/>
              <w:br/>
            </w: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 xml:space="preserve"> trvalých porastov</w:t>
            </w:r>
          </w:p>
        </w:tc>
        <w:tc>
          <w:tcPr>
            <w:tcW w:w="99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Základné stádo a ťažné zvieratá</w:t>
            </w:r>
          </w:p>
        </w:tc>
        <w:tc>
          <w:tcPr>
            <w:tcW w:w="71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Os-tatný DHM</w:t>
            </w:r>
          </w:p>
        </w:tc>
        <w:tc>
          <w:tcPr>
            <w:tcW w:w="70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Ob-stará-vaný DHM</w:t>
            </w:r>
          </w:p>
        </w:tc>
        <w:tc>
          <w:tcPr>
            <w:tcW w:w="70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Poskyt-nuté pred-davky na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DHM</w:t>
            </w:r>
          </w:p>
        </w:tc>
        <w:tc>
          <w:tcPr>
            <w:tcW w:w="84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3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0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99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84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99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71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7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70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i</w:t>
            </w:r>
          </w:p>
        </w:tc>
        <w:tc>
          <w:tcPr>
            <w:tcW w:w="84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3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rPr/>
              <w:br/>
            </w: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1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Textbody"/>
        <w:rPr/>
      </w:pPr>
      <w:r>
        <w:rPr/>
      </w:r>
    </w:p>
    <w:tbl>
      <w:tblPr>
        <w:tblW w:w="9213" w:type="dxa"/>
        <w:jc w:val="left"/>
        <w:tblInd w:w="-45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533"/>
        <w:gridCol w:w="1034"/>
        <w:gridCol w:w="848"/>
        <w:gridCol w:w="995"/>
        <w:gridCol w:w="735"/>
        <w:gridCol w:w="810"/>
        <w:gridCol w:w="779"/>
        <w:gridCol w:w="750"/>
        <w:gridCol w:w="827"/>
        <w:gridCol w:w="901"/>
      </w:tblGrid>
      <w:tr>
        <w:trPr>
          <w:tblHeader w:val="true"/>
          <w:trHeight w:val="145" w:hRule="atLeast"/>
        </w:trPr>
        <w:tc>
          <w:tcPr>
            <w:tcW w:w="1533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7679" w:type="dxa"/>
            <w:gridSpan w:val="9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>
        <w:trPr>
          <w:trHeight w:val="1847" w:hRule="atLeast"/>
        </w:trPr>
        <w:tc>
          <w:tcPr>
            <w:tcW w:w="1533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0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Pozemky</w:t>
            </w:r>
          </w:p>
        </w:tc>
        <w:tc>
          <w:tcPr>
            <w:tcW w:w="84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Stavby</w:t>
            </w:r>
          </w:p>
        </w:tc>
        <w:tc>
          <w:tcPr>
            <w:tcW w:w="99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Samos-tatné hnuteľné veci a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súbory hnuteľ-ných vecí</w:t>
            </w:r>
          </w:p>
        </w:tc>
        <w:tc>
          <w:tcPr>
            <w:tcW w:w="73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/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Pestova-teľské celky</w:t>
            </w:r>
            <w:r>
              <w:rPr/>
              <w:br/>
            </w: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 xml:space="preserve"> trvalých porastov</w:t>
            </w:r>
          </w:p>
        </w:tc>
        <w:tc>
          <w:tcPr>
            <w:tcW w:w="81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Základné stádo a ťažné zvieratá</w:t>
            </w:r>
          </w:p>
        </w:tc>
        <w:tc>
          <w:tcPr>
            <w:tcW w:w="77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Ostatný DHM</w:t>
            </w:r>
          </w:p>
        </w:tc>
        <w:tc>
          <w:tcPr>
            <w:tcW w:w="75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Ob-stará-vaný DHM</w:t>
            </w:r>
          </w:p>
        </w:tc>
        <w:tc>
          <w:tcPr>
            <w:tcW w:w="82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Poskyt-nuté pred-davky na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DHM</w:t>
            </w:r>
          </w:p>
        </w:tc>
        <w:tc>
          <w:tcPr>
            <w:tcW w:w="90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034" w:type="dxa"/>
            <w:tcBorders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8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995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735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810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779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750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827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i</w:t>
            </w:r>
          </w:p>
        </w:tc>
        <w:tc>
          <w:tcPr>
            <w:tcW w:w="901" w:type="dxa"/>
            <w:tcBorders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j</w:t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4" w:type="dxa"/>
            <w:tcBorders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5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35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10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50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27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01" w:type="dxa"/>
            <w:tcBorders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2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0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153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rPr/>
              <w:br/>
            </w: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3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1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5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2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0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0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0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0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2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0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3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rPr/>
              <w:br/>
            </w: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3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1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5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2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0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0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0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0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2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0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Zostatková hodnota</w:t>
            </w:r>
          </w:p>
        </w:tc>
      </w:tr>
      <w:tr>
        <w:trPr>
          <w:trHeight w:val="278" w:hRule="atLeast"/>
        </w:trPr>
        <w:tc>
          <w:tcPr>
            <w:tcW w:w="153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rPr/>
              <w:br/>
            </w: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3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1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5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27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01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90" w:hRule="atLeast"/>
        </w:trPr>
        <w:tc>
          <w:tcPr>
            <w:tcW w:w="153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3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1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5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27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01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64"/>
        </w:numPr>
        <w:ind w:left="360" w:hanging="360"/>
        <w:rPr>
          <w:b/>
          <w:b/>
          <w:szCs w:val="22"/>
        </w:rPr>
      </w:pPr>
      <w:r>
        <w:rPr>
          <w:b/>
          <w:szCs w:val="22"/>
        </w:rPr>
        <w:t>Informácie k prílohe č. 3 časti F. písm. c) o dlhodobom hmotnom majetku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117"/>
        <w:gridCol w:w="3024"/>
      </w:tblGrid>
      <w:tr>
        <w:trPr/>
        <w:tc>
          <w:tcPr>
            <w:tcW w:w="611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30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11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Dlhodobý hmotný majetok, na ktorý je zriadené záložné právo</w:t>
            </w:r>
          </w:p>
        </w:tc>
        <w:tc>
          <w:tcPr>
            <w:tcW w:w="302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ind w:left="284" w:hanging="45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  <w:r>
        <w:br w:type="page"/>
      </w:r>
    </w:p>
    <w:p>
      <w:pPr>
        <w:pStyle w:val="Textbody"/>
        <w:rPr/>
      </w:pPr>
      <w:r>
        <w:rPr/>
      </w:r>
    </w:p>
    <w:p>
      <w:pPr>
        <w:pStyle w:val="Textbody"/>
        <w:rPr/>
      </w:pPr>
      <w:r>
        <w:rPr/>
      </w:r>
    </w:p>
    <w:p>
      <w:pPr>
        <w:pStyle w:val="Standard"/>
        <w:ind w:left="450" w:hanging="16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50" w:hanging="16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50" w:hanging="166"/>
        <w:jc w:val="both"/>
        <w:rPr>
          <w:rFonts w:ascii="Arial Narrow" w:hAnsi="Arial Narrow" w:cs="Arial Narrow"/>
          <w:sz w:val="22"/>
          <w:szCs w:val="22"/>
        </w:rPr>
      </w:pPr>
      <w:r>
        <w:rPr/>
      </w:r>
    </w:p>
    <w:p>
      <w:pPr>
        <w:pStyle w:val="Standard"/>
        <w:ind w:left="-142" w:hanging="0"/>
        <w:rPr/>
      </w:pPr>
      <w:r>
        <w:rPr/>
      </w:r>
    </w:p>
    <w:p>
      <w:pPr>
        <w:pStyle w:val="Standard"/>
        <w:ind w:hanging="142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ind w:hanging="142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ind w:hanging="142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bCs/>
          <w:i/>
          <w:sz w:val="22"/>
          <w:szCs w:val="22"/>
        </w:rPr>
        <w:t>F .)</w:t>
      </w:r>
    </w:p>
    <w:p>
      <w:pPr>
        <w:pStyle w:val="Standard"/>
        <w:ind w:hanging="142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d)    Účtovná jednotka v roku 2024 neevidovala dlhodobý majetok, pri ktorom vlastnícke právo nadobudol veriteľ zmluvou o zabezpečovacom prevode práva, využívaný firmou na základe zmluvy o výpožičke.</w:t>
      </w:r>
    </w:p>
    <w:p>
      <w:pPr>
        <w:pStyle w:val="Standard"/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e)</w:t>
        <w:tab/>
        <w:t>Spoločnosť neevidovala ani nevyužívala dlhodobý nehnuteľný majetok, pri ktorom nebolo vlastnícke právo zapísané vkladom do katastra nehnuteľností k 31.12.2024  bezprostredne predchádzajúceho účtovného obdobia.</w:t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f)</w:t>
        <w:tab/>
        <w:t>Účtovná jednotka v roku 2024 nevlastnila ani neevidovala nehmotný majetok – goodwil.</w:t>
      </w:r>
    </w:p>
    <w:p>
      <w:pPr>
        <w:pStyle w:val="Standard"/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g)</w:t>
        <w:tab/>
        <w:t>Účtovná jednotka v roku 2024 nepoužívala účet 097 – opravná položka k nadobudnutému majetku.</w:t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h)</w:t>
        <w:tab/>
        <w:t>Účtovná jednotka v roku 2024 nerealizovala výskumnú a vývojovú činnosť.</w:t>
      </w:r>
    </w:p>
    <w:p>
      <w:pPr>
        <w:pStyle w:val="Standard"/>
        <w:ind w:left="709" w:hanging="709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i – n) Spoločnosť v roku 2024 nevlastnila ani neevidovala dlhodobý finančný majetok.</w:t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  <w:r>
        <w:br w:type="page"/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zov"/>
        <w:ind w:left="360" w:hanging="36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65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213" w:type="dxa"/>
        <w:jc w:val="left"/>
        <w:tblInd w:w="-45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299"/>
        <w:gridCol w:w="1129"/>
        <w:gridCol w:w="1085"/>
        <w:gridCol w:w="45"/>
        <w:gridCol w:w="885"/>
        <w:gridCol w:w="103"/>
        <w:gridCol w:w="849"/>
        <w:gridCol w:w="705"/>
        <w:gridCol w:w="848"/>
        <w:gridCol w:w="661"/>
        <w:gridCol w:w="883"/>
        <w:gridCol w:w="720"/>
      </w:tblGrid>
      <w:tr>
        <w:trPr>
          <w:trHeight w:val="277" w:hRule="atLeast"/>
        </w:trPr>
        <w:tc>
          <w:tcPr>
            <w:tcW w:w="129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7913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</w:tr>
      <w:tr>
        <w:trPr>
          <w:trHeight w:val="1393" w:hRule="atLeast"/>
        </w:trPr>
        <w:tc>
          <w:tcPr>
            <w:tcW w:w="1299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Podielové CP a podiely v DÚJ</w:t>
            </w:r>
          </w:p>
        </w:tc>
        <w:tc>
          <w:tcPr>
            <w:tcW w:w="10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Ostatné dlhodobé CP a podiely</w:t>
            </w:r>
          </w:p>
        </w:tc>
        <w:tc>
          <w:tcPr>
            <w:tcW w:w="8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Pôžičky ÚJ </w:t>
              <w:br/>
              <w:t>v kons. celku</w:t>
            </w:r>
          </w:p>
        </w:tc>
        <w:tc>
          <w:tcPr>
            <w:tcW w:w="7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Ostat-ný DFM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Ob-stará-vaný</w:t>
              <w:br/>
              <w:t>DFM</w:t>
            </w:r>
          </w:p>
        </w:tc>
        <w:tc>
          <w:tcPr>
            <w:tcW w:w="8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Poskyt-nuté pred-davky na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DFM</w:t>
            </w:r>
          </w:p>
        </w:tc>
        <w:tc>
          <w:tcPr>
            <w:tcW w:w="7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Spolu</w:t>
            </w:r>
          </w:p>
        </w:tc>
      </w:tr>
      <w:tr>
        <w:trPr>
          <w:trHeight w:val="195" w:hRule="atLeast"/>
        </w:trPr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1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10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033" w:type="dxa"/>
            <w:gridSpan w:val="3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84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7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h</w:t>
            </w:r>
          </w:p>
        </w:tc>
        <w:tc>
          <w:tcPr>
            <w:tcW w:w="8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i</w:t>
            </w:r>
          </w:p>
        </w:tc>
        <w:tc>
          <w:tcPr>
            <w:tcW w:w="72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  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Účtovná hodnota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5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90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5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/>
      </w:pPr>
      <w:r>
        <w:rPr/>
      </w:r>
    </w:p>
    <w:p>
      <w:pPr>
        <w:pStyle w:val="Standard"/>
        <w:rPr/>
      </w:pPr>
      <w:r>
        <w:rPr/>
      </w:r>
      <w:r>
        <w:br w:type="page"/>
      </w:r>
    </w:p>
    <w:p>
      <w:pPr>
        <w:pStyle w:val="Standard"/>
        <w:rPr/>
      </w:pPr>
      <w:r>
        <w:rPr/>
        <w:t>Tabuľka č. 2</w:t>
      </w:r>
    </w:p>
    <w:tbl>
      <w:tblPr>
        <w:tblW w:w="9213" w:type="dxa"/>
        <w:jc w:val="left"/>
        <w:tblInd w:w="-45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299"/>
        <w:gridCol w:w="1129"/>
        <w:gridCol w:w="1085"/>
        <w:gridCol w:w="45"/>
        <w:gridCol w:w="885"/>
        <w:gridCol w:w="103"/>
        <w:gridCol w:w="849"/>
        <w:gridCol w:w="705"/>
        <w:gridCol w:w="848"/>
        <w:gridCol w:w="661"/>
        <w:gridCol w:w="883"/>
        <w:gridCol w:w="720"/>
      </w:tblGrid>
      <w:tr>
        <w:trPr>
          <w:trHeight w:val="277" w:hRule="atLeast"/>
        </w:trPr>
        <w:tc>
          <w:tcPr>
            <w:tcW w:w="129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7913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Bezprostredne predchádzajúce účtovné obdobie</w:t>
            </w:r>
          </w:p>
        </w:tc>
      </w:tr>
      <w:tr>
        <w:trPr>
          <w:trHeight w:val="1393" w:hRule="atLeast"/>
        </w:trPr>
        <w:tc>
          <w:tcPr>
            <w:tcW w:w="1299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Podielové CP a podiely v DÚJ</w:t>
            </w:r>
          </w:p>
        </w:tc>
        <w:tc>
          <w:tcPr>
            <w:tcW w:w="10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Ostatné dlhodobé CP a podiely</w:t>
            </w:r>
          </w:p>
        </w:tc>
        <w:tc>
          <w:tcPr>
            <w:tcW w:w="8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Pôžičky ÚJ </w:t>
              <w:br/>
              <w:t>v kons. celku</w:t>
            </w:r>
          </w:p>
        </w:tc>
        <w:tc>
          <w:tcPr>
            <w:tcW w:w="7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Ostat-ný DFM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Ob-stará-vaný</w:t>
              <w:br/>
              <w:t>DFM</w:t>
            </w:r>
          </w:p>
        </w:tc>
        <w:tc>
          <w:tcPr>
            <w:tcW w:w="8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Poskyt-nuté pred-davky na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DFM</w:t>
            </w:r>
          </w:p>
        </w:tc>
        <w:tc>
          <w:tcPr>
            <w:tcW w:w="7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Spolu</w:t>
            </w:r>
          </w:p>
        </w:tc>
      </w:tr>
      <w:tr>
        <w:trPr>
          <w:trHeight w:val="195" w:hRule="atLeast"/>
        </w:trPr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1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10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033" w:type="dxa"/>
            <w:gridSpan w:val="3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84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7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h</w:t>
            </w:r>
          </w:p>
        </w:tc>
        <w:tc>
          <w:tcPr>
            <w:tcW w:w="8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i</w:t>
            </w:r>
          </w:p>
        </w:tc>
        <w:tc>
          <w:tcPr>
            <w:tcW w:w="72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  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40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Účtovná hodnota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5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90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5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/>
      </w:pPr>
      <w:r>
        <w:rPr/>
      </w:r>
    </w:p>
    <w:p>
      <w:pPr>
        <w:pStyle w:val="Nzov"/>
        <w:widowControl w:val="false"/>
        <w:numPr>
          <w:ilvl w:val="0"/>
          <w:numId w:val="66"/>
        </w:numPr>
        <w:ind w:left="360" w:hanging="360"/>
        <w:jc w:val="left"/>
        <w:rPr/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>časti F. písm. m) o dlhodobom finančnom majetku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257"/>
        <w:gridCol w:w="2884"/>
      </w:tblGrid>
      <w:tr>
        <w:trPr>
          <w:trHeight w:val="340" w:hRule="atLeast"/>
        </w:trPr>
        <w:tc>
          <w:tcPr>
            <w:tcW w:w="625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288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>
                <w:color w:val="666666"/>
              </w:rPr>
              <w:t xml:space="preserve">Hodnota </w:t>
            </w:r>
            <w:r>
              <w:rPr>
                <w:bCs w:val="false"/>
                <w:color w:val="666666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5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Dlhodobý finančný majetok, na ktorý je zriadené záložné právo</w:t>
            </w:r>
          </w:p>
        </w:tc>
        <w:tc>
          <w:tcPr>
            <w:tcW w:w="288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/>
      </w:pPr>
      <w:r>
        <w:rPr/>
      </w:r>
    </w:p>
    <w:p>
      <w:pPr>
        <w:pStyle w:val="Nzov"/>
        <w:numPr>
          <w:ilvl w:val="0"/>
          <w:numId w:val="67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907"/>
        <w:gridCol w:w="1116"/>
        <w:gridCol w:w="1686"/>
        <w:gridCol w:w="1441"/>
        <w:gridCol w:w="1655"/>
        <w:gridCol w:w="1336"/>
      </w:tblGrid>
      <w:tr>
        <w:trPr/>
        <w:tc>
          <w:tcPr>
            <w:tcW w:w="1907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Obchodné meno a sídlo spoločnosti, v ktorej má ÚJ umiestnený DFM</w:t>
            </w:r>
          </w:p>
        </w:tc>
        <w:tc>
          <w:tcPr>
            <w:tcW w:w="7234" w:type="dxa"/>
            <w:gridSpan w:val="5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</w:tr>
      <w:tr>
        <w:trPr>
          <w:trHeight w:val="1394" w:hRule="atLeast"/>
        </w:trPr>
        <w:tc>
          <w:tcPr>
            <w:tcW w:w="1907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Podiel ÚJ na ZI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  %</w:t>
            </w:r>
          </w:p>
        </w:tc>
        <w:tc>
          <w:tcPr>
            <w:tcW w:w="168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Podiel ÚJ na hlasovacích právach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 %</w:t>
            </w:r>
          </w:p>
        </w:tc>
        <w:tc>
          <w:tcPr>
            <w:tcW w:w="14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Hodnota  vlastného imania ÚJ, v ktorej má ÚJ umiestnený DFM</w:t>
            </w:r>
          </w:p>
        </w:tc>
        <w:tc>
          <w:tcPr>
            <w:tcW w:w="165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Výsledok hospodárenia ÚJ, v ktorej má ÚJ umiestnený DFM</w:t>
            </w:r>
          </w:p>
        </w:tc>
        <w:tc>
          <w:tcPr>
            <w:tcW w:w="133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9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11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168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4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165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133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141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29" w:hRule="atLeast"/>
        </w:trPr>
        <w:tc>
          <w:tcPr>
            <w:tcW w:w="9141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9141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Ostatné realizovateľné CP a podiely</w:t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9141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DFM spolu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68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65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33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Nzov"/>
        <w:widowControl w:val="false"/>
        <w:numPr>
          <w:ilvl w:val="0"/>
          <w:numId w:val="68"/>
        </w:numPr>
        <w:ind w:left="357" w:hanging="357"/>
        <w:jc w:val="left"/>
        <w:rPr>
          <w:szCs w:val="22"/>
        </w:rPr>
      </w:pPr>
      <w:r>
        <w:rPr>
          <w:szCs w:val="22"/>
        </w:rPr>
        <w:t>Informácie k prílohe č. 3 časti F. písm. j) a l) o dlhových CP držaných do splatnosti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439"/>
        <w:gridCol w:w="725"/>
        <w:gridCol w:w="1266"/>
        <w:gridCol w:w="1123"/>
        <w:gridCol w:w="1127"/>
        <w:gridCol w:w="1407"/>
        <w:gridCol w:w="1054"/>
      </w:tblGrid>
      <w:tr>
        <w:trPr>
          <w:trHeight w:val="644" w:hRule="atLeast"/>
        </w:trPr>
        <w:tc>
          <w:tcPr>
            <w:tcW w:w="243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Dlhové CP</w:t>
              <w:br/>
              <w:t xml:space="preserve"> držané do splatnosti</w:t>
            </w:r>
          </w:p>
        </w:tc>
        <w:tc>
          <w:tcPr>
            <w:tcW w:w="72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Druh CP</w:t>
            </w:r>
          </w:p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na začiatku účtovného obdobia</w:t>
            </w:r>
          </w:p>
        </w:tc>
        <w:tc>
          <w:tcPr>
            <w:tcW w:w="112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Zvýšenie hodnoty</w:t>
            </w:r>
          </w:p>
        </w:tc>
        <w:tc>
          <w:tcPr>
            <w:tcW w:w="112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Zníženie hodnoty</w:t>
            </w:r>
          </w:p>
        </w:tc>
        <w:tc>
          <w:tcPr>
            <w:tcW w:w="140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Vyradenie dlhového CP z účtovníctva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 účtovnom období</w:t>
            </w:r>
          </w:p>
        </w:tc>
        <w:tc>
          <w:tcPr>
            <w:tcW w:w="105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3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7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126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12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112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14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  <w:tc>
          <w:tcPr>
            <w:tcW w:w="105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3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viac ako päť rokov</w:t>
            </w:r>
          </w:p>
        </w:tc>
        <w:tc>
          <w:tcPr>
            <w:tcW w:w="72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43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 viac ako tri roky a najviac päť rokov vrátane</w:t>
            </w:r>
          </w:p>
        </w:tc>
        <w:tc>
          <w:tcPr>
            <w:tcW w:w="72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43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viac ako jeden rok a najviac tri roky vrátane</w:t>
            </w:r>
          </w:p>
        </w:tc>
        <w:tc>
          <w:tcPr>
            <w:tcW w:w="72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43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do jedného roka vrátane</w:t>
            </w:r>
          </w:p>
        </w:tc>
        <w:tc>
          <w:tcPr>
            <w:tcW w:w="72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43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Dlhové CP držané do splatnosti spolu</w:t>
            </w:r>
          </w:p>
        </w:tc>
        <w:tc>
          <w:tcPr>
            <w:tcW w:w="72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2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0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spacing w:before="0" w:after="120"/>
        <w:rPr/>
      </w:pPr>
      <w:r>
        <w:rPr/>
      </w:r>
    </w:p>
    <w:p>
      <w:pPr>
        <w:pStyle w:val="Nzov"/>
        <w:widowControl w:val="false"/>
        <w:numPr>
          <w:ilvl w:val="0"/>
          <w:numId w:val="69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9156" w:type="dxa"/>
        <w:jc w:val="left"/>
        <w:tblInd w:w="-71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759"/>
        <w:gridCol w:w="1449"/>
        <w:gridCol w:w="1131"/>
        <w:gridCol w:w="1104"/>
        <w:gridCol w:w="1512"/>
        <w:gridCol w:w="1200"/>
      </w:tblGrid>
      <w:tr>
        <w:trPr>
          <w:trHeight w:val="996" w:hRule="atLeast"/>
        </w:trPr>
        <w:tc>
          <w:tcPr>
            <w:tcW w:w="27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Dlhodobé pôžičky</w:t>
            </w:r>
          </w:p>
        </w:tc>
        <w:tc>
          <w:tcPr>
            <w:tcW w:w="14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</w:t>
              <w:br/>
              <w:t>na začiatku účtovného obdobia</w:t>
            </w:r>
          </w:p>
        </w:tc>
        <w:tc>
          <w:tcPr>
            <w:tcW w:w="113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Zvýšenie hodnoty</w:t>
            </w:r>
          </w:p>
        </w:tc>
        <w:tc>
          <w:tcPr>
            <w:tcW w:w="110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Zníženie hodnoty</w:t>
            </w:r>
          </w:p>
        </w:tc>
        <w:tc>
          <w:tcPr>
            <w:tcW w:w="15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Vyradenie pôžičky z účtovníctva v účtovnom období</w:t>
            </w:r>
          </w:p>
        </w:tc>
        <w:tc>
          <w:tcPr>
            <w:tcW w:w="120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5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44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113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10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15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120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5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viac ako päť rokov</w:t>
            </w:r>
          </w:p>
        </w:tc>
        <w:tc>
          <w:tcPr>
            <w:tcW w:w="144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04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0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75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viac ako tri roky a najviac päť rokov vrátane</w:t>
            </w:r>
          </w:p>
        </w:tc>
        <w:tc>
          <w:tcPr>
            <w:tcW w:w="144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75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viac ako jeden rok a najviac tri roky vrátane</w:t>
            </w:r>
          </w:p>
        </w:tc>
        <w:tc>
          <w:tcPr>
            <w:tcW w:w="144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75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do jedného roka vrátane</w:t>
            </w:r>
          </w:p>
        </w:tc>
        <w:tc>
          <w:tcPr>
            <w:tcW w:w="144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75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Dlhodobé pôžičky spolu</w:t>
            </w:r>
          </w:p>
        </w:tc>
        <w:tc>
          <w:tcPr>
            <w:tcW w:w="144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3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0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440" w:leader="none"/>
        </w:tabs>
        <w:ind w:hanging="142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cs="Arial Narrow" w:ascii="Arial Narrow" w:hAnsi="Arial Narrow"/>
          <w:sz w:val="22"/>
          <w:szCs w:val="22"/>
        </w:rPr>
        <w:t xml:space="preserve"> o)</w:t>
        <w:tab/>
      </w:r>
    </w:p>
    <w:p>
      <w:pPr>
        <w:pStyle w:val="Nzov"/>
        <w:numPr>
          <w:ilvl w:val="0"/>
          <w:numId w:val="70"/>
        </w:numPr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330"/>
        <w:gridCol w:w="1396"/>
        <w:gridCol w:w="983"/>
        <w:gridCol w:w="1687"/>
        <w:gridCol w:w="1558"/>
        <w:gridCol w:w="1187"/>
      </w:tblGrid>
      <w:tr>
        <w:trPr/>
        <w:tc>
          <w:tcPr>
            <w:tcW w:w="233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Zásoby</w:t>
            </w:r>
          </w:p>
        </w:tc>
        <w:tc>
          <w:tcPr>
            <w:tcW w:w="6811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</w:tr>
      <w:tr>
        <w:trPr/>
        <w:tc>
          <w:tcPr>
            <w:tcW w:w="2330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 OP na začiatku účtovného obdobia</w:t>
            </w:r>
          </w:p>
        </w:tc>
        <w:tc>
          <w:tcPr>
            <w:tcW w:w="9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Tvorba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OP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</w:r>
          </w:p>
        </w:tc>
        <w:tc>
          <w:tcPr>
            <w:tcW w:w="168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Zúčtovanie OP z dôvodu zániku opodstatnenosti</w:t>
            </w:r>
          </w:p>
        </w:tc>
        <w:tc>
          <w:tcPr>
            <w:tcW w:w="155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Zúčtovanie OP z dôvodu vyradenia majetku </w:t>
              <w:br/>
              <w:t>z účtovníctva</w:t>
            </w:r>
          </w:p>
        </w:tc>
        <w:tc>
          <w:tcPr>
            <w:tcW w:w="118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3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9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68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155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118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Materiál</w:t>
            </w:r>
          </w:p>
        </w:tc>
        <w:tc>
          <w:tcPr>
            <w:tcW w:w="139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Nedokončená výroba a polotovary vlastnej výroby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Výrobky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Zvieratá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Tovar</w:t>
            </w:r>
          </w:p>
        </w:tc>
        <w:tc>
          <w:tcPr>
            <w:tcW w:w="139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Nehnuteľnosť na predaj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Poskytnuté preddavky  na zásoby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Zásoby spolu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440" w:leader="none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440" w:leader="none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Účtovná jednotka k 31.12.2024 nevytvárala opravné položky k zásobám.</w:t>
      </w:r>
    </w:p>
    <w:p>
      <w:pPr>
        <w:pStyle w:val="Standard"/>
        <w:tabs>
          <w:tab w:val="clear" w:pos="708"/>
          <w:tab w:val="left" w:pos="440" w:leader="none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rPr/>
      </w:pPr>
      <w:r>
        <w:rPr/>
        <w:t>Tabuľka č. 2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960"/>
        <w:gridCol w:w="2181"/>
      </w:tblGrid>
      <w:tr>
        <w:trPr/>
        <w:tc>
          <w:tcPr>
            <w:tcW w:w="69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Nehnuteľnosť na predaj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Hodnota</w:t>
            </w:r>
          </w:p>
        </w:tc>
      </w:tr>
      <w:tr>
        <w:trPr>
          <w:trHeight w:val="340" w:hRule="atLeast"/>
        </w:trPr>
        <w:tc>
          <w:tcPr>
            <w:tcW w:w="69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Náklady na obstarávanie nehnuteľnosti  na predaj za účtovné obdobie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40" w:hRule="atLeast"/>
        </w:trPr>
        <w:tc>
          <w:tcPr>
            <w:tcW w:w="696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Náklady na obstaranie nehnuteľnosti na predaj od začiatku obstarávania</w:t>
            </w:r>
          </w:p>
        </w:tc>
        <w:tc>
          <w:tcPr>
            <w:tcW w:w="21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  <w:r>
        <w:br w:type="page"/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cs="Arial Narrow" w:ascii="Arial Narrow" w:hAnsi="Arial Narrow"/>
          <w:sz w:val="22"/>
          <w:szCs w:val="22"/>
        </w:rPr>
        <w:t xml:space="preserve"> p)</w:t>
        <w:tab/>
      </w:r>
    </w:p>
    <w:p>
      <w:pPr>
        <w:pStyle w:val="Nzov"/>
        <w:numPr>
          <w:ilvl w:val="0"/>
          <w:numId w:val="71"/>
        </w:numPr>
        <w:ind w:left="357" w:hanging="357"/>
        <w:jc w:val="both"/>
        <w:rPr>
          <w:szCs w:val="22"/>
        </w:rPr>
      </w:pPr>
      <w:r>
        <w:rPr>
          <w:szCs w:val="22"/>
        </w:rPr>
        <w:t>Informácie k prílohe č. 3  časti F. písm. p) o zásobách, na ktoré je zriadené záložné právo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960"/>
        <w:gridCol w:w="2181"/>
      </w:tblGrid>
      <w:tr>
        <w:trPr/>
        <w:tc>
          <w:tcPr>
            <w:tcW w:w="69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Zásoby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Zásoby, na ktoré je zriadené záložné právo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-15" w:hanging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Na zásoby vykazované v účtovníctve v roku 2024 nebolo zriadené záložné právo ani obmedzené právo s nimi nakladať.</w:t>
      </w:r>
    </w:p>
    <w:p>
      <w:pPr>
        <w:pStyle w:val="Standard"/>
        <w:ind w:left="-15" w:hanging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50" w:hanging="465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cs="Arial Narrow" w:ascii="Arial Narrow" w:hAnsi="Arial Narrow"/>
          <w:sz w:val="22"/>
          <w:szCs w:val="22"/>
        </w:rPr>
        <w:t xml:space="preserve"> q)</w:t>
        <w:tab/>
      </w:r>
    </w:p>
    <w:p>
      <w:pPr>
        <w:pStyle w:val="Nzov"/>
        <w:numPr>
          <w:ilvl w:val="0"/>
          <w:numId w:val="72"/>
        </w:numPr>
        <w:ind w:left="360" w:hanging="36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189"/>
        <w:gridCol w:w="1680"/>
        <w:gridCol w:w="2135"/>
        <w:gridCol w:w="2175"/>
      </w:tblGrid>
      <w:tr>
        <w:trPr/>
        <w:tc>
          <w:tcPr>
            <w:tcW w:w="318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Názov položky</w:t>
            </w:r>
          </w:p>
        </w:tc>
        <w:tc>
          <w:tcPr>
            <w:tcW w:w="16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13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bezprostredne predchádzajúce účtovné obdobie</w:t>
            </w:r>
          </w:p>
        </w:tc>
        <w:tc>
          <w:tcPr>
            <w:tcW w:w="21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8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1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1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8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Výnosy zo zákazkovej výroby</w:t>
            </w:r>
          </w:p>
        </w:tc>
        <w:tc>
          <w:tcPr>
            <w:tcW w:w="168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318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Náklady na zákazkovú výrobu</w:t>
            </w:r>
          </w:p>
        </w:tc>
        <w:tc>
          <w:tcPr>
            <w:tcW w:w="168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318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Hrubý zisk / hrubá strata</w:t>
            </w:r>
          </w:p>
        </w:tc>
        <w:tc>
          <w:tcPr>
            <w:tcW w:w="168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>
          <w:szCs w:val="22"/>
        </w:rPr>
      </w:pPr>
      <w:r>
        <w:rPr>
          <w:szCs w:val="22"/>
        </w:rPr>
      </w:r>
    </w:p>
    <w:p>
      <w:pPr>
        <w:pStyle w:val="Standard"/>
        <w:rPr>
          <w:szCs w:val="22"/>
        </w:rPr>
      </w:pPr>
      <w:r>
        <w:rPr>
          <w:szCs w:val="22"/>
        </w:rPr>
        <w:t>Tabuľka č. 2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4029"/>
        <w:gridCol w:w="2381"/>
        <w:gridCol w:w="2770"/>
      </w:tblGrid>
      <w:tr>
        <w:trPr/>
        <w:tc>
          <w:tcPr>
            <w:tcW w:w="40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Hodnota zákazkovej výroby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23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7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40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23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7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402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Vyfakturované nároky za vykonanú prácu na zákazkovej výrobe</w:t>
            </w:r>
          </w:p>
        </w:tc>
        <w:tc>
          <w:tcPr>
            <w:tcW w:w="23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Úprava nárokov podľa stupňa dokončenia alebo metódou nulového zisku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Suma prijatých preddavkov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Suma zadržanej platby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>
          <w:szCs w:val="22"/>
        </w:rPr>
      </w:pPr>
      <w:r>
        <w:rPr>
          <w:szCs w:val="22"/>
        </w:rPr>
      </w:r>
    </w:p>
    <w:p>
      <w:pPr>
        <w:pStyle w:val="Standard"/>
        <w:rPr>
          <w:szCs w:val="22"/>
        </w:rPr>
      </w:pPr>
      <w:r>
        <w:rPr>
          <w:szCs w:val="22"/>
        </w:rPr>
        <w:t>Tabuľka č. 3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765"/>
        <w:gridCol w:w="1963"/>
        <w:gridCol w:w="1821"/>
        <w:gridCol w:w="2630"/>
      </w:tblGrid>
      <w:tr>
        <w:trPr/>
        <w:tc>
          <w:tcPr>
            <w:tcW w:w="276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Názov položky</w:t>
            </w:r>
          </w:p>
        </w:tc>
        <w:tc>
          <w:tcPr>
            <w:tcW w:w="196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bezprostredne predchádzajúce účtovné obdobie</w:t>
            </w:r>
          </w:p>
        </w:tc>
        <w:tc>
          <w:tcPr>
            <w:tcW w:w="26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6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6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8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6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</w:tr>
      <w:tr>
        <w:trPr/>
        <w:tc>
          <w:tcPr>
            <w:tcW w:w="276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Výnosy zo zákazkovej výstavby nehnuteľnosti určenej na predaj</w:t>
            </w:r>
          </w:p>
        </w:tc>
        <w:tc>
          <w:tcPr>
            <w:tcW w:w="196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/>
        <w:tc>
          <w:tcPr>
            <w:tcW w:w="276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Náklady na zákazkovú výstavbu nehnuteľnosti určenej na predaj</w:t>
            </w:r>
          </w:p>
        </w:tc>
        <w:tc>
          <w:tcPr>
            <w:tcW w:w="196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Hrubý zisk / hrubá strata</w:t>
            </w:r>
          </w:p>
        </w:tc>
        <w:tc>
          <w:tcPr>
            <w:tcW w:w="196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>
          <w:szCs w:val="22"/>
        </w:rPr>
      </w:pPr>
      <w:r>
        <w:rPr>
          <w:szCs w:val="22"/>
        </w:rPr>
      </w:r>
    </w:p>
    <w:p>
      <w:pPr>
        <w:pStyle w:val="Standard"/>
        <w:rPr>
          <w:szCs w:val="22"/>
        </w:rPr>
      </w:pPr>
      <w:r>
        <w:rPr>
          <w:szCs w:val="22"/>
        </w:rPr>
        <w:t>Tabuľka č. 4</w:t>
      </w:r>
    </w:p>
    <w:tbl>
      <w:tblPr>
        <w:tblW w:w="9165" w:type="dxa"/>
        <w:jc w:val="left"/>
        <w:tblInd w:w="-112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4290"/>
        <w:gridCol w:w="2383"/>
        <w:gridCol w:w="2492"/>
      </w:tblGrid>
      <w:tr>
        <w:trPr/>
        <w:tc>
          <w:tcPr>
            <w:tcW w:w="42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Hodnota zákazkovej výstavby nehnuteľnosti určenej na predaj</w:t>
            </w:r>
          </w:p>
        </w:tc>
        <w:tc>
          <w:tcPr>
            <w:tcW w:w="23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49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23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49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</w:tr>
      <w:tr>
        <w:trPr/>
        <w:tc>
          <w:tcPr>
            <w:tcW w:w="42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Vyfakturované nároky za vykonanú prácu na zákazkovej výstavbe nehnuteľnosti určenej na predaj</w:t>
            </w:r>
          </w:p>
        </w:tc>
        <w:tc>
          <w:tcPr>
            <w:tcW w:w="238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/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Úprava nárokov podľa stupňa dokončenia alebo metódou nulového zisku</w:t>
            </w:r>
          </w:p>
        </w:tc>
        <w:tc>
          <w:tcPr>
            <w:tcW w:w="23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Suma prijatých preddavkov</w:t>
            </w:r>
          </w:p>
        </w:tc>
        <w:tc>
          <w:tcPr>
            <w:tcW w:w="23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Suma zadržanej platby</w:t>
            </w:r>
          </w:p>
        </w:tc>
        <w:tc>
          <w:tcPr>
            <w:tcW w:w="238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ind w:left="450" w:hanging="46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30" w:hanging="3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Spoločnosť v roku 2024 nerealizovala zákazkovú výrobu ani zákazkovú  výstavbu nehnuteľnosti určenej na predaj.</w:t>
      </w:r>
    </w:p>
    <w:p>
      <w:pPr>
        <w:pStyle w:val="Standard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/>
          <w:szCs w:val="22"/>
        </w:rPr>
        <w:t>r)</w:t>
      </w:r>
    </w:p>
    <w:p>
      <w:pPr>
        <w:pStyle w:val="Nzov"/>
        <w:numPr>
          <w:ilvl w:val="0"/>
          <w:numId w:val="73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r) o vývoji opravnej položky k pohľadávkam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035"/>
        <w:gridCol w:w="1268"/>
        <w:gridCol w:w="1211"/>
        <w:gridCol w:w="1678"/>
        <w:gridCol w:w="1650"/>
        <w:gridCol w:w="1299"/>
      </w:tblGrid>
      <w:tr>
        <w:trPr/>
        <w:tc>
          <w:tcPr>
            <w:tcW w:w="203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106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35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1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7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1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5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3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26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03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DÚJ a MÚJ</w:t>
            </w:r>
          </w:p>
        </w:tc>
        <w:tc>
          <w:tcPr>
            <w:tcW w:w="12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03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Ostatné pohľadávky v rámci kons. celku</w:t>
            </w:r>
          </w:p>
        </w:tc>
        <w:tc>
          <w:tcPr>
            <w:tcW w:w="12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03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26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203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2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03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Pohľadávky spolu</w:t>
            </w:r>
          </w:p>
        </w:tc>
        <w:tc>
          <w:tcPr>
            <w:tcW w:w="12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Nzov"/>
        <w:widowControl w:val="false"/>
        <w:jc w:val="left"/>
        <w:rPr>
          <w:szCs w:val="22"/>
        </w:rPr>
      </w:pPr>
      <w:r>
        <w:rPr>
          <w:szCs w:val="22"/>
        </w:rPr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035"/>
        <w:gridCol w:w="1268"/>
        <w:gridCol w:w="1211"/>
        <w:gridCol w:w="1678"/>
        <w:gridCol w:w="1650"/>
        <w:gridCol w:w="1299"/>
      </w:tblGrid>
      <w:tr>
        <w:trPr/>
        <w:tc>
          <w:tcPr>
            <w:tcW w:w="203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106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>
        <w:trPr/>
        <w:tc>
          <w:tcPr>
            <w:tcW w:w="2035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1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7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1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5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3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26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03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DÚJ a MÚJ</w:t>
            </w:r>
          </w:p>
        </w:tc>
        <w:tc>
          <w:tcPr>
            <w:tcW w:w="12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03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Ostatné pohľadávky v rámci kons. celku</w:t>
            </w:r>
          </w:p>
        </w:tc>
        <w:tc>
          <w:tcPr>
            <w:tcW w:w="12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03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26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203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2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03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Pohľadávky spolu</w:t>
            </w:r>
          </w:p>
        </w:tc>
        <w:tc>
          <w:tcPr>
            <w:tcW w:w="12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rPr/>
      </w:pPr>
      <w:r>
        <w:rPr>
          <w:rFonts w:cs="Arial Narrow" w:ascii="Arial Narrow" w:hAnsi="Arial Narrow"/>
          <w:sz w:val="22"/>
          <w:szCs w:val="22"/>
        </w:rPr>
        <w:t>Opravná položka k nekonkurzným nedobytným pohľadávkam v roku 2022 ani v roku 2023 nebola  evidovaná.</w:t>
      </w:r>
    </w:p>
    <w:p>
      <w:pPr>
        <w:pStyle w:val="Standard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/>
          <w:szCs w:val="22"/>
        </w:rPr>
        <w:t>s) Veková štruktúra pohľadávok rok 2024</w:t>
      </w:r>
    </w:p>
    <w:p>
      <w:pPr>
        <w:pStyle w:val="Nzov"/>
        <w:widowControl w:val="false"/>
        <w:numPr>
          <w:ilvl w:val="0"/>
          <w:numId w:val="74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F. písm. s) o vekovej štruktúre pohľadávok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468"/>
        <w:gridCol w:w="1961"/>
        <w:gridCol w:w="1821"/>
        <w:gridCol w:w="1929"/>
      </w:tblGrid>
      <w:tr>
        <w:trPr/>
        <w:tc>
          <w:tcPr>
            <w:tcW w:w="34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179" w:type="dxa"/>
            <w:gridSpan w:val="4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DÚJ a MÚJ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Dlhodobé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9179" w:type="dxa"/>
            <w:gridSpan w:val="4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DÚJ a MÚJ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Sociálne poistenie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Daňové pohľadávky a dotácie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Krátkodobé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b/>
                <w:b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b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b/>
                <w:b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b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</w:tr>
    </w:tbl>
    <w:p>
      <w:pPr>
        <w:pStyle w:val="Standard"/>
        <w:jc w:val="both"/>
        <w:rPr/>
      </w:pPr>
      <w:r>
        <w:rPr/>
      </w:r>
    </w:p>
    <w:p>
      <w:pPr>
        <w:pStyle w:val="Standard"/>
        <w:rPr>
          <w:rFonts w:ascii="Arial Narrow" w:hAnsi="Arial Narrow"/>
          <w:szCs w:val="22"/>
        </w:rPr>
      </w:pPr>
      <w:r>
        <w:rPr>
          <w:rFonts w:ascii="Arial Narrow" w:hAnsi="Arial Narrow"/>
          <w:szCs w:val="22"/>
        </w:rPr>
        <w:t>Veková štruktúra pohľadávok rok 2023</w:t>
      </w:r>
    </w:p>
    <w:p>
      <w:pPr>
        <w:pStyle w:val="Standard"/>
        <w:rPr>
          <w:rFonts w:ascii="Arial Narrow" w:hAnsi="Arial Narrow"/>
          <w:szCs w:val="22"/>
        </w:rPr>
      </w:pPr>
      <w:r>
        <w:rPr>
          <w:rFonts w:ascii="Arial Narrow" w:hAnsi="Arial Narrow"/>
          <w:szCs w:val="22"/>
        </w:rPr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468"/>
        <w:gridCol w:w="1961"/>
        <w:gridCol w:w="1821"/>
        <w:gridCol w:w="1929"/>
      </w:tblGrid>
      <w:tr>
        <w:trPr/>
        <w:tc>
          <w:tcPr>
            <w:tcW w:w="34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3" w:hRule="atLeast"/>
        </w:trPr>
        <w:tc>
          <w:tcPr>
            <w:tcW w:w="9179" w:type="dxa"/>
            <w:gridSpan w:val="4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DÚJ a MÚJ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Sociálne poistenie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Daňové pohľadávky a dotácie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Krátkodobé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spacing w:before="0" w:after="12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/>
        <w:t>t-u)</w:t>
      </w:r>
    </w:p>
    <w:p>
      <w:pPr>
        <w:pStyle w:val="Nzov"/>
        <w:numPr>
          <w:ilvl w:val="0"/>
          <w:numId w:val="75"/>
        </w:numPr>
        <w:ind w:left="360" w:hanging="360"/>
        <w:jc w:val="both"/>
        <w:rPr>
          <w:i/>
          <w:i/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</w:t>
      </w:r>
      <w:r>
        <w:rPr>
          <w:i/>
          <w:szCs w:val="22"/>
        </w:rPr>
        <w:t>formou zabezpečenia </w:t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Pohľadávky, zabezpečené záložným právom alebo inou formou zabezpečenia v roku 2024</w:t>
      </w:r>
    </w:p>
    <w:p>
      <w:pPr>
        <w:pStyle w:val="Standard"/>
        <w:ind w:left="220" w:hanging="22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4709"/>
        <w:gridCol w:w="2248"/>
        <w:gridCol w:w="2185"/>
      </w:tblGrid>
      <w:tr>
        <w:trPr/>
        <w:tc>
          <w:tcPr>
            <w:tcW w:w="470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Opis predmetu záložného práva</w:t>
            </w:r>
          </w:p>
        </w:tc>
        <w:tc>
          <w:tcPr>
            <w:tcW w:w="4433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>
        <w:trPr/>
        <w:tc>
          <w:tcPr>
            <w:tcW w:w="4709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2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Hodnota predmetu záložného práva</w:t>
            </w:r>
          </w:p>
        </w:tc>
        <w:tc>
          <w:tcPr>
            <w:tcW w:w="21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70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24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2185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-</w:t>
            </w:r>
          </w:p>
        </w:tc>
      </w:tr>
      <w:tr>
        <w:trPr>
          <w:trHeight w:val="340" w:hRule="atLeast"/>
        </w:trPr>
        <w:tc>
          <w:tcPr>
            <w:tcW w:w="470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24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-</w:t>
            </w:r>
          </w:p>
        </w:tc>
      </w:tr>
    </w:tbl>
    <w:p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  <w:r>
        <w:br w:type="page"/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Pohľadávky, zabezpečené záložným právom alebo inou formou zabezpečenia v roku 2023</w:t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4709"/>
        <w:gridCol w:w="2248"/>
        <w:gridCol w:w="2185"/>
      </w:tblGrid>
      <w:tr>
        <w:trPr/>
        <w:tc>
          <w:tcPr>
            <w:tcW w:w="470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433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4709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2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70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kryté záložným právom alebo inou formou zabezpečenia</w:t>
            </w:r>
          </w:p>
        </w:tc>
        <w:tc>
          <w:tcPr>
            <w:tcW w:w="224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85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40" w:hRule="atLeast"/>
        </w:trPr>
        <w:tc>
          <w:tcPr>
            <w:tcW w:w="470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Hodnota pohľadávok, na ktoré sa zriadilo záložné právo</w:t>
            </w:r>
          </w:p>
        </w:tc>
        <w:tc>
          <w:tcPr>
            <w:tcW w:w="224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600" w:hanging="63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 </w:t>
      </w:r>
      <w:r>
        <w:rPr>
          <w:rFonts w:cs="Arial Narrow" w:ascii="Arial Narrow" w:hAnsi="Arial Narrow"/>
          <w:sz w:val="22"/>
          <w:szCs w:val="22"/>
        </w:rPr>
        <w:t>v) Spoločnosť neeviduje k 31.12.2024 odloženú daňovú pohľadávku a k 31.12.2024 ani odložený daňový záväzok.</w:t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cs="Arial Narrow" w:ascii="Arial Narrow" w:hAnsi="Arial Narrow"/>
          <w:sz w:val="22"/>
          <w:szCs w:val="22"/>
        </w:rPr>
        <w:t>w)</w:t>
      </w:r>
    </w:p>
    <w:p>
      <w:pPr>
        <w:pStyle w:val="Nzov"/>
        <w:numPr>
          <w:ilvl w:val="0"/>
          <w:numId w:val="76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w) o krátkodobom finančnom majetku</w:t>
      </w:r>
    </w:p>
    <w:p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4186"/>
        <w:gridCol w:w="2616"/>
        <w:gridCol w:w="2378"/>
      </w:tblGrid>
      <w:tr>
        <w:trPr/>
        <w:tc>
          <w:tcPr>
            <w:tcW w:w="418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7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8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Pokladnica, ceniny</w:t>
            </w:r>
          </w:p>
        </w:tc>
        <w:tc>
          <w:tcPr>
            <w:tcW w:w="261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auto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Arial Narrow" w:cs="Arial Narrow" w:ascii="Arial Narrow" w:hAnsi="Arial Narrow"/>
                <w:color w:val="auto"/>
                <w:kern w:val="2"/>
                <w:sz w:val="22"/>
                <w:szCs w:val="22"/>
                <w:lang w:val="sk-SK" w:eastAsia="zh-CN" w:bidi="hi-IN"/>
              </w:rPr>
            </w:r>
          </w:p>
        </w:tc>
        <w:tc>
          <w:tcPr>
            <w:tcW w:w="237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auto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Arial Narrow" w:cs="Arial Narrow" w:ascii="Arial Narrow" w:hAnsi="Arial Narrow"/>
                <w:color w:val="auto"/>
                <w:kern w:val="2"/>
                <w:sz w:val="22"/>
                <w:szCs w:val="22"/>
                <w:lang w:val="sk-SK" w:eastAsia="zh-CN" w:bidi="hi-IN"/>
              </w:rPr>
            </w:r>
          </w:p>
        </w:tc>
      </w:tr>
      <w:tr>
        <w:trPr>
          <w:trHeight w:val="526" w:hRule="exact"/>
        </w:trPr>
        <w:tc>
          <w:tcPr>
            <w:tcW w:w="418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Bežné účty v banke alebo v pobočke zahraničnej banky</w:t>
            </w:r>
          </w:p>
        </w:tc>
        <w:tc>
          <w:tcPr>
            <w:tcW w:w="261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auto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Arial Narrow" w:cs="Arial Narrow" w:ascii="Arial Narrow" w:hAnsi="Arial Narrow"/>
                <w:color w:val="auto"/>
                <w:kern w:val="2"/>
                <w:sz w:val="22"/>
                <w:szCs w:val="22"/>
                <w:lang w:val="sk-SK" w:eastAsia="zh-CN" w:bidi="hi-IN"/>
              </w:rPr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auto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Arial Narrow" w:cs="Arial Narrow" w:ascii="Arial Narrow" w:hAnsi="Arial Narrow"/>
                <w:color w:val="auto"/>
                <w:kern w:val="2"/>
                <w:sz w:val="22"/>
                <w:szCs w:val="22"/>
                <w:lang w:val="sk-SK" w:eastAsia="zh-CN" w:bidi="hi-IN"/>
              </w:rPr>
            </w:r>
          </w:p>
        </w:tc>
      </w:tr>
      <w:tr>
        <w:trPr>
          <w:trHeight w:val="576" w:hRule="exact"/>
        </w:trPr>
        <w:tc>
          <w:tcPr>
            <w:tcW w:w="418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Vkladové účty v banke alebo v pobočke zahraničnej banky termínované</w:t>
            </w:r>
          </w:p>
        </w:tc>
        <w:tc>
          <w:tcPr>
            <w:tcW w:w="261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sz w:val="22"/>
                <w:szCs w:val="22"/>
              </w:rPr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8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Peniaze na ceste</w:t>
            </w:r>
          </w:p>
        </w:tc>
        <w:tc>
          <w:tcPr>
            <w:tcW w:w="261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8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61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SimSun" w:cs="Arial Narrow"/>
                <w:b/>
                <w:b/>
                <w:bCs/>
                <w:color w:val="auto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SimSun" w:cs="Arial Narrow" w:ascii="Arial Narrow" w:hAnsi="Arial Narrow"/>
                <w:b/>
                <w:bCs/>
                <w:color w:val="auto"/>
                <w:kern w:val="2"/>
                <w:sz w:val="22"/>
                <w:szCs w:val="22"/>
                <w:lang w:val="sk-SK" w:eastAsia="zh-CN" w:bidi="hi-IN"/>
              </w:rPr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SimSun" w:cs="Arial Narrow"/>
                <w:b/>
                <w:b/>
                <w:bCs/>
                <w:color w:val="auto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SimSun" w:cs="Arial Narrow" w:ascii="Arial Narrow" w:hAnsi="Arial Narrow"/>
                <w:b/>
                <w:bCs/>
                <w:color w:val="auto"/>
                <w:kern w:val="2"/>
                <w:sz w:val="22"/>
                <w:szCs w:val="22"/>
                <w:lang w:val="sk-SK" w:eastAsia="zh-CN" w:bidi="hi-IN"/>
              </w:rPr>
            </w:r>
          </w:p>
        </w:tc>
      </w:tr>
    </w:tbl>
    <w:p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Tabuľka č. 2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802"/>
        <w:gridCol w:w="1455"/>
        <w:gridCol w:w="1152"/>
        <w:gridCol w:w="930"/>
        <w:gridCol w:w="1204"/>
        <w:gridCol w:w="1598"/>
      </w:tblGrid>
      <w:tr>
        <w:trPr/>
        <w:tc>
          <w:tcPr>
            <w:tcW w:w="2802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Krátkodobý finančný majetok</w:t>
            </w:r>
          </w:p>
        </w:tc>
        <w:tc>
          <w:tcPr>
            <w:tcW w:w="6339" w:type="dxa"/>
            <w:gridSpan w:val="5"/>
            <w:tcBorders>
              <w:top w:val="single" w:sz="12" w:space="0" w:color="000001"/>
              <w:left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Bežné účtovné obdobie</w:t>
            </w:r>
          </w:p>
        </w:tc>
      </w:tr>
      <w:tr>
        <w:trPr/>
        <w:tc>
          <w:tcPr>
            <w:tcW w:w="2802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45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Stav</w:t>
              <w:br/>
              <w:t> na začiatku účtovného obdobia</w:t>
            </w:r>
          </w:p>
        </w:tc>
        <w:tc>
          <w:tcPr>
            <w:tcW w:w="11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Prírastky</w:t>
            </w:r>
          </w:p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9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Úbytky</w:t>
            </w:r>
          </w:p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20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Presuny</w:t>
            </w:r>
          </w:p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59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80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b</w:t>
            </w:r>
          </w:p>
        </w:tc>
        <w:tc>
          <w:tcPr>
            <w:tcW w:w="11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c</w:t>
            </w:r>
          </w:p>
        </w:tc>
        <w:tc>
          <w:tcPr>
            <w:tcW w:w="9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d</w:t>
            </w:r>
          </w:p>
        </w:tc>
        <w:tc>
          <w:tcPr>
            <w:tcW w:w="120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e</w:t>
            </w:r>
          </w:p>
        </w:tc>
        <w:tc>
          <w:tcPr>
            <w:tcW w:w="159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Majetkové CP na obchodovanie</w:t>
            </w:r>
          </w:p>
        </w:tc>
        <w:tc>
          <w:tcPr>
            <w:tcW w:w="145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15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Dlhové CP na obchodovanie</w:t>
            </w:r>
          </w:p>
        </w:tc>
        <w:tc>
          <w:tcPr>
            <w:tcW w:w="145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280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Emisné kvóty</w:t>
            </w:r>
          </w:p>
        </w:tc>
        <w:tc>
          <w:tcPr>
            <w:tcW w:w="145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80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Dlhové CP so splatnosťou do  jedného roka držané</w:t>
            </w:r>
            <w:r>
              <w:rPr>
                <w:color w:val="000000"/>
              </w:rPr>
              <w:br/>
            </w: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do splatnosti</w:t>
            </w:r>
          </w:p>
        </w:tc>
        <w:tc>
          <w:tcPr>
            <w:tcW w:w="145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280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45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52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8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Obstarávanie krátkodobého finančného majetku</w:t>
            </w:r>
          </w:p>
        </w:tc>
        <w:tc>
          <w:tcPr>
            <w:tcW w:w="145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80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000000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45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Textbody"/>
        <w:widowControl w:val="false"/>
        <w:jc w:val="left"/>
        <w:rPr>
          <w:rFonts w:ascii="Arial Narrow" w:hAnsi="Arial Narrow" w:cs="Arial Narrow"/>
          <w:i/>
          <w:i/>
          <w:sz w:val="22"/>
          <w:szCs w:val="22"/>
          <w:highlight w:val="yellow"/>
          <w:lang w:eastAsia="sk-SK"/>
        </w:rPr>
      </w:pPr>
      <w:r>
        <w:rPr>
          <w:rFonts w:cs="Arial Narrow" w:ascii="Arial Narrow" w:hAnsi="Arial Narrow"/>
          <w:i/>
          <w:sz w:val="22"/>
          <w:szCs w:val="22"/>
          <w:highlight w:val="yellow"/>
          <w:lang w:eastAsia="sk-SK"/>
        </w:rPr>
      </w:r>
    </w:p>
    <w:p>
      <w:pPr>
        <w:pStyle w:val="Textbody"/>
        <w:widowControl w:val="false"/>
        <w:jc w:val="left"/>
        <w:rPr>
          <w:rFonts w:ascii="Arial Narrow" w:hAnsi="Arial Narrow" w:cs="Arial Narrow"/>
          <w:i/>
          <w:i/>
          <w:sz w:val="22"/>
          <w:szCs w:val="22"/>
          <w:highlight w:val="yellow"/>
          <w:lang w:eastAsia="sk-SK"/>
        </w:rPr>
      </w:pPr>
      <w:r>
        <w:rPr>
          <w:rFonts w:cs="Arial Narrow" w:ascii="Arial Narrow" w:hAnsi="Arial Narrow"/>
          <w:i/>
          <w:sz w:val="22"/>
          <w:szCs w:val="22"/>
          <w:highlight w:val="yellow"/>
          <w:lang w:eastAsia="sk-SK"/>
        </w:rPr>
      </w:r>
    </w:p>
    <w:p>
      <w:pPr>
        <w:pStyle w:val="Textbody"/>
        <w:widowControl w:val="false"/>
        <w:jc w:val="left"/>
        <w:rPr>
          <w:rFonts w:ascii="Arial Narrow" w:hAnsi="Arial Narrow" w:cs="Arial Narrow"/>
          <w:i/>
          <w:i/>
          <w:sz w:val="22"/>
          <w:szCs w:val="22"/>
          <w:highlight w:val="yellow"/>
          <w:lang w:eastAsia="sk-SK"/>
        </w:rPr>
      </w:pPr>
      <w:r>
        <w:rPr>
          <w:rFonts w:cs="Arial Narrow" w:ascii="Arial Narrow" w:hAnsi="Arial Narrow"/>
          <w:i/>
          <w:sz w:val="22"/>
          <w:szCs w:val="22"/>
          <w:highlight w:val="yellow"/>
          <w:lang w:eastAsia="sk-SK"/>
        </w:rPr>
      </w:r>
    </w:p>
    <w:p>
      <w:pPr>
        <w:pStyle w:val="Textbody"/>
        <w:widowControl w:val="false"/>
        <w:jc w:val="left"/>
        <w:rPr>
          <w:rFonts w:ascii="Arial Narrow" w:hAnsi="Arial Narrow" w:cs="Arial Narrow"/>
          <w:i/>
          <w:i/>
          <w:sz w:val="22"/>
          <w:szCs w:val="22"/>
          <w:highlight w:val="yellow"/>
          <w:lang w:eastAsia="sk-SK"/>
        </w:rPr>
      </w:pPr>
      <w:r>
        <w:rPr>
          <w:rFonts w:cs="Arial Narrow" w:ascii="Arial Narrow" w:hAnsi="Arial Narrow"/>
          <w:i/>
          <w:sz w:val="22"/>
          <w:szCs w:val="22"/>
          <w:highlight w:val="yellow"/>
          <w:lang w:eastAsia="sk-SK"/>
        </w:rPr>
      </w:r>
    </w:p>
    <w:p>
      <w:pPr>
        <w:pStyle w:val="Textbody"/>
        <w:widowControl w:val="false"/>
        <w:jc w:val="left"/>
        <w:rPr>
          <w:rFonts w:ascii="Arial Narrow" w:hAnsi="Arial Narrow" w:cs="Arial Narrow"/>
          <w:i/>
          <w:i/>
          <w:sz w:val="22"/>
          <w:szCs w:val="22"/>
          <w:lang w:eastAsia="sk-SK"/>
        </w:rPr>
      </w:pPr>
      <w:r>
        <w:rPr>
          <w:rFonts w:cs="Arial Narrow" w:ascii="Arial Narrow" w:hAnsi="Arial Narrow"/>
          <w:i/>
          <w:sz w:val="22"/>
          <w:szCs w:val="22"/>
          <w:lang w:eastAsia="sk-SK"/>
        </w:rPr>
      </w:r>
    </w:p>
    <w:p>
      <w:pPr>
        <w:pStyle w:val="Textbody"/>
        <w:widowControl w:val="false"/>
        <w:jc w:val="left"/>
        <w:rPr/>
      </w:pPr>
      <w:r>
        <w:rPr>
          <w:rFonts w:cs="Arial Narrow" w:ascii="Arial Narrow" w:hAnsi="Arial Narrow"/>
          <w:i/>
          <w:sz w:val="22"/>
          <w:szCs w:val="22"/>
          <w:lang w:eastAsia="sk-SK"/>
        </w:rPr>
        <w:t xml:space="preserve">F .) </w:t>
      </w:r>
      <w:r>
        <w:rPr>
          <w:b w:val="false"/>
          <w:bCs w:val="false"/>
          <w:szCs w:val="22"/>
          <w:lang w:eastAsia="sk-SK"/>
        </w:rPr>
        <w:t>x)</w:t>
      </w:r>
    </w:p>
    <w:p>
      <w:pPr>
        <w:pStyle w:val="Nzov"/>
        <w:widowControl w:val="false"/>
        <w:numPr>
          <w:ilvl w:val="0"/>
          <w:numId w:val="77"/>
        </w:numPr>
        <w:ind w:left="360" w:hanging="360"/>
        <w:jc w:val="both"/>
        <w:rPr/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721"/>
        <w:gridCol w:w="1426"/>
        <w:gridCol w:w="985"/>
        <w:gridCol w:w="1407"/>
        <w:gridCol w:w="1409"/>
        <w:gridCol w:w="1193"/>
      </w:tblGrid>
      <w:tr>
        <w:trPr/>
        <w:tc>
          <w:tcPr>
            <w:tcW w:w="27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Krátkodobý finančný majetok</w:t>
            </w:r>
          </w:p>
        </w:tc>
        <w:tc>
          <w:tcPr>
            <w:tcW w:w="142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OP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na začiatku účtovného obdobia</w:t>
            </w:r>
          </w:p>
        </w:tc>
        <w:tc>
          <w:tcPr>
            <w:tcW w:w="9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Tvorba </w:t>
              <w:br/>
              <w:t>OP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</w:r>
          </w:p>
        </w:tc>
        <w:tc>
          <w:tcPr>
            <w:tcW w:w="140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Zúčtovanie OP z dôvodu zániku opodstatne-nosti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</w:r>
          </w:p>
        </w:tc>
        <w:tc>
          <w:tcPr>
            <w:tcW w:w="14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Zúčtovanie OP z dôvodu vyradenia majetku z účtovníctva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</w:r>
          </w:p>
        </w:tc>
        <w:tc>
          <w:tcPr>
            <w:tcW w:w="119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 OP na konci účtovného obdobia</w:t>
            </w:r>
          </w:p>
        </w:tc>
      </w:tr>
      <w:tr>
        <w:trPr/>
        <w:tc>
          <w:tcPr>
            <w:tcW w:w="27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42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9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4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140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119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2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42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5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93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7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Obstarávanie krátkodobého finančného majetku</w:t>
            </w:r>
          </w:p>
        </w:tc>
        <w:tc>
          <w:tcPr>
            <w:tcW w:w="14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5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93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7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42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5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9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Spoločnosť v roku 2024 netvorila opravné položky ku krátkodobému finančnému majetku.</w:t>
      </w:r>
    </w:p>
    <w:p>
      <w:pPr>
        <w:pStyle w:val="Nadpis4"/>
        <w:rPr/>
      </w:pPr>
      <w:r>
        <w:rPr>
          <w:rFonts w:cs="Arial Narrow"/>
          <w:i/>
          <w:sz w:val="22"/>
          <w:szCs w:val="22"/>
        </w:rPr>
        <w:t xml:space="preserve">F .) </w:t>
      </w:r>
      <w:r>
        <w:rPr>
          <w:b w:val="false"/>
          <w:bCs w:val="false"/>
          <w:sz w:val="22"/>
          <w:szCs w:val="22"/>
        </w:rPr>
        <w:t>y)</w:t>
      </w:r>
    </w:p>
    <w:p>
      <w:pPr>
        <w:pStyle w:val="Nzov"/>
        <w:numPr>
          <w:ilvl w:val="0"/>
          <w:numId w:val="78"/>
        </w:numPr>
        <w:ind w:left="360" w:hanging="360"/>
        <w:jc w:val="both"/>
        <w:rPr>
          <w:szCs w:val="22"/>
        </w:rPr>
      </w:pPr>
      <w:r>
        <w:rPr>
          <w:szCs w:val="22"/>
        </w:rPr>
        <w:t>Informácie k prílohe č. 3 časti F. písm. y) o krátkodobom finančnom majetku, na ktorý bolo zriadené záložné právo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819"/>
        <w:gridCol w:w="2322"/>
      </w:tblGrid>
      <w:tr>
        <w:trPr>
          <w:trHeight w:val="397" w:hRule="atLeast"/>
        </w:trPr>
        <w:tc>
          <w:tcPr>
            <w:tcW w:w="68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Názov položky</w:t>
            </w:r>
          </w:p>
        </w:tc>
        <w:tc>
          <w:tcPr>
            <w:tcW w:w="232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81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Krátkodobý  finančný majetok, na ktorý bolo zriadené záložné právo</w:t>
            </w:r>
          </w:p>
        </w:tc>
        <w:tc>
          <w:tcPr>
            <w:tcW w:w="232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852" w:leader="none"/>
        </w:tabs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426" w:leader="none"/>
        </w:tabs>
        <w:ind w:hanging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V roku 2024 nevzniklo záložné právo na finančnom majetku ani obmedzenie práva s ním nakladať.</w:t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cs="Arial Narrow" w:ascii="Arial Narrow" w:hAnsi="Arial Narrow"/>
          <w:sz w:val="22"/>
          <w:szCs w:val="22"/>
        </w:rPr>
        <w:t>z)    a.)</w:t>
      </w:r>
    </w:p>
    <w:p>
      <w:pPr>
        <w:pStyle w:val="Nzov"/>
        <w:numPr>
          <w:ilvl w:val="0"/>
          <w:numId w:val="79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358"/>
        <w:gridCol w:w="1791"/>
        <w:gridCol w:w="2240"/>
        <w:gridCol w:w="1790"/>
      </w:tblGrid>
      <w:tr>
        <w:trPr/>
        <w:tc>
          <w:tcPr>
            <w:tcW w:w="335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Krátkodobý finančný  majetok</w:t>
            </w:r>
          </w:p>
        </w:tc>
        <w:tc>
          <w:tcPr>
            <w:tcW w:w="179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Zvýšenie/ zníženie hodnoty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(+/-)</w:t>
            </w:r>
          </w:p>
        </w:tc>
        <w:tc>
          <w:tcPr>
            <w:tcW w:w="224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Vplyv ocenenia</w:t>
              <w:br/>
              <w:t>na výsledok hospodá-renia bežného účtovného obdobia</w:t>
            </w:r>
          </w:p>
        </w:tc>
        <w:tc>
          <w:tcPr>
            <w:tcW w:w="17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Vplyv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ocenenia</w:t>
              <w:br/>
              <w:t>na vlastné imanie</w:t>
            </w:r>
          </w:p>
        </w:tc>
      </w:tr>
      <w:tr>
        <w:trPr/>
        <w:tc>
          <w:tcPr>
            <w:tcW w:w="335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79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224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7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5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Majetkové CP na obchodovanie</w:t>
            </w:r>
          </w:p>
        </w:tc>
        <w:tc>
          <w:tcPr>
            <w:tcW w:w="179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224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79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335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Dlhové CP na obchodovanie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224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335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Emisné kvóty (komodity)</w:t>
            </w:r>
          </w:p>
        </w:tc>
        <w:tc>
          <w:tcPr>
            <w:tcW w:w="17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224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79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335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22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335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24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highlight w:val="yellow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ind w:left="1125" w:hanging="1170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  <w:highlight w:val="yellow"/>
        </w:rPr>
      </w:pPr>
      <w:r>
        <w:rPr>
          <w:rFonts w:cs="Arial Narrow" w:ascii="Arial Narrow" w:hAnsi="Arial Narrow"/>
          <w:b/>
          <w:bCs/>
          <w:i/>
          <w:sz w:val="22"/>
          <w:szCs w:val="22"/>
          <w:highlight w:val="yellow"/>
        </w:rPr>
      </w:r>
    </w:p>
    <w:p>
      <w:pPr>
        <w:pStyle w:val="Standard"/>
        <w:tabs>
          <w:tab w:val="clear" w:pos="708"/>
          <w:tab w:val="left" w:pos="1572" w:leader="none"/>
        </w:tabs>
        <w:ind w:left="786" w:hanging="360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ind w:left="1125" w:hanging="117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/>
      </w:pPr>
      <w:r>
        <w:rPr>
          <w:rFonts w:eastAsia="Arial Narrow" w:cs="Arial Narrow" w:ascii="Arial Narrow" w:hAnsi="Arial Narrow"/>
          <w:b/>
          <w:bCs/>
          <w:i/>
          <w:sz w:val="22"/>
          <w:szCs w:val="22"/>
        </w:rPr>
        <w:t xml:space="preserve">F .) </w:t>
      </w:r>
    </w:p>
    <w:p>
      <w:pPr>
        <w:pStyle w:val="Nzov"/>
        <w:numPr>
          <w:ilvl w:val="0"/>
          <w:numId w:val="80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zd) o majetku prenajatom formou finančného prenájmu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511"/>
        <w:gridCol w:w="1271"/>
        <w:gridCol w:w="1687"/>
        <w:gridCol w:w="1061"/>
        <w:gridCol w:w="1191"/>
        <w:gridCol w:w="1552"/>
        <w:gridCol w:w="906"/>
      </w:tblGrid>
      <w:tr>
        <w:trPr>
          <w:trHeight w:val="660" w:hRule="atLeast"/>
        </w:trPr>
        <w:tc>
          <w:tcPr>
            <w:tcW w:w="151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Názov</w:t>
              <w:br/>
              <w:t>položky</w:t>
            </w:r>
          </w:p>
        </w:tc>
        <w:tc>
          <w:tcPr>
            <w:tcW w:w="4019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  <w:tc>
          <w:tcPr>
            <w:tcW w:w="3649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11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4019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Splatnosť</w:t>
            </w:r>
          </w:p>
        </w:tc>
        <w:tc>
          <w:tcPr>
            <w:tcW w:w="3649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Splatnosť</w:t>
            </w:r>
          </w:p>
        </w:tc>
      </w:tr>
      <w:tr>
        <w:trPr>
          <w:trHeight w:val="345" w:hRule="atLeast"/>
        </w:trPr>
        <w:tc>
          <w:tcPr>
            <w:tcW w:w="1511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7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do jedného roka vrátane</w:t>
            </w:r>
          </w:p>
        </w:tc>
        <w:tc>
          <w:tcPr>
            <w:tcW w:w="168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od jedného roka do piatich rokov vrátane</w:t>
            </w:r>
          </w:p>
        </w:tc>
        <w:tc>
          <w:tcPr>
            <w:tcW w:w="10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viac ako päť rokov</w:t>
            </w:r>
          </w:p>
        </w:tc>
        <w:tc>
          <w:tcPr>
            <w:tcW w:w="119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do jedného roka vrátane</w:t>
            </w:r>
          </w:p>
        </w:tc>
        <w:tc>
          <w:tcPr>
            <w:tcW w:w="15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od jedného roka do piatich rokov vrátane</w:t>
            </w:r>
          </w:p>
        </w:tc>
        <w:tc>
          <w:tcPr>
            <w:tcW w:w="9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viac ako päť rokov</w:t>
            </w:r>
          </w:p>
        </w:tc>
      </w:tr>
      <w:tr>
        <w:trPr>
          <w:trHeight w:val="74" w:hRule="atLeast"/>
        </w:trPr>
        <w:tc>
          <w:tcPr>
            <w:tcW w:w="151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27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68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06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9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9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51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Istina</w:t>
            </w:r>
          </w:p>
        </w:tc>
        <w:tc>
          <w:tcPr>
            <w:tcW w:w="127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61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9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2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06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151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Finančný výnos</w:t>
            </w:r>
          </w:p>
        </w:tc>
        <w:tc>
          <w:tcPr>
            <w:tcW w:w="127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61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9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2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06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151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27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7" w:type="dxa"/>
            <w:tcBorders>
              <w:top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061" w:type="dxa"/>
            <w:tcBorders>
              <w:top w:val="single" w:sz="4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91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52" w:type="dxa"/>
            <w:tcBorders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06" w:type="dxa"/>
            <w:tcBorders>
              <w:top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567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jc w:val="both"/>
        <w:rPr/>
      </w:pPr>
      <w:r>
        <w:rPr>
          <w:rFonts w:cs="Arial Narrow" w:ascii="Arial Narrow" w:hAnsi="Arial Narrow"/>
          <w:sz w:val="22"/>
          <w:szCs w:val="22"/>
        </w:rPr>
        <w:t>Účtovná jednotka v roku 2023 ani v roku 2024 neevidovala majetok daný do prenájmu</w:t>
      </w:r>
    </w:p>
    <w:p>
      <w:pPr>
        <w:pStyle w:val="Standard"/>
        <w:tabs>
          <w:tab w:val="clear" w:pos="708"/>
          <w:tab w:val="left" w:pos="870" w:leader="none"/>
        </w:tabs>
        <w:ind w:left="435" w:hanging="435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tabs>
          <w:tab w:val="clear" w:pos="708"/>
          <w:tab w:val="left" w:pos="870" w:leader="none"/>
        </w:tabs>
        <w:ind w:left="435" w:hanging="435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  <w:t>G.)   Údaje vykázané na strane pasív súvahy</w:t>
      </w:r>
    </w:p>
    <w:p>
      <w:pPr>
        <w:pStyle w:val="Standard"/>
        <w:numPr>
          <w:ilvl w:val="0"/>
          <w:numId w:val="81"/>
        </w:numPr>
        <w:tabs>
          <w:tab w:val="clear" w:pos="708"/>
          <w:tab w:val="left" w:pos="720" w:leader="none"/>
        </w:tabs>
        <w:ind w:left="360" w:hanging="360"/>
        <w:jc w:val="both"/>
        <w:rPr>
          <w:rFonts w:ascii="Arial Narrow" w:hAnsi="Arial Narrow" w:cs="Arial Narrow"/>
          <w:bCs/>
        </w:rPr>
      </w:pPr>
      <w:r>
        <w:rPr>
          <w:rFonts w:cs="Arial Narrow" w:ascii="Arial Narrow" w:hAnsi="Arial Narrow"/>
          <w:bCs/>
        </w:rPr>
        <w:t>Vlastné imanie</w:t>
      </w:r>
    </w:p>
    <w:p>
      <w:pPr>
        <w:pStyle w:val="Standard"/>
        <w:tabs>
          <w:tab w:val="clear" w:pos="708"/>
          <w:tab w:val="left" w:pos="1572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Stav základného imania k 31.12.2024 tvoril 5000,- € </w:t>
      </w:r>
      <w:r>
        <w:br w:type="page"/>
      </w:r>
    </w:p>
    <w:p>
      <w:pPr>
        <w:pStyle w:val="Standard"/>
        <w:tabs>
          <w:tab w:val="clear" w:pos="708"/>
          <w:tab w:val="left" w:pos="1572" w:leader="none"/>
        </w:tabs>
        <w:ind w:left="786" w:hanging="765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tabs>
          <w:tab w:val="clear" w:pos="708"/>
          <w:tab w:val="left" w:pos="1572" w:leader="none"/>
        </w:tabs>
        <w:ind w:left="786" w:hanging="765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tabs>
          <w:tab w:val="clear" w:pos="708"/>
          <w:tab w:val="left" w:pos="1572" w:leader="none"/>
        </w:tabs>
        <w:ind w:left="786" w:hanging="765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 </w:t>
      </w:r>
      <w:r>
        <w:rPr>
          <w:rFonts w:cs="Arial Narrow" w:ascii="Arial Narrow" w:hAnsi="Arial Narrow"/>
          <w:i/>
          <w:sz w:val="22"/>
          <w:szCs w:val="22"/>
        </w:rPr>
        <w:t>a) 3.</w:t>
      </w:r>
    </w:p>
    <w:p>
      <w:pPr>
        <w:pStyle w:val="Nzov"/>
        <w:numPr>
          <w:ilvl w:val="0"/>
          <w:numId w:val="82"/>
        </w:numPr>
        <w:ind w:left="360" w:hanging="360"/>
        <w:jc w:val="both"/>
        <w:rPr>
          <w:szCs w:val="22"/>
        </w:rPr>
      </w:pPr>
      <w:r>
        <w:rPr>
          <w:szCs w:val="22"/>
        </w:rPr>
        <w:t>Informácie k prílohe č. 3 časti G. písm. a) tretiemu bodu o rozdelení účtovného zisku alebo o vysporiadaní účtovnej straty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691"/>
        <w:gridCol w:w="2488"/>
      </w:tblGrid>
      <w:tr>
        <w:trPr>
          <w:trHeight w:val="765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Účtovný zisk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30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Rozdelenie účtovného zisku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Prídel do zákonného rezervného fondu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Prídel do štatutárnych a ostatných fondov</w:t>
            </w:r>
          </w:p>
        </w:tc>
        <w:tc>
          <w:tcPr>
            <w:tcW w:w="2488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Prídel do sociálneho fondu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Prídel na zvýšenie základného imania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Úhrada straty minulých období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Prevod do nerozdeleného zisku minulých rokov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Rozdelenie podielu na zisku spoločníkom, členom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rPr/>
      </w:pPr>
      <w:r>
        <w:rPr/>
      </w:r>
    </w:p>
    <w:p>
      <w:pPr>
        <w:pStyle w:val="Standard"/>
        <w:rPr/>
      </w:pPr>
      <w:r>
        <w:rPr/>
        <w:t>Tabuľka č. 2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691"/>
        <w:gridCol w:w="2488"/>
      </w:tblGrid>
      <w:tr>
        <w:trPr>
          <w:trHeight w:val="330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Názov položky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Účtovná strata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425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Vysporiadanie účtovnej straty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Zo zákonného rezervného fondu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Zo štatutárnych a ostatných fondov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 nerozdeleného zisku minulých rokov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Úhrada straty spoločníkmi, členmi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Prevod na účet neuhradenej straty minulých rokov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725" w:leader="none"/>
          <w:tab w:val="left" w:pos="1335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556" w:leader="none"/>
        </w:tabs>
        <w:ind w:left="786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556" w:leader="none"/>
        </w:tabs>
        <w:ind w:left="786" w:hanging="360"/>
        <w:jc w:val="both"/>
        <w:rPr/>
      </w:pPr>
      <w:r>
        <w:rPr/>
      </w:r>
    </w:p>
    <w:p>
      <w:pPr>
        <w:pStyle w:val="Standard"/>
        <w:tabs>
          <w:tab w:val="clear" w:pos="708"/>
          <w:tab w:val="left" w:pos="1556" w:leader="none"/>
        </w:tabs>
        <w:ind w:left="786" w:hanging="360"/>
        <w:jc w:val="both"/>
        <w:rPr/>
      </w:pPr>
      <w:r>
        <w:rPr/>
      </w:r>
    </w:p>
    <w:p>
      <w:pPr>
        <w:pStyle w:val="Standard"/>
        <w:tabs>
          <w:tab w:val="clear" w:pos="708"/>
          <w:tab w:val="left" w:pos="1556" w:leader="none"/>
        </w:tabs>
        <w:ind w:left="786" w:hanging="360"/>
        <w:jc w:val="both"/>
        <w:rPr/>
      </w:pPr>
      <w:r>
        <w:rPr/>
      </w:r>
    </w:p>
    <w:p>
      <w:pPr>
        <w:pStyle w:val="Standard"/>
        <w:tabs>
          <w:tab w:val="clear" w:pos="708"/>
          <w:tab w:val="left" w:pos="1556" w:leader="none"/>
        </w:tabs>
        <w:ind w:left="786" w:hanging="360"/>
        <w:jc w:val="both"/>
        <w:rPr/>
      </w:pPr>
      <w:r>
        <w:rPr/>
      </w:r>
    </w:p>
    <w:p>
      <w:pPr>
        <w:pStyle w:val="Standard"/>
        <w:tabs>
          <w:tab w:val="clear" w:pos="708"/>
          <w:tab w:val="left" w:pos="1556" w:leader="none"/>
        </w:tabs>
        <w:ind w:left="786" w:hanging="360"/>
        <w:jc w:val="both"/>
        <w:rPr/>
      </w:pPr>
      <w:r>
        <w:rPr/>
      </w:r>
    </w:p>
    <w:p>
      <w:pPr>
        <w:pStyle w:val="Standard"/>
        <w:tabs>
          <w:tab w:val="clear" w:pos="708"/>
          <w:tab w:val="left" w:pos="1556" w:leader="none"/>
        </w:tabs>
        <w:ind w:left="786" w:hanging="360"/>
        <w:jc w:val="both"/>
        <w:rPr/>
      </w:pPr>
      <w:r>
        <w:rPr/>
      </w:r>
    </w:p>
    <w:p>
      <w:pPr>
        <w:pStyle w:val="Standard"/>
        <w:tabs>
          <w:tab w:val="clear" w:pos="708"/>
          <w:tab w:val="left" w:pos="1556" w:leader="none"/>
        </w:tabs>
        <w:ind w:left="786" w:hanging="360"/>
        <w:jc w:val="both"/>
        <w:rPr/>
      </w:pPr>
      <w:r>
        <w:rPr/>
      </w:r>
    </w:p>
    <w:p>
      <w:pPr>
        <w:pStyle w:val="Standard"/>
        <w:jc w:val="both"/>
        <w:rPr/>
      </w:pPr>
      <w:r>
        <w:rPr>
          <w:rFonts w:eastAsia="Arial Narrow" w:cs="Arial Narrow" w:ascii="Arial Narrow" w:hAnsi="Arial Narrow"/>
          <w:b/>
          <w:bCs/>
          <w:i/>
          <w:sz w:val="22"/>
          <w:szCs w:val="22"/>
        </w:rPr>
        <w:t xml:space="preserve">G .) </w:t>
      </w:r>
      <w:r>
        <w:rPr>
          <w:rFonts w:eastAsia="Arial Narrow" w:cs="Arial Narrow" w:ascii="Arial Narrow" w:hAnsi="Arial Narrow"/>
          <w:i/>
          <w:sz w:val="22"/>
          <w:szCs w:val="22"/>
        </w:rPr>
        <w:t>b</w:t>
      </w:r>
      <w:r>
        <w:rPr>
          <w:rFonts w:eastAsia="Arial Narrow" w:cs="Arial Narrow" w:ascii="Arial Narrow" w:hAnsi="Arial Narrow"/>
          <w:sz w:val="22"/>
          <w:szCs w:val="22"/>
        </w:rPr>
        <w:t xml:space="preserve">)  </w:t>
      </w:r>
    </w:p>
    <w:p>
      <w:pPr>
        <w:pStyle w:val="Nzov"/>
        <w:numPr>
          <w:ilvl w:val="0"/>
          <w:numId w:val="83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52" w:type="dxa"/>
        <w:jc w:val="left"/>
        <w:tblInd w:w="-97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460"/>
        <w:gridCol w:w="1934"/>
        <w:gridCol w:w="1005"/>
        <w:gridCol w:w="1126"/>
        <w:gridCol w:w="1109"/>
        <w:gridCol w:w="1517"/>
      </w:tblGrid>
      <w:tr>
        <w:trPr>
          <w:trHeight w:val="330" w:hRule="atLeast"/>
        </w:trPr>
        <w:tc>
          <w:tcPr>
            <w:tcW w:w="246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91" w:type="dxa"/>
            <w:gridSpan w:val="5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60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10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51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3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0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12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0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1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Dlhodobé rezervy, z toho: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obch. a ekon. riziká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Dlhodobé rezervy spolu</w:t>
            </w:r>
          </w:p>
        </w:tc>
        <w:tc>
          <w:tcPr>
            <w:tcW w:w="1934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005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1"/>
              <w:bottom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top w:val="single" w:sz="8" w:space="0" w:color="000001"/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Krátkodobé rezervy, z toho: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Nevyčerpané dovolenky vrátane sociálneho poistenia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obchodné a ekonomické riziká</w:t>
            </w:r>
          </w:p>
        </w:tc>
        <w:tc>
          <w:tcPr>
            <w:tcW w:w="19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00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poradenstvo pre  AUDIT</w:t>
            </w:r>
          </w:p>
        </w:tc>
        <w:tc>
          <w:tcPr>
            <w:tcW w:w="1934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</w:tr>
    </w:tbl>
    <w:p>
      <w:pPr>
        <w:pStyle w:val="Standard"/>
        <w:spacing w:before="120" w:after="0"/>
        <w:rPr/>
      </w:pPr>
      <w:r>
        <w:rPr/>
      </w:r>
    </w:p>
    <w:p>
      <w:pPr>
        <w:pStyle w:val="Standard"/>
        <w:spacing w:before="120" w:after="0"/>
        <w:rPr/>
      </w:pPr>
      <w:r>
        <w:rPr/>
      </w:r>
    </w:p>
    <w:p>
      <w:pPr>
        <w:pStyle w:val="Standard"/>
        <w:spacing w:before="120" w:after="0"/>
        <w:rPr/>
      </w:pPr>
      <w:r>
        <w:rPr/>
        <w:t>Tabuľka č. 2</w:t>
      </w:r>
    </w:p>
    <w:p>
      <w:pPr>
        <w:pStyle w:val="Standard"/>
        <w:spacing w:before="120" w:after="0"/>
        <w:rPr/>
      </w:pPr>
      <w:r>
        <w:rPr/>
      </w:r>
    </w:p>
    <w:tbl>
      <w:tblPr>
        <w:tblW w:w="9152" w:type="dxa"/>
        <w:jc w:val="left"/>
        <w:tblInd w:w="-97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460"/>
        <w:gridCol w:w="1934"/>
        <w:gridCol w:w="1005"/>
        <w:gridCol w:w="1126"/>
        <w:gridCol w:w="1109"/>
        <w:gridCol w:w="1517"/>
      </w:tblGrid>
      <w:tr>
        <w:trPr>
          <w:trHeight w:val="330" w:hRule="atLeast"/>
        </w:trPr>
        <w:tc>
          <w:tcPr>
            <w:tcW w:w="246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91" w:type="dxa"/>
            <w:gridSpan w:val="5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60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10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51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3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0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12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0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1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Dlhodobé rezervy, z toho: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Dlhodobé rezervy spolu</w:t>
            </w:r>
          </w:p>
        </w:tc>
        <w:tc>
          <w:tcPr>
            <w:tcW w:w="1934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005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1"/>
              <w:bottom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top w:val="single" w:sz="8" w:space="0" w:color="000001"/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Krátkodobé rezervy, z toho: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Nevyčerpané dovolenky vrátane sociálneho poistenia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obchodné a ekonomické riziká</w:t>
            </w:r>
          </w:p>
        </w:tc>
        <w:tc>
          <w:tcPr>
            <w:tcW w:w="19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00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poradenstvo pre VO</w:t>
            </w:r>
          </w:p>
        </w:tc>
        <w:tc>
          <w:tcPr>
            <w:tcW w:w="1934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poradenstvo pre projekty</w:t>
            </w:r>
          </w:p>
        </w:tc>
        <w:tc>
          <w:tcPr>
            <w:tcW w:w="1934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 zml. pokutu</w:t>
            </w:r>
          </w:p>
        </w:tc>
        <w:tc>
          <w:tcPr>
            <w:tcW w:w="1934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Zverejnenie údajov</w:t>
            </w:r>
          </w:p>
        </w:tc>
        <w:tc>
          <w:tcPr>
            <w:tcW w:w="1934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109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</w:tbl>
    <w:p>
      <w:pPr>
        <w:pStyle w:val="Standard"/>
        <w:ind w:left="1125" w:hanging="117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</w:t>
      </w:r>
      <w:r>
        <w:rPr>
          <w:rFonts w:cs="Arial Narrow" w:ascii="Arial Narrow" w:hAnsi="Arial Narrow"/>
          <w:i/>
          <w:sz w:val="22"/>
          <w:szCs w:val="22"/>
        </w:rPr>
        <w:t>c-d</w:t>
      </w:r>
      <w:r>
        <w:rPr>
          <w:rFonts w:cs="Arial Narrow" w:ascii="Arial Narrow" w:hAnsi="Arial Narrow"/>
          <w:sz w:val="22"/>
          <w:szCs w:val="22"/>
        </w:rPr>
        <w:t>)</w:t>
      </w:r>
    </w:p>
    <w:p>
      <w:pPr>
        <w:pStyle w:val="Nzov"/>
        <w:numPr>
          <w:ilvl w:val="0"/>
          <w:numId w:val="84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705"/>
        <w:gridCol w:w="2888"/>
        <w:gridCol w:w="2587"/>
      </w:tblGrid>
      <w:tr>
        <w:trPr>
          <w:trHeight w:val="920" w:hRule="atLeast"/>
        </w:trPr>
        <w:tc>
          <w:tcPr>
            <w:tcW w:w="370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70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Dlhodobé záväzky spolu</w:t>
            </w:r>
          </w:p>
        </w:tc>
        <w:tc>
          <w:tcPr>
            <w:tcW w:w="28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58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567" w:hRule="atLeast"/>
        </w:trPr>
        <w:tc>
          <w:tcPr>
            <w:tcW w:w="3705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Záväzky so zostatkovou dobou splatnosti nad päť rokov</w:t>
            </w:r>
          </w:p>
        </w:tc>
        <w:tc>
          <w:tcPr>
            <w:tcW w:w="2888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587" w:type="dxa"/>
            <w:tcBorders>
              <w:top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567" w:hRule="atLeast"/>
        </w:trPr>
        <w:tc>
          <w:tcPr>
            <w:tcW w:w="3705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Záväzky so zostatkovou dobou splatnosti jeden rok až päť rokov</w:t>
            </w:r>
          </w:p>
        </w:tc>
        <w:tc>
          <w:tcPr>
            <w:tcW w:w="2888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587" w:type="dxa"/>
            <w:tcBorders>
              <w:top w:val="single" w:sz="8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370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Krátkodobé záväzky spolu</w:t>
            </w:r>
          </w:p>
        </w:tc>
        <w:tc>
          <w:tcPr>
            <w:tcW w:w="28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b/>
                <w:b/>
                <w:bCs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b/>
                <w:bCs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258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b/>
                <w:b/>
                <w:bCs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b/>
                <w:bCs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</w:tr>
      <w:tr>
        <w:trPr>
          <w:trHeight w:val="567" w:hRule="atLeast"/>
        </w:trPr>
        <w:tc>
          <w:tcPr>
            <w:tcW w:w="3705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Záväzky so zostatkovou dobou splatnosti do jedného roka vrátane</w:t>
            </w:r>
          </w:p>
        </w:tc>
        <w:tc>
          <w:tcPr>
            <w:tcW w:w="2888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2587" w:type="dxa"/>
            <w:tcBorders>
              <w:top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3705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Záväzky po lehote splatnosti</w:t>
            </w:r>
          </w:p>
        </w:tc>
        <w:tc>
          <w:tcPr>
            <w:tcW w:w="2888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2587" w:type="dxa"/>
            <w:tcBorders>
              <w:top w:val="single" w:sz="8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0</w:t>
            </w:r>
          </w:p>
        </w:tc>
      </w:tr>
    </w:tbl>
    <w:p>
      <w:pPr>
        <w:pStyle w:val="Textbody"/>
        <w:rPr/>
      </w:pPr>
      <w:r>
        <w:rPr/>
      </w:r>
    </w:p>
    <w:tbl>
      <w:tblPr>
        <w:tblW w:w="2219" w:type="dxa"/>
        <w:jc w:val="left"/>
        <w:tblInd w:w="122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2219"/>
      </w:tblGrid>
      <w:tr>
        <w:trPr>
          <w:trHeight w:val="345" w:hRule="atLeast"/>
        </w:trPr>
        <w:tc>
          <w:tcPr>
            <w:tcW w:w="2219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</w:tbl>
    <w:p>
      <w:pPr>
        <w:pStyle w:val="Textbody"/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e) Spoločnosť  v roku 2024 neevidovala záväzky zabezpečené záložným právom, alebo inou formou zabezpečenia.</w:t>
      </w:r>
    </w:p>
    <w:p>
      <w:pPr>
        <w:pStyle w:val="Textbody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ind w:left="264" w:hanging="264"/>
        <w:rPr/>
      </w:pPr>
      <w:r>
        <w:rPr>
          <w:rFonts w:cs="Arial Narrow" w:ascii="Arial Narrow" w:hAnsi="Arial Narrow"/>
          <w:i/>
          <w:sz w:val="22"/>
          <w:szCs w:val="22"/>
        </w:rPr>
        <w:t xml:space="preserve">G .) </w:t>
      </w:r>
      <w:r>
        <w:rPr>
          <w:b w:val="false"/>
          <w:sz w:val="22"/>
          <w:szCs w:val="22"/>
        </w:rPr>
        <w:t>f)</w:t>
      </w:r>
    </w:p>
    <w:p>
      <w:pPr>
        <w:pStyle w:val="Nzov"/>
        <w:widowControl w:val="false"/>
        <w:numPr>
          <w:ilvl w:val="0"/>
          <w:numId w:val="85"/>
        </w:numPr>
        <w:ind w:left="360" w:hanging="36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4925"/>
        <w:gridCol w:w="2183"/>
        <w:gridCol w:w="2072"/>
      </w:tblGrid>
      <w:tr>
        <w:trPr>
          <w:trHeight w:val="990" w:hRule="atLeast"/>
        </w:trPr>
        <w:tc>
          <w:tcPr>
            <w:tcW w:w="492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8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7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92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Dočasné rozdiely medzi účtovnou hodnotou majetku a daňovou základňou, z toho:</w:t>
            </w:r>
          </w:p>
        </w:tc>
        <w:tc>
          <w:tcPr>
            <w:tcW w:w="218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720" w:hanging="0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odpočítateľné</w:t>
            </w:r>
          </w:p>
        </w:tc>
        <w:tc>
          <w:tcPr>
            <w:tcW w:w="2183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zdaniteľné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630" w:hRule="atLeast"/>
        </w:trPr>
        <w:tc>
          <w:tcPr>
            <w:tcW w:w="492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Dočasné rozdiely medzi účtovnou hodnotou záväzkov a daňovou základňou, z toho: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odpočítateľné</w:t>
            </w:r>
          </w:p>
        </w:tc>
        <w:tc>
          <w:tcPr>
            <w:tcW w:w="2183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zdaniteľné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30" w:hRule="atLeast"/>
        </w:trPr>
        <w:tc>
          <w:tcPr>
            <w:tcW w:w="492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Možnosť umorovať daňovú stratu v budúcnosti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49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Možnosť previesť nevyužité daňové odpočty</w:t>
            </w:r>
          </w:p>
        </w:tc>
        <w:tc>
          <w:tcPr>
            <w:tcW w:w="2183" w:type="dxa"/>
            <w:tcBorders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Sadzba dane z príjmov ( v %)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Odložená daňová pohľadávka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Uplatnená daňová pohľadávka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Zaúčtovaná ako náklad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Zaúčtovaná do vlastného imania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Odložený daňový záväzok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Zmena odloženého daňového záväzku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Zaúčtovaná ako náklad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Zaúčtovaná do vlastného imania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072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072" w:type="dxa"/>
            <w:tcBorders>
              <w:top w:val="single" w:sz="4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ind w:left="264" w:hanging="264"/>
        <w:jc w:val="both"/>
        <w:rPr>
          <w:rFonts w:eastAsia="Arial Narrow"/>
          <w:sz w:val="22"/>
          <w:szCs w:val="22"/>
        </w:rPr>
      </w:pPr>
      <w:r>
        <w:rPr>
          <w:rFonts w:eastAsia="Arial Narrow"/>
          <w:sz w:val="22"/>
          <w:szCs w:val="22"/>
        </w:rPr>
      </w:r>
    </w:p>
    <w:p>
      <w:pPr>
        <w:pStyle w:val="Standard"/>
        <w:ind w:left="264" w:hanging="264"/>
        <w:jc w:val="both"/>
        <w:rPr>
          <w:rFonts w:eastAsia="Arial Narrow"/>
          <w:sz w:val="22"/>
          <w:szCs w:val="22"/>
        </w:rPr>
      </w:pPr>
      <w:r>
        <w:rPr>
          <w:rFonts w:eastAsia="Arial Narrow"/>
          <w:sz w:val="22"/>
          <w:szCs w:val="22"/>
        </w:rPr>
      </w:r>
    </w:p>
    <w:p>
      <w:pPr>
        <w:pStyle w:val="Standard"/>
        <w:ind w:left="1125" w:hanging="117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 </w:t>
      </w:r>
      <w:r>
        <w:rPr>
          <w:rFonts w:cs="Arial Narrow" w:ascii="Arial Narrow" w:hAnsi="Arial Narrow"/>
          <w:i/>
          <w:sz w:val="22"/>
          <w:szCs w:val="22"/>
        </w:rPr>
        <w:t>g</w:t>
      </w:r>
      <w:r>
        <w:rPr>
          <w:rFonts w:cs="Arial Narrow" w:ascii="Arial Narrow" w:hAnsi="Arial Narrow"/>
          <w:sz w:val="22"/>
          <w:szCs w:val="22"/>
        </w:rPr>
        <w:t>)</w:t>
      </w:r>
    </w:p>
    <w:p>
      <w:pPr>
        <w:pStyle w:val="Nzov"/>
        <w:numPr>
          <w:ilvl w:val="0"/>
          <w:numId w:val="86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907"/>
        <w:gridCol w:w="2618"/>
        <w:gridCol w:w="2655"/>
      </w:tblGrid>
      <w:tr>
        <w:trPr>
          <w:trHeight w:val="825" w:hRule="atLeast"/>
        </w:trPr>
        <w:tc>
          <w:tcPr>
            <w:tcW w:w="39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5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</w:tbl>
    <w:p>
      <w:pPr>
        <w:pStyle w:val="Standard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 </w:t>
      </w:r>
      <w:r>
        <w:rPr>
          <w:rFonts w:cs="Arial Narrow" w:ascii="Arial Narrow" w:hAnsi="Arial Narrow"/>
          <w:i/>
          <w:sz w:val="22"/>
          <w:szCs w:val="22"/>
        </w:rPr>
        <w:t>h</w:t>
      </w:r>
      <w:r>
        <w:rPr>
          <w:rFonts w:cs="Arial Narrow" w:ascii="Arial Narrow" w:hAnsi="Arial Narrow"/>
          <w:sz w:val="22"/>
          <w:szCs w:val="22"/>
        </w:rPr>
        <w:t>)</w:t>
      </w:r>
    </w:p>
    <w:p>
      <w:pPr>
        <w:pStyle w:val="Nzov"/>
        <w:widowControl w:val="false"/>
        <w:numPr>
          <w:ilvl w:val="0"/>
          <w:numId w:val="87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164"/>
        <w:gridCol w:w="1405"/>
        <w:gridCol w:w="1401"/>
        <w:gridCol w:w="1401"/>
        <w:gridCol w:w="1402"/>
        <w:gridCol w:w="1406"/>
      </w:tblGrid>
      <w:tr>
        <w:trPr>
          <w:trHeight w:val="345" w:hRule="atLeast"/>
        </w:trPr>
        <w:tc>
          <w:tcPr>
            <w:tcW w:w="216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40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40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40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6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1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1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6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Textbody"/>
        <w:widowControl w:val="false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widowControl w:val="false"/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Dlhopisy spoločnosť v roku 2023 neemitovala.</w:t>
      </w:r>
    </w:p>
    <w:p>
      <w:pPr>
        <w:pStyle w:val="Textbody"/>
        <w:widowControl w:val="false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Standard"/>
        <w:ind w:left="1125" w:hanging="117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  </w:t>
      </w:r>
      <w:r>
        <w:rPr>
          <w:rFonts w:cs="Arial Narrow" w:ascii="Arial Narrow" w:hAnsi="Arial Narrow"/>
          <w:sz w:val="22"/>
          <w:szCs w:val="22"/>
        </w:rPr>
        <w:t>i )</w:t>
      </w:r>
    </w:p>
    <w:p>
      <w:pPr>
        <w:pStyle w:val="Nzov"/>
        <w:widowControl w:val="false"/>
        <w:numPr>
          <w:ilvl w:val="0"/>
          <w:numId w:val="88"/>
        </w:numPr>
        <w:ind w:left="360" w:hanging="36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205"/>
        <w:gridCol w:w="840"/>
        <w:gridCol w:w="842"/>
        <w:gridCol w:w="1253"/>
        <w:gridCol w:w="1399"/>
        <w:gridCol w:w="1561"/>
        <w:gridCol w:w="1079"/>
      </w:tblGrid>
      <w:tr>
        <w:trPr>
          <w:trHeight w:val="990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4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4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5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extbody"/>
              <w:widowControl w:val="false"/>
              <w:snapToGrid w:val="false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  <w:p>
            <w:pPr>
              <w:pStyle w:val="Textbody"/>
              <w:widowControl w:val="false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Popis zabezpečenia</w:t>
            </w:r>
          </w:p>
        </w:tc>
        <w:tc>
          <w:tcPr>
            <w:tcW w:w="107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snapToGrid w:val="false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  <w:p>
            <w:pPr>
              <w:pStyle w:val="Textbody"/>
              <w:widowControl w:val="false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Úverový limit</w:t>
            </w:r>
          </w:p>
        </w:tc>
      </w:tr>
      <w:tr>
        <w:trPr>
          <w:trHeight w:val="330" w:hRule="atLeast"/>
        </w:trPr>
        <w:tc>
          <w:tcPr>
            <w:tcW w:w="22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4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3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0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84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84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25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39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5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left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07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Textbody"/>
        <w:ind w:left="284" w:hanging="284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Standard"/>
        <w:rPr/>
      </w:pPr>
      <w:r>
        <w:rPr/>
      </w:r>
      <w:r>
        <w:br w:type="page"/>
      </w:r>
    </w:p>
    <w:p>
      <w:pPr>
        <w:pStyle w:val="Standard"/>
        <w:rPr/>
      </w:pPr>
      <w:r>
        <w:rPr/>
      </w:r>
    </w:p>
    <w:p>
      <w:pPr>
        <w:pStyle w:val="Standard"/>
        <w:rPr/>
      </w:pPr>
      <w:r>
        <w:rPr/>
        <w:t>Tabuľka č. 2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205"/>
        <w:gridCol w:w="870"/>
        <w:gridCol w:w="812"/>
        <w:gridCol w:w="1261"/>
        <w:gridCol w:w="1401"/>
        <w:gridCol w:w="1119"/>
        <w:gridCol w:w="1511"/>
      </w:tblGrid>
      <w:tr>
        <w:trPr>
          <w:trHeight w:val="990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Názov položky</w:t>
            </w:r>
          </w:p>
        </w:tc>
        <w:tc>
          <w:tcPr>
            <w:tcW w:w="8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Mena</w:t>
            </w:r>
          </w:p>
        </w:tc>
        <w:tc>
          <w:tcPr>
            <w:tcW w:w="8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 %</w:t>
            </w:r>
          </w:p>
        </w:tc>
        <w:tc>
          <w:tcPr>
            <w:tcW w:w="12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Dátum splatnosti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príslušnej mene</w:t>
              <w:br/>
              <w:t xml:space="preserve"> za bežné účtovné obdobie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eurách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 </w:t>
            </w:r>
            <w:r>
              <w:rPr>
                <w:color w:val="666666"/>
              </w:rPr>
              <w:t>za bežné účtovné obdobie</w:t>
            </w:r>
          </w:p>
        </w:tc>
        <w:tc>
          <w:tcPr>
            <w:tcW w:w="151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2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40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11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51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5" w:hRule="atLeast"/>
        </w:trPr>
        <w:tc>
          <w:tcPr>
            <w:tcW w:w="9179" w:type="dxa"/>
            <w:gridSpan w:val="7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ind w:left="1125" w:hanging="1170"/>
        <w:jc w:val="both"/>
        <w:rPr/>
      </w:pPr>
      <w:r>
        <w:rPr/>
      </w:r>
    </w:p>
    <w:p>
      <w:pPr>
        <w:pStyle w:val="Standard"/>
        <w:ind w:left="1125" w:hanging="1170"/>
        <w:jc w:val="both"/>
        <w:rPr/>
      </w:pPr>
      <w:r>
        <w:rPr/>
        <w:t>Rok 2020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205"/>
        <w:gridCol w:w="840"/>
        <w:gridCol w:w="842"/>
        <w:gridCol w:w="1253"/>
        <w:gridCol w:w="1399"/>
        <w:gridCol w:w="1561"/>
        <w:gridCol w:w="1079"/>
      </w:tblGrid>
      <w:tr>
        <w:trPr>
          <w:trHeight w:val="990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4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4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5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extbody"/>
              <w:widowControl w:val="false"/>
              <w:snapToGrid w:val="false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  <w:p>
            <w:pPr>
              <w:pStyle w:val="Textbody"/>
              <w:widowControl w:val="false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Popis zabezpečenia</w:t>
            </w:r>
          </w:p>
        </w:tc>
        <w:tc>
          <w:tcPr>
            <w:tcW w:w="107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snapToGrid w:val="false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  <w:p>
            <w:pPr>
              <w:pStyle w:val="Textbody"/>
              <w:widowControl w:val="false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Úverový limit</w:t>
            </w:r>
          </w:p>
        </w:tc>
      </w:tr>
      <w:tr>
        <w:trPr>
          <w:trHeight w:val="330" w:hRule="atLeast"/>
        </w:trPr>
        <w:tc>
          <w:tcPr>
            <w:tcW w:w="22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4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3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0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84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84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25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39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5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left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07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Textbody"/>
        <w:widowControl w:val="false"/>
        <w:ind w:left="284" w:hanging="284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Standard"/>
        <w:rPr/>
      </w:pPr>
      <w:r>
        <w:rPr/>
      </w:r>
    </w:p>
    <w:p>
      <w:pPr>
        <w:pStyle w:val="Standard"/>
        <w:rPr/>
      </w:pPr>
      <w:r>
        <w:rPr/>
        <w:t>Tabuľka č. 2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205"/>
        <w:gridCol w:w="870"/>
        <w:gridCol w:w="812"/>
        <w:gridCol w:w="1261"/>
        <w:gridCol w:w="1401"/>
        <w:gridCol w:w="1119"/>
        <w:gridCol w:w="1511"/>
      </w:tblGrid>
      <w:tr>
        <w:trPr>
          <w:trHeight w:val="990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Názov položky</w:t>
            </w:r>
          </w:p>
        </w:tc>
        <w:tc>
          <w:tcPr>
            <w:tcW w:w="8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Mena</w:t>
            </w:r>
          </w:p>
        </w:tc>
        <w:tc>
          <w:tcPr>
            <w:tcW w:w="8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 %</w:t>
            </w:r>
          </w:p>
        </w:tc>
        <w:tc>
          <w:tcPr>
            <w:tcW w:w="12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Dátum splatnosti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príslušnej mene</w:t>
              <w:br/>
              <w:t xml:space="preserve"> za bežné účtovné obdobie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eurách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 </w:t>
            </w:r>
            <w:r>
              <w:rPr>
                <w:color w:val="666666"/>
              </w:rPr>
              <w:t>za bežné účtovné obdobie</w:t>
            </w:r>
          </w:p>
        </w:tc>
        <w:tc>
          <w:tcPr>
            <w:tcW w:w="151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2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40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11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51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5" w:hRule="atLeast"/>
        </w:trPr>
        <w:tc>
          <w:tcPr>
            <w:tcW w:w="9179" w:type="dxa"/>
            <w:gridSpan w:val="7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ind w:left="1125" w:hanging="1170"/>
        <w:jc w:val="both"/>
        <w:rPr/>
      </w:pPr>
      <w:r>
        <w:rPr/>
      </w:r>
    </w:p>
    <w:p>
      <w:pPr>
        <w:pStyle w:val="Standard"/>
        <w:ind w:left="1125" w:hanging="1170"/>
        <w:jc w:val="both"/>
        <w:rPr/>
      </w:pPr>
      <w:r>
        <w:rPr/>
      </w:r>
    </w:p>
    <w:p>
      <w:pPr>
        <w:pStyle w:val="Standard"/>
        <w:spacing w:before="0" w:after="120"/>
        <w:ind w:left="690" w:hanging="690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spacing w:before="0" w:after="120"/>
        <w:ind w:left="690" w:hanging="69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 </w:t>
      </w:r>
      <w:r>
        <w:rPr>
          <w:rFonts w:cs="Arial Narrow" w:ascii="Arial Narrow" w:hAnsi="Arial Narrow"/>
          <w:i/>
          <w:sz w:val="22"/>
          <w:szCs w:val="22"/>
        </w:rPr>
        <w:t xml:space="preserve">j </w:t>
      </w:r>
      <w:r>
        <w:rPr>
          <w:rFonts w:cs="Arial Narrow" w:ascii="Arial Narrow" w:hAnsi="Arial Narrow"/>
          <w:sz w:val="22"/>
          <w:szCs w:val="22"/>
        </w:rPr>
        <w:t xml:space="preserve">) </w:t>
      </w:r>
      <w:r>
        <w:rPr>
          <w:rFonts w:cs="Arial Narrow" w:ascii="Arial Narrow" w:hAnsi="Arial Narrow"/>
          <w:b/>
          <w:bCs/>
          <w:sz w:val="22"/>
          <w:szCs w:val="22"/>
        </w:rPr>
        <w:t>Informácie k časti G. písm. j) prílohy č. 3 o významných položkách časového rozlíšenia na strane pasív</w:t>
      </w:r>
    </w:p>
    <w:p>
      <w:pPr>
        <w:pStyle w:val="Nzov"/>
        <w:numPr>
          <w:ilvl w:val="0"/>
          <w:numId w:val="89"/>
        </w:numPr>
        <w:ind w:left="360" w:hanging="360"/>
        <w:jc w:val="both"/>
        <w:rPr>
          <w:szCs w:val="22"/>
        </w:rPr>
      </w:pPr>
      <w:r>
        <w:rPr>
          <w:szCs w:val="22"/>
        </w:rPr>
        <w:t>Informácie k prílohe č. 3 časti  G. písm. k) o významných položkách derivátov za bežné účtovné obdobie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916"/>
        <w:gridCol w:w="1472"/>
        <w:gridCol w:w="1612"/>
        <w:gridCol w:w="2179"/>
      </w:tblGrid>
      <w:tr>
        <w:trPr>
          <w:trHeight w:val="278" w:hRule="atLeast"/>
        </w:trPr>
        <w:tc>
          <w:tcPr>
            <w:tcW w:w="3916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4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7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916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47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pohľadávky</w:t>
            </w:r>
          </w:p>
        </w:tc>
        <w:tc>
          <w:tcPr>
            <w:tcW w:w="16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záväzku</w:t>
            </w:r>
          </w:p>
        </w:tc>
        <w:tc>
          <w:tcPr>
            <w:tcW w:w="2179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06" w:hRule="atLeast"/>
        </w:trPr>
        <w:tc>
          <w:tcPr>
            <w:tcW w:w="391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47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6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1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Deriváty určené na obchodovanie, z toho:</w:t>
            </w:r>
          </w:p>
        </w:tc>
        <w:tc>
          <w:tcPr>
            <w:tcW w:w="147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612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2179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7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1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9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Zabezpečovacie deriváty, z toho:</w:t>
            </w:r>
          </w:p>
        </w:tc>
        <w:tc>
          <w:tcPr>
            <w:tcW w:w="1472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12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179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72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12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/>
      </w:pPr>
      <w:r>
        <w:rPr/>
      </w:r>
    </w:p>
    <w:p>
      <w:pPr>
        <w:pStyle w:val="Standard"/>
        <w:rPr/>
      </w:pPr>
      <w:r>
        <w:rPr/>
        <w:t>Tabuľka č. 2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907"/>
        <w:gridCol w:w="1664"/>
        <w:gridCol w:w="978"/>
        <w:gridCol w:w="1679"/>
        <w:gridCol w:w="952"/>
      </w:tblGrid>
      <w:tr>
        <w:trPr>
          <w:trHeight w:val="622" w:hRule="atLeast"/>
        </w:trPr>
        <w:tc>
          <w:tcPr>
            <w:tcW w:w="3907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42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31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907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642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631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907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66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7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9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6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97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6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90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Deriváty určené na obchodovanie, z toho:</w:t>
            </w:r>
          </w:p>
        </w:tc>
        <w:tc>
          <w:tcPr>
            <w:tcW w:w="166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8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52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390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6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7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79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52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39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Zabezpečovacie deriváty, z toho:</w:t>
            </w:r>
          </w:p>
        </w:tc>
        <w:tc>
          <w:tcPr>
            <w:tcW w:w="166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8" w:type="dxa"/>
            <w:tcBorders>
              <w:top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9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52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390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6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78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7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52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Textbody"/>
        <w:widowControl w:val="false"/>
        <w:ind w:left="360" w:hanging="360"/>
        <w:jc w:val="left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widowControl w:val="false"/>
        <w:ind w:left="360" w:hanging="360"/>
        <w:jc w:val="left"/>
        <w:rPr/>
      </w:pPr>
      <w:r>
        <w:rPr>
          <w:rFonts w:ascii="Arial Narrow" w:hAnsi="Arial Narrow"/>
          <w:b w:val="false"/>
          <w:sz w:val="22"/>
          <w:szCs w:val="22"/>
        </w:rPr>
        <w:t>Spoločnosť v roku 2024 neevidovala deriváty.</w:t>
      </w:r>
    </w:p>
    <w:p>
      <w:pPr>
        <w:pStyle w:val="Textbody"/>
        <w:widowControl w:val="false"/>
        <w:ind w:left="360" w:hanging="360"/>
        <w:jc w:val="left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widowControl w:val="false"/>
        <w:ind w:left="360" w:hanging="360"/>
        <w:jc w:val="left"/>
        <w:rPr>
          <w:rFonts w:ascii="Arial Narrow" w:hAnsi="Arial Narrow" w:cs="Arial Narrow"/>
          <w:i/>
          <w:i/>
          <w:sz w:val="22"/>
          <w:szCs w:val="22"/>
        </w:rPr>
      </w:pPr>
      <w:r>
        <w:rPr>
          <w:rFonts w:cs="Arial Narrow" w:ascii="Arial Narrow" w:hAnsi="Arial Narrow"/>
          <w:i/>
          <w:sz w:val="22"/>
          <w:szCs w:val="22"/>
        </w:rPr>
      </w:r>
    </w:p>
    <w:p>
      <w:pPr>
        <w:pStyle w:val="Textbody"/>
        <w:widowControl w:val="false"/>
        <w:jc w:val="left"/>
        <w:rPr/>
      </w:pPr>
      <w:r>
        <w:rPr>
          <w:rFonts w:cs="Arial Narrow" w:ascii="Arial Narrow" w:hAnsi="Arial Narrow"/>
          <w:i/>
          <w:sz w:val="22"/>
          <w:szCs w:val="22"/>
        </w:rPr>
        <w:t xml:space="preserve">G .)   </w:t>
      </w:r>
      <w:r>
        <w:rPr>
          <w:b w:val="false"/>
          <w:sz w:val="22"/>
          <w:szCs w:val="22"/>
        </w:rPr>
        <w:t xml:space="preserve">l)   </w:t>
      </w:r>
    </w:p>
    <w:p>
      <w:pPr>
        <w:pStyle w:val="Nzov"/>
        <w:widowControl w:val="false"/>
        <w:numPr>
          <w:ilvl w:val="0"/>
          <w:numId w:val="90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5238"/>
        <w:gridCol w:w="1960"/>
        <w:gridCol w:w="1982"/>
      </w:tblGrid>
      <w:tr>
        <w:trPr>
          <w:trHeight w:val="352" w:hRule="atLeast"/>
        </w:trPr>
        <w:tc>
          <w:tcPr>
            <w:tcW w:w="523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942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238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9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8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2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98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23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Majetok vykázaný v súvahe</w:t>
            </w:r>
          </w:p>
        </w:tc>
        <w:tc>
          <w:tcPr>
            <w:tcW w:w="19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8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Záväzok vykázaný v súvahe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Zmluvy, ktoré sa neúčtujú na súvahových účtoch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52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Očakávané budúce obchody dosiaľ zmluvne nezabezpečené</w:t>
            </w:r>
          </w:p>
        </w:tc>
        <w:tc>
          <w:tcPr>
            <w:tcW w:w="19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82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Textbody"/>
        <w:ind w:left="709" w:hanging="709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widowControl w:val="false"/>
        <w:ind w:left="360" w:hanging="360"/>
        <w:jc w:val="left"/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Majetok a záväzky zabezpečené derivátmi účtovná jednotka v roku 2024 neevidovala.</w:t>
      </w:r>
    </w:p>
    <w:p>
      <w:pPr>
        <w:pStyle w:val="Textbody"/>
        <w:widowControl w:val="false"/>
        <w:ind w:left="360" w:hanging="360"/>
        <w:jc w:val="left"/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</w:r>
    </w:p>
    <w:p>
      <w:pPr>
        <w:pStyle w:val="Textbody"/>
        <w:ind w:left="709" w:hanging="709"/>
        <w:rPr/>
      </w:pPr>
      <w:r>
        <w:rPr>
          <w:rFonts w:cs="Arial Narrow" w:ascii="Arial Narrow" w:hAnsi="Arial Narrow"/>
          <w:i/>
          <w:sz w:val="22"/>
          <w:szCs w:val="22"/>
        </w:rPr>
        <w:t xml:space="preserve">G .)   </w:t>
      </w:r>
      <w:r>
        <w:rPr>
          <w:b w:val="false"/>
          <w:sz w:val="22"/>
          <w:szCs w:val="22"/>
        </w:rPr>
        <w:t>m)</w:t>
      </w:r>
    </w:p>
    <w:p>
      <w:pPr>
        <w:pStyle w:val="Nzov"/>
        <w:widowControl w:val="false"/>
        <w:numPr>
          <w:ilvl w:val="0"/>
          <w:numId w:val="91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578"/>
        <w:gridCol w:w="1205"/>
        <w:gridCol w:w="1452"/>
        <w:gridCol w:w="1098"/>
        <w:gridCol w:w="1224"/>
        <w:gridCol w:w="1503"/>
        <w:gridCol w:w="1119"/>
      </w:tblGrid>
      <w:tr>
        <w:trPr>
          <w:trHeight w:val="571" w:hRule="atLeast"/>
        </w:trPr>
        <w:tc>
          <w:tcPr>
            <w:tcW w:w="157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55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84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78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3755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84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78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9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0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7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2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4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09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22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0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11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7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Istina</w:t>
            </w:r>
          </w:p>
        </w:tc>
        <w:tc>
          <w:tcPr>
            <w:tcW w:w="1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452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98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2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03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7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Finančný náklad</w:t>
            </w:r>
          </w:p>
        </w:tc>
        <w:tc>
          <w:tcPr>
            <w:tcW w:w="120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452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9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24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03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7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20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52" w:type="dxa"/>
            <w:tcBorders>
              <w:top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098" w:type="dxa"/>
            <w:tcBorders>
              <w:top w:val="single" w:sz="4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224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03" w:type="dxa"/>
            <w:tcBorders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9" w:type="dxa"/>
            <w:tcBorders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Textbody"/>
        <w:rPr>
          <w:i/>
          <w:i/>
          <w:sz w:val="22"/>
          <w:szCs w:val="22"/>
        </w:rPr>
      </w:pPr>
      <w:r>
        <w:rPr>
          <w:i/>
          <w:sz w:val="22"/>
          <w:szCs w:val="22"/>
        </w:rPr>
      </w:r>
    </w:p>
    <w:p>
      <w:pPr>
        <w:pStyle w:val="Normal"/>
        <w:rPr>
          <w:vanish/>
        </w:rPr>
      </w:pPr>
      <w:r>
        <w:rPr>
          <w:vanish/>
        </w:rPr>
      </w:r>
    </w:p>
    <w:p>
      <w:pPr>
        <w:pStyle w:val="Standard"/>
        <w:spacing w:before="0" w:after="120"/>
        <w:ind w:left="360" w:hanging="360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Standard"/>
        <w:spacing w:before="0" w:after="120"/>
        <w:ind w:left="360" w:hanging="360"/>
        <w:jc w:val="both"/>
        <w:rPr/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H.)</w:t>
      </w:r>
      <w:r>
        <w:rPr>
          <w:rFonts w:cs="Arial Narrow" w:ascii="Arial Narrow" w:hAnsi="Arial Narrow"/>
          <w:bCs/>
          <w:i/>
          <w:sz w:val="22"/>
          <w:szCs w:val="22"/>
        </w:rPr>
        <w:t xml:space="preserve">  b</w:t>
      </w:r>
      <w:r>
        <w:rPr>
          <w:rFonts w:cs="Arial Narrow" w:ascii="Arial Narrow" w:hAnsi="Arial Narrow"/>
          <w:bCs/>
          <w:sz w:val="22"/>
          <w:szCs w:val="22"/>
        </w:rPr>
        <w:t>)</w:t>
      </w:r>
    </w:p>
    <w:p>
      <w:pPr>
        <w:pStyle w:val="Nzov"/>
        <w:widowControl w:val="false"/>
        <w:numPr>
          <w:ilvl w:val="0"/>
          <w:numId w:val="92"/>
        </w:numPr>
        <w:ind w:left="360" w:hanging="36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9286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501"/>
        <w:gridCol w:w="1127"/>
        <w:gridCol w:w="1243"/>
        <w:gridCol w:w="1399"/>
        <w:gridCol w:w="1121"/>
        <w:gridCol w:w="1894"/>
      </w:tblGrid>
      <w:tr>
        <w:trPr>
          <w:trHeight w:val="990" w:hRule="atLeast"/>
        </w:trPr>
        <w:tc>
          <w:tcPr>
            <w:tcW w:w="250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2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42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301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stavu vnútroorganizačných</w:t>
            </w:r>
          </w:p>
          <w:p>
            <w:pPr>
              <w:pStyle w:val="TopHeader"/>
              <w:widowControl w:val="false"/>
              <w:rPr/>
            </w:pPr>
            <w:r>
              <w:rPr/>
              <w:t>zásob</w:t>
            </w:r>
          </w:p>
        </w:tc>
      </w:tr>
      <w:tr>
        <w:trPr>
          <w:trHeight w:val="930" w:hRule="atLeast"/>
        </w:trPr>
        <w:tc>
          <w:tcPr>
            <w:tcW w:w="2501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12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4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50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12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243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399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2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894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50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Nedokončená výroba </w:t>
            </w:r>
            <w:r>
              <w:rPr/>
              <w:br/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 polotovary vlastnej výroby</w:t>
            </w:r>
          </w:p>
        </w:tc>
        <w:tc>
          <w:tcPr>
            <w:tcW w:w="112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39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Výrobky</w:t>
            </w:r>
          </w:p>
        </w:tc>
        <w:tc>
          <w:tcPr>
            <w:tcW w:w="1127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399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6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Zvieratá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127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/>
            </w:pPr>
            <w:r>
              <w:rPr/>
            </w:r>
          </w:p>
        </w:tc>
        <w:tc>
          <w:tcPr>
            <w:tcW w:w="1399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/>
            </w:pPr>
            <w:r>
              <w:rPr/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Manká a škody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Reprezentačné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Dary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705" w:hRule="atLeast"/>
        </w:trPr>
        <w:tc>
          <w:tcPr>
            <w:tcW w:w="25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Zmena stavu vnútroorganizačných zásob vo výkaze ziskov a strát</w:t>
            </w:r>
          </w:p>
        </w:tc>
        <w:tc>
          <w:tcPr>
            <w:tcW w:w="112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rPr/>
      </w:pPr>
      <w:r>
        <w:rPr/>
      </w:r>
    </w:p>
    <w:p>
      <w:pPr>
        <w:pStyle w:val="Standard"/>
        <w:rPr/>
      </w:pPr>
      <w:r>
        <w:rPr/>
      </w:r>
      <w:r>
        <w:br w:type="page"/>
      </w:r>
    </w:p>
    <w:p>
      <w:pPr>
        <w:pStyle w:val="Standard"/>
        <w:rPr/>
      </w:pPr>
      <w:r>
        <w:rPr/>
      </w:r>
    </w:p>
    <w:p>
      <w:pPr>
        <w:pStyle w:val="Standard"/>
        <w:rPr/>
      </w:pPr>
      <w:r>
        <w:rPr/>
        <w:t>Rok 2014</w:t>
      </w:r>
    </w:p>
    <w:tbl>
      <w:tblPr>
        <w:tblW w:w="9538" w:type="dxa"/>
        <w:jc w:val="left"/>
        <w:tblInd w:w="16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2555"/>
        <w:gridCol w:w="1202"/>
        <w:gridCol w:w="1254"/>
        <w:gridCol w:w="1302"/>
        <w:gridCol w:w="1268"/>
        <w:gridCol w:w="1956"/>
      </w:tblGrid>
      <w:tr>
        <w:trPr>
          <w:trHeight w:val="729" w:hRule="atLeast"/>
        </w:trPr>
        <w:tc>
          <w:tcPr>
            <w:tcW w:w="255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202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Konečný zostatok</w:t>
            </w:r>
          </w:p>
        </w:tc>
        <w:tc>
          <w:tcPr>
            <w:tcW w:w="255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32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Zmena stavu vnútroorganizačných zásob</w:t>
            </w:r>
          </w:p>
        </w:tc>
      </w:tr>
      <w:tr>
        <w:trPr>
          <w:trHeight w:val="796" w:hRule="atLeast"/>
        </w:trPr>
        <w:tc>
          <w:tcPr>
            <w:tcW w:w="2555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02" w:type="dxa"/>
            <w:vMerge w:val="continue"/>
            <w:tcBorders>
              <w:top w:val="single" w:sz="12" w:space="0" w:color="000000"/>
              <w:lef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54" w:type="dxa"/>
            <w:tcBorders>
              <w:top w:val="single" w:sz="12" w:space="0" w:color="000000"/>
              <w:lef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Konečný zostatok</w:t>
            </w:r>
          </w:p>
        </w:tc>
        <w:tc>
          <w:tcPr>
            <w:tcW w:w="1302" w:type="dxa"/>
            <w:tcBorders>
              <w:top w:val="single" w:sz="12" w:space="0" w:color="000000"/>
              <w:lef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Začiatočný stav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555" w:type="dxa"/>
            <w:tcBorders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a</w:t>
            </w:r>
          </w:p>
        </w:tc>
        <w:tc>
          <w:tcPr>
            <w:tcW w:w="1202" w:type="dxa"/>
            <w:tcBorders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b</w:t>
            </w:r>
          </w:p>
        </w:tc>
        <w:tc>
          <w:tcPr>
            <w:tcW w:w="1254" w:type="dxa"/>
            <w:tcBorders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c</w:t>
            </w:r>
          </w:p>
        </w:tc>
        <w:tc>
          <w:tcPr>
            <w:tcW w:w="1302" w:type="dxa"/>
            <w:tcBorders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d</w:t>
            </w:r>
          </w:p>
        </w:tc>
        <w:tc>
          <w:tcPr>
            <w:tcW w:w="1268" w:type="dxa"/>
            <w:tcBorders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e</w:t>
            </w:r>
          </w:p>
        </w:tc>
        <w:tc>
          <w:tcPr>
            <w:tcW w:w="195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f</w:t>
            </w:r>
          </w:p>
        </w:tc>
      </w:tr>
      <w:tr>
        <w:trPr>
          <w:trHeight w:val="349" w:hRule="atLeast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Polotovary vlastnej výroby</w:t>
            </w:r>
          </w:p>
        </w:tc>
        <w:tc>
          <w:tcPr>
            <w:tcW w:w="12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25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3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360" w:hanging="0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55" w:type="dxa"/>
            <w:tcBorders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Výrobky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25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5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color w:val="000000"/>
                <w:sz w:val="22"/>
                <w:szCs w:val="22"/>
              </w:rPr>
            </w:r>
          </w:p>
        </w:tc>
        <w:tc>
          <w:tcPr>
            <w:tcW w:w="125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color w:val="000000"/>
                <w:sz w:val="22"/>
                <w:szCs w:val="22"/>
              </w:rPr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color w:val="000000"/>
                <w:sz w:val="22"/>
                <w:szCs w:val="22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color w:val="000000"/>
                <w:sz w:val="22"/>
                <w:szCs w:val="22"/>
              </w:rPr>
            </w: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color w:val="000000"/>
                <w:sz w:val="22"/>
                <w:szCs w:val="22"/>
              </w:rPr>
            </w:r>
          </w:p>
        </w:tc>
      </w:tr>
      <w:tr>
        <w:trPr>
          <w:trHeight w:val="705" w:hRule="atLeast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Manká a škody</w:t>
            </w:r>
          </w:p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Zmena stavu vnútroorga-nizačných zásob vo výkaze ziskov a strát</w:t>
            </w:r>
          </w:p>
        </w:tc>
        <w:tc>
          <w:tcPr>
            <w:tcW w:w="12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5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3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  <w:tr>
        <w:trPr>
          <w:trHeight w:val="705" w:hRule="atLeast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2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5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3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</w:tbl>
    <w:p>
      <w:pPr>
        <w:pStyle w:val="Standard"/>
        <w:spacing w:before="215" w:after="221"/>
        <w:ind w:left="709" w:hanging="709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Standard"/>
        <w:spacing w:before="215" w:after="221"/>
        <w:ind w:left="990" w:hanging="975"/>
        <w:jc w:val="both"/>
        <w:rPr/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H.)</w:t>
      </w:r>
      <w:r>
        <w:rPr>
          <w:rFonts w:cs="Arial Narrow" w:ascii="Arial Narrow" w:hAnsi="Arial Narrow"/>
          <w:bCs/>
          <w:sz w:val="22"/>
          <w:szCs w:val="22"/>
        </w:rPr>
        <w:t>c – e)</w:t>
      </w:r>
      <w:r>
        <w:rPr>
          <w:rFonts w:cs="Arial Narrow" w:ascii="Arial Narrow" w:hAnsi="Arial Narrow"/>
          <w:b/>
          <w:bCs/>
          <w:sz w:val="22"/>
          <w:szCs w:val="22"/>
        </w:rPr>
        <w:t xml:space="preserve"> Informácie o výnosoch pri aktivácii nákladov a výnosoch z hospodárskej činnosti, finančnej činnosti a mimoriadnej činnosti</w:t>
      </w:r>
    </w:p>
    <w:tbl>
      <w:tblPr>
        <w:tblW w:w="9555" w:type="dxa"/>
        <w:jc w:val="left"/>
        <w:tblInd w:w="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5275"/>
        <w:gridCol w:w="2192"/>
        <w:gridCol w:w="2088"/>
      </w:tblGrid>
      <w:tr>
        <w:trPr>
          <w:trHeight w:val="878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Významné položky pri aktivácii nákladov spolu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  <w:t xml:space="preserve"> </w:t>
            </w: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  <w:t xml:space="preserve">v tom: </w:t>
            </w: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Obchodné vzorky pre ponukové konania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/>
            </w:r>
          </w:p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Aktivácia polotovarov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/>
            </w:r>
          </w:p>
          <w:p>
            <w:pPr>
              <w:pStyle w:val="Standard"/>
              <w:widowControl w:val="false"/>
              <w:rPr/>
            </w:pPr>
            <w:r>
              <w:rPr/>
              <w:t xml:space="preserve">          </w:t>
            </w:r>
            <w:r>
              <w:rPr/>
              <w:t>Aktivácia materiálu ODHM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Ostatné významné položky výnosov z hospodárskej činnosti spolu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  <w:t>z toho:  Dotácie na technol. zariadenia</w:t>
            </w:r>
          </w:p>
          <w:p>
            <w:pPr>
              <w:pStyle w:val="Standard"/>
              <w:widowControl w:val="false"/>
              <w:rPr/>
            </w:pPr>
            <w:r>
              <w:rPr/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 xml:space="preserve">              </w:t>
            </w: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Dotácie na mzdy a odvody z miezd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Tržby z predaja dlhodobého majetku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  <w:t xml:space="preserve">              </w:t>
            </w: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  <w:t>V</w:t>
            </w: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ýnosy z náhrad škôd od poisťovní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Tržby z predaja materiálu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Finančné výnosy spolu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z toho:Tržby z predaja cenných papierov a podielov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Výnosové úroky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Kurzové zisky spolu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66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617" w:hanging="617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v tom: Kurzové zisky pri uzatváraní účtovných kníh ku   dňu, ku ktorému sa zostavuje účtovná závierka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93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Kurzové zisky pri platbách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-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-</w:t>
            </w:r>
          </w:p>
        </w:tc>
      </w:tr>
      <w:tr>
        <w:trPr>
          <w:trHeight w:val="345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Mimoriadne výnosy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-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-</w:t>
            </w:r>
          </w:p>
        </w:tc>
      </w:tr>
    </w:tbl>
    <w:p>
      <w:pPr>
        <w:pStyle w:val="Standard"/>
        <w:keepNext w:val="true"/>
        <w:spacing w:before="0" w:after="220"/>
        <w:ind w:left="360" w:hanging="360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Standard"/>
        <w:spacing w:before="0" w:after="220"/>
        <w:ind w:left="360" w:hanging="360"/>
        <w:rPr/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H.)</w:t>
      </w:r>
      <w:r>
        <w:rPr>
          <w:rFonts w:cs="Arial Narrow" w:ascii="Arial Narrow" w:hAnsi="Arial Narrow"/>
          <w:bCs/>
          <w:sz w:val="22"/>
          <w:szCs w:val="22"/>
        </w:rPr>
        <w:t>f) O výnosoch, ktoré majú výnimočný rozsah alebo výskyt v roku 2024 účtovná jednotka neúčtovala.</w:t>
      </w:r>
    </w:p>
    <w:p>
      <w:pPr>
        <w:pStyle w:val="Standard"/>
        <w:spacing w:before="0" w:after="120"/>
        <w:ind w:left="360" w:hanging="360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Standard"/>
        <w:spacing w:before="0" w:after="120"/>
        <w:ind w:left="360" w:hanging="360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Standard"/>
        <w:spacing w:before="0" w:after="120"/>
        <w:ind w:left="360" w:hanging="360"/>
        <w:rPr/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H.)</w:t>
      </w:r>
      <w:r>
        <w:rPr>
          <w:rFonts w:cs="Arial Narrow" w:ascii="Arial Narrow" w:hAnsi="Arial Narrow"/>
          <w:bCs/>
          <w:i/>
          <w:sz w:val="22"/>
          <w:szCs w:val="22"/>
        </w:rPr>
        <w:t xml:space="preserve">  g</w:t>
      </w:r>
      <w:r>
        <w:rPr>
          <w:rFonts w:cs="Arial Narrow" w:ascii="Arial Narrow" w:hAnsi="Arial Narrow"/>
          <w:bCs/>
          <w:sz w:val="22"/>
          <w:szCs w:val="22"/>
        </w:rPr>
        <w:t>)</w:t>
      </w:r>
    </w:p>
    <w:p>
      <w:pPr>
        <w:pStyle w:val="Nzov"/>
        <w:numPr>
          <w:ilvl w:val="0"/>
          <w:numId w:val="93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5817"/>
        <w:gridCol w:w="1681"/>
        <w:gridCol w:w="1682"/>
      </w:tblGrid>
      <w:tr>
        <w:trPr>
          <w:trHeight w:val="1005" w:hRule="atLeast"/>
        </w:trPr>
        <w:tc>
          <w:tcPr>
            <w:tcW w:w="581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8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Tržby za vlastné výrobky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8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Tržby z predaja služieb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168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Arial Narrow" w:cs="Arial Narrow" w:ascii="Arial Narrow" w:hAnsi="Arial Narrow"/>
                <w:color w:val="000000"/>
                <w:kern w:val="2"/>
                <w:sz w:val="22"/>
                <w:szCs w:val="22"/>
                <w:lang w:val="sk-SK" w:eastAsia="zh-CN" w:bidi="hi-IN"/>
              </w:rPr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Tržby za tovar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Výnosy zo zákazky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Výnosy z nehnuteľnosti na predaj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 výnosy súvisiace s bežnou činnosťou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Čistý obrat celkom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SimSun" w:cs="Arial Narrow"/>
                <w:color w:val="000000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SimSun" w:cs="Arial Narrow" w:ascii="Arial Narrow" w:hAnsi="Arial Narrow"/>
                <w:color w:val="000000"/>
                <w:kern w:val="2"/>
                <w:sz w:val="22"/>
                <w:szCs w:val="22"/>
                <w:lang w:val="sk-SK" w:eastAsia="zh-CN" w:bidi="hi-IN"/>
              </w:rPr>
            </w:r>
          </w:p>
        </w:tc>
      </w:tr>
    </w:tbl>
    <w:p>
      <w:pPr>
        <w:pStyle w:val="Textbody"/>
        <w:rPr>
          <w:i/>
          <w:i/>
          <w:sz w:val="22"/>
          <w:szCs w:val="22"/>
        </w:rPr>
      </w:pPr>
      <w:r>
        <w:rPr>
          <w:i/>
          <w:sz w:val="22"/>
          <w:szCs w:val="22"/>
        </w:rPr>
      </w:r>
    </w:p>
    <w:p>
      <w:pPr>
        <w:pStyle w:val="Textbody"/>
        <w:rPr>
          <w:i/>
          <w:i/>
          <w:sz w:val="22"/>
          <w:szCs w:val="22"/>
        </w:rPr>
      </w:pPr>
      <w:r>
        <w:rPr>
          <w:i/>
          <w:sz w:val="22"/>
          <w:szCs w:val="22"/>
        </w:rPr>
        <w:t>I.)   Náklady</w:t>
      </w:r>
    </w:p>
    <w:p>
      <w:pPr>
        <w:pStyle w:val="Textbody"/>
        <w:rPr/>
      </w:pPr>
      <w:r>
        <w:rPr/>
      </w:r>
    </w:p>
    <w:p>
      <w:pPr>
        <w:pStyle w:val="Standard"/>
        <w:keepNext w:val="true"/>
        <w:rPr/>
      </w:pPr>
      <w:r>
        <w:rPr>
          <w:rFonts w:cs="Arial Narrow" w:ascii="Arial Narrow" w:hAnsi="Arial Narrow"/>
          <w:bCs/>
          <w:sz w:val="22"/>
          <w:szCs w:val="22"/>
        </w:rPr>
        <w:t>I)</w:t>
      </w:r>
      <w:r>
        <w:rPr>
          <w:rFonts w:cs="Arial Narrow" w:ascii="Arial Narrow" w:hAnsi="Arial Narrow"/>
          <w:b/>
          <w:bCs/>
          <w:sz w:val="22"/>
          <w:szCs w:val="22"/>
        </w:rPr>
        <w:t xml:space="preserve"> Informácie k časti I. prílohy č. 3 o nákladoch</w:t>
      </w:r>
    </w:p>
    <w:p>
      <w:pPr>
        <w:pStyle w:val="Standard"/>
        <w:keepNext w:val="true"/>
        <w:ind w:left="284" w:hanging="0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a) Špecifikácia významných položiek nákladov na poskytnuté služby</w:t>
      </w:r>
    </w:p>
    <w:p>
      <w:pPr>
        <w:pStyle w:val="Standard"/>
        <w:keepNext w:val="true"/>
        <w:ind w:firstLine="284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b) Špecifikácia významných položiek ostatných nákladov z hosp. činností</w:t>
      </w:r>
    </w:p>
    <w:p>
      <w:pPr>
        <w:pStyle w:val="Textbody"/>
        <w:ind w:firstLine="284"/>
        <w:rPr/>
      </w:pPr>
      <w:r>
        <w:rPr>
          <w:b w:val="false"/>
          <w:sz w:val="22"/>
          <w:szCs w:val="22"/>
        </w:rPr>
        <w:t xml:space="preserve">c) </w:t>
      </w:r>
      <w:r>
        <w:rPr>
          <w:rFonts w:ascii="Arial Narrow" w:hAnsi="Arial Narrow"/>
          <w:b w:val="false"/>
          <w:sz w:val="22"/>
          <w:szCs w:val="22"/>
        </w:rPr>
        <w:t>Špecifikácia významných položiek finančných nákladov</w:t>
      </w:r>
    </w:p>
    <w:tbl>
      <w:tblPr>
        <w:tblW w:w="9571" w:type="dxa"/>
        <w:jc w:val="left"/>
        <w:tblInd w:w="2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5287"/>
        <w:gridCol w:w="2180"/>
        <w:gridCol w:w="2104"/>
      </w:tblGrid>
      <w:tr>
        <w:trPr>
          <w:trHeight w:val="857" w:hRule="atLeast"/>
        </w:trPr>
        <w:tc>
          <w:tcPr>
            <w:tcW w:w="528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18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Náklady za poskytnuté služby spolu</w:t>
            </w:r>
          </w:p>
        </w:tc>
        <w:tc>
          <w:tcPr>
            <w:tcW w:w="218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b/>
                <w:b/>
                <w:bCs/>
                <w:color w:val="000000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Arial Narrow" w:cs="Arial Narrow" w:ascii="Arial Narrow" w:hAnsi="Arial Narrow"/>
                <w:b/>
                <w:bCs/>
                <w:color w:val="000000"/>
                <w:kern w:val="2"/>
                <w:sz w:val="22"/>
                <w:szCs w:val="22"/>
                <w:lang w:val="sk-SK" w:eastAsia="zh-CN" w:bidi="hi-IN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  <w:tr>
        <w:trPr>
          <w:trHeight w:val="377" w:hRule="atLeast"/>
        </w:trPr>
        <w:tc>
          <w:tcPr>
            <w:tcW w:w="528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ind w:left="551" w:right="7" w:hanging="577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8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ind w:left="1046" w:right="7" w:hanging="1055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ind w:left="492" w:right="12" w:hanging="510"/>
              <w:rPr/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Ostatné významné položky nákladov za poskytnuté služby spolu</w:t>
            </w:r>
          </w:p>
        </w:tc>
        <w:tc>
          <w:tcPr>
            <w:tcW w:w="218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  <w:t>Spotreba materiálu, energie a nesklad. dodávok</w:t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SimSun" w:cs="Arial Narrow"/>
                <w:color w:val="000000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SimSun" w:cs="Arial Narrow" w:ascii="Arial Narrow" w:hAnsi="Arial Narrow"/>
                <w:color w:val="000000"/>
                <w:kern w:val="2"/>
                <w:sz w:val="22"/>
                <w:szCs w:val="22"/>
                <w:lang w:val="sk-SK" w:eastAsia="zh-CN" w:bidi="hi-IN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Times New Roman" w:hAnsi="Times New Roman" w:eastAsia="SimSun" w:cs="Mangal"/>
                <w:color w:val="auto"/>
                <w:kern w:val="2"/>
                <w:sz w:val="24"/>
                <w:szCs w:val="24"/>
                <w:lang w:val="sk-SK" w:eastAsia="zh-CN" w:bidi="hi-IN"/>
              </w:rPr>
            </w:pPr>
            <w:r>
              <w:rPr>
                <w:rFonts w:eastAsia="SimSun" w:cs="Mangal"/>
                <w:color w:val="auto"/>
                <w:kern w:val="2"/>
                <w:sz w:val="24"/>
                <w:szCs w:val="24"/>
                <w:lang w:val="sk-SK" w:eastAsia="zh-CN" w:bidi="hi-IN"/>
              </w:rPr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  <w:t>Služby</w:t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Arial Narrow" w:cs="Arial Narrow" w:ascii="Arial Narrow" w:hAnsi="Arial Narrow"/>
                <w:color w:val="000000"/>
                <w:kern w:val="2"/>
                <w:sz w:val="22"/>
                <w:szCs w:val="22"/>
                <w:lang w:val="sk-SK" w:eastAsia="zh-CN" w:bidi="hi-IN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Arial Narrow" w:cs="Arial Narrow" w:ascii="Arial Narrow" w:hAnsi="Arial Narrow"/>
                <w:color w:val="000000"/>
                <w:kern w:val="2"/>
                <w:sz w:val="22"/>
                <w:szCs w:val="22"/>
                <w:lang w:val="sk-SK" w:eastAsia="zh-CN" w:bidi="hi-IN"/>
              </w:rPr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289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747" w:right="-3" w:hanging="0"/>
              <w:jc w:val="both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747" w:right="-3" w:hanging="0"/>
              <w:jc w:val="both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57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218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</w:tbl>
    <w:p>
      <w:pPr>
        <w:pStyle w:val="Textbody"/>
        <w:numPr>
          <w:ilvl w:val="0"/>
          <w:numId w:val="2"/>
        </w:numPr>
        <w:shd w:val="clear" w:color="auto" w:fill="FFFFFF"/>
        <w:rPr>
          <w:i/>
          <w:i/>
          <w:sz w:val="22"/>
          <w:szCs w:val="22"/>
        </w:rPr>
      </w:pPr>
      <w:r>
        <w:rPr>
          <w:i/>
          <w:sz w:val="22"/>
          <w:szCs w:val="22"/>
        </w:rPr>
        <w:t>Dane z príjmov</w:t>
      </w:r>
    </w:p>
    <w:p>
      <w:pPr>
        <w:pStyle w:val="Textbody"/>
        <w:shd w:val="clear" w:color="auto" w:fill="FFFFFF"/>
        <w:rPr>
          <w:i/>
          <w:i/>
          <w:sz w:val="22"/>
          <w:szCs w:val="22"/>
        </w:rPr>
      </w:pPr>
      <w:r>
        <w:rPr>
          <w:i/>
          <w:sz w:val="22"/>
          <w:szCs w:val="22"/>
        </w:rPr>
      </w:r>
    </w:p>
    <w:p>
      <w:pPr>
        <w:pStyle w:val="Textbody"/>
        <w:shd w:val="clear" w:color="auto" w:fill="FFFFFF"/>
        <w:rPr/>
      </w:pPr>
      <w:r>
        <w:rPr>
          <w:i/>
          <w:sz w:val="22"/>
          <w:szCs w:val="22"/>
        </w:rPr>
        <w:t xml:space="preserve">J.)  </w:t>
      </w:r>
      <w:r>
        <w:rPr>
          <w:b w:val="false"/>
          <w:sz w:val="22"/>
          <w:szCs w:val="22"/>
        </w:rPr>
        <w:t>a-e)</w:t>
      </w:r>
    </w:p>
    <w:p>
      <w:pPr>
        <w:pStyle w:val="Nzov"/>
        <w:numPr>
          <w:ilvl w:val="0"/>
          <w:numId w:val="94"/>
        </w:numPr>
        <w:shd w:val="clear" w:color="auto" w:fill="FFFFFF"/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5709"/>
        <w:gridCol w:w="1612"/>
        <w:gridCol w:w="34"/>
        <w:gridCol w:w="1825"/>
      </w:tblGrid>
      <w:tr>
        <w:trPr>
          <w:trHeight w:val="840" w:hRule="atLeast"/>
        </w:trPr>
        <w:tc>
          <w:tcPr>
            <w:tcW w:w="570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46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2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7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1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59" w:type="dxa"/>
            <w:gridSpan w:val="2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567" w:hRule="atLeast"/>
        </w:trPr>
        <w:tc>
          <w:tcPr>
            <w:tcW w:w="5709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46" w:type="dxa"/>
            <w:gridSpan w:val="2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567" w:hRule="atLeast"/>
        </w:trPr>
        <w:tc>
          <w:tcPr>
            <w:tcW w:w="5709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46" w:type="dxa"/>
            <w:gridSpan w:val="2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567" w:hRule="atLeast"/>
        </w:trPr>
        <w:tc>
          <w:tcPr>
            <w:tcW w:w="570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 xml:space="preserve">Suma odloženého daňového záväzku, ktorý vznikol </w:t>
            </w:r>
            <w:r>
              <w:rPr/>
              <w:br/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46" w:type="dxa"/>
            <w:gridSpan w:val="2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567" w:hRule="atLeast"/>
        </w:trPr>
        <w:tc>
          <w:tcPr>
            <w:tcW w:w="5709" w:type="dxa"/>
            <w:tcBorders>
              <w:top w:val="single" w:sz="4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46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567" w:hRule="atLeast"/>
        </w:trPr>
        <w:tc>
          <w:tcPr>
            <w:tcW w:w="570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46" w:type="dxa"/>
            <w:gridSpan w:val="2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Textbody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shd w:val="clear" w:color="auto" w:fill="FFFFFF"/>
        <w:rPr>
          <w:i/>
          <w:i/>
          <w:sz w:val="22"/>
          <w:szCs w:val="22"/>
        </w:rPr>
      </w:pPr>
      <w:r>
        <w:rPr>
          <w:i/>
          <w:sz w:val="22"/>
          <w:szCs w:val="22"/>
        </w:rPr>
      </w:r>
    </w:p>
    <w:p>
      <w:pPr>
        <w:pStyle w:val="Textbody"/>
        <w:shd w:val="clear" w:color="auto" w:fill="FFFFFF"/>
        <w:rPr/>
      </w:pPr>
      <w:r>
        <w:rPr>
          <w:i/>
          <w:sz w:val="22"/>
          <w:szCs w:val="22"/>
        </w:rPr>
        <w:t>J.)</w:t>
      </w:r>
    </w:p>
    <w:p>
      <w:pPr>
        <w:pStyle w:val="Textbody"/>
        <w:numPr>
          <w:ilvl w:val="0"/>
          <w:numId w:val="3"/>
        </w:numPr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Spoločnosť v roku 2024 neevidovala odloženú daňovú pohľadávku týkajúcu sa umorenia daňovej straty, nevyužitých daňových odpočtov, iných nárokov ako aj dočasných rozdielov z predchádzajúcich účtovných období neevidovala .</w:t>
      </w:r>
    </w:p>
    <w:p>
      <w:pPr>
        <w:pStyle w:val="Textbody"/>
        <w:numPr>
          <w:ilvl w:val="0"/>
          <w:numId w:val="3"/>
        </w:numPr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Účtovná jednotka v roku 2024 neevidovala odložený daňový záväzok, z dôvodu  neúčtovania tej časti odloženej daňovej pohľadávky v bežnom účtovnom období, o ktorej sa účtovalo v predchádzajúcich  obdobiach.</w:t>
      </w:r>
    </w:p>
    <w:p>
      <w:pPr>
        <w:pStyle w:val="Textbody"/>
        <w:numPr>
          <w:ilvl w:val="0"/>
          <w:numId w:val="95"/>
        </w:numPr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Spoločnosť  v roku 2024 neevidovala neuplatnené umorenie daňovej straty, nevyužité daňové odpočty a iné nároky a odpočítateľné dočasné rozdiely, ku ktorým nebola účtovaná odložená účtovná daňová pohľadávka.</w:t>
      </w:r>
    </w:p>
    <w:p>
      <w:pPr>
        <w:pStyle w:val="Textbody"/>
        <w:numPr>
          <w:ilvl w:val="0"/>
          <w:numId w:val="96"/>
        </w:numPr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V roku 2024 nebola účtovaná odložená daň z príjmov, ktorá sa vzťahuje k položkám účtovaným priamo na účty vlastného imania bez účtovania na účty nákladov a výnosov.</w:t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/>
      </w:pPr>
      <w:r>
        <w:rPr>
          <w:rFonts w:ascii="Arial Narrow" w:hAnsi="Arial Narrow"/>
          <w:i/>
          <w:sz w:val="22"/>
          <w:szCs w:val="22"/>
        </w:rPr>
        <w:t xml:space="preserve">J.)  </w:t>
      </w:r>
      <w:r>
        <w:rPr>
          <w:rFonts w:ascii="Arial Narrow" w:hAnsi="Arial Narrow"/>
          <w:b w:val="false"/>
          <w:bCs w:val="false"/>
          <w:i/>
          <w:sz w:val="22"/>
          <w:szCs w:val="22"/>
        </w:rPr>
        <w:t>f ) a  g )</w:t>
      </w:r>
    </w:p>
    <w:p>
      <w:pPr>
        <w:pStyle w:val="Nzov"/>
        <w:widowControl w:val="false"/>
        <w:numPr>
          <w:ilvl w:val="0"/>
          <w:numId w:val="97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765"/>
        <w:gridCol w:w="1683"/>
        <w:gridCol w:w="786"/>
        <w:gridCol w:w="657"/>
        <w:gridCol w:w="1923"/>
        <w:gridCol w:w="705"/>
        <w:gridCol w:w="660"/>
      </w:tblGrid>
      <w:tr>
        <w:trPr>
          <w:trHeight w:val="642" w:hRule="atLeast"/>
        </w:trPr>
        <w:tc>
          <w:tcPr>
            <w:tcW w:w="276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12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88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65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6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8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5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92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6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78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65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92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6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Výsledok hospodárenia </w:t>
            </w:r>
            <w:r>
              <w:rPr/>
              <w:br/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pred zdanením, z toho:</w:t>
            </w:r>
          </w:p>
        </w:tc>
        <w:tc>
          <w:tcPr>
            <w:tcW w:w="168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786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65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92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660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teoretická daň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6" w:type="dxa"/>
            <w:tcBorders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3" w:type="dxa"/>
            <w:tcBorders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Daňovo neuznané náklady</w:t>
            </w:r>
          </w:p>
        </w:tc>
        <w:tc>
          <w:tcPr>
            <w:tcW w:w="168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Výnosy nepodliehajúce dani</w:t>
            </w:r>
          </w:p>
        </w:tc>
        <w:tc>
          <w:tcPr>
            <w:tcW w:w="168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Vplyv nevykázanej odloženej daňovej pohľadávky</w:t>
            </w:r>
          </w:p>
        </w:tc>
        <w:tc>
          <w:tcPr>
            <w:tcW w:w="168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Umorenie daňovej straty</w:t>
            </w:r>
          </w:p>
        </w:tc>
        <w:tc>
          <w:tcPr>
            <w:tcW w:w="168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786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657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92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70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660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Zmena sadzby dane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Splatná daň z príjmov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65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Odložená daň z príjmov</w:t>
            </w:r>
          </w:p>
        </w:tc>
        <w:tc>
          <w:tcPr>
            <w:tcW w:w="16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6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Celková daň z príjmov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657" w:type="dxa"/>
            <w:tcBorders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1923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660" w:type="dxa"/>
            <w:tcBorders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jc w:val="both"/>
        <w:rPr/>
      </w:pPr>
      <w:r>
        <w:rPr/>
        <w:tab/>
      </w:r>
    </w:p>
    <w:p>
      <w:pPr>
        <w:pStyle w:val="Standard"/>
        <w:ind w:left="284" w:hanging="284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ind w:left="720" w:hanging="72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J.) </w:t>
      </w:r>
      <w:r>
        <w:rPr>
          <w:rFonts w:cs="Arial Narrow" w:ascii="Arial Narrow" w:hAnsi="Arial Narrow"/>
          <w:sz w:val="22"/>
          <w:szCs w:val="22"/>
        </w:rPr>
        <w:t>g)</w:t>
        <w:tab/>
        <w:t>V roku 2024 nenastali zmeny sadzby sadzby dane z príjmov na 21 %.</w:t>
      </w:r>
    </w:p>
    <w:p>
      <w:pPr>
        <w:pStyle w:val="Standard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N.) Ekonomické vzťahy účtovnej jednotky a spriaznených osôb.</w:t>
      </w:r>
    </w:p>
    <w:p>
      <w:pPr>
        <w:pStyle w:val="Standard"/>
        <w:jc w:val="both"/>
        <w:rPr/>
      </w:pPr>
      <w:r>
        <w:rPr>
          <w:rFonts w:cs="Arial Narrow" w:ascii="Arial Narrow" w:hAnsi="Arial Narrow"/>
          <w:sz w:val="22"/>
          <w:szCs w:val="22"/>
        </w:rPr>
        <w:t>a – c)   Účtovná jednotka  v roku 2024 neevidovala  vo svojej činnosti spriaznené osoby.</w:t>
      </w:r>
    </w:p>
    <w:p>
      <w:pPr>
        <w:pStyle w:val="Standard"/>
        <w:jc w:val="both"/>
        <w:rPr>
          <w:b/>
          <w:b/>
          <w:bCs/>
          <w:i/>
          <w:i/>
          <w:iCs/>
        </w:rPr>
      </w:pPr>
      <w:r>
        <w:rPr>
          <w:b/>
          <w:bCs/>
          <w:i/>
          <w:iCs/>
        </w:rPr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O.) Skutočnosti, ktoré nastali po dni, ku ktorému  sa zostavuje účtovná závierka do dňa</w:t>
      </w:r>
    </w:p>
    <w:p>
      <w:pPr>
        <w:pStyle w:val="Standard"/>
        <w:jc w:val="both"/>
        <w:rPr/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zostavenia účtovnej závierky.</w:t>
      </w:r>
    </w:p>
    <w:p>
      <w:pPr>
        <w:pStyle w:val="Standard"/>
        <w:ind w:left="709" w:hanging="709"/>
        <w:jc w:val="both"/>
        <w:rPr/>
      </w:pPr>
      <w:r>
        <w:rPr>
          <w:rFonts w:cs="Arial Narrow" w:ascii="Arial Narrow" w:hAnsi="Arial Narrow"/>
          <w:sz w:val="22"/>
          <w:szCs w:val="22"/>
        </w:rPr>
        <w:t>a– j) Od 01.01.2024 nenastali žiadne udalosti, ktoré by mali významný dopad na  ekonomickú alebo finančnú situáciu spoločnosti, ale zdraželi služby.</w:t>
      </w:r>
    </w:p>
    <w:p>
      <w:pPr>
        <w:pStyle w:val="Textbody"/>
        <w:rPr>
          <w:lang w:eastAsia="en-US"/>
        </w:rPr>
      </w:pPr>
      <w:r>
        <w:rPr>
          <w:lang w:eastAsia="en-US"/>
        </w:rPr>
      </w:r>
    </w:p>
    <w:p>
      <w:pPr>
        <w:pStyle w:val="Textbody"/>
        <w:rPr>
          <w:lang w:eastAsia="en-US"/>
        </w:rPr>
      </w:pPr>
      <w:r>
        <w:rPr>
          <w:lang w:eastAsia="en-US"/>
        </w:rPr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R.) Informácie o prehľade peňažných tokov</w:t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26" w:hanging="426"/>
        <w:jc w:val="both"/>
        <w:rPr/>
      </w:pPr>
      <w:r>
        <w:rPr>
          <w:rFonts w:cs="Arial Narrow" w:ascii="Arial Narrow" w:hAnsi="Arial Narrow"/>
          <w:sz w:val="22"/>
          <w:szCs w:val="22"/>
        </w:rPr>
        <w:t>a)</w:t>
        <w:tab/>
        <w:t>1 – 2 Účtovná jednotka v roku 2024 evidovala len pohyb peňažných prostriedkov bez peňažných  ekvivalentov.</w:t>
      </w:r>
    </w:p>
    <w:p>
      <w:pPr>
        <w:pStyle w:val="Standard"/>
        <w:ind w:left="426" w:hanging="426"/>
        <w:jc w:val="both"/>
        <w:rPr/>
      </w:pPr>
      <w:r>
        <w:rPr/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b)</w:t>
        <w:tab/>
        <w:t>Prehľad  o peňažných tokoch bol spracovaný v členení:</w:t>
      </w:r>
    </w:p>
    <w:p>
      <w:pPr>
        <w:pStyle w:val="Standard"/>
        <w:tabs>
          <w:tab w:val="clear" w:pos="708"/>
          <w:tab w:val="left" w:pos="6186" w:leader="none"/>
        </w:tabs>
        <w:ind w:left="426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1. peňažné toky z prevádzkových činností</w:t>
      </w:r>
    </w:p>
    <w:p>
      <w:pPr>
        <w:pStyle w:val="Standard"/>
        <w:tabs>
          <w:tab w:val="clear" w:pos="708"/>
          <w:tab w:val="left" w:pos="6186" w:leader="none"/>
        </w:tabs>
        <w:ind w:left="426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2. peňažné toky z investičnej činnosti</w:t>
      </w:r>
    </w:p>
    <w:p>
      <w:pPr>
        <w:pStyle w:val="Standard"/>
        <w:tabs>
          <w:tab w:val="clear" w:pos="708"/>
          <w:tab w:val="left" w:pos="6186" w:leader="none"/>
        </w:tabs>
        <w:ind w:left="426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3. peňažné toky z finančnej činnosti</w:t>
      </w:r>
    </w:p>
    <w:p>
      <w:pPr>
        <w:pStyle w:val="Standard"/>
        <w:ind w:left="426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c)   Stav, pohyb a štruktúra peňažných prostriedkov je totožná s položkami vykázanými      </w:t>
      </w:r>
    </w:p>
    <w:p>
      <w:pPr>
        <w:pStyle w:val="Standard"/>
        <w:ind w:left="426" w:hanging="426"/>
        <w:jc w:val="both"/>
        <w:rPr/>
      </w:pPr>
      <w:r>
        <w:rPr>
          <w:rFonts w:cs="Arial Narrow" w:ascii="Arial Narrow" w:hAnsi="Arial Narrow"/>
          <w:sz w:val="22"/>
          <w:szCs w:val="22"/>
        </w:rPr>
        <w:t>v súvahe.</w:t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3970" w:leader="none"/>
        </w:tabs>
        <w:ind w:left="426" w:hanging="426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Spolu                                                                 </w:t>
        <w:tab/>
        <w:t xml:space="preserve">                   </w:t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h) 1. – 10.   Peňažné toky z investičnej oblasti boli v roku 2024 spracované priamou metódou.</w:t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26" w:hanging="426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i) 1. – 6.    Peňažné toky z finančnej oblasti boli  v roku 2024 spracované  priamou  metódou.</w:t>
      </w:r>
    </w:p>
    <w:p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rPr/>
      </w:pPr>
      <w:r>
        <w:rPr/>
        <w:t>Vysvetlivky k poznámkam:</w:t>
      </w:r>
    </w:p>
    <w:p>
      <w:pPr>
        <w:pStyle w:val="ListParagraph"/>
        <w:numPr>
          <w:ilvl w:val="0"/>
          <w:numId w:val="98"/>
        </w:numPr>
        <w:ind w:left="308" w:hanging="308"/>
        <w:jc w:val="both"/>
        <w:rPr>
          <w:szCs w:val="22"/>
        </w:rPr>
      </w:pPr>
      <w:r>
        <w:rPr>
          <w:szCs w:val="22"/>
        </w:rPr>
        <w:t>Daňové identifikačné číslo sa vyplňuje, ak ho má účtovná jednotka pridelené.</w:t>
      </w:r>
    </w:p>
    <w:p>
      <w:pPr>
        <w:pStyle w:val="ListParagraph"/>
        <w:numPr>
          <w:ilvl w:val="0"/>
          <w:numId w:val="99"/>
        </w:numPr>
        <w:ind w:left="308" w:hanging="308"/>
        <w:jc w:val="both"/>
        <w:rPr>
          <w:szCs w:val="22"/>
        </w:rPr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>
      <w:pPr>
        <w:pStyle w:val="ListParagraph"/>
        <w:numPr>
          <w:ilvl w:val="0"/>
          <w:numId w:val="100"/>
        </w:numPr>
        <w:tabs>
          <w:tab w:val="clear" w:pos="708"/>
          <w:tab w:val="left" w:pos="588" w:leader="none"/>
        </w:tabs>
        <w:ind w:left="294" w:hanging="308"/>
        <w:jc w:val="both"/>
        <w:rPr/>
      </w:pPr>
      <w:r>
        <w:rPr>
          <w:szCs w:val="22"/>
        </w:rPr>
        <w:t xml:space="preserve">Kód SK NACE sa vypĺňa podľa vyhlášky Štatistického úradu Slovenskej republiky </w:t>
      </w:r>
      <w:r>
        <w:rPr/>
        <w:br/>
      </w:r>
      <w:r>
        <w:rPr>
          <w:szCs w:val="22"/>
        </w:rPr>
        <w:t>č. 306/2007 Z. z., ktorou sa vydáva Štatistická klasifikácia ekonomických činností.</w:t>
      </w:r>
    </w:p>
    <w:p>
      <w:pPr>
        <w:pStyle w:val="ListParagraph"/>
        <w:numPr>
          <w:ilvl w:val="0"/>
          <w:numId w:val="101"/>
        </w:numPr>
        <w:tabs>
          <w:tab w:val="clear" w:pos="708"/>
          <w:tab w:val="left" w:pos="588" w:leader="none"/>
        </w:tabs>
        <w:ind w:left="294" w:hanging="308"/>
        <w:jc w:val="both"/>
        <w:rPr>
          <w:szCs w:val="22"/>
        </w:rPr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pStyle w:val="Standard"/>
        <w:rPr>
          <w:b/>
          <w:b/>
          <w:szCs w:val="22"/>
        </w:rPr>
      </w:pPr>
      <w:r>
        <w:rPr>
          <w:b/>
          <w:szCs w:val="22"/>
        </w:rPr>
      </w:r>
    </w:p>
    <w:p>
      <w:pPr>
        <w:pStyle w:val="Standard"/>
        <w:rPr>
          <w:b/>
          <w:b/>
          <w:szCs w:val="22"/>
        </w:rPr>
      </w:pPr>
      <w:r>
        <w:rPr>
          <w:b/>
          <w:szCs w:val="22"/>
        </w:rPr>
        <w:t>Použité  skratky:</w:t>
      </w:r>
    </w:p>
    <w:p>
      <w:pPr>
        <w:pStyle w:val="Standard"/>
        <w:rPr>
          <w:szCs w:val="22"/>
        </w:rPr>
      </w:pPr>
      <w:r>
        <w:rPr>
          <w:szCs w:val="22"/>
        </w:rPr>
        <w:t>CP  - cenný papier</w:t>
      </w:r>
    </w:p>
    <w:p>
      <w:pPr>
        <w:pStyle w:val="Standard"/>
        <w:rPr>
          <w:szCs w:val="22"/>
        </w:rPr>
      </w:pPr>
      <w:r>
        <w:rPr>
          <w:szCs w:val="22"/>
        </w:rPr>
        <w:t>č. - číslo</w:t>
      </w:r>
    </w:p>
    <w:p>
      <w:pPr>
        <w:pStyle w:val="Standard"/>
        <w:rPr>
          <w:szCs w:val="22"/>
        </w:rPr>
      </w:pPr>
      <w:r>
        <w:rPr>
          <w:szCs w:val="22"/>
        </w:rPr>
        <w:t>DFM – dlhodobý finančný majetok</w:t>
      </w:r>
    </w:p>
    <w:p>
      <w:pPr>
        <w:pStyle w:val="Standard"/>
        <w:rPr>
          <w:szCs w:val="22"/>
        </w:rPr>
      </w:pPr>
      <w:r>
        <w:rPr>
          <w:szCs w:val="22"/>
        </w:rPr>
        <w:t>DHM – dlhodobý hmotný majetok</w:t>
      </w:r>
    </w:p>
    <w:p>
      <w:pPr>
        <w:pStyle w:val="Standard"/>
        <w:rPr>
          <w:szCs w:val="22"/>
        </w:rPr>
      </w:pPr>
      <w:r>
        <w:rPr>
          <w:szCs w:val="22"/>
        </w:rPr>
        <w:t>DIČ – daňové identifikačné číslo</w:t>
      </w:r>
    </w:p>
    <w:p>
      <w:pPr>
        <w:pStyle w:val="Standard"/>
        <w:rPr>
          <w:szCs w:val="22"/>
        </w:rPr>
      </w:pPr>
      <w:r>
        <w:rPr>
          <w:szCs w:val="22"/>
        </w:rPr>
        <w:t>DNM – dlhodobý nehmotný majetok</w:t>
      </w:r>
    </w:p>
    <w:p>
      <w:pPr>
        <w:pStyle w:val="Standard"/>
        <w:rPr>
          <w:szCs w:val="22"/>
        </w:rPr>
      </w:pPr>
      <w:r>
        <w:rPr>
          <w:szCs w:val="22"/>
        </w:rPr>
        <w:t>DÚJ – dcérska účtovná jednotka</w:t>
      </w:r>
    </w:p>
    <w:p>
      <w:pPr>
        <w:pStyle w:val="Standard"/>
        <w:rPr>
          <w:szCs w:val="22"/>
        </w:rPr>
      </w:pPr>
      <w:r>
        <w:rPr>
          <w:szCs w:val="22"/>
        </w:rPr>
        <w:t>IČO – identifikačné číslo organizácie</w:t>
      </w:r>
    </w:p>
    <w:p>
      <w:pPr>
        <w:pStyle w:val="Standard"/>
        <w:rPr>
          <w:szCs w:val="22"/>
        </w:rPr>
      </w:pPr>
      <w:r>
        <w:rPr>
          <w:szCs w:val="22"/>
        </w:rPr>
        <w:t>kons. – konsolidovaný</w:t>
      </w:r>
    </w:p>
    <w:p>
      <w:pPr>
        <w:pStyle w:val="Standard"/>
        <w:rPr>
          <w:szCs w:val="22"/>
        </w:rPr>
      </w:pPr>
      <w:r>
        <w:rPr>
          <w:szCs w:val="22"/>
        </w:rPr>
        <w:t>MÚJ – materská účtovná jednotka</w:t>
      </w:r>
    </w:p>
    <w:p>
      <w:pPr>
        <w:pStyle w:val="Standard"/>
        <w:rPr>
          <w:szCs w:val="22"/>
        </w:rPr>
      </w:pPr>
      <w:r>
        <w:rPr>
          <w:szCs w:val="22"/>
        </w:rPr>
        <w:t>OP – opravná položka</w:t>
      </w:r>
    </w:p>
    <w:p>
      <w:pPr>
        <w:pStyle w:val="Standard"/>
        <w:rPr>
          <w:szCs w:val="22"/>
        </w:rPr>
      </w:pPr>
      <w:r>
        <w:rPr>
          <w:szCs w:val="22"/>
        </w:rPr>
        <w:t>p. a. – per annum</w:t>
      </w:r>
    </w:p>
    <w:p>
      <w:pPr>
        <w:pStyle w:val="Standard"/>
        <w:rPr>
          <w:szCs w:val="22"/>
        </w:rPr>
      </w:pPr>
      <w:r>
        <w:rPr>
          <w:szCs w:val="22"/>
        </w:rPr>
        <w:t>PSČ – poštové smerovacie číslo</w:t>
      </w:r>
    </w:p>
    <w:p>
      <w:pPr>
        <w:pStyle w:val="Standard"/>
        <w:rPr>
          <w:szCs w:val="22"/>
        </w:rPr>
      </w:pPr>
      <w:r>
        <w:rPr>
          <w:szCs w:val="22"/>
        </w:rPr>
        <w:t>ÚJ – účtovná jednotka</w:t>
      </w:r>
    </w:p>
    <w:p>
      <w:pPr>
        <w:pStyle w:val="Standard"/>
        <w:rPr>
          <w:szCs w:val="22"/>
        </w:rPr>
      </w:pPr>
      <w:r>
        <w:rPr>
          <w:szCs w:val="22"/>
        </w:rPr>
        <w:t>VI – vlastné imanie</w:t>
      </w:r>
    </w:p>
    <w:p>
      <w:pPr>
        <w:pStyle w:val="Standard"/>
        <w:rPr>
          <w:szCs w:val="22"/>
        </w:rPr>
      </w:pPr>
      <w:r>
        <w:rPr>
          <w:szCs w:val="22"/>
        </w:rPr>
        <w:t>ZI – základné imanie</w:t>
      </w:r>
      <w:r>
        <w:br w:type="page"/>
      </w:r>
    </w:p>
    <w:p>
      <w:pPr>
        <w:pStyle w:val="Standard"/>
        <w:rPr>
          <w:szCs w:val="22"/>
        </w:rPr>
      </w:pPr>
      <w:r>
        <w:rPr/>
      </w:r>
    </w:p>
    <w:sectPr>
      <w:headerReference w:type="default" r:id="rId2"/>
      <w:headerReference w:type="first" r:id="rId3"/>
      <w:footerReference w:type="first" r:id="rId4"/>
      <w:type w:val="nextPage"/>
      <w:pgSz w:w="11906" w:h="16838"/>
      <w:pgMar w:left="1134" w:right="1134" w:header="630" w:top="1215" w:footer="1135" w:bottom="1583" w:gutter="0"/>
      <w:pgNumType w:fmt="decimal"/>
      <w:formProt w:val="false"/>
      <w:titlePg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Cambria">
    <w:charset w:val="ee"/>
    <w:family w:val="swiss"/>
    <w:pitch w:val="variable"/>
  </w:font>
  <w:font w:name="Arial Narrow">
    <w:charset w:val="ee"/>
    <w:family w:val="swiss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Arial Narrow">
    <w:charset w:val="ee"/>
    <w:family w:val="roman"/>
    <w:pitch w:val="variable"/>
  </w:font>
  <w:font w:name="Symbol">
    <w:charset w:val="ee"/>
    <w:family w:val="roman"/>
    <w:pitch w:val="variable"/>
  </w:font>
  <w:font w:name="Arial">
    <w:charset w:val="ee"/>
    <w:family w:val="roman"/>
    <w:pitch w:val="variable"/>
  </w:font>
  <w:font w:name="Arial CE">
    <w:altName w:val="Helvetica CE"/>
    <w:charset w:val="ee"/>
    <w:family w:val="auto"/>
    <w:pitch w:val="default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right"/>
      <w:rPr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> PAGE </w:instrText>
    </w:r>
    <w:r>
      <w:rPr>
        <w:szCs w:val="22"/>
        <w:lang w:eastAsia="sk-SK"/>
      </w:rPr>
      <w:fldChar w:fldCharType="separate"/>
    </w:r>
    <w:r>
      <w:rPr>
        <w:szCs w:val="22"/>
        <w:lang w:eastAsia="sk-SK"/>
      </w:rPr>
      <w:t>1</w:t>
    </w:r>
    <w:r>
      <w:rPr>
        <w:szCs w:val="22"/>
        <w:lang w:eastAsia="sk-SK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674" w:type="dxa"/>
      <w:jc w:val="left"/>
      <w:tblInd w:w="-25" w:type="dxa"/>
      <w:tblLayout w:type="fixed"/>
      <w:tblCellMar>
        <w:top w:w="0" w:type="dxa"/>
        <w:left w:w="5" w:type="dxa"/>
        <w:bottom w:w="0" w:type="dxa"/>
        <w:right w:w="5" w:type="dxa"/>
      </w:tblCellMar>
      <w:tblLook w:val="0000"/>
    </w:tblPr>
    <w:tblGrid>
      <w:gridCol w:w="2769"/>
      <w:gridCol w:w="3806"/>
      <w:gridCol w:w="389"/>
      <w:gridCol w:w="276"/>
      <w:gridCol w:w="267"/>
      <w:gridCol w:w="269"/>
      <w:gridCol w:w="271"/>
      <w:gridCol w:w="271"/>
      <w:gridCol w:w="271"/>
      <w:gridCol w:w="277"/>
      <w:gridCol w:w="271"/>
      <w:gridCol w:w="269"/>
      <w:gridCol w:w="267"/>
    </w:tblGrid>
    <w:tr>
      <w:trPr>
        <w:trHeight w:val="343" w:hRule="atLeast"/>
      </w:trPr>
      <w:tc>
        <w:tcPr>
          <w:tcW w:w="2769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bottom"/>
        </w:tcPr>
        <w:p>
          <w:pPr>
            <w:pStyle w:val="Normal"/>
            <w:widowControl w:val="false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  <w:t>Poznámky Úč POD 3 – 01</w:t>
          </w:r>
        </w:p>
      </w:tc>
      <w:tc>
        <w:tcPr>
          <w:tcW w:w="3806" w:type="dxa"/>
          <w:tcBorders/>
          <w:shd w:color="auto" w:fill="auto" w:val="clear"/>
          <w:vAlign w:val="bottom"/>
        </w:tcPr>
        <w:tbl>
          <w:tblPr>
            <w:tblW w:w="2765" w:type="dxa"/>
            <w:jc w:val="left"/>
            <w:tblInd w:w="921" w:type="dxa"/>
            <w:tblLayout w:type="fixed"/>
            <w:tblCellMar>
              <w:top w:w="55" w:type="dxa"/>
              <w:left w:w="55" w:type="dxa"/>
              <w:bottom w:w="55" w:type="dxa"/>
              <w:right w:w="55" w:type="dxa"/>
            </w:tblCellMar>
            <w:tblLook w:val="0000"/>
          </w:tblPr>
          <w:tblGrid>
            <w:gridCol w:w="449"/>
            <w:gridCol w:w="285"/>
            <w:gridCol w:w="328"/>
            <w:gridCol w:w="344"/>
            <w:gridCol w:w="225"/>
            <w:gridCol w:w="285"/>
            <w:gridCol w:w="286"/>
            <w:gridCol w:w="285"/>
            <w:gridCol w:w="277"/>
          </w:tblGrid>
          <w:tr>
            <w:trPr>
              <w:trHeight w:val="204" w:hRule="atLeast"/>
            </w:trPr>
            <w:tc>
              <w:tcPr>
                <w:tcW w:w="44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  <w:vAlign w:val="bottom"/>
              </w:tcPr>
              <w:p>
                <w:pPr>
                  <w:pStyle w:val="Normal"/>
                  <w:widowControl w:val="false"/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</w:pPr>
                <w:r>
                  <w:rPr>
                    <w:rFonts w:cs="Times New Roman" w:ascii="Arial Narrow" w:hAnsi="Arial Narrow"/>
                    <w:color w:val="000000"/>
                    <w:sz w:val="22"/>
                    <w:szCs w:val="22"/>
                    <w:lang w:eastAsia="sk-SK" w:bidi="ar-SA"/>
                  </w:rPr>
                  <w:t>IČO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5</w:t>
                </w:r>
              </w:p>
            </w:tc>
            <w:tc>
              <w:tcPr>
                <w:tcW w:w="3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5</w:t>
                </w:r>
              </w:p>
            </w:tc>
            <w:tc>
              <w:tcPr>
                <w:tcW w:w="34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3</w:t>
                </w:r>
              </w:p>
            </w:tc>
            <w:tc>
              <w:tcPr>
                <w:tcW w:w="22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7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9</w:t>
                </w:r>
              </w:p>
            </w:tc>
            <w:tc>
              <w:tcPr>
                <w:tcW w:w="28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1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0</w:t>
                </w:r>
              </w:p>
            </w:tc>
            <w:tc>
              <w:tcPr>
                <w:tcW w:w="27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9</w:t>
                </w:r>
              </w:p>
            </w:tc>
          </w:tr>
        </w:tbl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</w:r>
        </w:p>
      </w:tc>
      <w:tc>
        <w:tcPr>
          <w:tcW w:w="389" w:type="dxa"/>
          <w:tcBorders/>
          <w:shd w:color="auto" w:fill="auto" w:val="clear"/>
          <w:vAlign w:val="center"/>
        </w:tcPr>
        <w:p>
          <w:pPr>
            <w:pStyle w:val="Normal"/>
            <w:widowControl w:val="false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  <w:t>DIČ</w:t>
          </w:r>
        </w:p>
      </w:tc>
      <w:tc>
        <w:tcPr>
          <w:tcW w:w="276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67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1</w:t>
          </w:r>
        </w:p>
      </w:tc>
      <w:tc>
        <w:tcPr>
          <w:tcW w:w="269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1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9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7</w:t>
          </w:r>
        </w:p>
      </w:tc>
      <w:tc>
        <w:tcPr>
          <w:tcW w:w="277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5</w:t>
          </w:r>
        </w:p>
      </w:tc>
      <w:tc>
        <w:tcPr>
          <w:tcW w:w="269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7</w:t>
          </w:r>
        </w:p>
      </w:tc>
      <w:tc>
        <w:tcPr>
          <w:tcW w:w="267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8</w:t>
          </w:r>
        </w:p>
      </w:tc>
    </w:tr>
  </w:tbl>
  <w:p>
    <w:pPr>
      <w:pStyle w:val="Zhlavie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674" w:type="dxa"/>
      <w:jc w:val="left"/>
      <w:tblInd w:w="-25" w:type="dxa"/>
      <w:tblLayout w:type="fixed"/>
      <w:tblCellMar>
        <w:top w:w="0" w:type="dxa"/>
        <w:left w:w="5" w:type="dxa"/>
        <w:bottom w:w="0" w:type="dxa"/>
        <w:right w:w="5" w:type="dxa"/>
      </w:tblCellMar>
      <w:tblLook w:val="0000"/>
    </w:tblPr>
    <w:tblGrid>
      <w:gridCol w:w="2769"/>
      <w:gridCol w:w="3806"/>
      <w:gridCol w:w="389"/>
      <w:gridCol w:w="276"/>
      <w:gridCol w:w="267"/>
      <w:gridCol w:w="269"/>
      <w:gridCol w:w="271"/>
      <w:gridCol w:w="271"/>
      <w:gridCol w:w="271"/>
      <w:gridCol w:w="277"/>
      <w:gridCol w:w="271"/>
      <w:gridCol w:w="269"/>
      <w:gridCol w:w="267"/>
    </w:tblGrid>
    <w:tr>
      <w:trPr>
        <w:trHeight w:val="343" w:hRule="atLeast"/>
      </w:trPr>
      <w:tc>
        <w:tcPr>
          <w:tcW w:w="2769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bottom"/>
        </w:tcPr>
        <w:p>
          <w:pPr>
            <w:pStyle w:val="Normal"/>
            <w:widowControl w:val="false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  <w:t>Poznámky Úč POD 3 – 01</w:t>
          </w:r>
        </w:p>
      </w:tc>
      <w:tc>
        <w:tcPr>
          <w:tcW w:w="3806" w:type="dxa"/>
          <w:tcBorders/>
          <w:shd w:color="auto" w:fill="auto" w:val="clear"/>
          <w:vAlign w:val="bottom"/>
        </w:tcPr>
        <w:tbl>
          <w:tblPr>
            <w:tblW w:w="2765" w:type="dxa"/>
            <w:jc w:val="left"/>
            <w:tblInd w:w="921" w:type="dxa"/>
            <w:tblLayout w:type="fixed"/>
            <w:tblCellMar>
              <w:top w:w="55" w:type="dxa"/>
              <w:left w:w="55" w:type="dxa"/>
              <w:bottom w:w="55" w:type="dxa"/>
              <w:right w:w="55" w:type="dxa"/>
            </w:tblCellMar>
            <w:tblLook w:val="0000"/>
          </w:tblPr>
          <w:tblGrid>
            <w:gridCol w:w="449"/>
            <w:gridCol w:w="285"/>
            <w:gridCol w:w="328"/>
            <w:gridCol w:w="344"/>
            <w:gridCol w:w="225"/>
            <w:gridCol w:w="285"/>
            <w:gridCol w:w="286"/>
            <w:gridCol w:w="285"/>
            <w:gridCol w:w="277"/>
          </w:tblGrid>
          <w:tr>
            <w:trPr>
              <w:trHeight w:val="204" w:hRule="atLeast"/>
            </w:trPr>
            <w:tc>
              <w:tcPr>
                <w:tcW w:w="44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  <w:vAlign w:val="bottom"/>
              </w:tcPr>
              <w:p>
                <w:pPr>
                  <w:pStyle w:val="Normal"/>
                  <w:widowControl w:val="false"/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</w:pPr>
                <w:r>
                  <w:rPr>
                    <w:rFonts w:cs="Times New Roman" w:ascii="Arial Narrow" w:hAnsi="Arial Narrow"/>
                    <w:color w:val="000000"/>
                    <w:sz w:val="22"/>
                    <w:szCs w:val="22"/>
                    <w:lang w:eastAsia="sk-SK" w:bidi="ar-SA"/>
                  </w:rPr>
                  <w:t>IČO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5</w:t>
                </w:r>
              </w:p>
            </w:tc>
            <w:tc>
              <w:tcPr>
                <w:tcW w:w="3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5</w:t>
                </w:r>
              </w:p>
            </w:tc>
            <w:tc>
              <w:tcPr>
                <w:tcW w:w="34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3</w:t>
                </w:r>
              </w:p>
            </w:tc>
            <w:tc>
              <w:tcPr>
                <w:tcW w:w="22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7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9</w:t>
                </w:r>
              </w:p>
            </w:tc>
            <w:tc>
              <w:tcPr>
                <w:tcW w:w="28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1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0</w:t>
                </w:r>
              </w:p>
            </w:tc>
            <w:tc>
              <w:tcPr>
                <w:tcW w:w="27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9</w:t>
                </w:r>
              </w:p>
            </w:tc>
          </w:tr>
        </w:tbl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</w:r>
        </w:p>
      </w:tc>
      <w:tc>
        <w:tcPr>
          <w:tcW w:w="389" w:type="dxa"/>
          <w:tcBorders/>
          <w:shd w:color="auto" w:fill="auto" w:val="clear"/>
          <w:vAlign w:val="center"/>
        </w:tcPr>
        <w:p>
          <w:pPr>
            <w:pStyle w:val="Normal"/>
            <w:widowControl w:val="false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  <w:t>DIČ</w:t>
          </w:r>
        </w:p>
      </w:tc>
      <w:tc>
        <w:tcPr>
          <w:tcW w:w="276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67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1</w:t>
          </w:r>
        </w:p>
      </w:tc>
      <w:tc>
        <w:tcPr>
          <w:tcW w:w="269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9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7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77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5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7</w:t>
          </w:r>
        </w:p>
      </w:tc>
      <w:tc>
        <w:tcPr>
          <w:tcW w:w="269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8</w:t>
          </w:r>
        </w:p>
      </w:tc>
      <w:tc>
        <w:tcPr>
          <w:tcW w:w="267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</w:r>
        </w:p>
      </w:tc>
    </w:tr>
  </w:tbl>
  <w:p>
    <w:pPr>
      <w:pStyle w:val="Standard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numFmt w:val="bullet"/>
      <w:lvlText w:val=""/>
      <w:lvlJc w:val="left"/>
      <w:pPr>
        <w:tabs>
          <w:tab w:val="num" w:pos="0"/>
        </w:tabs>
        <w:ind w:left="0" w:hanging="0"/>
      </w:pPr>
      <w:rPr>
        <w:rFonts w:ascii="Symbol" w:hAnsi="Symbol" w:cs="Symbol" w:hint="default"/>
        <w:sz w:val="22"/>
        <w:b w:val="false"/>
        <w:szCs w:val="22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2">
    <w:lvl w:ilvl="0">
      <w:start w:val="10"/>
      <w:numFmt w:val="upperLetter"/>
      <w:lvlText w:val="%1.)"/>
      <w:lvlJc w:val="left"/>
      <w:pPr>
        <w:tabs>
          <w:tab w:val="num" w:pos="0"/>
        </w:tabs>
        <w:ind w:left="720" w:hanging="360"/>
      </w:pPr>
      <w:rPr>
        <w:rFonts w:ascii="Arial Narrow" w:hAnsi="Arial Narrow" w:cs="Symbol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3">
    <w:lvl w:ilvl="0">
      <w:start w:val="1"/>
      <w:numFmt w:val="lowerLetter"/>
      <w:lvlText w:val="%1)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4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6">
    <w:lvl w:ilvl="0">
      <w:start w:val="1"/>
      <w:numFmt w:val="lowerLetter"/>
      <w:lvlText w:val="%1)"/>
      <w:lvlJc w:val="left"/>
      <w:pPr>
        <w:tabs>
          <w:tab w:val="num" w:pos="0"/>
        </w:tabs>
        <w:ind w:left="0" w:hanging="0"/>
      </w:pPr>
      <w:rPr>
        <w:sz w:val="22"/>
        <w:kern w:val="2"/>
        <w:szCs w:val="22"/>
        <w:rFonts w:ascii="Arial Narrow" w:hAnsi="Arial Narrow" w:eastAsia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7">
    <w:lvl w:ilvl="0">
      <w:start w:val="1"/>
      <w:numFmt w:val="lowerLetter"/>
      <w:lvlText w:val="%1)"/>
      <w:lvlJc w:val="left"/>
      <w:pPr>
        <w:tabs>
          <w:tab w:val="num" w:pos="0"/>
        </w:tabs>
        <w:ind w:left="0" w:hanging="0"/>
      </w:pPr>
      <w:rPr>
        <w:sz w:val="22"/>
        <w:kern w:val="2"/>
        <w:szCs w:val="22"/>
        <w:rFonts w:ascii="Arial Narrow" w:hAnsi="Arial Narrow" w:eastAsia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8">
    <w:lvl w:ilvl="0">
      <w:start w:val="1"/>
      <w:numFmt w:val="lowerLetter"/>
      <w:lvlText w:val="%1)"/>
      <w:lvlJc w:val="left"/>
      <w:pPr>
        <w:tabs>
          <w:tab w:val="num" w:pos="0"/>
        </w:tabs>
        <w:ind w:left="0" w:hanging="0"/>
      </w:pPr>
      <w:rPr>
        <w:sz w:val="22"/>
        <w:kern w:val="2"/>
        <w:szCs w:val="22"/>
        <w:rFonts w:ascii="Arial Narrow" w:hAnsi="Arial Narrow" w:eastAsia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9">
    <w:lvl w:ilvl="0">
      <w:start w:val="1"/>
      <w:numFmt w:val="decimal"/>
      <w:lvlText w:val="%1)"/>
      <w:lvlJc w:val="left"/>
      <w:pPr>
        <w:tabs>
          <w:tab w:val="num" w:pos="0"/>
        </w:tabs>
        <w:ind w:left="0" w:hanging="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10">
    <w:lvl w:ilvl="0">
      <w:start w:val="1"/>
      <w:numFmt w:val="decimal"/>
      <w:lvlText w:val="%1)"/>
      <w:lvlJc w:val="left"/>
      <w:pPr>
        <w:tabs>
          <w:tab w:val="num" w:pos="0"/>
        </w:tabs>
        <w:ind w:left="0" w:hanging="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11">
    <w:lvl w:ilvl="0">
      <w:start w:val="1"/>
      <w:numFmt w:val="decimal"/>
      <w:lvlText w:val="%1)"/>
      <w:lvlJc w:val="left"/>
      <w:pPr>
        <w:tabs>
          <w:tab w:val="num" w:pos="0"/>
        </w:tabs>
        <w:ind w:left="0" w:hanging="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1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3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4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5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6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7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8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9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0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3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4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5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6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7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8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9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0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2">
    <w:lvl w:ilvl="0">
      <w:start w:val="1"/>
      <w:numFmt w:val="lowerLetter"/>
      <w:lvlText w:val="%1)"/>
      <w:lvlJc w:val="left"/>
      <w:pPr>
        <w:tabs>
          <w:tab w:val="num" w:pos="0"/>
        </w:tabs>
        <w:ind w:left="0" w:hanging="0"/>
      </w:pPr>
      <w:rPr>
        <w:sz w:val="22"/>
        <w:b w:val="false"/>
        <w:kern w:val="2"/>
        <w:szCs w:val="22"/>
        <w:bCs w:val="false"/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33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4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5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6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7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8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9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0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3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4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5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6">
    <w:lvl w:ilvl="0">
      <w:start w:val="4"/>
      <w:numFmt w:val="lowerLetter"/>
      <w:lvlText w:val="%1)"/>
      <w:lvlJc w:val="left"/>
      <w:pPr>
        <w:tabs>
          <w:tab w:val="num" w:pos="0"/>
        </w:tabs>
        <w:ind w:left="360" w:hanging="360"/>
      </w:pPr>
      <w:rPr>
        <w:kern w:val="2"/>
        <w:bCs/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47">
    <w:lvl w:ilvl="0">
      <w:start w:val="4"/>
      <w:numFmt w:val="lowerLetter"/>
      <w:lvlText w:val="%1)"/>
      <w:lvlJc w:val="left"/>
      <w:pPr>
        <w:tabs>
          <w:tab w:val="num" w:pos="0"/>
        </w:tabs>
        <w:ind w:left="360" w:hanging="360"/>
      </w:pPr>
      <w:rPr>
        <w:kern w:val="2"/>
        <w:bCs/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48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9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50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5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5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5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  <w:num w:numId="19">
    <w:abstractNumId w:val="19"/>
  </w:num>
  <w:num w:numId="20">
    <w:abstractNumId w:val="20"/>
  </w:num>
  <w:num w:numId="21">
    <w:abstractNumId w:val="21"/>
  </w:num>
  <w:num w:numId="22">
    <w:abstractNumId w:val="22"/>
  </w:num>
  <w:num w:numId="23">
    <w:abstractNumId w:val="23"/>
  </w:num>
  <w:num w:numId="24">
    <w:abstractNumId w:val="24"/>
  </w:num>
  <w:num w:numId="25">
    <w:abstractNumId w:val="25"/>
  </w:num>
  <w:num w:numId="26">
    <w:abstractNumId w:val="26"/>
  </w:num>
  <w:num w:numId="27">
    <w:abstractNumId w:val="27"/>
  </w:num>
  <w:num w:numId="28">
    <w:abstractNumId w:val="28"/>
  </w:num>
  <w:num w:numId="29">
    <w:abstractNumId w:val="29"/>
  </w:num>
  <w:num w:numId="30">
    <w:abstractNumId w:val="30"/>
  </w:num>
  <w:num w:numId="31">
    <w:abstractNumId w:val="31"/>
  </w:num>
  <w:num w:numId="32">
    <w:abstractNumId w:val="32"/>
  </w:num>
  <w:num w:numId="33">
    <w:abstractNumId w:val="33"/>
  </w:num>
  <w:num w:numId="34">
    <w:abstractNumId w:val="34"/>
  </w:num>
  <w:num w:numId="35">
    <w:abstractNumId w:val="35"/>
  </w:num>
  <w:num w:numId="36">
    <w:abstractNumId w:val="36"/>
  </w:num>
  <w:num w:numId="37">
    <w:abstractNumId w:val="37"/>
  </w:num>
  <w:num w:numId="38">
    <w:abstractNumId w:val="38"/>
  </w:num>
  <w:num w:numId="39">
    <w:abstractNumId w:val="39"/>
  </w:num>
  <w:num w:numId="40">
    <w:abstractNumId w:val="40"/>
  </w:num>
  <w:num w:numId="41">
    <w:abstractNumId w:val="41"/>
  </w:num>
  <w:num w:numId="42">
    <w:abstractNumId w:val="42"/>
  </w:num>
  <w:num w:numId="43">
    <w:abstractNumId w:val="43"/>
  </w:num>
  <w:num w:numId="44">
    <w:abstractNumId w:val="44"/>
  </w:num>
  <w:num w:numId="45">
    <w:abstractNumId w:val="45"/>
  </w:num>
  <w:num w:numId="46">
    <w:abstractNumId w:val="46"/>
  </w:num>
  <w:num w:numId="47">
    <w:abstractNumId w:val="47"/>
  </w:num>
  <w:num w:numId="48">
    <w:abstractNumId w:val="48"/>
  </w:num>
  <w:num w:numId="49">
    <w:abstractNumId w:val="49"/>
  </w:num>
  <w:num w:numId="50">
    <w:abstractNumId w:val="50"/>
  </w:num>
  <w:num w:numId="51">
    <w:abstractNumId w:val="51"/>
  </w:num>
  <w:num w:numId="52">
    <w:abstractNumId w:val="52"/>
  </w:num>
  <w:num w:numId="53">
    <w:abstractNumId w:val="53"/>
  </w:num>
  <w:num w:numId="54">
    <w:abstractNumId w:val="5"/>
    <w:lvlOverride w:ilvl="0">
      <w:startOverride w:val="1"/>
    </w:lvlOverride>
  </w:num>
  <w:num w:numId="55">
    <w:abstractNumId w:val="6"/>
    <w:lvlOverride w:ilvl="0">
      <w:startOverride w:val="1"/>
    </w:lvlOverride>
  </w:num>
  <w:num w:numId="56">
    <w:abstractNumId w:val="6"/>
  </w:num>
  <w:num w:numId="57">
    <w:abstractNumId w:val="6"/>
  </w:num>
  <w:num w:numId="58">
    <w:abstractNumId w:val="9"/>
    <w:lvlOverride w:ilvl="0">
      <w:startOverride w:val="1"/>
    </w:lvlOverride>
  </w:num>
  <w:num w:numId="59">
    <w:abstractNumId w:val="9"/>
  </w:num>
  <w:num w:numId="60">
    <w:abstractNumId w:val="9"/>
  </w:num>
  <w:num w:numId="61">
    <w:abstractNumId w:val="5"/>
  </w:num>
  <w:num w:numId="62">
    <w:abstractNumId w:val="5"/>
  </w:num>
  <w:num w:numId="63">
    <w:abstractNumId w:val="5"/>
  </w:num>
  <w:num w:numId="64">
    <w:abstractNumId w:val="5"/>
  </w:num>
  <w:num w:numId="65">
    <w:abstractNumId w:val="5"/>
  </w:num>
  <w:num w:numId="66">
    <w:abstractNumId w:val="5"/>
  </w:num>
  <w:num w:numId="67">
    <w:abstractNumId w:val="5"/>
  </w:num>
  <w:num w:numId="68">
    <w:abstractNumId w:val="5"/>
  </w:num>
  <w:num w:numId="69">
    <w:abstractNumId w:val="5"/>
  </w:num>
  <w:num w:numId="70">
    <w:abstractNumId w:val="5"/>
  </w:num>
  <w:num w:numId="71">
    <w:abstractNumId w:val="5"/>
  </w:num>
  <w:num w:numId="72">
    <w:abstractNumId w:val="5"/>
  </w:num>
  <w:num w:numId="73">
    <w:abstractNumId w:val="5"/>
  </w:num>
  <w:num w:numId="74">
    <w:abstractNumId w:val="5"/>
  </w:num>
  <w:num w:numId="75">
    <w:abstractNumId w:val="5"/>
  </w:num>
  <w:num w:numId="76">
    <w:abstractNumId w:val="5"/>
  </w:num>
  <w:num w:numId="77">
    <w:abstractNumId w:val="5"/>
  </w:num>
  <w:num w:numId="78">
    <w:abstractNumId w:val="5"/>
  </w:num>
  <w:num w:numId="79">
    <w:abstractNumId w:val="5"/>
  </w:num>
  <w:num w:numId="80">
    <w:abstractNumId w:val="5"/>
  </w:num>
  <w:num w:numId="81">
    <w:abstractNumId w:val="32"/>
    <w:lvlOverride w:ilvl="0">
      <w:startOverride w:val="1"/>
    </w:lvlOverride>
  </w:num>
  <w:num w:numId="82">
    <w:abstractNumId w:val="5"/>
  </w:num>
  <w:num w:numId="83">
    <w:abstractNumId w:val="5"/>
  </w:num>
  <w:num w:numId="84">
    <w:abstractNumId w:val="5"/>
  </w:num>
  <w:num w:numId="85">
    <w:abstractNumId w:val="5"/>
  </w:num>
  <w:num w:numId="86">
    <w:abstractNumId w:val="5"/>
  </w:num>
  <w:num w:numId="87">
    <w:abstractNumId w:val="5"/>
  </w:num>
  <w:num w:numId="88">
    <w:abstractNumId w:val="5"/>
  </w:num>
  <w:num w:numId="89">
    <w:abstractNumId w:val="5"/>
  </w:num>
  <w:num w:numId="90">
    <w:abstractNumId w:val="5"/>
  </w:num>
  <w:num w:numId="91">
    <w:abstractNumId w:val="5"/>
  </w:num>
  <w:num w:numId="92">
    <w:abstractNumId w:val="5"/>
  </w:num>
  <w:num w:numId="93">
    <w:abstractNumId w:val="5"/>
  </w:num>
  <w:num w:numId="94">
    <w:abstractNumId w:val="5"/>
  </w:num>
  <w:num w:numId="95">
    <w:abstractNumId w:val="46"/>
    <w:lvlOverride w:ilvl="0">
      <w:startOverride w:val="4"/>
    </w:lvlOverride>
  </w:num>
  <w:num w:numId="96">
    <w:abstractNumId w:val="46"/>
  </w:num>
  <w:num w:numId="97">
    <w:abstractNumId w:val="5"/>
  </w:num>
  <w:num w:numId="98">
    <w:abstractNumId w:val="49"/>
    <w:lvlOverride w:ilvl="0">
      <w:startOverride w:val="1"/>
    </w:lvlOverride>
  </w:num>
  <w:num w:numId="99">
    <w:abstractNumId w:val="49"/>
  </w:num>
  <w:num w:numId="100">
    <w:abstractNumId w:val="49"/>
  </w:num>
  <w:num w:numId="101">
    <w:abstractNumId w:val="49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SimSun" w:cs="Mangal"/>
        <w:kern w:val="2"/>
        <w:sz w:val="24"/>
        <w:szCs w:val="24"/>
        <w:lang w:val="sk-SK" w:eastAsia="zh-CN" w:bidi="hi-IN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b73102"/>
    <w:pPr>
      <w:widowControl w:val="false"/>
      <w:suppressAutoHyphens w:val="true"/>
      <w:bidi w:val="0"/>
      <w:spacing w:before="0" w:after="0"/>
      <w:jc w:val="left"/>
      <w:textAlignment w:val="baseline"/>
    </w:pPr>
    <w:rPr>
      <w:rFonts w:ascii="Times New Roman" w:hAnsi="Times New Roman" w:eastAsia="SimSun" w:cs="Mangal"/>
      <w:color w:val="auto"/>
      <w:kern w:val="2"/>
      <w:sz w:val="24"/>
      <w:szCs w:val="24"/>
      <w:lang w:val="sk-SK" w:eastAsia="zh-CN" w:bidi="hi-IN"/>
    </w:rPr>
  </w:style>
  <w:style w:type="paragraph" w:styleId="Nadpis1">
    <w:name w:val="Heading 1"/>
    <w:basedOn w:val="Nadpis"/>
    <w:next w:val="Textbody"/>
    <w:qFormat/>
    <w:rsid w:val="00b73102"/>
    <w:pPr>
      <w:widowControl/>
      <w:spacing w:before="240" w:after="60"/>
      <w:textAlignment w:val="auto"/>
      <w:outlineLvl w:val="0"/>
    </w:pPr>
    <w:rPr>
      <w:rFonts w:ascii="Cambria" w:hAnsi="Cambria" w:eastAsia="Cambria" w:cs="Times New Roman"/>
      <w:b/>
      <w:bCs/>
      <w:sz w:val="32"/>
      <w:szCs w:val="32"/>
      <w:lang w:eastAsia="en-US" w:bidi="ar-SA"/>
    </w:rPr>
  </w:style>
  <w:style w:type="paragraph" w:styleId="Nadpis2">
    <w:name w:val="Heading 2"/>
    <w:basedOn w:val="Nadpis"/>
    <w:next w:val="Textbody"/>
    <w:qFormat/>
    <w:rsid w:val="00b73102"/>
    <w:pPr>
      <w:widowControl/>
      <w:spacing w:before="240" w:after="60"/>
      <w:textAlignment w:val="auto"/>
      <w:outlineLvl w:val="1"/>
    </w:pPr>
    <w:rPr>
      <w:rFonts w:ascii="Cambria" w:hAnsi="Cambria" w:eastAsia="Cambria" w:cs="Times New Roman"/>
      <w:b/>
      <w:bCs/>
      <w:i/>
      <w:iCs/>
      <w:lang w:eastAsia="en-US" w:bidi="ar-SA"/>
    </w:rPr>
  </w:style>
  <w:style w:type="paragraph" w:styleId="Nadpis3">
    <w:name w:val="Heading 3"/>
    <w:basedOn w:val="Nadpis"/>
    <w:next w:val="Textbody"/>
    <w:qFormat/>
    <w:rsid w:val="00b73102"/>
    <w:pPr>
      <w:widowControl/>
      <w:spacing w:before="240" w:after="60"/>
      <w:textAlignment w:val="auto"/>
      <w:outlineLvl w:val="2"/>
    </w:pPr>
    <w:rPr>
      <w:rFonts w:ascii="Cambria" w:hAnsi="Cambria" w:eastAsia="Cambria" w:cs="Times New Roman"/>
      <w:b/>
      <w:bCs/>
      <w:sz w:val="26"/>
      <w:szCs w:val="26"/>
      <w:lang w:eastAsia="en-US" w:bidi="ar-SA"/>
    </w:rPr>
  </w:style>
  <w:style w:type="paragraph" w:styleId="Nadpis4">
    <w:name w:val="Heading 4"/>
    <w:basedOn w:val="Nadpis"/>
    <w:next w:val="Textbody"/>
    <w:qFormat/>
    <w:rsid w:val="00b73102"/>
    <w:pPr>
      <w:widowControl/>
      <w:spacing w:before="240" w:after="60"/>
      <w:textAlignment w:val="auto"/>
      <w:outlineLvl w:val="3"/>
    </w:pPr>
    <w:rPr>
      <w:rFonts w:ascii="Arial Narrow" w:hAnsi="Arial Narrow" w:eastAsia="Arial Narrow" w:cs="Times New Roman"/>
      <w:b/>
      <w:bCs/>
      <w:lang w:eastAsia="en-US" w:bidi="ar-SA"/>
    </w:rPr>
  </w:style>
  <w:style w:type="paragraph" w:styleId="Nadpis5">
    <w:name w:val="Heading 5"/>
    <w:basedOn w:val="Nadpis"/>
    <w:next w:val="Textbody"/>
    <w:qFormat/>
    <w:rsid w:val="00b73102"/>
    <w:pPr>
      <w:widowControl/>
      <w:spacing w:before="240" w:after="60"/>
      <w:textAlignment w:val="auto"/>
      <w:outlineLvl w:val="4"/>
    </w:pPr>
    <w:rPr>
      <w:rFonts w:ascii="Arial Narrow" w:hAnsi="Arial Narrow" w:eastAsia="Arial Narrow" w:cs="Times New Roman"/>
      <w:b/>
      <w:bCs/>
      <w:i/>
      <w:iCs/>
      <w:sz w:val="26"/>
      <w:szCs w:val="26"/>
      <w:lang w:eastAsia="en-US" w:bidi="ar-SA"/>
    </w:rPr>
  </w:style>
  <w:style w:type="paragraph" w:styleId="Nadpis6">
    <w:name w:val="Heading 6"/>
    <w:basedOn w:val="Nadpis"/>
    <w:next w:val="Textbody"/>
    <w:qFormat/>
    <w:rsid w:val="00b73102"/>
    <w:pPr>
      <w:widowControl/>
      <w:spacing w:before="240" w:after="60"/>
      <w:textAlignment w:val="auto"/>
      <w:outlineLvl w:val="5"/>
    </w:pPr>
    <w:rPr>
      <w:rFonts w:ascii="Arial Narrow" w:hAnsi="Arial Narrow" w:eastAsia="Arial Narrow" w:cs="Times New Roman"/>
      <w:b/>
      <w:bCs/>
      <w:sz w:val="22"/>
      <w:szCs w:val="22"/>
      <w:lang w:eastAsia="en-US" w:bidi="ar-SA"/>
    </w:rPr>
  </w:style>
  <w:style w:type="paragraph" w:styleId="Nadpis7">
    <w:name w:val="Heading 7"/>
    <w:basedOn w:val="Nadpis"/>
    <w:next w:val="Textbody"/>
    <w:qFormat/>
    <w:rsid w:val="00b73102"/>
    <w:pPr>
      <w:widowControl/>
      <w:spacing w:before="240" w:after="60"/>
      <w:textAlignment w:val="auto"/>
      <w:outlineLvl w:val="6"/>
    </w:pPr>
    <w:rPr>
      <w:rFonts w:ascii="Arial Narrow" w:hAnsi="Arial Narrow" w:eastAsia="Arial Narrow" w:cs="Times New Roman"/>
      <w:sz w:val="22"/>
      <w:szCs w:val="24"/>
      <w:lang w:eastAsia="en-US" w:bidi="ar-SA"/>
    </w:rPr>
  </w:style>
  <w:style w:type="paragraph" w:styleId="Nadpis8">
    <w:name w:val="Heading 8"/>
    <w:basedOn w:val="Nadpis"/>
    <w:next w:val="Textbody"/>
    <w:qFormat/>
    <w:rsid w:val="00b73102"/>
    <w:pPr>
      <w:widowControl/>
      <w:spacing w:before="240" w:after="60"/>
      <w:textAlignment w:val="auto"/>
      <w:outlineLvl w:val="7"/>
    </w:pPr>
    <w:rPr>
      <w:rFonts w:ascii="Arial Narrow" w:hAnsi="Arial Narrow" w:eastAsia="Arial Narrow" w:cs="Times New Roman"/>
      <w:i/>
      <w:iCs/>
      <w:sz w:val="22"/>
      <w:szCs w:val="24"/>
      <w:lang w:eastAsia="en-US" w:bidi="ar-SA"/>
    </w:rPr>
  </w:style>
  <w:style w:type="paragraph" w:styleId="Nadpis9">
    <w:name w:val="Heading 9"/>
    <w:basedOn w:val="Nadpis"/>
    <w:next w:val="Textbody"/>
    <w:qFormat/>
    <w:rsid w:val="00b73102"/>
    <w:pPr>
      <w:widowControl/>
      <w:spacing w:before="240" w:after="60"/>
      <w:textAlignment w:val="auto"/>
      <w:outlineLvl w:val="8"/>
    </w:pPr>
    <w:rPr>
      <w:rFonts w:ascii="Cambria" w:hAnsi="Cambria" w:eastAsia="Cambria" w:cs="Times New Roman"/>
      <w:sz w:val="22"/>
      <w:szCs w:val="22"/>
      <w:lang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qFormat/>
    <w:rsid w:val="00b73102"/>
    <w:rPr>
      <w:rFonts w:ascii="Cambria" w:hAnsi="Cambria" w:eastAsia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qFormat/>
    <w:rsid w:val="00b73102"/>
    <w:rPr>
      <w:rFonts w:ascii="Cambria" w:hAnsi="Cambria" w:eastAsia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qFormat/>
    <w:rsid w:val="00b73102"/>
    <w:rPr>
      <w:rFonts w:ascii="Cambria" w:hAnsi="Cambria" w:eastAsia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qFormat/>
    <w:rsid w:val="00b73102"/>
    <w:rPr>
      <w:rFonts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qFormat/>
    <w:rsid w:val="00b73102"/>
    <w:rPr>
      <w:rFonts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qFormat/>
    <w:rsid w:val="00b73102"/>
    <w:rPr>
      <w:rFonts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qFormat/>
    <w:rsid w:val="00b73102"/>
    <w:rPr>
      <w:rFonts w:cs="Times New Roman"/>
      <w:sz w:val="24"/>
      <w:szCs w:val="24"/>
    </w:rPr>
  </w:style>
  <w:style w:type="character" w:styleId="Nadpis8Char" w:customStyle="1">
    <w:name w:val="Nadpis 8 Char"/>
    <w:basedOn w:val="DefaultParagraphFont"/>
    <w:qFormat/>
    <w:rsid w:val="00b73102"/>
    <w:rPr>
      <w:rFonts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qFormat/>
    <w:rsid w:val="00b73102"/>
    <w:rPr>
      <w:rFonts w:ascii="Cambria" w:hAnsi="Cambria" w:eastAsia="Cambria" w:cs="Times New Roman"/>
      <w:sz w:val="22"/>
      <w:szCs w:val="22"/>
    </w:rPr>
  </w:style>
  <w:style w:type="character" w:styleId="HlavikaChar" w:customStyle="1">
    <w:name w:val="Hlavička Char"/>
    <w:basedOn w:val="DefaultParagraphFont"/>
    <w:qFormat/>
    <w:rsid w:val="00b73102"/>
    <w:rPr>
      <w:rFonts w:cs="Times New Roman"/>
    </w:rPr>
  </w:style>
  <w:style w:type="character" w:styleId="PtaChar" w:customStyle="1">
    <w:name w:val="Päta Char"/>
    <w:basedOn w:val="DefaultParagraphFont"/>
    <w:qFormat/>
    <w:rsid w:val="00b73102"/>
    <w:rPr>
      <w:rFonts w:cs="Times New Roman"/>
    </w:rPr>
  </w:style>
  <w:style w:type="character" w:styleId="TextpoznmkypodiarouChar" w:customStyle="1">
    <w:name w:val="Text poznámky pod čiarou Char"/>
    <w:basedOn w:val="DefaultParagraphFont"/>
    <w:qFormat/>
    <w:rsid w:val="00b73102"/>
    <w:rPr>
      <w:rFonts w:ascii="Times New Roman" w:hAnsi="Times New Roman" w:eastAsia="Times New Roman" w:cs="Times New Roman"/>
      <w:sz w:val="20"/>
      <w:szCs w:val="20"/>
      <w:lang w:val="sk-SK" w:eastAsia="cs-CZ"/>
    </w:rPr>
  </w:style>
  <w:style w:type="character" w:styleId="TextpoznmkypodiarouChar1" w:customStyle="1">
    <w:name w:val="Text poznámky pod čiarou Char1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qFormat/>
    <w:rsid w:val="00b73102"/>
    <w:rPr>
      <w:rFonts w:cs="Times New Roman"/>
      <w:sz w:val="20"/>
      <w:szCs w:val="20"/>
    </w:rPr>
  </w:style>
  <w:style w:type="character" w:styleId="NzovChar" w:customStyle="1">
    <w:name w:val="Názov Char"/>
    <w:basedOn w:val="DefaultParagraphFont"/>
    <w:qFormat/>
    <w:rsid w:val="00b73102"/>
    <w:rPr>
      <w:rFonts w:cs="Times New Roman"/>
      <w:b/>
      <w:bCs/>
      <w:kern w:val="2"/>
      <w:sz w:val="32"/>
      <w:szCs w:val="32"/>
    </w:rPr>
  </w:style>
  <w:style w:type="character" w:styleId="NzovChar1" w:customStyle="1">
    <w:name w:val="Názov Char1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ZkladntextChar" w:customStyle="1">
    <w:name w:val="Základný text Char"/>
    <w:basedOn w:val="DefaultParagraphFont"/>
    <w:qFormat/>
    <w:rsid w:val="00b73102"/>
    <w:rPr>
      <w:rFonts w:ascii="Times New Roman" w:hAnsi="Times New Roman" w:eastAsia="Times New Roman" w:cs="Times New Roman"/>
      <w:b/>
      <w:bCs/>
      <w:sz w:val="24"/>
      <w:szCs w:val="24"/>
      <w:lang w:val="sk-SK" w:eastAsia="cs-CZ"/>
    </w:rPr>
  </w:style>
  <w:style w:type="character" w:styleId="ZkladntextChar1" w:customStyle="1">
    <w:name w:val="Základný text Char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qFormat/>
    <w:rsid w:val="00b73102"/>
    <w:rPr>
      <w:rFonts w:cs="Times New Roman"/>
      <w:sz w:val="36"/>
      <w:szCs w:val="36"/>
    </w:rPr>
  </w:style>
  <w:style w:type="character" w:styleId="PodtitulChar" w:customStyle="1">
    <w:name w:val="Podtitul Char"/>
    <w:basedOn w:val="DefaultParagraphFont"/>
    <w:qFormat/>
    <w:rsid w:val="00b73102"/>
    <w:rPr>
      <w:rFonts w:ascii="Cambria" w:hAnsi="Cambria" w:eastAsia="Cambria" w:cs="Times New Roman"/>
      <w:sz w:val="24"/>
      <w:szCs w:val="24"/>
    </w:rPr>
  </w:style>
  <w:style w:type="character" w:styleId="PodtitulChar1" w:customStyle="1">
    <w:name w:val="Podtitul Char1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5" w:customStyle="1">
    <w:name w:val="Podtitul Char135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4" w:customStyle="1">
    <w:name w:val="Podtitul Char134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3" w:customStyle="1">
    <w:name w:val="Podtitul Char133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2" w:customStyle="1">
    <w:name w:val="Podtitul Char132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1" w:customStyle="1">
    <w:name w:val="Podtitul Char131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0" w:customStyle="1">
    <w:name w:val="Podtitul Char130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9" w:customStyle="1">
    <w:name w:val="Podtitul Char129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8" w:customStyle="1">
    <w:name w:val="Podtitul Char128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7" w:customStyle="1">
    <w:name w:val="Podtitul Char127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6" w:customStyle="1">
    <w:name w:val="Podtitul Char126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5" w:customStyle="1">
    <w:name w:val="Podtitul Char125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4" w:customStyle="1">
    <w:name w:val="Podtitul Char124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3" w:customStyle="1">
    <w:name w:val="Podtitul Char123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2" w:customStyle="1">
    <w:name w:val="Podtitul Char122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1" w:customStyle="1">
    <w:name w:val="Podtitul Char121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0" w:customStyle="1">
    <w:name w:val="Podtitul Char120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9" w:customStyle="1">
    <w:name w:val="Podtitul Char119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8" w:customStyle="1">
    <w:name w:val="Podtitul Char118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7" w:customStyle="1">
    <w:name w:val="Podtitul Char117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6" w:customStyle="1">
    <w:name w:val="Podtitul Char116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5" w:customStyle="1">
    <w:name w:val="Podtitul Char115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4" w:customStyle="1">
    <w:name w:val="Podtitul Char114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3" w:customStyle="1">
    <w:name w:val="Podtitul Char113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2" w:customStyle="1">
    <w:name w:val="Podtitul Char112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1" w:customStyle="1">
    <w:name w:val="Podtitul Char111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0" w:customStyle="1">
    <w:name w:val="Podtitul Char110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9" w:customStyle="1">
    <w:name w:val="Podtitul Char19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8" w:customStyle="1">
    <w:name w:val="Podtitul Char18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7" w:customStyle="1">
    <w:name w:val="Podtitul Char17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6" w:customStyle="1">
    <w:name w:val="Podtitul Char16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5" w:customStyle="1">
    <w:name w:val="Podtitul Char15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4" w:customStyle="1">
    <w:name w:val="Podtitul Char14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" w:customStyle="1">
    <w:name w:val="Podtitul Char13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" w:customStyle="1">
    <w:name w:val="Podtitul Char12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" w:customStyle="1">
    <w:name w:val="Podtitul Char11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Zkladntext2Char" w:customStyle="1">
    <w:name w:val="Základný text 2 Char"/>
    <w:basedOn w:val="DefaultParagraphFont"/>
    <w:qFormat/>
    <w:rsid w:val="00b73102"/>
    <w:rPr>
      <w:rFonts w:ascii="Times New Roman" w:hAnsi="Times New Roman" w:eastAsia="Times New Roman" w:cs="Times New Roman"/>
      <w:sz w:val="24"/>
      <w:szCs w:val="24"/>
      <w:lang w:val="sk-SK" w:eastAsia="cs-CZ"/>
    </w:rPr>
  </w:style>
  <w:style w:type="character" w:styleId="Zkladntext2Char1" w:customStyle="1">
    <w:name w:val="Základný text 2 Char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" w:customStyle="1">
    <w:name w:val="Zarážka základného textu 2 Char"/>
    <w:basedOn w:val="DefaultParagraphFont"/>
    <w:qFormat/>
    <w:rsid w:val="00b73102"/>
    <w:rPr>
      <w:rFonts w:ascii="Times New Roman" w:hAnsi="Times New Roman" w:eastAsia="Times New Roman" w:cs="Times New Roman"/>
      <w:sz w:val="24"/>
      <w:szCs w:val="24"/>
      <w:lang w:val="sk-SK" w:eastAsia="cs-CZ"/>
    </w:rPr>
  </w:style>
  <w:style w:type="character" w:styleId="Zarkazkladnhotextu2Char1" w:customStyle="1">
    <w:name w:val="Zarážka základného textu 2 Char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3Char" w:customStyle="1">
    <w:name w:val="Zarážka základného textu 3 Char"/>
    <w:basedOn w:val="DefaultParagraphFont"/>
    <w:qFormat/>
    <w:rsid w:val="00b73102"/>
    <w:rPr>
      <w:rFonts w:ascii="Times New Roman" w:hAnsi="Times New Roman" w:eastAsia="Times New Roman" w:cs="Times New Roman"/>
      <w:sz w:val="24"/>
      <w:szCs w:val="24"/>
      <w:lang w:val="sk-SK" w:eastAsia="cs-CZ"/>
    </w:rPr>
  </w:style>
  <w:style w:type="character" w:styleId="Zarkazkladnhotextu3Char1" w:customStyle="1">
    <w:name w:val="Zarážka základného textu 3 Char1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qFormat/>
    <w:rsid w:val="00b73102"/>
    <w:rPr>
      <w:rFonts w:cs="Times New Roman"/>
      <w:sz w:val="16"/>
      <w:szCs w:val="16"/>
    </w:rPr>
  </w:style>
  <w:style w:type="character" w:styleId="TextbublinyChar" w:customStyle="1">
    <w:name w:val="Text bubliny Char"/>
    <w:basedOn w:val="DefaultParagraphFont"/>
    <w:qFormat/>
    <w:rsid w:val="00b73102"/>
    <w:rPr>
      <w:rFonts w:ascii="Tahoma" w:hAnsi="Tahoma" w:eastAsia="Tahoma" w:cs="Cambria"/>
      <w:sz w:val="16"/>
      <w:szCs w:val="16"/>
      <w:lang w:val="sk-SK" w:eastAsia="cs-CZ"/>
    </w:rPr>
  </w:style>
  <w:style w:type="character" w:styleId="TextbublinyChar1" w:customStyle="1">
    <w:name w:val="Text bubliny Char1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5" w:customStyle="1">
    <w:name w:val="Text bubliny Char135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4" w:customStyle="1">
    <w:name w:val="Text bubliny Char134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3" w:customStyle="1">
    <w:name w:val="Text bubliny Char133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2" w:customStyle="1">
    <w:name w:val="Text bubliny Char132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1" w:customStyle="1">
    <w:name w:val="Text bubliny Char131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0" w:customStyle="1">
    <w:name w:val="Text bubliny Char130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9" w:customStyle="1">
    <w:name w:val="Text bubliny Char129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8" w:customStyle="1">
    <w:name w:val="Text bubliny Char128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7" w:customStyle="1">
    <w:name w:val="Text bubliny Char127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6" w:customStyle="1">
    <w:name w:val="Text bubliny Char126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5" w:customStyle="1">
    <w:name w:val="Text bubliny Char125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4" w:customStyle="1">
    <w:name w:val="Text bubliny Char124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3" w:customStyle="1">
    <w:name w:val="Text bubliny Char123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2" w:customStyle="1">
    <w:name w:val="Text bubliny Char122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1" w:customStyle="1">
    <w:name w:val="Text bubliny Char121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0" w:customStyle="1">
    <w:name w:val="Text bubliny Char120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9" w:customStyle="1">
    <w:name w:val="Text bubliny Char119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8" w:customStyle="1">
    <w:name w:val="Text bubliny Char118"/>
    <w:basedOn w:val="DefaultParagraphFont"/>
    <w:qFormat/>
    <w:rsid w:val="00b73102"/>
    <w:rPr>
      <w:rFonts w:ascii="Segoe UI" w:hAnsi="Segoe UI" w:eastAsia="Segoe UI" w:cs="Cambria Cyr"/>
      <w:sz w:val="18"/>
      <w:szCs w:val="18"/>
    </w:rPr>
  </w:style>
  <w:style w:type="character" w:styleId="TextbublinyChar117" w:customStyle="1">
    <w:name w:val="Text bubliny Char117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6" w:customStyle="1">
    <w:name w:val="Text bubliny Char116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5" w:customStyle="1">
    <w:name w:val="Text bubliny Char115"/>
    <w:basedOn w:val="DefaultParagraphFont"/>
    <w:qFormat/>
    <w:rsid w:val="00b73102"/>
    <w:rPr>
      <w:rFonts w:ascii="Segoe UI" w:hAnsi="Segoe UI" w:eastAsia="Segoe UI" w:cs="Cambria Cyr"/>
      <w:sz w:val="18"/>
      <w:szCs w:val="18"/>
    </w:rPr>
  </w:style>
  <w:style w:type="character" w:styleId="TextbublinyChar114" w:customStyle="1">
    <w:name w:val="Text bubliny Char114"/>
    <w:basedOn w:val="DefaultParagraphFont"/>
    <w:qFormat/>
    <w:rsid w:val="00b73102"/>
    <w:rPr>
      <w:rFonts w:ascii="Segoe UI" w:hAnsi="Segoe UI" w:eastAsia="Segoe UI" w:cs="Cambria Cyr"/>
      <w:sz w:val="18"/>
      <w:szCs w:val="18"/>
    </w:rPr>
  </w:style>
  <w:style w:type="character" w:styleId="TextbublinyChar113" w:customStyle="1">
    <w:name w:val="Text bubliny Char113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2" w:customStyle="1">
    <w:name w:val="Text bubliny Char112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1" w:customStyle="1">
    <w:name w:val="Text bubliny Char111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0" w:customStyle="1">
    <w:name w:val="Text bubliny Char110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9" w:customStyle="1">
    <w:name w:val="Text bubliny Char19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8" w:customStyle="1">
    <w:name w:val="Text bubliny Char18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7" w:customStyle="1">
    <w:name w:val="Text bubliny Char17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6" w:customStyle="1">
    <w:name w:val="Text bubliny Char16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5" w:customStyle="1">
    <w:name w:val="Text bubliny Char15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4" w:customStyle="1">
    <w:name w:val="Text bubliny Char14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" w:customStyle="1">
    <w:name w:val="Text bubliny Char13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" w:customStyle="1">
    <w:name w:val="Text bubliny Char12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" w:customStyle="1">
    <w:name w:val="Text bubliny Char11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WW8Num12z0" w:customStyle="1">
    <w:name w:val="WW8Num12z0"/>
    <w:qFormat/>
    <w:rsid w:val="00b73102"/>
    <w:rPr>
      <w:rFonts w:ascii="Arial Narrow" w:hAnsi="Arial Narrow" w:eastAsia="Arial Narrow" w:cs="Arial Narrow"/>
      <w:b w:val="false"/>
      <w:sz w:val="22"/>
      <w:szCs w:val="22"/>
    </w:rPr>
  </w:style>
  <w:style w:type="character" w:styleId="WW8Num2z0" w:customStyle="1">
    <w:name w:val="WW8Num2z0"/>
    <w:qFormat/>
    <w:rsid w:val="00b73102"/>
    <w:rPr>
      <w:rFonts w:ascii="Arial Narrow" w:hAnsi="Arial Narrow" w:eastAsia="Arial Narrow" w:cs="Times New Roman"/>
      <w:kern w:val="2"/>
      <w:sz w:val="22"/>
      <w:szCs w:val="22"/>
    </w:rPr>
  </w:style>
  <w:style w:type="character" w:styleId="WW8Num3z0" w:customStyle="1">
    <w:name w:val="WW8Num3z0"/>
    <w:qFormat/>
    <w:rsid w:val="00b73102"/>
    <w:rPr>
      <w:rFonts w:ascii="Arial Narrow" w:hAnsi="Arial Narrow" w:eastAsia="Arial Narrow" w:cs="Times New Roman"/>
    </w:rPr>
  </w:style>
  <w:style w:type="character" w:styleId="WW8Num10z0" w:customStyle="1">
    <w:name w:val="WW8Num10z0"/>
    <w:qFormat/>
    <w:rsid w:val="00b73102"/>
    <w:rPr>
      <w:rFonts w:ascii="Arial Narrow" w:hAnsi="Arial Narrow" w:eastAsia="Arial Narrow" w:cs="Times New Roman"/>
      <w:sz w:val="22"/>
      <w:szCs w:val="22"/>
    </w:rPr>
  </w:style>
  <w:style w:type="character" w:styleId="WW8Num11z0" w:customStyle="1">
    <w:name w:val="WW8Num11z0"/>
    <w:qFormat/>
    <w:rsid w:val="00b73102"/>
    <w:rPr>
      <w:rFonts w:ascii="Arial Narrow" w:hAnsi="Arial Narrow" w:eastAsia="Arial Narrow" w:cs="Times New Roman"/>
    </w:rPr>
  </w:style>
  <w:style w:type="character" w:styleId="WW8Num7z0" w:customStyle="1">
    <w:name w:val="WW8Num7z0"/>
    <w:qFormat/>
    <w:rsid w:val="00b73102"/>
    <w:rPr>
      <w:rFonts w:ascii="Arial Narrow" w:hAnsi="Arial Narrow" w:eastAsia="Arial Narrow" w:cs="Times New Roman"/>
      <w:b w:val="false"/>
      <w:bCs w:val="false"/>
      <w:kern w:val="2"/>
      <w:sz w:val="22"/>
      <w:szCs w:val="22"/>
    </w:rPr>
  </w:style>
  <w:style w:type="character" w:styleId="WW8Num13z0" w:customStyle="1">
    <w:name w:val="WW8Num13z0"/>
    <w:qFormat/>
    <w:rsid w:val="00b73102"/>
    <w:rPr>
      <w:rFonts w:ascii="Arial Narrow" w:hAnsi="Arial Narrow" w:eastAsia="Arial Narrow" w:cs="Times New Roman"/>
    </w:rPr>
  </w:style>
  <w:style w:type="character" w:styleId="WW8Num13z1" w:customStyle="1">
    <w:name w:val="WW8Num13z1"/>
    <w:qFormat/>
    <w:rsid w:val="00b73102"/>
    <w:rPr/>
  </w:style>
  <w:style w:type="character" w:styleId="WW8Num13z2" w:customStyle="1">
    <w:name w:val="WW8Num13z2"/>
    <w:qFormat/>
    <w:rsid w:val="00b73102"/>
    <w:rPr/>
  </w:style>
  <w:style w:type="character" w:styleId="WW8Num13z3" w:customStyle="1">
    <w:name w:val="WW8Num13z3"/>
    <w:qFormat/>
    <w:rsid w:val="00b73102"/>
    <w:rPr/>
  </w:style>
  <w:style w:type="character" w:styleId="WW8Num13z4" w:customStyle="1">
    <w:name w:val="WW8Num13z4"/>
    <w:qFormat/>
    <w:rsid w:val="00b73102"/>
    <w:rPr/>
  </w:style>
  <w:style w:type="character" w:styleId="WW8Num13z5" w:customStyle="1">
    <w:name w:val="WW8Num13z5"/>
    <w:qFormat/>
    <w:rsid w:val="00b73102"/>
    <w:rPr/>
  </w:style>
  <w:style w:type="character" w:styleId="WW8Num13z6" w:customStyle="1">
    <w:name w:val="WW8Num13z6"/>
    <w:qFormat/>
    <w:rsid w:val="00b73102"/>
    <w:rPr/>
  </w:style>
  <w:style w:type="character" w:styleId="WW8Num13z7" w:customStyle="1">
    <w:name w:val="WW8Num13z7"/>
    <w:qFormat/>
    <w:rsid w:val="00b73102"/>
    <w:rPr/>
  </w:style>
  <w:style w:type="character" w:styleId="WW8Num13z8" w:customStyle="1">
    <w:name w:val="WW8Num13z8"/>
    <w:qFormat/>
    <w:rsid w:val="00b73102"/>
    <w:rPr/>
  </w:style>
  <w:style w:type="character" w:styleId="WW8Num9z0" w:customStyle="1">
    <w:name w:val="WW8Num9z0"/>
    <w:qFormat/>
    <w:rsid w:val="00b73102"/>
    <w:rPr>
      <w:rFonts w:cs="Times New Roman"/>
    </w:rPr>
  </w:style>
  <w:style w:type="character" w:styleId="WW8Num8z0" w:customStyle="1">
    <w:name w:val="WW8Num8z0"/>
    <w:qFormat/>
    <w:rsid w:val="00b73102"/>
    <w:rPr>
      <w:rFonts w:ascii="Arial Narrow" w:hAnsi="Arial Narrow" w:eastAsia="Arial Narrow" w:cs="Times New Roman"/>
      <w:bCs/>
      <w:kern w:val="2"/>
    </w:rPr>
  </w:style>
  <w:style w:type="character" w:styleId="WW8Num5z0" w:customStyle="1">
    <w:name w:val="WW8Num5z0"/>
    <w:qFormat/>
    <w:rsid w:val="00b73102"/>
    <w:rPr>
      <w:rFonts w:ascii="Arial Narrow" w:hAnsi="Arial Narrow" w:eastAsia="Arial Narrow" w:cs="Symbol"/>
    </w:rPr>
  </w:style>
  <w:style w:type="character" w:styleId="WW8Num6z0" w:customStyle="1">
    <w:name w:val="WW8Num6z0"/>
    <w:qFormat/>
    <w:rsid w:val="00b73102"/>
    <w:rPr/>
  </w:style>
  <w:style w:type="character" w:styleId="WW8Num4z0" w:customStyle="1">
    <w:name w:val="WW8Num4z0"/>
    <w:qFormat/>
    <w:rsid w:val="00b73102"/>
    <w:rPr>
      <w:rFonts w:ascii="Symbol" w:hAnsi="Symbol" w:eastAsia="Symbol" w:cs="Symbol"/>
    </w:rPr>
  </w:style>
  <w:style w:type="character" w:styleId="Symbolypreslovanie" w:customStyle="1">
    <w:name w:val="Symboly pre číslovanie"/>
    <w:qFormat/>
    <w:rsid w:val="00b73102"/>
    <w:rPr/>
  </w:style>
  <w:style w:type="character" w:styleId="Ra" w:customStyle="1">
    <w:name w:val="ra"/>
    <w:basedOn w:val="DefaultParagraphFont"/>
    <w:qFormat/>
    <w:rsid w:val="00480be5"/>
    <w:rPr/>
  </w:style>
  <w:style w:type="paragraph" w:styleId="Nadpis" w:customStyle="1">
    <w:name w:val="Nadpis"/>
    <w:basedOn w:val="Standard"/>
    <w:next w:val="Textbody"/>
    <w:qFormat/>
    <w:rsid w:val="00b73102"/>
    <w:pPr>
      <w:keepNext w:val="true"/>
      <w:spacing w:before="240" w:after="120"/>
    </w:pPr>
    <w:rPr>
      <w:rFonts w:ascii="Arial" w:hAnsi="Arial" w:eastAsia="Microsoft YaHei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xtbody"/>
    <w:rsid w:val="00b73102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 w:customStyle="1">
    <w:name w:val="Index"/>
    <w:basedOn w:val="Standard"/>
    <w:qFormat/>
    <w:rsid w:val="00b73102"/>
    <w:pPr>
      <w:suppressLineNumbers/>
    </w:pPr>
    <w:rPr/>
  </w:style>
  <w:style w:type="paragraph" w:styleId="Standard" w:customStyle="1">
    <w:name w:val="Standard"/>
    <w:qFormat/>
    <w:rsid w:val="00b73102"/>
    <w:pPr>
      <w:widowControl w:val="false"/>
      <w:suppressAutoHyphens w:val="true"/>
      <w:bidi w:val="0"/>
      <w:spacing w:before="0" w:after="0"/>
      <w:jc w:val="left"/>
      <w:textAlignment w:val="baseline"/>
    </w:pPr>
    <w:rPr>
      <w:rFonts w:ascii="Times New Roman" w:hAnsi="Times New Roman" w:eastAsia="SimSun" w:cs="Mangal"/>
      <w:color w:val="auto"/>
      <w:kern w:val="2"/>
      <w:sz w:val="24"/>
      <w:szCs w:val="24"/>
      <w:lang w:val="sk-SK" w:eastAsia="zh-CN" w:bidi="hi-IN"/>
    </w:rPr>
  </w:style>
  <w:style w:type="paragraph" w:styleId="Textbody" w:customStyle="1">
    <w:name w:val="Text body"/>
    <w:basedOn w:val="Standard"/>
    <w:qFormat/>
    <w:rsid w:val="00b73102"/>
    <w:pPr>
      <w:widowControl/>
      <w:jc w:val="both"/>
      <w:textAlignment w:val="auto"/>
    </w:pPr>
    <w:rPr>
      <w:rFonts w:cs="Times New Roman"/>
      <w:b/>
      <w:bCs/>
      <w:lang w:eastAsia="cs-CZ" w:bidi="ar-SA"/>
    </w:rPr>
  </w:style>
  <w:style w:type="paragraph" w:styleId="Caption">
    <w:name w:val="caption"/>
    <w:basedOn w:val="Standard"/>
    <w:qFormat/>
    <w:rsid w:val="00b73102"/>
    <w:pPr>
      <w:suppressLineNumbers/>
      <w:spacing w:before="120" w:after="120"/>
    </w:pPr>
    <w:rPr>
      <w:i/>
      <w:iCs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Standard"/>
    <w:rsid w:val="00b73102"/>
    <w:pPr>
      <w:widowControl/>
      <w:suppressLineNumbers/>
      <w:tabs>
        <w:tab w:val="clear" w:pos="708"/>
        <w:tab w:val="center" w:pos="4536" w:leader="none"/>
        <w:tab w:val="right" w:pos="9072" w:leader="none"/>
      </w:tabs>
      <w:textAlignment w:val="auto"/>
    </w:pPr>
    <w:rPr>
      <w:rFonts w:ascii="Arial Narrow" w:hAnsi="Arial Narrow" w:eastAsia="Arial Narrow" w:cs="Times New Roman"/>
      <w:sz w:val="22"/>
      <w:szCs w:val="36"/>
      <w:lang w:eastAsia="en-US" w:bidi="ar-SA"/>
    </w:rPr>
  </w:style>
  <w:style w:type="paragraph" w:styleId="Pta">
    <w:name w:val="Footer"/>
    <w:basedOn w:val="Standard"/>
    <w:rsid w:val="00b73102"/>
    <w:pPr>
      <w:widowControl/>
      <w:suppressLineNumbers/>
      <w:tabs>
        <w:tab w:val="clear" w:pos="708"/>
        <w:tab w:val="center" w:pos="4536" w:leader="none"/>
        <w:tab w:val="right" w:pos="9072" w:leader="none"/>
      </w:tabs>
      <w:textAlignment w:val="auto"/>
    </w:pPr>
    <w:rPr>
      <w:rFonts w:ascii="Arial Narrow" w:hAnsi="Arial Narrow" w:eastAsia="Arial Narrow" w:cs="Times New Roman"/>
      <w:sz w:val="22"/>
      <w:szCs w:val="36"/>
      <w:lang w:eastAsia="en-US" w:bidi="ar-SA"/>
    </w:rPr>
  </w:style>
  <w:style w:type="paragraph" w:styleId="Poznmkapodiarou">
    <w:name w:val="Footnote Text"/>
    <w:rsid w:val="00b73102"/>
    <w:pPr>
      <w:widowControl/>
      <w:suppressAutoHyphens w:val="true"/>
      <w:bidi w:val="0"/>
      <w:spacing w:before="0" w:after="0"/>
      <w:jc w:val="left"/>
      <w:textAlignment w:val="auto"/>
    </w:pPr>
    <w:rPr>
      <w:rFonts w:ascii="Times New Roman" w:hAnsi="Times New Roman" w:eastAsia="SimSun" w:cs="Times New Roman"/>
      <w:color w:val="auto"/>
      <w:kern w:val="2"/>
      <w:sz w:val="20"/>
      <w:szCs w:val="20"/>
      <w:lang w:val="sk-SK" w:eastAsia="cs-CZ" w:bidi="ar-SA"/>
    </w:rPr>
  </w:style>
  <w:style w:type="paragraph" w:styleId="Nzov">
    <w:name w:val="Title"/>
    <w:basedOn w:val="Nadpis"/>
    <w:next w:val="Textbody"/>
    <w:qFormat/>
    <w:rsid w:val="00b73102"/>
    <w:pPr>
      <w:widowControl/>
      <w:spacing w:before="100" w:after="220"/>
      <w:jc w:val="center"/>
      <w:textAlignment w:val="auto"/>
    </w:pPr>
    <w:rPr>
      <w:rFonts w:ascii="Arial Narrow" w:hAnsi="Arial Narrow" w:eastAsia="Arial Narrow" w:cs="Times New Roman"/>
      <w:b/>
      <w:bCs/>
      <w:sz w:val="22"/>
      <w:szCs w:val="32"/>
      <w:lang w:eastAsia="en-US" w:bidi="ar-SA"/>
    </w:rPr>
  </w:style>
  <w:style w:type="paragraph" w:styleId="Podnzov">
    <w:name w:val="Subtitle"/>
    <w:basedOn w:val="Nadpis"/>
    <w:next w:val="Textbody"/>
    <w:qFormat/>
    <w:rsid w:val="00b73102"/>
    <w:pPr>
      <w:widowControl/>
      <w:spacing w:before="240" w:after="60"/>
      <w:jc w:val="center"/>
      <w:textAlignment w:val="auto"/>
    </w:pPr>
    <w:rPr>
      <w:rFonts w:ascii="Cambria" w:hAnsi="Cambria" w:eastAsia="Cambria" w:cs="Times New Roman"/>
      <w:i/>
      <w:iCs/>
      <w:sz w:val="22"/>
      <w:szCs w:val="24"/>
      <w:lang w:eastAsia="en-US" w:bidi="ar-SA"/>
    </w:rPr>
  </w:style>
  <w:style w:type="paragraph" w:styleId="BodyText2">
    <w:name w:val="Body Text 2"/>
    <w:qFormat/>
    <w:rsid w:val="00b73102"/>
    <w:pPr>
      <w:widowControl/>
      <w:suppressAutoHyphens w:val="true"/>
      <w:bidi w:val="0"/>
      <w:spacing w:before="0" w:after="0"/>
      <w:ind w:left="2124" w:hanging="2124"/>
      <w:jc w:val="both"/>
      <w:textAlignment w:val="auto"/>
    </w:pPr>
    <w:rPr>
      <w:rFonts w:ascii="Times New Roman" w:hAnsi="Times New Roman" w:eastAsia="SimSun" w:cs="Times New Roman"/>
      <w:color w:val="auto"/>
      <w:kern w:val="2"/>
      <w:sz w:val="24"/>
      <w:szCs w:val="24"/>
      <w:lang w:val="sk-SK" w:eastAsia="cs-CZ" w:bidi="ar-SA"/>
    </w:rPr>
  </w:style>
  <w:style w:type="paragraph" w:styleId="BodyTextIndent2">
    <w:name w:val="Body Text Indent 2"/>
    <w:qFormat/>
    <w:rsid w:val="00b73102"/>
    <w:pPr>
      <w:widowControl/>
      <w:suppressAutoHyphens w:val="true"/>
      <w:bidi w:val="0"/>
      <w:spacing w:before="0" w:after="0"/>
      <w:ind w:firstLine="708"/>
      <w:jc w:val="both"/>
      <w:textAlignment w:val="auto"/>
    </w:pPr>
    <w:rPr>
      <w:rFonts w:ascii="Times New Roman" w:hAnsi="Times New Roman" w:eastAsia="SimSun" w:cs="Times New Roman"/>
      <w:color w:val="auto"/>
      <w:kern w:val="2"/>
      <w:sz w:val="24"/>
      <w:szCs w:val="24"/>
      <w:lang w:val="sk-SK" w:eastAsia="cs-CZ" w:bidi="ar-SA"/>
    </w:rPr>
  </w:style>
  <w:style w:type="paragraph" w:styleId="BodyTextIndent3">
    <w:name w:val="Body Text Indent 3"/>
    <w:qFormat/>
    <w:rsid w:val="00b73102"/>
    <w:pPr>
      <w:widowControl/>
      <w:suppressAutoHyphens w:val="true"/>
      <w:bidi w:val="0"/>
      <w:spacing w:before="0" w:after="0"/>
      <w:ind w:left="708" w:firstLine="708"/>
      <w:jc w:val="both"/>
      <w:textAlignment w:val="auto"/>
    </w:pPr>
    <w:rPr>
      <w:rFonts w:ascii="Times New Roman" w:hAnsi="Times New Roman" w:eastAsia="SimSun" w:cs="Times New Roman"/>
      <w:color w:val="auto"/>
      <w:kern w:val="2"/>
      <w:sz w:val="24"/>
      <w:szCs w:val="24"/>
      <w:lang w:val="sk-SK" w:eastAsia="cs-CZ" w:bidi="ar-SA"/>
    </w:rPr>
  </w:style>
  <w:style w:type="paragraph" w:styleId="BalloonText">
    <w:name w:val="Balloon Text"/>
    <w:qFormat/>
    <w:rsid w:val="00b73102"/>
    <w:pPr>
      <w:widowControl/>
      <w:suppressAutoHyphens w:val="true"/>
      <w:bidi w:val="0"/>
      <w:spacing w:before="0" w:after="0"/>
      <w:jc w:val="left"/>
      <w:textAlignment w:val="auto"/>
    </w:pPr>
    <w:rPr>
      <w:rFonts w:ascii="Tahoma" w:hAnsi="Tahoma" w:eastAsia="Tahoma" w:cs="Cambria"/>
      <w:color w:val="auto"/>
      <w:kern w:val="2"/>
      <w:sz w:val="16"/>
      <w:szCs w:val="16"/>
      <w:lang w:val="sk-SK" w:eastAsia="cs-CZ" w:bidi="ar-SA"/>
    </w:rPr>
  </w:style>
  <w:style w:type="paragraph" w:styleId="ListParagraph">
    <w:name w:val="List Paragraph"/>
    <w:qFormat/>
    <w:rsid w:val="00b73102"/>
    <w:pPr>
      <w:widowControl/>
      <w:suppressAutoHyphens w:val="true"/>
      <w:bidi w:val="0"/>
      <w:spacing w:before="0" w:after="200"/>
      <w:ind w:left="720" w:hanging="0"/>
      <w:jc w:val="left"/>
      <w:textAlignment w:val="auto"/>
    </w:pPr>
    <w:rPr>
      <w:rFonts w:ascii="Arial Narrow" w:hAnsi="Arial Narrow" w:eastAsia="Arial Narrow" w:cs="Times New Roman"/>
      <w:color w:val="auto"/>
      <w:kern w:val="2"/>
      <w:sz w:val="22"/>
      <w:szCs w:val="36"/>
      <w:lang w:val="sk-SK" w:eastAsia="en-US" w:bidi="ar-SA"/>
    </w:rPr>
  </w:style>
  <w:style w:type="paragraph" w:styleId="TopHeader" w:customStyle="1">
    <w:name w:val="Top Header"/>
    <w:qFormat/>
    <w:rsid w:val="00b73102"/>
    <w:pPr>
      <w:widowControl/>
      <w:suppressAutoHyphens w:val="true"/>
      <w:bidi w:val="0"/>
      <w:spacing w:before="0" w:after="0"/>
      <w:jc w:val="center"/>
      <w:textAlignment w:val="auto"/>
    </w:pPr>
    <w:rPr>
      <w:rFonts w:ascii="Arial Narrow" w:hAnsi="Arial Narrow" w:eastAsia="Arial Narrow" w:cs="Times New Roman"/>
      <w:b/>
      <w:bCs/>
      <w:color w:val="auto"/>
      <w:kern w:val="2"/>
      <w:sz w:val="22"/>
      <w:szCs w:val="22"/>
      <w:lang w:val="sk-SK" w:eastAsia="en-US" w:bidi="ar-SA"/>
    </w:rPr>
  </w:style>
  <w:style w:type="paragraph" w:styleId="NormalWeb">
    <w:name w:val="Normal (Web)"/>
    <w:qFormat/>
    <w:rsid w:val="00b73102"/>
    <w:pPr>
      <w:widowControl/>
      <w:suppressAutoHyphens w:val="true"/>
      <w:bidi w:val="0"/>
      <w:spacing w:before="100" w:after="100"/>
      <w:jc w:val="left"/>
      <w:textAlignment w:val="auto"/>
    </w:pPr>
    <w:rPr>
      <w:rFonts w:ascii="Times New Roman" w:hAnsi="Times New Roman" w:eastAsia="Times New Roman" w:cs="Times New Roman"/>
      <w:color w:val="auto"/>
      <w:kern w:val="2"/>
      <w:sz w:val="24"/>
      <w:szCs w:val="24"/>
      <w:lang w:val="sk-SK" w:eastAsia="sk-SK" w:bidi="ar-SA"/>
    </w:rPr>
  </w:style>
  <w:style w:type="paragraph" w:styleId="Obsahtabuky" w:customStyle="1">
    <w:name w:val="Obsah tabuľky"/>
    <w:basedOn w:val="Standard"/>
    <w:qFormat/>
    <w:rsid w:val="00b73102"/>
    <w:pPr>
      <w:suppressLineNumbers/>
    </w:pPr>
    <w:rPr/>
  </w:style>
  <w:style w:type="paragraph" w:styleId="Citcie" w:customStyle="1">
    <w:name w:val="Citácie"/>
    <w:basedOn w:val="Standard"/>
    <w:qFormat/>
    <w:rsid w:val="00b73102"/>
    <w:pPr>
      <w:spacing w:before="0" w:after="283"/>
      <w:ind w:left="567" w:right="567" w:hanging="0"/>
    </w:pPr>
    <w:rPr/>
  </w:style>
  <w:style w:type="paragraph" w:styleId="Zhlavietabuky" w:customStyle="1">
    <w:name w:val="Záhlavie tabuľky"/>
    <w:basedOn w:val="Obsahtabuky"/>
    <w:qFormat/>
    <w:rsid w:val="00b73102"/>
    <w:pPr>
      <w:jc w:val="center"/>
    </w:pPr>
    <w:rPr>
      <w:b/>
      <w:bCs/>
    </w:rPr>
  </w:style>
  <w:style w:type="paragraph" w:styleId="Obsahrmca" w:customStyle="1">
    <w:name w:val="Obsah rámca"/>
    <w:basedOn w:val="Standard"/>
    <w:qFormat/>
    <w:rsid w:val="00b73102"/>
    <w:pPr/>
    <w:rPr/>
  </w:style>
  <w:style w:type="numbering" w:styleId="NoList" w:default="1">
    <w:name w:val="No List"/>
    <w:uiPriority w:val="99"/>
    <w:semiHidden/>
    <w:unhideWhenUsed/>
    <w:qFormat/>
  </w:style>
  <w:style w:type="numbering" w:styleId="WW8Num12" w:customStyle="1">
    <w:name w:val="WW8Num12"/>
    <w:qFormat/>
    <w:rsid w:val="00b73102"/>
  </w:style>
  <w:style w:type="numbering" w:styleId="WW8Num2" w:customStyle="1">
    <w:name w:val="WW8Num2"/>
    <w:qFormat/>
    <w:rsid w:val="00b73102"/>
  </w:style>
  <w:style w:type="numbering" w:styleId="WW8Num3" w:customStyle="1">
    <w:name w:val="WW8Num3"/>
    <w:qFormat/>
    <w:rsid w:val="00b73102"/>
  </w:style>
  <w:style w:type="numbering" w:styleId="WW8Num10" w:customStyle="1">
    <w:name w:val="WW8Num10"/>
    <w:qFormat/>
    <w:rsid w:val="00b73102"/>
  </w:style>
  <w:style w:type="numbering" w:styleId="WW8Num11" w:customStyle="1">
    <w:name w:val="WW8Num11"/>
    <w:qFormat/>
    <w:rsid w:val="00b73102"/>
  </w:style>
  <w:style w:type="numbering" w:styleId="WW8Num7" w:customStyle="1">
    <w:name w:val="WW8Num7"/>
    <w:qFormat/>
    <w:rsid w:val="00b73102"/>
  </w:style>
  <w:style w:type="numbering" w:styleId="WW8Num13" w:customStyle="1">
    <w:name w:val="WW8Num13"/>
    <w:qFormat/>
    <w:rsid w:val="00b73102"/>
  </w:style>
  <w:style w:type="numbering" w:styleId="WW8Num9" w:customStyle="1">
    <w:name w:val="WW8Num9"/>
    <w:qFormat/>
    <w:rsid w:val="00b73102"/>
  </w:style>
  <w:style w:type="numbering" w:styleId="WW8Num8" w:customStyle="1">
    <w:name w:val="WW8Num8"/>
    <w:qFormat/>
    <w:rsid w:val="00b73102"/>
  </w:style>
  <w:style w:type="numbering" w:styleId="WW8Num5" w:customStyle="1">
    <w:name w:val="WW8Num5"/>
    <w:qFormat/>
    <w:rsid w:val="00b73102"/>
  </w:style>
  <w:style w:type="numbering" w:styleId="WW8Num6" w:customStyle="1">
    <w:name w:val="WW8Num6"/>
    <w:qFormat/>
    <w:rsid w:val="00b73102"/>
  </w:style>
  <w:style w:type="numbering" w:styleId="WW8Num4" w:customStyle="1">
    <w:name w:val="WW8Num4"/>
    <w:qFormat/>
    <w:rsid w:val="00b73102"/>
  </w:style>
  <w:style w:type="table" w:default="1" w:styleId="Normlnatabu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footer" Target="footer1.xm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<Relationship Id="rId9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7A33B51-B2A5-4D70-B9D2-98BF710907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Application>LibreOffice/7.1.1.2$Windows_X86_64 LibreOffice_project/fe0b08f4af1bacafe4c7ecc87ce55bb426164676</Application>
  <AppVersion>15.0000</AppVersion>
  <Pages>33</Pages>
  <Words>5340</Words>
  <Characters>29331</Characters>
  <CharactersWithSpaces>33621</CharactersWithSpaces>
  <Paragraphs>1423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2020-11-02T17:03:00Z</dcterms:created>
  <dc:creator>Matulova Silvia</dc:creator>
  <dc:description/>
  <dc:language>sk-SK</dc:language>
  <cp:lastModifiedBy/>
  <cp:lastPrinted>2016-03-02T06:45:00Z</cp:lastPrinted>
  <dcterms:modified xsi:type="dcterms:W3CDTF">2025-06-30T19:22:32Z</dcterms:modified>
  <cp:revision>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perator">
    <vt:lpwstr>Matulova Silvia</vt:lpwstr>
  </property>
</Properties>
</file>