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806" w:type="dxa"/>
        <w:jc w:val="left"/>
        <w:tblInd w:w="-7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1"/>
        <w:gridCol w:w="2664"/>
        <w:gridCol w:w="398"/>
        <w:gridCol w:w="283"/>
        <w:gridCol w:w="399"/>
        <w:gridCol w:w="280"/>
        <w:gridCol w:w="342"/>
        <w:gridCol w:w="339"/>
        <w:gridCol w:w="339"/>
        <w:gridCol w:w="340"/>
        <w:gridCol w:w="342"/>
        <w:gridCol w:w="339"/>
        <w:gridCol w:w="339"/>
        <w:gridCol w:w="340"/>
      </w:tblGrid>
      <w:tr>
        <w:trPr/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outlineLvl w:val="2"/>
              <w:rPr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120"/>
              <w:ind w:left="0" w:right="0" w:hanging="0"/>
              <w:jc w:val="right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2"/>
        <w:rPr/>
      </w:pPr>
      <w:r>
        <w:rPr>
          <w:b/>
          <w:bCs/>
          <w:sz w:val="22"/>
          <w:szCs w:val="22"/>
        </w:rPr>
        <w:t>Čl. 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Všeobecné informácie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(3) Opis činnosti, na účel ktorej bola účtovná jednotka zriadená a opis druhu podnikateľskej činnosti, ak ju účtovná jednotka vykonáva.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</w:p>
    <w:tbl>
      <w:tblPr>
        <w:tblW w:w="9668" w:type="dxa"/>
        <w:jc w:val="left"/>
        <w:tblInd w:w="1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57"/>
        <w:gridCol w:w="1841"/>
        <w:gridCol w:w="2270"/>
      </w:tblGrid>
      <w:tr>
        <w:trPr/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lang w:eastAsia="sk-SK"/>
              </w:rPr>
              <w:t>Bežné účtovné obdobie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lang w:eastAsia="sk-SK"/>
              </w:rPr>
              <w:t>Počet hodín vykonávania dobrovoľníckej činnosti</w:t>
            </w:r>
          </w:p>
        </w:tc>
      </w:tr>
      <w:tr>
        <w:trPr>
          <w:trHeight w:val="391" w:hRule="atLeast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jc w:val="center"/>
              <w:rPr>
                <w:rFonts w:ascii="Arial Narrow" w:hAnsi="Arial Narrow" w:eastAsia="Cambria Math" w:cs="Arial"/>
                <w:color w:val="auto"/>
                <w:kern w:val="2"/>
                <w:sz w:val="22"/>
                <w:szCs w:val="22"/>
                <w:lang w:val="sk-SK" w:eastAsia="cs-CZ" w:bidi="ar-SA"/>
              </w:rPr>
            </w:pPr>
            <w:r>
              <w:rPr>
                <w:rFonts w:eastAsia="Cambria Math" w:cs="Arial"/>
                <w:color w:val="auto"/>
                <w:kern w:val="2"/>
                <w:sz w:val="22"/>
                <w:szCs w:val="22"/>
                <w:lang w:val="sk-SK" w:eastAsia="cs-CZ" w:bidi="ar-SA"/>
              </w:rPr>
              <w:t>0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91" w:hRule="atLeast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z toho  počet vedúcich zamestnancov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  <w:t>0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91" w:hRule="atLeast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Počet dobrovoľníkov vyslaných účtovnou jednotkou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</w:r>
          </w:p>
        </w:tc>
      </w:tr>
      <w:tr>
        <w:trPr>
          <w:trHeight w:val="391" w:hRule="atLeast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Počet dobrovoľníkov, ktorí vykonávali dobrovoľnícku činnosť pre účtovnú jednotku počas účtovného obdobia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3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</w:r>
          </w:p>
        </w:tc>
      </w:tr>
    </w:tbl>
    <w:p>
      <w:pPr>
        <w:pStyle w:val="Normalpodnadpis"/>
        <w:bidi w:val="0"/>
        <w:ind w:left="0" w:right="0" w:hanging="0"/>
        <w:rPr/>
      </w:pPr>
      <w:r>
        <w:rPr>
          <w:sz w:val="22"/>
          <w:szCs w:val="22"/>
        </w:rPr>
        <w:t>(5) Organizačná štruktúra účtovnej jednotky.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(6) Informácia o organizáciách v zriaďovateľskej pôsobnosti účtovnej jednotky. </w:t>
      </w:r>
    </w:p>
    <w:p>
      <w:pPr>
        <w:pStyle w:val="Normalpodnadpis"/>
        <w:bidi w:val="0"/>
        <w:spacing w:before="0" w:after="120"/>
        <w:ind w:left="0" w:right="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0"/>
        <w:rPr/>
      </w:pPr>
      <w:r>
        <w:rPr>
          <w:b/>
          <w:bCs/>
          <w:kern w:val="2"/>
          <w:sz w:val="22"/>
          <w:szCs w:val="22"/>
        </w:rPr>
        <w:t>Čl. II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Informácie o účtovných zásadách a účtovných metódach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(3) Spôsoby ocenenia jednotlivých položiek majetku a záväzkov.</w:t>
      </w:r>
    </w:p>
    <w:p>
      <w:pPr>
        <w:pStyle w:val="Normalpodnadpis"/>
        <w:bidi w:val="0"/>
        <w:spacing w:before="0" w:after="240"/>
        <w:ind w:left="0" w:right="0" w:hanging="0"/>
        <w:rPr/>
      </w:pPr>
      <w:r>
        <w:rPr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10195" w:type="dxa"/>
        <w:jc w:val="left"/>
        <w:tblInd w:w="-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8"/>
        <w:gridCol w:w="2549"/>
        <w:gridCol w:w="2549"/>
        <w:gridCol w:w="2548"/>
      </w:tblGrid>
      <w:tr>
        <w:trPr>
          <w:trHeight w:val="416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24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24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24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24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>
        <w:trPr>
          <w:trHeight w:val="374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(5) Zásady pre zohľadnenie zníženia hodnoty majetku. Uvádza sa, či účtovná jednotka uplatňuje opravné položky a rezervy.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(6) 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0"/>
        <w:rPr/>
      </w:pPr>
      <w:r>
        <w:rPr>
          <w:b/>
          <w:bCs/>
          <w:kern w:val="2"/>
          <w:sz w:val="22"/>
          <w:szCs w:val="22"/>
        </w:rPr>
        <w:t>Čl. III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Informácie, ktoré dopĺňajú a vysvetľujú údaje v súvahe</w:t>
      </w:r>
    </w:p>
    <w:p>
      <w:pPr>
        <w:pStyle w:val="Normalpodnadpis"/>
        <w:numPr>
          <w:ilvl w:val="0"/>
          <w:numId w:val="4"/>
        </w:numPr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Významné sumy prírastkov a úbytkov dlhodobého nehmotného majetku a dlhodobého hmotného majetku.</w:t>
      </w:r>
    </w:p>
    <w:p>
      <w:pPr>
        <w:pStyle w:val="Normalpodnadpis"/>
        <w:numPr>
          <w:ilvl w:val="0"/>
          <w:numId w:val="4"/>
        </w:numPr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>
      <w:pPr>
        <w:pStyle w:val="Normalpodnadpis"/>
        <w:numPr>
          <w:ilvl w:val="0"/>
          <w:numId w:val="4"/>
        </w:numPr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10022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17"/>
        <w:gridCol w:w="2411"/>
        <w:gridCol w:w="2694"/>
      </w:tblGrid>
      <w:tr>
        <w:trPr>
          <w:trHeight w:val="399" w:hRule="atLeast"/>
        </w:trPr>
        <w:tc>
          <w:tcPr>
            <w:tcW w:w="49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</w:tr>
      <w:tr>
        <w:trPr>
          <w:trHeight w:val="1073" w:hRule="atLeast"/>
        </w:trPr>
        <w:tc>
          <w:tcPr>
            <w:tcW w:w="49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41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6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374" w:hRule="atLeast"/>
        </w:trPr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podnadpis"/>
        <w:numPr>
          <w:ilvl w:val="0"/>
          <w:numId w:val="4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10057" w:type="dxa"/>
        <w:jc w:val="left"/>
        <w:tblInd w:w="-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5"/>
        <w:gridCol w:w="3351"/>
        <w:gridCol w:w="3351"/>
      </w:tblGrid>
      <w:tr>
        <w:trPr/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12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Opis druhu finančného majetku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120" w:after="120"/>
              <w:ind w:left="0" w:right="0" w:hanging="0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120" w:after="120"/>
              <w:ind w:left="0" w:right="0" w:hanging="0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74" w:hRule="atLeast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374" w:hRule="atLeast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podnadpis"/>
        <w:numPr>
          <w:ilvl w:val="0"/>
          <w:numId w:val="4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štruktúre dlhodobých pôžičiek.</w:t>
      </w:r>
    </w:p>
    <w:tbl>
      <w:tblPr>
        <w:tblW w:w="10052" w:type="dxa"/>
        <w:jc w:val="left"/>
        <w:tblInd w:w="-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0"/>
        <w:gridCol w:w="3351"/>
        <w:gridCol w:w="3351"/>
      </w:tblGrid>
      <w:tr>
        <w:trPr/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12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120" w:after="120"/>
              <w:ind w:left="0" w:right="0" w:hanging="0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120" w:after="120"/>
              <w:ind w:left="0" w:right="0" w:hanging="0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74" w:hRule="atLeast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374" w:hRule="atLeast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4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 vývoji významných súm opravných položiek podľa jednotlivých druhov majetku.</w:t>
      </w:r>
    </w:p>
    <w:tbl>
      <w:tblPr>
        <w:tblW w:w="10135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1982"/>
        <w:gridCol w:w="1845"/>
        <w:gridCol w:w="1982"/>
        <w:gridCol w:w="2129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Druh majetku, ku ktorému sa tvorí opravná položka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opravnej položky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Zúčtovanie opravnej položky</w:t>
            </w:r>
          </w:p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opravnej položky na konci bežného účtovného obdobia</w:t>
            </w:r>
          </w:p>
        </w:tc>
      </w:tr>
      <w:tr>
        <w:trPr>
          <w:trHeight w:val="374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4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významných súm pohľadávok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9738" w:type="dxa"/>
        <w:jc w:val="left"/>
        <w:tblInd w:w="-7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66"/>
        <w:gridCol w:w="2979"/>
        <w:gridCol w:w="2693"/>
      </w:tblGrid>
      <w:tr>
        <w:trPr/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rPr/>
            </w:pPr>
            <w:r>
              <w:rPr>
                <w:b/>
                <w:sz w:val="22"/>
                <w:szCs w:val="22"/>
              </w:rPr>
              <w:t>Druh a opis významných položiek pohľadávok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>
        <w:trPr/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4"/>
        </w:numPr>
        <w:bidi w:val="0"/>
        <w:ind w:left="0" w:right="0" w:hanging="0"/>
        <w:rPr/>
      </w:pP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Prehľad pohľadávok do uplynutia lehoty splatnosti a po uplynutí lehoty splatnosti.</w:t>
      </w:r>
    </w:p>
    <w:tbl>
      <w:tblPr>
        <w:tblW w:w="9776" w:type="dxa"/>
        <w:jc w:val="left"/>
        <w:tblInd w:w="-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3588"/>
        <w:gridCol w:w="3499"/>
      </w:tblGrid>
      <w:tr>
        <w:trPr/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rPr/>
            </w:pPr>
            <w:r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4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významných položkách časového rozlíšenia nákladov budúcich období a príjmov budúcich období.</w:t>
      </w:r>
    </w:p>
    <w:p>
      <w:pPr>
        <w:pStyle w:val="Normalpodnadpis"/>
        <w:numPr>
          <w:ilvl w:val="0"/>
          <w:numId w:val="4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a výška zmien vlastného imania v priebehu bežného účtovného obdobia podľa položiek súvahy.</w:t>
      </w:r>
    </w:p>
    <w:tbl>
      <w:tblPr>
        <w:tblW w:w="10014" w:type="dxa"/>
        <w:jc w:val="left"/>
        <w:tblInd w:w="-7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0"/>
        <w:gridCol w:w="2027"/>
        <w:gridCol w:w="1431"/>
        <w:gridCol w:w="1274"/>
        <w:gridCol w:w="1396"/>
        <w:gridCol w:w="1885"/>
      </w:tblGrid>
      <w:tr>
        <w:trPr/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začiatku bežného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Prírastky</w:t>
            </w:r>
          </w:p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Úbytky</w:t>
            </w:r>
          </w:p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Presuny</w:t>
            </w:r>
          </w:p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>
        <w:trPr>
          <w:trHeight w:val="391" w:hRule="atLeast"/>
        </w:trPr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80" w:hRule="atLeast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z toho:</w:t>
            </w:r>
          </w:p>
        </w:tc>
      </w:tr>
      <w:tr>
        <w:trPr/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nadačné imanie v nadácii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vklady zakladateľov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prioritný majetok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Fondy tvorené podľa osobitných predpisov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 w:val="22"/>
                <w:szCs w:val="22"/>
              </w:rPr>
              <w:t>Fondy tvorené zo zisku</w:t>
            </w:r>
          </w:p>
        </w:tc>
      </w:tr>
      <w:tr>
        <w:trPr>
          <w:trHeight w:val="391" w:hRule="atLeast"/>
        </w:trPr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>
        <w:trPr/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4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a vyčíslenie jednotlivých druhov fondov tvorených podľa osobitných predpisov.</w:t>
      </w:r>
    </w:p>
    <w:tbl>
      <w:tblPr>
        <w:tblW w:w="10157" w:type="dxa"/>
        <w:jc w:val="left"/>
        <w:tblInd w:w="-7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6"/>
        <w:gridCol w:w="2364"/>
        <w:gridCol w:w="1464"/>
        <w:gridCol w:w="1860"/>
        <w:gridCol w:w="1923"/>
      </w:tblGrid>
      <w:tr>
        <w:trPr/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>
        <w:trPr>
          <w:trHeight w:val="373" w:hRule="atLeast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7" w:hRule="atLeast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13" w:hRule="atLeast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4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9890" w:type="dxa"/>
        <w:jc w:val="left"/>
        <w:tblInd w:w="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44"/>
        <w:gridCol w:w="5245"/>
      </w:tblGrid>
      <w:tr>
        <w:trPr>
          <w:trHeight w:val="765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9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9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Prevod do sociálneho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Iné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Iné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4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10086" w:type="dxa"/>
        <w:jc w:val="left"/>
        <w:tblInd w:w="-2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4"/>
        <w:gridCol w:w="1801"/>
        <w:gridCol w:w="1354"/>
        <w:gridCol w:w="1465"/>
        <w:gridCol w:w="1493"/>
        <w:gridCol w:w="1728"/>
      </w:tblGrid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4"/>
        </w:numPr>
        <w:bidi w:val="0"/>
        <w:ind w:left="142" w:right="0" w:hanging="142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1"/>
        <w:gridCol w:w="3080"/>
        <w:gridCol w:w="2513"/>
      </w:tblGrid>
      <w:tr>
        <w:trPr/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rPr/>
            </w:pPr>
            <w:r>
              <w:rPr>
                <w:b/>
                <w:sz w:val="22"/>
                <w:szCs w:val="22"/>
              </w:rPr>
              <w:t>Druh a opis významných položiek záväzkov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>
        <w:trPr/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4"/>
        </w:numPr>
        <w:bidi w:val="0"/>
        <w:spacing w:before="240" w:after="120"/>
        <w:ind w:left="142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záväzkov do uplynutia lehoty splatnosti a po uplynutí lehoty splatnosti.</w:t>
      </w:r>
    </w:p>
    <w:tbl>
      <w:tblPr>
        <w:tblW w:w="9915" w:type="dxa"/>
        <w:jc w:val="left"/>
        <w:tblInd w:w="1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0"/>
        <w:gridCol w:w="2751"/>
        <w:gridCol w:w="3044"/>
      </w:tblGrid>
      <w:tr>
        <w:trPr>
          <w:trHeight w:val="608" w:hRule="atLeast"/>
        </w:trPr>
        <w:tc>
          <w:tcPr>
            <w:tcW w:w="4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74" w:hRule="atLeast"/>
        </w:trPr>
        <w:tc>
          <w:tcPr>
            <w:tcW w:w="4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</w:tr>
      <w:tr>
        <w:trPr>
          <w:trHeight w:val="374" w:hRule="atLeast"/>
        </w:trPr>
        <w:tc>
          <w:tcPr>
            <w:tcW w:w="4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4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4"/>
        </w:numPr>
        <w:bidi w:val="0"/>
        <w:spacing w:before="240" w:after="120"/>
        <w:ind w:left="142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9426" w:type="dxa"/>
        <w:jc w:val="left"/>
        <w:tblInd w:w="18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40"/>
        <w:gridCol w:w="3685"/>
      </w:tblGrid>
      <w:tr>
        <w:trPr>
          <w:trHeight w:val="447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>
        <w:trPr>
          <w:trHeight w:val="510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557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4"/>
        </w:numPr>
        <w:bidi w:val="0"/>
        <w:spacing w:before="240" w:after="120"/>
        <w:ind w:left="142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9426" w:type="dxa"/>
        <w:jc w:val="left"/>
        <w:tblInd w:w="18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7"/>
        <w:gridCol w:w="850"/>
        <w:gridCol w:w="1135"/>
        <w:gridCol w:w="1277"/>
        <w:gridCol w:w="1841"/>
        <w:gridCol w:w="1985"/>
      </w:tblGrid>
      <w:tr>
        <w:trPr/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>
        <w:trPr>
          <w:trHeight w:val="374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4"/>
        </w:numPr>
        <w:bidi w:val="0"/>
        <w:spacing w:before="240" w:after="120"/>
        <w:ind w:left="142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významných položkách časového rozlíšenia výdavkov budúcich období.</w:t>
      </w:r>
    </w:p>
    <w:p>
      <w:pPr>
        <w:pStyle w:val="Normalpodnadpis"/>
        <w:keepNext w:val="true"/>
        <w:numPr>
          <w:ilvl w:val="0"/>
          <w:numId w:val="4"/>
        </w:numPr>
        <w:bidi w:val="0"/>
        <w:spacing w:before="0" w:after="120"/>
        <w:ind w:left="142" w:right="0" w:hanging="0"/>
        <w:rPr/>
      </w:pP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9526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31"/>
        <w:gridCol w:w="2977"/>
        <w:gridCol w:w="3118"/>
      </w:tblGrid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bidi w:val="0"/>
        <w:spacing w:before="240" w:after="120"/>
        <w:ind w:left="142" w:right="0" w:hanging="0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9526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31"/>
        <w:gridCol w:w="2977"/>
        <w:gridCol w:w="3118"/>
      </w:tblGrid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rPr/>
            </w:pPr>
            <w:r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4"/>
        </w:numPr>
        <w:bidi w:val="0"/>
        <w:spacing w:before="240" w:after="120"/>
        <w:ind w:left="142" w:right="0" w:hanging="142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druhoch majetku a záväzkoch z lízingových zmlúv.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7"/>
        <w:gridCol w:w="3082"/>
        <w:gridCol w:w="2515"/>
      </w:tblGrid>
      <w:tr>
        <w:trPr/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majetku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>
        <w:trPr/>
        <w:tc>
          <w:tcPr>
            <w:tcW w:w="44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0"/>
        <w:rPr/>
      </w:pPr>
      <w:r>
        <w:rPr>
          <w:b/>
          <w:bCs/>
          <w:kern w:val="2"/>
          <w:sz w:val="22"/>
          <w:szCs w:val="22"/>
        </w:rPr>
        <w:t>Čl. IV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>
      <w:pPr>
        <w:pStyle w:val="Normalpodnadpis"/>
        <w:numPr>
          <w:ilvl w:val="0"/>
          <w:numId w:val="5"/>
        </w:numPr>
        <w:bidi w:val="0"/>
        <w:spacing w:before="0" w:after="120"/>
        <w:ind w:left="284" w:right="0" w:hanging="284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4"/>
        <w:gridCol w:w="3081"/>
        <w:gridCol w:w="2379"/>
      </w:tblGrid>
      <w:tr>
        <w:trPr>
          <w:trHeight w:val="748" w:hRule="atLeast"/>
        </w:trPr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a opis tržieb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>
        <w:trPr/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5"/>
        </w:numPr>
        <w:bidi w:val="0"/>
        <w:spacing w:before="240" w:after="120"/>
        <w:ind w:left="284" w:right="0" w:hanging="284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1"/>
        <w:gridCol w:w="2456"/>
        <w:gridCol w:w="2727"/>
      </w:tblGrid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5"/>
        </w:numPr>
        <w:bidi w:val="0"/>
        <w:spacing w:before="240" w:after="120"/>
        <w:ind w:left="284" w:right="0" w:hanging="284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1"/>
        <w:gridCol w:w="2809"/>
        <w:gridCol w:w="2374"/>
      </w:tblGrid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5"/>
        </w:numPr>
        <w:bidi w:val="0"/>
        <w:spacing w:before="240" w:after="120"/>
        <w:ind w:left="284" w:right="0" w:hanging="284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1"/>
        <w:gridCol w:w="2810"/>
        <w:gridCol w:w="2373"/>
      </w:tblGrid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5"/>
        </w:numPr>
        <w:bidi w:val="0"/>
        <w:spacing w:before="240" w:after="12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47"/>
        <w:gridCol w:w="2393"/>
        <w:gridCol w:w="2374"/>
      </w:tblGrid>
      <w:tr>
        <w:trPr/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5"/>
        </w:numPr>
        <w:bidi w:val="0"/>
        <w:spacing w:before="240" w:after="12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10276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7"/>
        <w:gridCol w:w="2241"/>
        <w:gridCol w:w="2268"/>
      </w:tblGrid>
      <w:tr>
        <w:trPr/>
        <w:tc>
          <w:tcPr>
            <w:tcW w:w="5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>
        <w:trPr>
          <w:trHeight w:val="397" w:hRule="atLeast"/>
        </w:trPr>
        <w:tc>
          <w:tcPr>
            <w:tcW w:w="5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widowControl w:val="fals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0"/>
        <w:rPr/>
      </w:pPr>
      <w:r>
        <w:rPr>
          <w:b/>
          <w:bCs/>
          <w:kern w:val="2"/>
          <w:sz w:val="22"/>
          <w:szCs w:val="22"/>
        </w:rPr>
        <w:t>Čl. V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Opis údajov na podsúvahových účtoch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Čl. VI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Ďalšie informácie</w:t>
      </w:r>
    </w:p>
    <w:p>
      <w:pPr>
        <w:pStyle w:val="Textopatrenia"/>
        <w:numPr>
          <w:ilvl w:val="0"/>
          <w:numId w:val="3"/>
        </w:numPr>
        <w:bidi w:val="0"/>
        <w:ind w:left="0" w:right="0" w:hanging="0"/>
        <w:rPr/>
      </w:pPr>
      <w:r>
        <w:rPr/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numPr>
          <w:ilvl w:val="0"/>
          <w:numId w:val="3"/>
        </w:numPr>
        <w:bidi w:val="0"/>
        <w:ind w:left="0" w:right="0" w:hanging="0"/>
        <w:rPr/>
      </w:pPr>
      <w:r>
        <w:rPr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3"/>
        </w:numPr>
        <w:bidi w:val="0"/>
        <w:ind w:left="0" w:right="0" w:hanging="0"/>
        <w:rPr/>
      </w:pPr>
      <w:r>
        <w:rPr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3"/>
        </w:numPr>
        <w:bidi w:val="0"/>
        <w:ind w:left="0" w:right="0" w:hanging="0"/>
        <w:rPr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numPr>
          <w:ilvl w:val="0"/>
          <w:numId w:val="3"/>
        </w:numPr>
        <w:bidi w:val="0"/>
        <w:ind w:left="0" w:right="0" w:hanging="0"/>
        <w:rPr/>
      </w:pPr>
      <w:r>
        <w:rPr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3"/>
        </w:numPr>
        <w:bidi w:val="0"/>
        <w:ind w:left="0" w:right="0" w:hanging="0"/>
        <w:rPr/>
      </w:pPr>
      <w:r>
        <w:rPr/>
        <w:t>a) povinnosť z devízových termínovaných obchodov a iných finančných derivátov,</w:t>
      </w:r>
    </w:p>
    <w:p>
      <w:pPr>
        <w:pStyle w:val="Textopatrenia"/>
        <w:numPr>
          <w:ilvl w:val="0"/>
          <w:numId w:val="3"/>
        </w:numPr>
        <w:bidi w:val="0"/>
        <w:ind w:left="0" w:right="0" w:hanging="0"/>
        <w:rPr/>
      </w:pPr>
      <w:r>
        <w:rPr/>
        <w:t>b) povinnosť z opčných obchodov,</w:t>
      </w:r>
    </w:p>
    <w:p>
      <w:pPr>
        <w:pStyle w:val="Textopatrenia"/>
        <w:numPr>
          <w:ilvl w:val="0"/>
          <w:numId w:val="3"/>
        </w:numPr>
        <w:bidi w:val="0"/>
        <w:ind w:left="0" w:right="0" w:hanging="0"/>
        <w:rPr/>
      </w:pPr>
      <w:r>
        <w:rPr/>
        <w:t>c) zákonná povinnosť alebo zmluvná povinnosť odobrať určité produkty alebo služby, napríklad z dodávateľských zmlúv alebo odberateľských zmlúv,</w:t>
      </w:r>
    </w:p>
    <w:p>
      <w:pPr>
        <w:pStyle w:val="Textopatrenia"/>
        <w:numPr>
          <w:ilvl w:val="0"/>
          <w:numId w:val="3"/>
        </w:numPr>
        <w:bidi w:val="0"/>
        <w:ind w:left="0" w:right="0" w:hanging="0"/>
        <w:rPr/>
      </w:pPr>
      <w:r>
        <w:rPr/>
        <w:t>d) povinnosť z lízingových zmlúv, nájomných zmlúv, servisných zmlúv, poistných zmlúv, koncesionárskych zmlúv, licenčných zmlúv a podobných zmlúv,</w:t>
      </w:r>
    </w:p>
    <w:p>
      <w:pPr>
        <w:pStyle w:val="Textopatrenia"/>
        <w:numPr>
          <w:ilvl w:val="0"/>
          <w:numId w:val="3"/>
        </w:numPr>
        <w:bidi w:val="0"/>
        <w:ind w:left="0" w:right="0" w:hanging="0"/>
        <w:rPr/>
      </w:pPr>
      <w:r>
        <w:rPr/>
        <w:t>e) iné povinnosti.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sectPr>
      <w:headerReference w:type="first" r:id="rId2"/>
      <w:footerReference w:type="default" r:id="rId3"/>
      <w:footerReference w:type="first" r:id="rId4"/>
      <w:type w:val="nextPage"/>
      <w:pgSz w:w="11906" w:h="16838"/>
      <w:pgMar w:left="993" w:right="851" w:header="709" w:top="709" w:footer="709" w:bottom="851" w:gutter="0"/>
      <w:pgNumType w:start="1"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widowControl/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/>
        <w:sz w:val="20"/>
        <w:szCs w:val="24"/>
        <w:lang w:val="sk-SK" w:eastAsia="cs-CZ" w:bidi="ar-SA"/>
      </w:rPr>
      <w:t xml:space="preserve">Strana </w:t>
    </w:r>
    <w:r>
      <w:rPr>
        <w:rFonts w:cs="Arial"/>
        <w:sz w:val="20"/>
        <w:szCs w:val="24"/>
        <w:lang w:val="sk-SK" w:eastAsia="sk-SK" w:bidi="ar-SA"/>
      </w:rPr>
      <w:fldChar w:fldCharType="begin"/>
    </w:r>
    <w:r>
      <w:rPr>
        <w:sz w:val="20"/>
        <w:szCs w:val="24"/>
        <w:rFonts w:cs="Arial"/>
        <w:lang w:val="sk-SK" w:eastAsia="sk-SK" w:bidi="ar-SA"/>
      </w:rPr>
      <w:instrText> PAGE </w:instrText>
    </w:r>
    <w:r>
      <w:rPr>
        <w:sz w:val="20"/>
        <w:szCs w:val="24"/>
        <w:rFonts w:cs="Arial"/>
        <w:lang w:val="sk-SK" w:eastAsia="sk-SK" w:bidi="ar-SA"/>
      </w:rPr>
      <w:fldChar w:fldCharType="separate"/>
    </w:r>
    <w:r>
      <w:rPr>
        <w:sz w:val="20"/>
        <w:szCs w:val="24"/>
        <w:rFonts w:cs="Arial"/>
        <w:lang w:val="sk-SK" w:eastAsia="sk-SK" w:bidi="ar-SA"/>
      </w:rPr>
      <w:t>10</w:t>
    </w:r>
    <w:r>
      <w:rPr>
        <w:sz w:val="20"/>
        <w:szCs w:val="24"/>
        <w:rFonts w:cs="Arial"/>
        <w:lang w:val="sk-SK" w:eastAsia="sk-SK" w:bidi="ar-SA"/>
      </w:rPr>
      <w:fldChar w:fldCharType="end"/>
    </w:r>
  </w:p>
  <w:p>
    <w:pPr>
      <w:pStyle w:val="Pta"/>
      <w:widowControl/>
      <w:tabs>
        <w:tab w:val="clear" w:pos="4536"/>
        <w:tab w:val="clear" w:pos="9072"/>
        <w:tab w:val="center" w:pos="5102" w:leader="none"/>
        <w:tab w:val="right" w:pos="10204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widowControl/>
      <w:bidi w:val="0"/>
      <w:spacing w:lineRule="auto" w:line="360" w:before="120" w:after="120"/>
      <w:ind w:left="0" w:right="0" w:hanging="0"/>
      <w:jc w:val="right"/>
      <w:textAlignment w:val="auto"/>
      <w:rPr>
        <w:lang w:val="sk-SK"/>
      </w:rPr>
    </w:pPr>
    <w:r>
      <w:rPr>
        <w:rFonts w:cs="Arial"/>
        <w:sz w:val="20"/>
        <w:szCs w:val="24"/>
        <w:lang w:val="sk-SK" w:eastAsia="cs-CZ" w:bidi="ar-SA"/>
      </w:rPr>
      <w:t>Strana 7</w:t>
    </w:r>
  </w:p>
  <w:p>
    <w:pPr>
      <w:pStyle w:val="Pta"/>
      <w:widowControl/>
      <w:bidi w:val="0"/>
      <w:spacing w:lineRule="auto" w:line="360" w:before="120" w:after="120"/>
      <w:ind w:left="0" w:right="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widowControl/>
      <w:bidi w:val="0"/>
      <w:spacing w:lineRule="auto" w:line="360" w:before="120" w:after="120"/>
      <w:ind w:left="0" w:right="0" w:hanging="0"/>
      <w:jc w:val="right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</w:p>
  <w:p>
    <w:pPr>
      <w:pStyle w:val="Zhlavie"/>
      <w:widowControl/>
      <w:bidi w:val="0"/>
      <w:spacing w:lineRule="auto" w:line="360" w:before="120" w:after="120"/>
      <w:ind w:left="0" w:right="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K bodu %1"/>
      <w:lvlJc w:val="left"/>
      <w:pPr>
        <w:tabs>
          <w:tab w:val="num" w:pos="0"/>
        </w:tabs>
        <w:ind w:left="0" w:hanging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0" w:hanging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sz w:val="22"/>
        <w:b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paragraph" w:styleId="Nadpis2">
    <w:name w:val="Heading 2"/>
    <w:basedOn w:val="Normalpodnadpis"/>
    <w:qFormat/>
    <w:pPr>
      <w:keepNext w:val="true"/>
      <w:spacing w:before="240" w:after="60"/>
      <w:outlineLvl w:val="1"/>
    </w:pPr>
    <w:rPr>
      <w:b/>
      <w:bCs/>
      <w:i/>
      <w:iCs/>
      <w:sz w:val="28"/>
      <w:szCs w:val="28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/>
      <w:b/>
      <w:bCs/>
      <w:szCs w:val="20"/>
      <w:lang w:eastAsia="sk-SK"/>
    </w:rPr>
  </w:style>
  <w:style w:type="character" w:styleId="PtaChar">
    <w:name w:val="Päta Char"/>
    <w:basedOn w:val="DefaultParagraphFont"/>
    <w:qFormat/>
    <w:rPr>
      <w:rFonts w:ascii="Arial" w:hAnsi="Arial"/>
      <w:sz w:val="24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>
      <w:sz w:val="24"/>
    </w:rPr>
  </w:style>
  <w:style w:type="character" w:styleId="Annotationreference">
    <w:name w:val="annotation reference"/>
    <w:basedOn w:val="DefaultParagraphFont"/>
    <w:qFormat/>
    <w:rPr>
      <w:rFonts w:cs="Times New Roman"/>
      <w:sz w:val="16"/>
      <w:szCs w:val="16"/>
    </w:rPr>
  </w:style>
  <w:style w:type="character" w:styleId="TextkomentraChar">
    <w:name w:val="Text komentára Char"/>
    <w:basedOn w:val="DefaultParagraphFont"/>
    <w:qFormat/>
    <w:rPr/>
  </w:style>
  <w:style w:type="character" w:styleId="PredmetkomentraChar">
    <w:name w:val="Predmet komentára Char"/>
    <w:basedOn w:val="TextkomentraChar"/>
    <w:qFormat/>
    <w:rPr>
      <w:b/>
      <w:bCs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alpodnadpis">
    <w:name w:val="Normal,podnadpis"/>
    <w:qFormat/>
    <w:pPr>
      <w:widowControl/>
      <w:suppressAutoHyphens w:val="true"/>
      <w:bidi w:val="0"/>
      <w:spacing w:lineRule="auto" w:line="360" w:before="120" w:after="120"/>
      <w:jc w:val="both"/>
      <w:textAlignment w:val="auto"/>
    </w:pPr>
    <w:rPr>
      <w:rFonts w:ascii="Arial Narrow" w:hAnsi="Arial Narrow" w:eastAsia="Cambria Math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spacing w:lineRule="auto" w:line="240"/>
      <w:jc w:val="center"/>
      <w:outlineLvl w:val="0"/>
    </w:pPr>
    <w:rPr>
      <w:b/>
      <w:bCs/>
      <w:lang w:eastAsia="sk-SK"/>
    </w:rPr>
  </w:style>
  <w:style w:type="paragraph" w:styleId="NormalTable">
    <w:name w:val="Normal Table"/>
    <w:qFormat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Cambria Math" w:cs="Times New Roman"/>
      <w:color w:val="auto"/>
      <w:kern w:val="2"/>
      <w:sz w:val="20"/>
      <w:szCs w:val="20"/>
      <w:lang w:val="sk-SK" w:eastAsia="sk-SK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Arial" w:hAnsi="Arial" w:eastAsia="Cambria Math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ind w:left="108" w:hanging="0"/>
    </w:pPr>
    <w:rPr/>
  </w:style>
  <w:style w:type="paragraph" w:styleId="Bododvodnenie">
    <w:name w:val="Bod odôvodnenie"/>
    <w:qFormat/>
    <w:pPr>
      <w:widowControl/>
      <w:numPr>
        <w:ilvl w:val="0"/>
        <w:numId w:val="1"/>
      </w:numPr>
      <w:tabs>
        <w:tab w:val="clear" w:pos="709"/>
        <w:tab w:val="left" w:pos="0" w:leader="none"/>
      </w:tabs>
      <w:suppressAutoHyphens w:val="true"/>
      <w:bidi w:val="0"/>
      <w:spacing w:before="120" w:after="120"/>
      <w:jc w:val="left"/>
      <w:textAlignment w:val="auto"/>
    </w:pPr>
    <w:rPr>
      <w:rFonts w:ascii="Arial" w:hAnsi="Arial" w:eastAsia="Cambria Math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suppressAutoHyphens w:val="true"/>
      <w:bidi w:val="0"/>
      <w:spacing w:before="0" w:after="0"/>
      <w:jc w:val="both"/>
      <w:textAlignment w:val="auto"/>
    </w:pPr>
    <w:rPr>
      <w:rFonts w:ascii="Arial" w:hAnsi="Arial" w:eastAsia="Cambria Math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numPr>
        <w:ilvl w:val="0"/>
        <w:numId w:val="2"/>
      </w:numPr>
      <w:tabs>
        <w:tab w:val="clear" w:pos="709"/>
        <w:tab w:val="left" w:pos="0" w:leader="none"/>
      </w:tabs>
      <w:spacing w:lineRule="auto" w:line="240"/>
    </w:pPr>
    <w:rPr/>
  </w:style>
  <w:style w:type="paragraph" w:styleId="TableGrid">
    <w:name w:val="Table Grid"/>
    <w:basedOn w:val="NormalTable"/>
    <w:qFormat/>
    <w:pPr>
      <w:spacing w:lineRule="auto" w:line="240" w:before="0" w:after="0"/>
      <w:jc w:val="left"/>
    </w:pPr>
    <w:rPr>
      <w:rFonts w:ascii="Arial" w:hAnsi="Arial"/>
      <w:szCs w:val="20"/>
      <w:lang w:eastAsia="sk-SK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podnadpis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Normlny1">
    <w:name w:val="Normálny1"/>
    <w:qFormat/>
    <w:pPr>
      <w:widowControl/>
      <w:suppressAutoHyphens w:val="true"/>
      <w:bidi w:val="0"/>
      <w:spacing w:lineRule="auto" w:line="360" w:before="120" w:after="120"/>
      <w:ind w:firstLine="709"/>
      <w:jc w:val="both"/>
      <w:textAlignment w:val="auto"/>
    </w:pPr>
    <w:rPr>
      <w:rFonts w:ascii="Arial" w:hAnsi="Arial" w:eastAsia="Cambria Math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numPr>
        <w:ilvl w:val="0"/>
        <w:numId w:val="3"/>
      </w:numPr>
      <w:tabs>
        <w:tab w:val="clear" w:pos="709"/>
        <w:tab w:val="left" w:pos="1440" w:leader="none"/>
      </w:tabs>
      <w:suppressAutoHyphens w:val="true"/>
      <w:bidi w:val="0"/>
      <w:spacing w:before="120" w:after="120"/>
      <w:ind w:left="1440" w:hanging="360"/>
      <w:jc w:val="both"/>
      <w:textAlignment w:val="auto"/>
    </w:pPr>
    <w:rPr>
      <w:rFonts w:ascii="Arial Narrow" w:hAnsi="Arial Narrow" w:eastAsia="Cambria Math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podnadpis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Zhlavie">
    <w:name w:val="Header"/>
    <w:basedOn w:val="Normalpodnadpis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Annotationtext">
    <w:name w:val="annotation text"/>
    <w:basedOn w:val="Normalpodnadpis"/>
    <w:qFormat/>
    <w:pPr/>
    <w:rPr>
      <w:szCs w:val="20"/>
    </w:rPr>
  </w:style>
  <w:style w:type="paragraph" w:styleId="Annotationsubject">
    <w:name w:val="annotation subject"/>
    <w:basedOn w:val="Annotationtext"/>
    <w:qFormat/>
    <w:pPr/>
    <w:rPr>
      <w:b/>
      <w:bCs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LibreOffice/7.0.4.2$Windows_X86_64 LibreOffice_project/dcf040e67528d9187c66b2379df5ea4407429775</Application>
  <AppVersion>15.0000</AppVersion>
  <Pages>10</Pages>
  <Words>1923</Words>
  <Characters>11974</Characters>
  <CharactersWithSpaces>13643</CharactersWithSpaces>
  <Paragraphs>251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2022-01-25T09:15:00Z</dcterms:created>
  <dc:creator>jvrskova</dc:creator>
  <dc:description/>
  <dc:language>sk-SK</dc:language>
  <cp:lastModifiedBy/>
  <cp:lastPrinted>2021-09-13T09:31:00Z</cp:lastPrinted>
  <dcterms:modified xsi:type="dcterms:W3CDTF">2025-06-26T17:01:55Z</dcterms:modified>
  <cp:revision>4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Salkovicova Ingrid</vt:lpwstr>
  </property>
</Properties>
</file>