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06" w:type="dxa"/>
        <w:jc w:val="left"/>
        <w:tblInd w:w="-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2664"/>
        <w:gridCol w:w="398"/>
        <w:gridCol w:w="283"/>
        <w:gridCol w:w="399"/>
        <w:gridCol w:w="280"/>
        <w:gridCol w:w="342"/>
        <w:gridCol w:w="339"/>
        <w:gridCol w:w="339"/>
        <w:gridCol w:w="340"/>
        <w:gridCol w:w="342"/>
        <w:gridCol w:w="339"/>
        <w:gridCol w:w="339"/>
        <w:gridCol w:w="340"/>
      </w:tblGrid>
      <w:tr>
        <w:trPr/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120"/>
              <w:ind w:left="0" w:right="0" w:hanging="0"/>
              <w:jc w:val="left"/>
              <w:outlineLvl w:val="2"/>
              <w:rPr/>
            </w:pPr>
            <w:r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120"/>
              <w:ind w:left="0" w:right="0" w:hanging="0"/>
              <w:jc w:val="right"/>
              <w:outlineLvl w:val="2"/>
              <w:rPr/>
            </w:pPr>
            <w:r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numPr>
                <w:ilvl w:val="0"/>
                <w:numId w:val="0"/>
              </w:numPr>
              <w:tabs>
                <w:tab w:val="clear" w:pos="709"/>
              </w:tabs>
              <w:bidi w:val="0"/>
              <w:spacing w:before="0" w:after="0"/>
              <w:ind w:left="0" w:right="0" w:hanging="0"/>
              <w:outlineLvl w:val="2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jc w:val="center"/>
        <w:outlineLvl w:val="2"/>
        <w:rPr/>
      </w:pPr>
      <w:r>
        <w:rPr>
          <w:b/>
          <w:bCs/>
          <w:sz w:val="22"/>
          <w:szCs w:val="22"/>
        </w:rPr>
        <w:t>Čl. I</w:t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jc w:val="center"/>
        <w:outlineLvl w:val="1"/>
        <w:rPr/>
      </w:pPr>
      <w:r>
        <w:rPr>
          <w:b/>
          <w:bCs/>
          <w:sz w:val="22"/>
          <w:szCs w:val="22"/>
        </w:rPr>
        <w:t>Všeobecné informácie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>(1) Meno a priezvisko fyzickej osoby alebo názov právnickej osoby, ktorá je zakladateľom alebo zriaďovateľom účtovnej jednotky, dátum založenia alebo zriadenia účtovnej jednotky.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>(3) Opis činnosti, na účel ktorej bola účtovná jednotka zriadená a opis druhu podnikateľskej činnosti, ak ju účtovná jednotka vykonáva.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(4) Priemerný prepočítaný počet zamestnancov, a z toho počet vedúcich zamestnancov účtovnej jednotky za účtovné obdobie, za ktoré sa zostavuje účtovná závierka (ďalej len „bežné účtovné obdobie“). Počet dobrovoľníkov vyslaných účtovnou jednotkou a počet dobrovoľníkov, ktorí vykonávali dobrovoľnícku činnosť pre účtovnú jednotku počas bežného účtovného obdobia. </w:t>
      </w:r>
    </w:p>
    <w:tbl>
      <w:tblPr>
        <w:tblW w:w="9668" w:type="dxa"/>
        <w:jc w:val="left"/>
        <w:tblInd w:w="1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7"/>
        <w:gridCol w:w="1841"/>
        <w:gridCol w:w="2270"/>
      </w:tblGrid>
      <w:tr>
        <w:trPr/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opatrenia"/>
              <w:widowControl w:val="false"/>
              <w:numPr>
                <w:ilvl w:val="0"/>
                <w:numId w:val="3"/>
              </w:numPr>
              <w:tabs>
                <w:tab w:val="clear" w:pos="1440"/>
              </w:tabs>
              <w:bidi w:val="0"/>
              <w:spacing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3"/>
              </w:numPr>
              <w:tabs>
                <w:tab w:val="clear" w:pos="1440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lang w:eastAsia="sk-SK"/>
              </w:rPr>
              <w:t>Bežné účtovné obdobie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opatrenia"/>
              <w:widowControl w:val="false"/>
              <w:numPr>
                <w:ilvl w:val="0"/>
                <w:numId w:val="3"/>
              </w:numPr>
              <w:tabs>
                <w:tab w:val="clear" w:pos="1440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lang w:eastAsia="sk-SK"/>
              </w:rPr>
              <w:t>Počet hodín vykonávania dobrovoľníckej činnosti</w:t>
            </w:r>
          </w:p>
        </w:tc>
      </w:tr>
      <w:tr>
        <w:trPr>
          <w:trHeight w:val="391" w:hRule="atLeast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3"/>
              </w:numPr>
              <w:tabs>
                <w:tab w:val="clear" w:pos="1440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Priemerný prepočítaný počet zamestnancov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3"/>
              </w:numPr>
              <w:tabs>
                <w:tab w:val="clear" w:pos="1440"/>
              </w:tabs>
              <w:bidi w:val="0"/>
              <w:spacing w:before="0" w:after="0"/>
              <w:ind w:left="0" w:right="0" w:hanging="0"/>
              <w:jc w:val="center"/>
              <w:rPr>
                <w:rFonts w:ascii="Arial Narrow" w:hAnsi="Arial Narrow" w:eastAsia="Cambria Math" w:cs="Arial"/>
                <w:color w:val="auto"/>
                <w:kern w:val="2"/>
                <w:sz w:val="22"/>
                <w:szCs w:val="22"/>
                <w:lang w:val="sk-SK" w:eastAsia="cs-CZ" w:bidi="ar-SA"/>
              </w:rPr>
            </w:pPr>
            <w:r>
              <w:rPr>
                <w:rFonts w:eastAsia="Cambria Math" w:cs="Arial"/>
                <w:color w:val="auto"/>
                <w:kern w:val="2"/>
                <w:sz w:val="22"/>
                <w:szCs w:val="22"/>
                <w:lang w:val="sk-SK" w:eastAsia="cs-CZ" w:bidi="ar-SA"/>
              </w:rPr>
              <w:t>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3"/>
              </w:numPr>
              <w:tabs>
                <w:tab w:val="clear" w:pos="1440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91" w:hRule="atLeast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3"/>
              </w:numPr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z toho  počet vedúcich zamestnancov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3"/>
              </w:numPr>
              <w:bidi w:val="0"/>
              <w:spacing w:before="0" w:after="0"/>
              <w:ind w:left="0" w:right="0" w:hanging="0"/>
              <w:jc w:val="center"/>
              <w:rPr/>
            </w:pPr>
            <w:r>
              <w:rPr/>
              <w:t>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3"/>
              </w:numPr>
              <w:bidi w:val="0"/>
              <w:spacing w:before="0" w:after="0"/>
              <w:ind w:left="0" w:right="0" w:hanging="0"/>
              <w:jc w:val="center"/>
              <w:rPr/>
            </w:pPr>
            <w:r>
              <w:rPr/>
              <w:t>x</w:t>
            </w:r>
          </w:p>
        </w:tc>
      </w:tr>
      <w:tr>
        <w:trPr>
          <w:trHeight w:val="391" w:hRule="atLeast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3"/>
              </w:numPr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Počet dobrovoľníkov vyslaných účtovnou jednotkou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3"/>
              </w:numPr>
              <w:bidi w:val="0"/>
              <w:spacing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3"/>
              </w:numPr>
              <w:bidi w:val="0"/>
              <w:spacing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trHeight w:val="391" w:hRule="atLeast"/>
        </w:trPr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3"/>
              </w:numPr>
              <w:bidi w:val="0"/>
              <w:spacing w:before="0" w:after="0"/>
              <w:ind w:left="0" w:right="0" w:hanging="0"/>
              <w:jc w:val="left"/>
              <w:rPr/>
            </w:pPr>
            <w:r>
              <w:rPr/>
              <w:t>Počet dobrovoľníkov, ktorí vykonávali dobrovoľnícku činnosť pre účtovnú jednotku počas účtovného obdobia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3"/>
              </w:numPr>
              <w:bidi w:val="0"/>
              <w:spacing w:before="0" w:after="0"/>
              <w:ind w:left="0" w:right="0" w:hanging="0"/>
              <w:jc w:val="center"/>
              <w:rPr/>
            </w:pPr>
            <w:r>
              <w:rPr/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extopatrenia"/>
              <w:widowControl w:val="false"/>
              <w:numPr>
                <w:ilvl w:val="0"/>
                <w:numId w:val="3"/>
              </w:numPr>
              <w:bidi w:val="0"/>
              <w:spacing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</w:tbl>
    <w:p>
      <w:pPr>
        <w:pStyle w:val="Normalpodnadpis"/>
        <w:bidi w:val="0"/>
        <w:ind w:left="0" w:right="0" w:hanging="0"/>
        <w:rPr/>
      </w:pPr>
      <w:r>
        <w:rPr>
          <w:sz w:val="22"/>
          <w:szCs w:val="22"/>
        </w:rPr>
        <w:t>(5) Organizačná štruktúra účtovnej jednotky.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(6) Informácia o organizáciách v zriaďovateľskej pôsobnosti účtovnej jednotky. </w:t>
      </w:r>
    </w:p>
    <w:p>
      <w:pPr>
        <w:pStyle w:val="Normalpodnadpis"/>
        <w:bidi w:val="0"/>
        <w:spacing w:before="0" w:after="120"/>
        <w:ind w:left="0" w:right="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jc w:val="center"/>
        <w:outlineLvl w:val="0"/>
        <w:rPr/>
      </w:pPr>
      <w:r>
        <w:rPr>
          <w:b/>
          <w:bCs/>
          <w:kern w:val="2"/>
          <w:sz w:val="22"/>
          <w:szCs w:val="22"/>
        </w:rPr>
        <w:t>Čl. II</w:t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jc w:val="center"/>
        <w:outlineLvl w:val="1"/>
        <w:rPr/>
      </w:pPr>
      <w:r>
        <w:rPr>
          <w:b/>
          <w:bCs/>
          <w:sz w:val="22"/>
          <w:szCs w:val="22"/>
        </w:rPr>
        <w:t>Informácie o účtovných zásadách a účtovných metódach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>(3) Spôsoby ocenenia jednotlivých položiek majetku a záväzkov.</w:t>
      </w:r>
    </w:p>
    <w:p>
      <w:pPr>
        <w:pStyle w:val="Normalpodnadpis"/>
        <w:bidi w:val="0"/>
        <w:spacing w:before="0" w:after="240"/>
        <w:ind w:left="0" w:right="0" w:hanging="0"/>
        <w:rPr/>
      </w:pPr>
      <w:r>
        <w:rPr>
          <w:sz w:val="22"/>
          <w:szCs w:val="22"/>
        </w:rPr>
        <w:t xml:space="preserve">(4)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10195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8"/>
        <w:gridCol w:w="2549"/>
        <w:gridCol w:w="2549"/>
        <w:gridCol w:w="2548"/>
      </w:tblGrid>
      <w:tr>
        <w:trPr>
          <w:trHeight w:val="416" w:hRule="atLeast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24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24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24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24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Odpisová metóda</w:t>
            </w:r>
          </w:p>
        </w:tc>
      </w:tr>
      <w:tr>
        <w:trPr>
          <w:trHeight w:val="374" w:hRule="atLeast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4" w:hRule="atLeast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4" w:hRule="atLeast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>(5) Zásady pre zohľadnenie zníženia hodnoty majetku. Uvádza sa, či účtovná jednotka uplatňuje opravné položky a rezervy.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>(6) Informácie o účtovaní opráv významných chýb minulých účtovných období v bežnom účtovnom období s uvedením vplyvu na výsledok hospodárenia minulých rokov; súčasne sa môže uviesť aj informácia o účtovaní opráv nevýznamných chýb minulých účtovných období v bežnom účtovnom období s uvedením vplyvu na výsledok hospodárenia bežného účtovného obdobia.</w:t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240" w:after="120"/>
        <w:ind w:left="0" w:right="0" w:hanging="0"/>
        <w:jc w:val="center"/>
        <w:outlineLvl w:val="0"/>
        <w:rPr/>
      </w:pPr>
      <w:r>
        <w:rPr>
          <w:b/>
          <w:bCs/>
          <w:kern w:val="2"/>
          <w:sz w:val="22"/>
          <w:szCs w:val="22"/>
        </w:rPr>
        <w:t>Čl. III</w:t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jc w:val="center"/>
        <w:outlineLvl w:val="1"/>
        <w:rPr/>
      </w:pPr>
      <w:r>
        <w:rPr>
          <w:b/>
          <w:bCs/>
          <w:sz w:val="22"/>
          <w:szCs w:val="22"/>
        </w:rPr>
        <w:t>Informácie, ktoré dopĺňajú a vysvetľujú údaje v súvahe</w:t>
      </w:r>
    </w:p>
    <w:p>
      <w:pPr>
        <w:pStyle w:val="Normalpodnadpis"/>
        <w:numPr>
          <w:ilvl w:val="0"/>
          <w:numId w:val="4"/>
        </w:numPr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Významné sumy prírastkov a úbytkov dlhodobého nehmotného majetku a dlhodobého hmotného majetku.</w:t>
      </w:r>
    </w:p>
    <w:p>
      <w:pPr>
        <w:pStyle w:val="Normalpodnadpis"/>
        <w:numPr>
          <w:ilvl w:val="0"/>
          <w:numId w:val="4"/>
        </w:numPr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>
      <w:pPr>
        <w:pStyle w:val="Normalpodnadpis"/>
        <w:numPr>
          <w:ilvl w:val="0"/>
          <w:numId w:val="4"/>
        </w:numPr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10022" w:type="dxa"/>
        <w:jc w:val="left"/>
        <w:tblInd w:w="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7"/>
        <w:gridCol w:w="2411"/>
        <w:gridCol w:w="2694"/>
      </w:tblGrid>
      <w:tr>
        <w:trPr>
          <w:trHeight w:val="399" w:hRule="atLeast"/>
        </w:trPr>
        <w:tc>
          <w:tcPr>
            <w:tcW w:w="4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bCs/>
                <w:sz w:val="22"/>
                <w:szCs w:val="22"/>
              </w:rPr>
              <w:t>(v %)</w:t>
            </w:r>
          </w:p>
        </w:tc>
      </w:tr>
      <w:tr>
        <w:trPr>
          <w:trHeight w:val="1073" w:hRule="atLeast"/>
        </w:trPr>
        <w:tc>
          <w:tcPr>
            <w:tcW w:w="49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4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>
          <w:trHeight w:val="374" w:hRule="atLeast"/>
        </w:trPr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374" w:hRule="atLeast"/>
        </w:trPr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podnadpis"/>
        <w:numPr>
          <w:ilvl w:val="0"/>
          <w:numId w:val="4"/>
        </w:numPr>
        <w:bidi w:val="0"/>
        <w:ind w:left="0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10057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5"/>
        <w:gridCol w:w="3351"/>
        <w:gridCol w:w="3351"/>
      </w:tblGrid>
      <w:tr>
        <w:trPr/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120" w:after="12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Opis druhu finančného majetku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120" w:after="120"/>
              <w:ind w:left="0" w:right="0" w:hanging="0"/>
              <w:rPr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120" w:after="120"/>
              <w:ind w:left="0" w:right="0" w:hanging="0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>
          <w:trHeight w:val="374" w:hRule="atLeast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374" w:hRule="atLeast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podnadpis"/>
        <w:numPr>
          <w:ilvl w:val="0"/>
          <w:numId w:val="4"/>
        </w:numPr>
        <w:bidi w:val="0"/>
        <w:ind w:left="0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štruktúre dlhodobých pôžičiek.</w:t>
      </w:r>
    </w:p>
    <w:tbl>
      <w:tblPr>
        <w:tblW w:w="10052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0"/>
        <w:gridCol w:w="3351"/>
        <w:gridCol w:w="3351"/>
      </w:tblGrid>
      <w:tr>
        <w:trPr/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120" w:after="12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120" w:after="120"/>
              <w:ind w:left="0" w:right="0" w:hanging="0"/>
              <w:rPr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120" w:after="120"/>
              <w:ind w:left="0" w:right="0" w:hanging="0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>
          <w:trHeight w:val="374" w:hRule="atLeast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  <w:tr>
        <w:trPr>
          <w:trHeight w:val="374" w:hRule="atLeast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</w:p>
        </w:tc>
      </w:tr>
    </w:tbl>
    <w:p>
      <w:pPr>
        <w:pStyle w:val="Normalpodnadpis"/>
        <w:keepNext w:val="true"/>
        <w:numPr>
          <w:ilvl w:val="0"/>
          <w:numId w:val="4"/>
        </w:numPr>
        <w:bidi w:val="0"/>
        <w:ind w:left="0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 o vývoji významných súm opravných položiek podľa jednotlivých druhov majetku.</w:t>
      </w:r>
    </w:p>
    <w:tbl>
      <w:tblPr>
        <w:tblW w:w="10135" w:type="dxa"/>
        <w:jc w:val="left"/>
        <w:tblInd w:w="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7"/>
        <w:gridCol w:w="1982"/>
        <w:gridCol w:w="1845"/>
        <w:gridCol w:w="1982"/>
        <w:gridCol w:w="2129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Druh majetku, ku ktorému sa tvorí opravná položka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 xml:space="preserve">Stav opravnej položky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Zúčtovanie opravnej položky</w:t>
            </w:r>
          </w:p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(použitie, zrušenie)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opravnej položky na konci bežného účtovného obdobia</w:t>
            </w:r>
          </w:p>
        </w:tc>
      </w:tr>
      <w:tr>
        <w:trPr>
          <w:trHeight w:val="374" w:hRule="atLeast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4" w:hRule="atLeast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4" w:hRule="atLeast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numPr>
          <w:ilvl w:val="0"/>
          <w:numId w:val="4"/>
        </w:numPr>
        <w:bidi w:val="0"/>
        <w:ind w:left="0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Opis významných súm pohľadávok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9738" w:type="dxa"/>
        <w:jc w:val="left"/>
        <w:tblInd w:w="-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6"/>
        <w:gridCol w:w="2979"/>
        <w:gridCol w:w="2693"/>
      </w:tblGrid>
      <w:tr>
        <w:trPr/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rPr/>
            </w:pPr>
            <w:r>
              <w:rPr>
                <w:b/>
                <w:sz w:val="22"/>
                <w:szCs w:val="22"/>
              </w:rPr>
              <w:t>Druh a opis významných položiek pohľadávok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>
        <w:trPr/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keepNext w:val="true"/>
        <w:numPr>
          <w:ilvl w:val="0"/>
          <w:numId w:val="4"/>
        </w:numPr>
        <w:bidi w:val="0"/>
        <w:ind w:left="0" w:right="0" w:hanging="0"/>
        <w:rPr/>
      </w:pP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Prehľad pohľadávok do uplynutia lehoty splatnosti a po uplynutí lehoty splatnosti.</w:t>
      </w:r>
    </w:p>
    <w:tbl>
      <w:tblPr>
        <w:tblW w:w="9776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3588"/>
        <w:gridCol w:w="3499"/>
      </w:tblGrid>
      <w:tr>
        <w:trPr/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rPr/>
            </w:pPr>
            <w:r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podnadpis"/>
        <w:numPr>
          <w:ilvl w:val="0"/>
          <w:numId w:val="4"/>
        </w:numPr>
        <w:bidi w:val="0"/>
        <w:ind w:left="0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o významných položkách časového rozlíšenia nákladov budúcich období a príjmov budúcich období.</w:t>
      </w:r>
    </w:p>
    <w:p>
      <w:pPr>
        <w:pStyle w:val="Normalpodnadpis"/>
        <w:numPr>
          <w:ilvl w:val="0"/>
          <w:numId w:val="4"/>
        </w:numPr>
        <w:bidi w:val="0"/>
        <w:ind w:left="0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Opis a výška zmien vlastného imania v priebehu bežného účtovného obdobia podľa položiek súvahy.</w:t>
      </w:r>
    </w:p>
    <w:tbl>
      <w:tblPr>
        <w:tblW w:w="10014" w:type="dxa"/>
        <w:jc w:val="left"/>
        <w:tblInd w:w="-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2027"/>
        <w:gridCol w:w="1431"/>
        <w:gridCol w:w="1274"/>
        <w:gridCol w:w="1396"/>
        <w:gridCol w:w="1885"/>
      </w:tblGrid>
      <w:tr>
        <w:trPr/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začiatku bežného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Prírastky</w:t>
            </w:r>
          </w:p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Úbytky</w:t>
            </w:r>
          </w:p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Presuny</w:t>
            </w:r>
          </w:p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>
          <w:trHeight w:val="391" w:hRule="atLeast"/>
        </w:trPr>
        <w:tc>
          <w:tcPr>
            <w:tcW w:w="10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>
        <w:trPr>
          <w:trHeight w:val="391" w:hRule="atLeas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80" w:hRule="atLeast"/>
        </w:trPr>
        <w:tc>
          <w:tcPr>
            <w:tcW w:w="10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z toho:</w:t>
            </w:r>
          </w:p>
        </w:tc>
      </w:tr>
      <w:tr>
        <w:trPr/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- nadačné imanie v nadácii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- vklady zakladateľov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- prioritný majetok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Fondy tvorené podľa osobitných predpisov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10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 w:val="22"/>
                <w:szCs w:val="22"/>
              </w:rPr>
              <w:t>Fondy tvorené zo zisku</w:t>
            </w:r>
          </w:p>
        </w:tc>
      </w:tr>
      <w:tr>
        <w:trPr>
          <w:trHeight w:val="391" w:hRule="atLeas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100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>
        <w:trPr/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1" w:hRule="atLeast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podnadpis"/>
        <w:keepNext w:val="true"/>
        <w:numPr>
          <w:ilvl w:val="0"/>
          <w:numId w:val="4"/>
        </w:numPr>
        <w:bidi w:val="0"/>
        <w:ind w:left="0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Opis a vyčíslenie jednotlivých druhov fondov tvorených podľa osobitných predpisov.</w:t>
      </w:r>
    </w:p>
    <w:tbl>
      <w:tblPr>
        <w:tblW w:w="10157" w:type="dxa"/>
        <w:jc w:val="left"/>
        <w:tblInd w:w="-7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6"/>
        <w:gridCol w:w="2364"/>
        <w:gridCol w:w="1464"/>
        <w:gridCol w:w="1860"/>
        <w:gridCol w:w="1923"/>
      </w:tblGrid>
      <w:tr>
        <w:trPr/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>
        <w:trPr>
          <w:trHeight w:val="373" w:hRule="atLeast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07" w:hRule="atLeast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413" w:hRule="atLeast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keepNext w:val="true"/>
        <w:numPr>
          <w:ilvl w:val="0"/>
          <w:numId w:val="4"/>
        </w:numPr>
        <w:bidi w:val="0"/>
        <w:ind w:left="0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9890" w:type="dxa"/>
        <w:jc w:val="left"/>
        <w:tblInd w:w="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5245"/>
      </w:tblGrid>
      <w:tr>
        <w:trPr>
          <w:trHeight w:val="765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9"/>
              </w:tabs>
              <w:bidi w:val="0"/>
              <w:ind w:left="0" w:right="0" w:hanging="0"/>
              <w:rPr>
                <w:b w:val="false"/>
                <w:b w:val="false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ondov tvorených podľa osobitných predpisov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Prevod do sociálneho fondu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Prevod 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Iné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/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Prevod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/>
            </w:pPr>
            <w:r>
              <w:rPr>
                <w:color w:val="000000"/>
                <w:sz w:val="22"/>
                <w:szCs w:val="22"/>
              </w:rPr>
              <w:t>Iné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podnadpis"/>
        <w:numPr>
          <w:ilvl w:val="0"/>
          <w:numId w:val="4"/>
        </w:numPr>
        <w:bidi w:val="0"/>
        <w:ind w:left="0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10086" w:type="dxa"/>
        <w:jc w:val="left"/>
        <w:tblInd w:w="-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  <w:gridCol w:w="1801"/>
        <w:gridCol w:w="1354"/>
        <w:gridCol w:w="1465"/>
        <w:gridCol w:w="1493"/>
        <w:gridCol w:w="1728"/>
      </w:tblGrid>
      <w:tr>
        <w:trPr/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4" w:hRule="atLeast"/>
        </w:trPr>
        <w:tc>
          <w:tcPr>
            <w:tcW w:w="2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keepNext w:val="true"/>
        <w:numPr>
          <w:ilvl w:val="0"/>
          <w:numId w:val="4"/>
        </w:numPr>
        <w:bidi w:val="0"/>
        <w:ind w:left="142" w:right="0" w:hanging="142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10014" w:type="dxa"/>
        <w:jc w:val="left"/>
        <w:tblInd w:w="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21"/>
        <w:gridCol w:w="3080"/>
        <w:gridCol w:w="2513"/>
      </w:tblGrid>
      <w:tr>
        <w:trPr/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rPr/>
            </w:pPr>
            <w:r>
              <w:rPr>
                <w:b/>
                <w:sz w:val="22"/>
                <w:szCs w:val="22"/>
              </w:rPr>
              <w:t>Druh a opis významných položiek záväzkov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>
        <w:trPr/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keepNext w:val="true"/>
        <w:numPr>
          <w:ilvl w:val="0"/>
          <w:numId w:val="4"/>
        </w:numPr>
        <w:bidi w:val="0"/>
        <w:spacing w:before="240" w:after="120"/>
        <w:ind w:left="142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záväzkov do uplynutia lehoty splatnosti a po uplynutí lehoty splatnosti.</w:t>
      </w:r>
    </w:p>
    <w:tbl>
      <w:tblPr>
        <w:tblW w:w="9915" w:type="dxa"/>
        <w:jc w:val="left"/>
        <w:tblInd w:w="1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0"/>
        <w:gridCol w:w="2751"/>
        <w:gridCol w:w="3044"/>
      </w:tblGrid>
      <w:tr>
        <w:trPr>
          <w:trHeight w:val="608" w:hRule="atLeast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>
          <w:trHeight w:val="374" w:hRule="atLeast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</w:r>
          </w:p>
        </w:tc>
      </w:tr>
      <w:tr>
        <w:trPr>
          <w:trHeight w:val="374" w:hRule="atLeast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4" w:hRule="atLeast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numPr>
          <w:ilvl w:val="0"/>
          <w:numId w:val="4"/>
        </w:numPr>
        <w:bidi w:val="0"/>
        <w:spacing w:before="240" w:after="120"/>
        <w:ind w:left="142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9426" w:type="dxa"/>
        <w:jc w:val="left"/>
        <w:tblInd w:w="1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40"/>
        <w:gridCol w:w="3685"/>
      </w:tblGrid>
      <w:tr>
        <w:trPr>
          <w:trHeight w:val="447" w:hRule="atLeast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>
        <w:trPr>
          <w:trHeight w:val="510" w:hRule="atLeast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74" w:hRule="atLeast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4" w:hRule="atLeast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4" w:hRule="atLeast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57" w:hRule="atLeast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podnadpis"/>
        <w:numPr>
          <w:ilvl w:val="0"/>
          <w:numId w:val="4"/>
        </w:numPr>
        <w:bidi w:val="0"/>
        <w:spacing w:before="240" w:after="120"/>
        <w:ind w:left="142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9426" w:type="dxa"/>
        <w:jc w:val="left"/>
        <w:tblInd w:w="1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850"/>
        <w:gridCol w:w="1135"/>
        <w:gridCol w:w="1277"/>
        <w:gridCol w:w="1841"/>
        <w:gridCol w:w="1985"/>
      </w:tblGrid>
      <w:tr>
        <w:trPr/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>
        <w:trPr>
          <w:trHeight w:val="374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4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4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4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74" w:hRule="atLeast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podnadpis"/>
        <w:numPr>
          <w:ilvl w:val="0"/>
          <w:numId w:val="4"/>
        </w:numPr>
        <w:bidi w:val="0"/>
        <w:spacing w:before="240" w:after="120"/>
        <w:ind w:left="142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o významných položkách časového rozlíšenia výdavkov budúcich období.</w:t>
      </w:r>
    </w:p>
    <w:p>
      <w:pPr>
        <w:pStyle w:val="Normalpodnadpis"/>
        <w:keepNext w:val="true"/>
        <w:numPr>
          <w:ilvl w:val="0"/>
          <w:numId w:val="4"/>
        </w:numPr>
        <w:bidi w:val="0"/>
        <w:spacing w:before="0" w:after="120"/>
        <w:ind w:left="142" w:right="0" w:hanging="0"/>
        <w:rPr/>
      </w:pP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952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1"/>
        <w:gridCol w:w="2977"/>
        <w:gridCol w:w="3118"/>
      </w:tblGrid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bidi w:val="0"/>
        <w:spacing w:before="240" w:after="120"/>
        <w:ind w:left="142" w:right="0" w:hanging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52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1"/>
        <w:gridCol w:w="2977"/>
        <w:gridCol w:w="3118"/>
      </w:tblGrid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rPr/>
            </w:pPr>
            <w:r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keepNext w:val="true"/>
        <w:numPr>
          <w:ilvl w:val="0"/>
          <w:numId w:val="4"/>
        </w:numPr>
        <w:bidi w:val="0"/>
        <w:spacing w:before="240" w:after="120"/>
        <w:ind w:left="142" w:right="0" w:hanging="142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druhoch majetku a záväzkoch z lízingových zmlúv.</w:t>
      </w:r>
    </w:p>
    <w:tbl>
      <w:tblPr>
        <w:tblW w:w="10014" w:type="dxa"/>
        <w:jc w:val="left"/>
        <w:tblInd w:w="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7"/>
        <w:gridCol w:w="3082"/>
        <w:gridCol w:w="2515"/>
      </w:tblGrid>
      <w:tr>
        <w:trPr/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Druh majetku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Hodnota záväzku</w:t>
            </w:r>
          </w:p>
        </w:tc>
      </w:tr>
      <w:tr>
        <w:trPr/>
        <w:tc>
          <w:tcPr>
            <w:tcW w:w="4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keepNext w:val="true"/>
        <w:numPr>
          <w:ilvl w:val="0"/>
          <w:numId w:val="0"/>
        </w:numPr>
        <w:bidi w:val="0"/>
        <w:spacing w:before="240" w:after="120"/>
        <w:ind w:left="0" w:right="0" w:hanging="0"/>
        <w:jc w:val="center"/>
        <w:outlineLvl w:val="0"/>
        <w:rPr/>
      </w:pPr>
      <w:r>
        <w:rPr>
          <w:b/>
          <w:bCs/>
          <w:kern w:val="2"/>
          <w:sz w:val="22"/>
          <w:szCs w:val="22"/>
        </w:rPr>
        <w:t>Čl. IV</w:t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jc w:val="center"/>
        <w:outlineLvl w:val="1"/>
        <w:rPr/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>
      <w:pPr>
        <w:pStyle w:val="Normalpodnadpis"/>
        <w:numPr>
          <w:ilvl w:val="0"/>
          <w:numId w:val="5"/>
        </w:numPr>
        <w:bidi w:val="0"/>
        <w:spacing w:before="0" w:after="120"/>
        <w:ind w:left="284" w:right="0" w:hanging="284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10014" w:type="dxa"/>
        <w:jc w:val="left"/>
        <w:tblInd w:w="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54"/>
        <w:gridCol w:w="3081"/>
        <w:gridCol w:w="2379"/>
      </w:tblGrid>
      <w:tr>
        <w:trPr>
          <w:trHeight w:val="748" w:hRule="atLeast"/>
        </w:trPr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Druh a opis tržieb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>
        <w:trPr/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numPr>
          <w:ilvl w:val="0"/>
          <w:numId w:val="5"/>
        </w:numPr>
        <w:bidi w:val="0"/>
        <w:spacing w:before="240" w:after="120"/>
        <w:ind w:left="284" w:right="0" w:hanging="284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10014" w:type="dxa"/>
        <w:jc w:val="left"/>
        <w:tblInd w:w="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1"/>
        <w:gridCol w:w="2456"/>
        <w:gridCol w:w="2727"/>
      </w:tblGrid>
      <w:tr>
        <w:trPr/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keepNext w:val="true"/>
        <w:numPr>
          <w:ilvl w:val="0"/>
          <w:numId w:val="5"/>
        </w:numPr>
        <w:bidi w:val="0"/>
        <w:spacing w:before="240" w:after="120"/>
        <w:ind w:left="284" w:right="0" w:hanging="284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10014" w:type="dxa"/>
        <w:jc w:val="left"/>
        <w:tblInd w:w="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1"/>
        <w:gridCol w:w="2809"/>
        <w:gridCol w:w="2374"/>
      </w:tblGrid>
      <w:tr>
        <w:trPr/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keepNext w:val="true"/>
        <w:numPr>
          <w:ilvl w:val="0"/>
          <w:numId w:val="5"/>
        </w:numPr>
        <w:bidi w:val="0"/>
        <w:spacing w:before="240" w:after="120"/>
        <w:ind w:left="284" w:right="0" w:hanging="284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10014" w:type="dxa"/>
        <w:jc w:val="left"/>
        <w:tblInd w:w="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1"/>
        <w:gridCol w:w="2810"/>
        <w:gridCol w:w="2373"/>
      </w:tblGrid>
      <w:tr>
        <w:trPr/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4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numPr>
          <w:ilvl w:val="0"/>
          <w:numId w:val="5"/>
        </w:numPr>
        <w:bidi w:val="0"/>
        <w:spacing w:before="240" w:after="120"/>
        <w:ind w:left="0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10014" w:type="dxa"/>
        <w:jc w:val="left"/>
        <w:tblInd w:w="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7"/>
        <w:gridCol w:w="2393"/>
        <w:gridCol w:w="2374"/>
      </w:tblGrid>
      <w:tr>
        <w:trPr/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12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>
        <w:trPr/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podnadpis"/>
        <w:numPr>
          <w:ilvl w:val="0"/>
          <w:numId w:val="5"/>
        </w:numPr>
        <w:bidi w:val="0"/>
        <w:spacing w:before="240" w:after="120"/>
        <w:ind w:left="0" w:right="0" w:hanging="0"/>
        <w:rPr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10276" w:type="dxa"/>
        <w:jc w:val="left"/>
        <w:tblInd w:w="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7"/>
        <w:gridCol w:w="2241"/>
        <w:gridCol w:w="2268"/>
      </w:tblGrid>
      <w:tr>
        <w:trPr/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  <w:szCs w:val="22"/>
              </w:rPr>
              <w:t>Použitá suma z bežného účtovného obdobia</w:t>
            </w:r>
          </w:p>
        </w:tc>
      </w:tr>
      <w:tr>
        <w:trPr>
          <w:trHeight w:val="397" w:hRule="atLeast"/>
        </w:trPr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5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bidi w:val="0"/>
              <w:spacing w:before="0" w:after="0"/>
              <w:ind w:left="0" w:right="0" w:hanging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/>
            </w:pPr>
            <w:r>
              <w:rPr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podnadpis"/>
              <w:widowControl w:val="false"/>
              <w:tabs>
                <w:tab w:val="clear" w:pos="709"/>
              </w:tabs>
              <w:bidi w:val="0"/>
              <w:spacing w:before="0" w:after="0"/>
              <w:ind w:left="0" w:right="0" w:hanging="0"/>
              <w:jc w:val="left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Normalpodnadpis"/>
        <w:keepNext w:val="true"/>
        <w:numPr>
          <w:ilvl w:val="0"/>
          <w:numId w:val="0"/>
        </w:numPr>
        <w:bidi w:val="0"/>
        <w:spacing w:before="240" w:after="120"/>
        <w:ind w:left="0" w:right="0" w:hanging="0"/>
        <w:jc w:val="center"/>
        <w:outlineLvl w:val="0"/>
        <w:rPr/>
      </w:pPr>
      <w:r>
        <w:rPr>
          <w:b/>
          <w:bCs/>
          <w:kern w:val="2"/>
          <w:sz w:val="22"/>
          <w:szCs w:val="22"/>
        </w:rPr>
        <w:t>Čl. V</w:t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jc w:val="center"/>
        <w:outlineLvl w:val="1"/>
        <w:rPr/>
      </w:pPr>
      <w:r>
        <w:rPr>
          <w:b/>
          <w:bCs/>
          <w:sz w:val="22"/>
          <w:szCs w:val="22"/>
        </w:rPr>
        <w:t>Opis údajov na podsúvahových účtoch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240" w:after="120"/>
        <w:ind w:left="0" w:right="0" w:hanging="0"/>
        <w:jc w:val="center"/>
        <w:outlineLvl w:val="1"/>
        <w:rPr/>
      </w:pPr>
      <w:r>
        <w:rPr>
          <w:b/>
          <w:bCs/>
          <w:sz w:val="22"/>
          <w:szCs w:val="22"/>
        </w:rPr>
        <w:t>Čl. VI</w:t>
      </w:r>
    </w:p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jc w:val="center"/>
        <w:outlineLvl w:val="1"/>
        <w:rPr/>
      </w:pPr>
      <w:r>
        <w:rPr>
          <w:b/>
          <w:bCs/>
          <w:sz w:val="22"/>
          <w:szCs w:val="22"/>
        </w:rPr>
        <w:t>Ďalšie informácie</w:t>
      </w:r>
    </w:p>
    <w:p>
      <w:pPr>
        <w:pStyle w:val="Textopatrenia"/>
        <w:numPr>
          <w:ilvl w:val="0"/>
          <w:numId w:val="3"/>
        </w:numPr>
        <w:bidi w:val="0"/>
        <w:ind w:left="0" w:right="0" w:hanging="0"/>
        <w:rPr/>
      </w:pPr>
      <w:r>
        <w:rPr/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numPr>
          <w:ilvl w:val="0"/>
          <w:numId w:val="3"/>
        </w:numPr>
        <w:bidi w:val="0"/>
        <w:ind w:left="0" w:right="0" w:hanging="0"/>
        <w:rPr/>
      </w:pPr>
      <w:r>
        <w:rPr/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3"/>
        </w:numPr>
        <w:bidi w:val="0"/>
        <w:ind w:left="0" w:right="0" w:hanging="0"/>
        <w:rPr/>
      </w:pPr>
      <w:r>
        <w:rPr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3"/>
        </w:numPr>
        <w:bidi w:val="0"/>
        <w:ind w:left="0" w:right="0" w:hanging="0"/>
        <w:rPr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numPr>
          <w:ilvl w:val="0"/>
          <w:numId w:val="3"/>
        </w:numPr>
        <w:bidi w:val="0"/>
        <w:ind w:left="0" w:right="0" w:hanging="0"/>
        <w:rPr/>
      </w:pPr>
      <w:r>
        <w:rPr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3"/>
        </w:numPr>
        <w:bidi w:val="0"/>
        <w:ind w:left="0" w:right="0" w:hanging="0"/>
        <w:rPr/>
      </w:pPr>
      <w:r>
        <w:rPr/>
        <w:t>a) povinnosť z devízových termínovaných obchodov a iných finančných derivátov,</w:t>
      </w:r>
    </w:p>
    <w:p>
      <w:pPr>
        <w:pStyle w:val="Textopatrenia"/>
        <w:numPr>
          <w:ilvl w:val="0"/>
          <w:numId w:val="3"/>
        </w:numPr>
        <w:bidi w:val="0"/>
        <w:ind w:left="0" w:right="0" w:hanging="0"/>
        <w:rPr/>
      </w:pPr>
      <w:r>
        <w:rPr/>
        <w:t>b) povinnosť z opčných obchodov,</w:t>
      </w:r>
    </w:p>
    <w:p>
      <w:pPr>
        <w:pStyle w:val="Textopatrenia"/>
        <w:numPr>
          <w:ilvl w:val="0"/>
          <w:numId w:val="3"/>
        </w:numPr>
        <w:bidi w:val="0"/>
        <w:ind w:left="0" w:right="0" w:hanging="0"/>
        <w:rPr/>
      </w:pPr>
      <w:r>
        <w:rPr/>
        <w:t>c) zákonná povinnosť alebo zmluvná povinnosť odobrať určité produkty alebo služby, napríklad z dodávateľských zmlúv alebo odberateľských zmlúv,</w:t>
      </w:r>
    </w:p>
    <w:p>
      <w:pPr>
        <w:pStyle w:val="Textopatrenia"/>
        <w:numPr>
          <w:ilvl w:val="0"/>
          <w:numId w:val="3"/>
        </w:numPr>
        <w:bidi w:val="0"/>
        <w:ind w:left="0" w:right="0" w:hanging="0"/>
        <w:rPr/>
      </w:pPr>
      <w:r>
        <w:rPr/>
        <w:t>d) povinnosť z lízingových zmlúv, nájomných zmlúv, servisných zmlúv, poistných zmlúv, koncesionárskych zmlúv, licenčných zmlúv a podobných zmlúv,</w:t>
      </w:r>
    </w:p>
    <w:p>
      <w:pPr>
        <w:pStyle w:val="Textopatrenia"/>
        <w:numPr>
          <w:ilvl w:val="0"/>
          <w:numId w:val="3"/>
        </w:numPr>
        <w:bidi w:val="0"/>
        <w:ind w:left="0" w:right="0" w:hanging="0"/>
        <w:rPr/>
      </w:pPr>
      <w:r>
        <w:rPr/>
        <w:t>e) iné povinnosti.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>
      <w:pPr>
        <w:pStyle w:val="Normalpodnadpis"/>
        <w:bidi w:val="0"/>
        <w:spacing w:before="0" w:after="120"/>
        <w:ind w:left="0" w:right="0" w:hanging="0"/>
        <w:rPr/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sectPr>
      <w:headerReference w:type="first" r:id="rId2"/>
      <w:footerReference w:type="default" r:id="rId3"/>
      <w:footerReference w:type="first" r:id="rId4"/>
      <w:type w:val="nextPage"/>
      <w:pgSz w:w="11906" w:h="16838"/>
      <w:pgMar w:left="993" w:right="851" w:header="709" w:top="709" w:footer="709" w:bottom="851" w:gutter="0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widowControl/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/>
        <w:sz w:val="20"/>
        <w:szCs w:val="24"/>
        <w:lang w:val="sk-SK" w:eastAsia="cs-CZ" w:bidi="ar-SA"/>
      </w:rPr>
      <w:t xml:space="preserve">Strana </w:t>
    </w:r>
    <w:r>
      <w:rPr>
        <w:rFonts w:cs="Arial"/>
        <w:sz w:val="20"/>
        <w:szCs w:val="24"/>
        <w:lang w:val="sk-SK" w:eastAsia="sk-SK" w:bidi="ar-SA"/>
      </w:rPr>
      <w:fldChar w:fldCharType="begin"/>
    </w:r>
    <w:r>
      <w:rPr>
        <w:sz w:val="20"/>
        <w:szCs w:val="24"/>
        <w:rFonts w:cs="Arial"/>
        <w:lang w:val="sk-SK" w:eastAsia="sk-SK" w:bidi="ar-SA"/>
      </w:rPr>
      <w:instrText> PAGE </w:instrText>
    </w:r>
    <w:r>
      <w:rPr>
        <w:sz w:val="20"/>
        <w:szCs w:val="24"/>
        <w:rFonts w:cs="Arial"/>
        <w:lang w:val="sk-SK" w:eastAsia="sk-SK" w:bidi="ar-SA"/>
      </w:rPr>
      <w:fldChar w:fldCharType="separate"/>
    </w:r>
    <w:r>
      <w:rPr>
        <w:sz w:val="20"/>
        <w:szCs w:val="24"/>
        <w:rFonts w:cs="Arial"/>
        <w:lang w:val="sk-SK" w:eastAsia="sk-SK" w:bidi="ar-SA"/>
      </w:rPr>
      <w:t>10</w:t>
    </w:r>
    <w:r>
      <w:rPr>
        <w:sz w:val="20"/>
        <w:szCs w:val="24"/>
        <w:rFonts w:cs="Arial"/>
        <w:lang w:val="sk-SK" w:eastAsia="sk-SK" w:bidi="ar-SA"/>
      </w:rPr>
      <w:fldChar w:fldCharType="end"/>
    </w:r>
  </w:p>
  <w:p>
    <w:pPr>
      <w:pStyle w:val="Pta"/>
      <w:widowControl/>
      <w:tabs>
        <w:tab w:val="clear" w:pos="4536"/>
        <w:tab w:val="clear" w:pos="9072"/>
        <w:tab w:val="center" w:pos="5102" w:leader="none"/>
        <w:tab w:val="right" w:pos="10204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widowControl/>
      <w:bidi w:val="0"/>
      <w:spacing w:lineRule="auto" w:line="360" w:before="120" w:after="120"/>
      <w:ind w:left="0" w:right="0" w:hanging="0"/>
      <w:jc w:val="right"/>
      <w:textAlignment w:val="auto"/>
      <w:rPr>
        <w:lang w:val="sk-SK"/>
      </w:rPr>
    </w:pPr>
    <w:r>
      <w:rPr>
        <w:rFonts w:cs="Arial"/>
        <w:sz w:val="20"/>
        <w:szCs w:val="24"/>
        <w:lang w:val="sk-SK" w:eastAsia="cs-CZ" w:bidi="ar-SA"/>
      </w:rPr>
      <w:t>Strana 7</w:t>
    </w:r>
  </w:p>
  <w:p>
    <w:pPr>
      <w:pStyle w:val="Pta"/>
      <w:widowControl/>
      <w:bidi w:val="0"/>
      <w:spacing w:lineRule="auto" w:line="360" w:before="120" w:after="120"/>
      <w:ind w:left="0" w:right="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widowControl/>
      <w:bidi w:val="0"/>
      <w:spacing w:lineRule="auto" w:line="360" w:before="120" w:after="120"/>
      <w:ind w:left="0" w:right="0" w:hanging="0"/>
      <w:jc w:val="right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</w:p>
  <w:p>
    <w:pPr>
      <w:pStyle w:val="Zhlavie"/>
      <w:widowControl/>
      <w:bidi w:val="0"/>
      <w:spacing w:lineRule="auto" w:line="360" w:before="120" w:after="120"/>
      <w:ind w:left="0" w:right="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K bodu %1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sz w:val="22"/>
        <w:b/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sk-SK" w:eastAsia="zh-CN" w:bidi="hi-IN"/>
    </w:rPr>
  </w:style>
  <w:style w:type="paragraph" w:styleId="Nadpis2">
    <w:name w:val="Heading 2"/>
    <w:basedOn w:val="Normalpodnadpis"/>
    <w:qFormat/>
    <w:pPr>
      <w:keepNext w:val="true"/>
      <w:spacing w:before="240" w:after="60"/>
      <w:outlineLvl w:val="1"/>
    </w:pPr>
    <w:rPr>
      <w:b/>
      <w:bCs/>
      <w:i/>
      <w:iCs/>
      <w:sz w:val="28"/>
      <w:szCs w:val="28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/>
      <w:b/>
      <w:bCs/>
      <w:szCs w:val="20"/>
      <w:lang w:eastAsia="sk-SK"/>
    </w:rPr>
  </w:style>
  <w:style w:type="character" w:styleId="PtaChar">
    <w:name w:val="Päta Char"/>
    <w:basedOn w:val="DefaultParagraphFont"/>
    <w:qFormat/>
    <w:rPr>
      <w:rFonts w:ascii="Arial" w:hAnsi="Arial"/>
      <w:sz w:val="24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</w:rPr>
  </w:style>
  <w:style w:type="character" w:styleId="HlavikaChar">
    <w:name w:val="Hlavička Char"/>
    <w:basedOn w:val="DefaultParagraphFont"/>
    <w:qFormat/>
    <w:rPr>
      <w:sz w:val="24"/>
    </w:rPr>
  </w:style>
  <w:style w:type="character" w:styleId="Annotationreference">
    <w:name w:val="annotation reference"/>
    <w:basedOn w:val="DefaultParagraphFont"/>
    <w:qFormat/>
    <w:rPr>
      <w:rFonts w:cs="Times New Roman"/>
      <w:sz w:val="16"/>
      <w:szCs w:val="16"/>
    </w:rPr>
  </w:style>
  <w:style w:type="character" w:styleId="TextkomentraChar">
    <w:name w:val="Text komentára Char"/>
    <w:basedOn w:val="DefaultParagraphFont"/>
    <w:qFormat/>
    <w:rPr/>
  </w:style>
  <w:style w:type="character" w:styleId="PredmetkomentraChar">
    <w:name w:val="Predmet komentára Char"/>
    <w:basedOn w:val="TextkomentraChar"/>
    <w:qFormat/>
    <w:rPr>
      <w:b/>
      <w:bCs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podnadpis">
    <w:name w:val="Normal,podnadpis"/>
    <w:qFormat/>
    <w:pPr>
      <w:widowControl/>
      <w:suppressAutoHyphens w:val="true"/>
      <w:bidi w:val="0"/>
      <w:spacing w:lineRule="auto" w:line="360" w:before="120" w:after="120"/>
      <w:jc w:val="both"/>
      <w:textAlignment w:val="auto"/>
    </w:pPr>
    <w:rPr>
      <w:rFonts w:ascii="Arial Narrow" w:hAnsi="Arial Narrow" w:eastAsia="Cambria Math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spacing w:lineRule="auto" w:line="240"/>
      <w:jc w:val="center"/>
      <w:outlineLvl w:val="0"/>
    </w:pPr>
    <w:rPr>
      <w:b/>
      <w:bCs/>
      <w:lang w:eastAsia="sk-SK"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Cambria Math" w:cs="Times New Roman"/>
      <w:color w:val="auto"/>
      <w:kern w:val="2"/>
      <w:sz w:val="20"/>
      <w:szCs w:val="20"/>
      <w:lang w:val="sk-SK" w:eastAsia="sk-SK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suppressAutoHyphens w:val="true"/>
      <w:bidi w:val="0"/>
      <w:spacing w:lineRule="auto" w:line="360" w:before="0" w:after="0"/>
      <w:jc w:val="both"/>
      <w:textAlignment w:val="auto"/>
    </w:pPr>
    <w:rPr>
      <w:rFonts w:ascii="Arial" w:hAnsi="Arial" w:eastAsia="Cambria Math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ind w:left="108" w:hanging="0"/>
    </w:pPr>
    <w:rPr/>
  </w:style>
  <w:style w:type="paragraph" w:styleId="Bododvodnenie">
    <w:name w:val="Bod odôvodnenie"/>
    <w:qFormat/>
    <w:pPr>
      <w:widowControl/>
      <w:numPr>
        <w:ilvl w:val="0"/>
        <w:numId w:val="1"/>
      </w:numPr>
      <w:tabs>
        <w:tab w:val="clear" w:pos="709"/>
        <w:tab w:val="left" w:pos="0" w:leader="none"/>
      </w:tabs>
      <w:suppressAutoHyphens w:val="true"/>
      <w:bidi w:val="0"/>
      <w:spacing w:before="120" w:after="120"/>
      <w:jc w:val="left"/>
      <w:textAlignment w:val="auto"/>
    </w:pPr>
    <w:rPr>
      <w:rFonts w:ascii="Arial" w:hAnsi="Arial" w:eastAsia="Cambria Math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suppressAutoHyphens w:val="true"/>
      <w:bidi w:val="0"/>
      <w:spacing w:before="0" w:after="0"/>
      <w:jc w:val="both"/>
      <w:textAlignment w:val="auto"/>
    </w:pPr>
    <w:rPr>
      <w:rFonts w:ascii="Arial" w:hAnsi="Arial" w:eastAsia="Cambria Math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numPr>
        <w:ilvl w:val="0"/>
        <w:numId w:val="2"/>
      </w:numPr>
      <w:tabs>
        <w:tab w:val="clear" w:pos="709"/>
        <w:tab w:val="left" w:pos="0" w:leader="none"/>
      </w:tabs>
      <w:spacing w:lineRule="auto" w:line="240"/>
    </w:pPr>
    <w:rPr/>
  </w:style>
  <w:style w:type="paragraph" w:styleId="TableGrid">
    <w:name w:val="Table Grid"/>
    <w:basedOn w:val="NormalTable"/>
    <w:qFormat/>
    <w:pPr>
      <w:spacing w:lineRule="auto" w:line="240" w:before="0" w:after="0"/>
      <w:jc w:val="left"/>
    </w:pPr>
    <w:rPr>
      <w:rFonts w:ascii="Arial" w:hAnsi="Arial"/>
      <w:szCs w:val="20"/>
      <w:lang w:eastAsia="sk-SK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podnadpis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Normlny1">
    <w:name w:val="Normálny1"/>
    <w:qFormat/>
    <w:pPr>
      <w:widowControl/>
      <w:suppressAutoHyphens w:val="true"/>
      <w:bidi w:val="0"/>
      <w:spacing w:lineRule="auto" w:line="360" w:before="120" w:after="120"/>
      <w:ind w:firstLine="709"/>
      <w:jc w:val="both"/>
      <w:textAlignment w:val="auto"/>
    </w:pPr>
    <w:rPr>
      <w:rFonts w:ascii="Arial" w:hAnsi="Arial" w:eastAsia="Cambria Math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numPr>
        <w:ilvl w:val="0"/>
        <w:numId w:val="3"/>
      </w:numPr>
      <w:tabs>
        <w:tab w:val="clear" w:pos="709"/>
        <w:tab w:val="left" w:pos="1440" w:leader="none"/>
      </w:tabs>
      <w:suppressAutoHyphens w:val="true"/>
      <w:bidi w:val="0"/>
      <w:spacing w:before="120" w:after="120"/>
      <w:ind w:left="1440" w:hanging="360"/>
      <w:jc w:val="both"/>
      <w:textAlignment w:val="auto"/>
    </w:pPr>
    <w:rPr>
      <w:rFonts w:ascii="Arial Narrow" w:hAnsi="Arial Narrow" w:eastAsia="Cambria Math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spacing w:lineRule="auto" w:line="240" w:before="0" w:after="0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podnadpis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hlavie">
    <w:name w:val="Header"/>
    <w:basedOn w:val="Normalpodnadpis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Annotationtext">
    <w:name w:val="annotation text"/>
    <w:basedOn w:val="Normalpodnadpis"/>
    <w:qFormat/>
    <w:pPr/>
    <w:rPr>
      <w:szCs w:val="20"/>
    </w:rPr>
  </w:style>
  <w:style w:type="paragraph" w:styleId="Annotationsubject">
    <w:name w:val="annotation subject"/>
    <w:basedOn w:val="Annotationtext"/>
    <w:qFormat/>
    <w:pPr/>
    <w:rPr>
      <w:b/>
      <w:bCs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LibreOffice/7.0.4.2$Windows_X86_64 LibreOffice_project/dcf040e67528d9187c66b2379df5ea4407429775</Application>
  <AppVersion>15.0000</AppVersion>
  <Pages>10</Pages>
  <Words>1923</Words>
  <Characters>11974</Characters>
  <CharactersWithSpaces>13643</CharactersWithSpaces>
  <Paragraphs>251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2022-01-25T09:15:00Z</dcterms:created>
  <dc:creator>jvrskova</dc:creator>
  <dc:description/>
  <dc:language>sk-SK</dc:language>
  <cp:lastModifiedBy/>
  <cp:lastPrinted>2021-09-13T09:31:00Z</cp:lastPrinted>
  <dcterms:modified xsi:type="dcterms:W3CDTF">2025-06-26T17:01:55Z</dcterms:modified>
  <cp:revision>4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Salkovicova Ingrid</vt:lpwstr>
  </property>
</Properties>
</file>