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68A2F" w14:textId="77777777" w:rsidR="008E72AA" w:rsidRDefault="008E72A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 w:line="240" w:lineRule="auto"/>
        <w:ind w:left="0" w:hanging="2"/>
        <w:jc w:val="center"/>
        <w:rPr>
          <w:rFonts w:ascii="Arial Narrow" w:eastAsia="Arial Narrow" w:hAnsi="Arial Narrow" w:cs="Arial Narrow"/>
          <w:b/>
        </w:rPr>
      </w:pPr>
    </w:p>
    <w:p w14:paraId="05FFF05D" w14:textId="0B98255D" w:rsidR="008E72AA" w:rsidRDefault="00257E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after="120"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</w:rPr>
      </w:pPr>
      <w:r>
        <w:rPr>
          <w:rFonts w:ascii="Arial Narrow" w:eastAsia="Arial Narrow" w:hAnsi="Arial Narrow" w:cs="Arial Narrow"/>
          <w:b/>
          <w:color w:val="000000"/>
        </w:rPr>
        <w:t>POZNÁMKY K ÚČTOVNEJ ZÁVIERKE 20</w:t>
      </w:r>
      <w:r>
        <w:rPr>
          <w:rFonts w:ascii="Arial Narrow" w:eastAsia="Arial Narrow" w:hAnsi="Arial Narrow" w:cs="Arial Narrow"/>
          <w:b/>
        </w:rPr>
        <w:t>24</w:t>
      </w:r>
    </w:p>
    <w:p w14:paraId="46B4D79B" w14:textId="77777777" w:rsidR="008E72AA" w:rsidRDefault="00257E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zostavené podľa Opatrenia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22C03B83" w14:textId="77777777" w:rsidR="008E72AA" w:rsidRDefault="00257EE7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pre m</w:t>
      </w:r>
      <w:r>
        <w:rPr>
          <w:rFonts w:ascii="Arial Narrow" w:eastAsia="Arial Narrow" w:hAnsi="Arial Narrow" w:cs="Arial Narrow"/>
          <w:b/>
          <w:sz w:val="22"/>
          <w:szCs w:val="22"/>
        </w:rPr>
        <w:t>alé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účtovn</w:t>
      </w:r>
      <w:r>
        <w:rPr>
          <w:rFonts w:ascii="Arial Narrow" w:eastAsia="Arial Narrow" w:hAnsi="Arial Narrow" w:cs="Arial Narrow"/>
          <w:b/>
          <w:sz w:val="22"/>
          <w:szCs w:val="22"/>
        </w:rPr>
        <w:t>é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3B7E123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044DFAC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 – VŠEOBECNÉ INFORMÁCIE</w:t>
      </w:r>
    </w:p>
    <w:p w14:paraId="6D4588CC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F9DE69C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Základné informácie o účtovnej jednotke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p w14:paraId="07A4B123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b"/>
        <w:tblW w:w="960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636"/>
        <w:gridCol w:w="6969"/>
      </w:tblGrid>
      <w:tr w:rsidR="008E72AA" w14:paraId="1C02BEE6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C439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Obchodné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AA4D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AGRO ZOBOR, </w:t>
            </w:r>
            <w:proofErr w:type="spellStart"/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>družstvo</w:t>
            </w:r>
            <w:proofErr w:type="spellEnd"/>
          </w:p>
        </w:tc>
      </w:tr>
      <w:tr w:rsidR="008E72AA" w14:paraId="5C99DCD9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3B8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Sídlo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3F7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Preseľany</w:t>
            </w:r>
            <w:proofErr w:type="spellEnd"/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55, 956 12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Preseľany</w:t>
            </w:r>
            <w:proofErr w:type="spellEnd"/>
          </w:p>
        </w:tc>
      </w:tr>
      <w:tr w:rsidR="008E72AA" w14:paraId="37A1D050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4D2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Právna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forma:</w:t>
            </w:r>
          </w:p>
        </w:tc>
        <w:tc>
          <w:tcPr>
            <w:tcW w:w="6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E55E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družstvo</w:t>
            </w:r>
            <w:proofErr w:type="spellEnd"/>
          </w:p>
        </w:tc>
      </w:tr>
      <w:tr w:rsidR="008E72AA" w14:paraId="0BC00628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55C167A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Dátum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vzniku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77B23C4B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Zápis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obchodného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registra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 29.07.2020</w:t>
            </w:r>
          </w:p>
        </w:tc>
      </w:tr>
      <w:tr w:rsidR="008E72AA" w14:paraId="0B70968E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0B8D83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Hlavný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predmet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podnikania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2E4B8BD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" w:eastAsia="Arial" w:hAnsi="Arial" w:cs="Arial"/>
                <w:highlight w:val="white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Prenájom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nehnuteľností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bytových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nebytových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priestorov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>,</w:t>
            </w:r>
          </w:p>
          <w:p w14:paraId="2340E3D1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highlight w:val="white"/>
              </w:rPr>
              <w:t>poľnohospodárstvo</w:t>
            </w:r>
            <w:proofErr w:type="spellEnd"/>
            <w:r>
              <w:rPr>
                <w:rFonts w:ascii="Arial" w:eastAsia="Arial" w:hAnsi="Arial" w:cs="Arial"/>
                <w:highlight w:val="white"/>
              </w:rPr>
              <w:t xml:space="preserve"> a </w:t>
            </w:r>
            <w:proofErr w:type="spellStart"/>
            <w:r>
              <w:rPr>
                <w:rFonts w:ascii="Arial" w:eastAsia="Arial" w:hAnsi="Arial" w:cs="Arial"/>
                <w:highlight w:val="white"/>
              </w:rPr>
              <w:t>lesníctvo</w:t>
            </w:r>
            <w:proofErr w:type="spellEnd"/>
          </w:p>
        </w:tc>
      </w:tr>
      <w:tr w:rsidR="008E72AA" w14:paraId="4C7E7887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94C7FF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Subjekt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8" w:space="0" w:color="000000"/>
            </w:tcBorders>
          </w:tcPr>
          <w:p w14:paraId="06D5A097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Spoločnosť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 xml:space="preserve">AGRO ZOBOR, </w:t>
            </w:r>
            <w:proofErr w:type="spellStart"/>
            <w:r>
              <w:rPr>
                <w:rFonts w:ascii="Arial Narrow" w:eastAsia="Arial Narrow" w:hAnsi="Arial Narrow" w:cs="Arial Narrow"/>
                <w:sz w:val="22"/>
                <w:szCs w:val="22"/>
              </w:rPr>
              <w:t>družstvo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je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subjektom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verejného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záujmu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(§ 2/14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).</w:t>
            </w:r>
          </w:p>
        </w:tc>
      </w:tr>
      <w:tr w:rsidR="008E72AA" w14:paraId="3648749E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2AB4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obdobie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6969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14:paraId="54D2CE7D" w14:textId="3E7CBCDB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Kalendárny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20</w:t>
            </w: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  <w:r>
              <w:rPr>
                <w:rFonts w:ascii="Arial Narrow" w:eastAsia="Arial Narrow" w:hAnsi="Arial Narrow" w:cs="Arial Narrow"/>
              </w:rPr>
              <w:t>4</w:t>
            </w:r>
          </w:p>
        </w:tc>
      </w:tr>
    </w:tbl>
    <w:p w14:paraId="14AE97C2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900B676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25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)</w:t>
      </w:r>
    </w:p>
    <w:p w14:paraId="7B647D31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(Do veľkostnej skupiny mal</w:t>
      </w:r>
      <w:r>
        <w:rPr>
          <w:rFonts w:ascii="Arial Narrow" w:eastAsia="Arial Narrow" w:hAnsi="Arial Narrow" w:cs="Arial Narrow"/>
          <w:sz w:val="22"/>
          <w:szCs w:val="22"/>
        </w:rPr>
        <w:t>á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účtovná jednotka patrí taká, ktorá za dve po sebe idúce účtovné obdobia spĺňa aspoň dve z troch podmienok – suma netto aktív presiahla 350 000 eur, ale nepresiahla 4 000 000 eur, čistý obrat presiahol 700 000 eur, ale nepresiahol 8 000 000 eur a priemerný prepočítaný počet zamestnancov počas účtovného obdobia presiahol 10, ale nepresiahol 50).  </w:t>
      </w:r>
    </w:p>
    <w:p w14:paraId="5923C712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tbl>
      <w:tblPr>
        <w:tblStyle w:val="ac"/>
        <w:tblW w:w="9568" w:type="dxa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76"/>
      </w:tblGrid>
      <w:tr w:rsidR="008E72AA" w14:paraId="7D3B8A59" w14:textId="77777777">
        <w:tc>
          <w:tcPr>
            <w:tcW w:w="2197" w:type="dxa"/>
          </w:tcPr>
          <w:p w14:paraId="4C98EA8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2835" w:type="dxa"/>
          </w:tcPr>
          <w:p w14:paraId="216B54CE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3260" w:type="dxa"/>
          </w:tcPr>
          <w:p w14:paraId="2DA1290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1276" w:type="dxa"/>
          </w:tcPr>
          <w:p w14:paraId="1AB06C6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Áno</w:t>
            </w:r>
            <w:proofErr w:type="gram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/Nie</w:t>
            </w:r>
          </w:p>
        </w:tc>
      </w:tr>
      <w:tr w:rsidR="008E72AA" w14:paraId="08379B0B" w14:textId="77777777">
        <w:tc>
          <w:tcPr>
            <w:tcW w:w="2197" w:type="dxa"/>
          </w:tcPr>
          <w:p w14:paraId="70377DD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Netto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aktíva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celkom</w:t>
            </w:r>
            <w:proofErr w:type="spellEnd"/>
          </w:p>
        </w:tc>
        <w:tc>
          <w:tcPr>
            <w:tcW w:w="2835" w:type="dxa"/>
          </w:tcPr>
          <w:p w14:paraId="1BE40869" w14:textId="505EAE7A" w:rsidR="008E72AA" w:rsidRDefault="00746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695 601</w:t>
            </w:r>
          </w:p>
        </w:tc>
        <w:tc>
          <w:tcPr>
            <w:tcW w:w="3260" w:type="dxa"/>
          </w:tcPr>
          <w:p w14:paraId="1623737F" w14:textId="586CA4A5" w:rsidR="008E72AA" w:rsidRDefault="00D6153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746C5E">
              <w:rPr>
                <w:rFonts w:ascii="Arial Narrow" w:eastAsia="Arial Narrow" w:hAnsi="Arial Narrow" w:cs="Arial Narrow"/>
              </w:rPr>
              <w:t> 053 058</w:t>
            </w:r>
          </w:p>
        </w:tc>
        <w:tc>
          <w:tcPr>
            <w:tcW w:w="1276" w:type="dxa"/>
          </w:tcPr>
          <w:p w14:paraId="6912905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Nie</w:t>
            </w:r>
          </w:p>
        </w:tc>
      </w:tr>
      <w:tr w:rsidR="008E72AA" w14:paraId="6C27B5EA" w14:textId="77777777">
        <w:tc>
          <w:tcPr>
            <w:tcW w:w="2197" w:type="dxa"/>
          </w:tcPr>
          <w:p w14:paraId="5843B52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Čistý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obrat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celkom</w:t>
            </w:r>
            <w:proofErr w:type="spellEnd"/>
          </w:p>
        </w:tc>
        <w:tc>
          <w:tcPr>
            <w:tcW w:w="2835" w:type="dxa"/>
          </w:tcPr>
          <w:p w14:paraId="3888C5C6" w14:textId="17653DB3" w:rsidR="008E72AA" w:rsidRDefault="008D4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210 653</w:t>
            </w:r>
          </w:p>
        </w:tc>
        <w:tc>
          <w:tcPr>
            <w:tcW w:w="3260" w:type="dxa"/>
          </w:tcPr>
          <w:p w14:paraId="72181066" w14:textId="05D7C4AC" w:rsidR="008E72AA" w:rsidRDefault="00746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575 178</w:t>
            </w:r>
          </w:p>
        </w:tc>
        <w:tc>
          <w:tcPr>
            <w:tcW w:w="1276" w:type="dxa"/>
          </w:tcPr>
          <w:p w14:paraId="203A003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Nie</w:t>
            </w:r>
          </w:p>
        </w:tc>
      </w:tr>
      <w:tr w:rsidR="008E72AA" w14:paraId="70A2AF02" w14:textId="77777777">
        <w:tc>
          <w:tcPr>
            <w:tcW w:w="2197" w:type="dxa"/>
          </w:tcPr>
          <w:p w14:paraId="4A7AD415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zamestnancov</w:t>
            </w:r>
            <w:proofErr w:type="spellEnd"/>
          </w:p>
        </w:tc>
        <w:tc>
          <w:tcPr>
            <w:tcW w:w="2835" w:type="dxa"/>
          </w:tcPr>
          <w:p w14:paraId="6527100E" w14:textId="77D1436B" w:rsidR="008E72AA" w:rsidRDefault="008D407C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269FCE8A" w14:textId="4E666F35" w:rsidR="008E72AA" w:rsidRDefault="00746C5E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5</w:t>
            </w:r>
          </w:p>
        </w:tc>
        <w:tc>
          <w:tcPr>
            <w:tcW w:w="1276" w:type="dxa"/>
          </w:tcPr>
          <w:p w14:paraId="5BC35BB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Nie</w:t>
            </w:r>
          </w:p>
        </w:tc>
      </w:tr>
    </w:tbl>
    <w:p w14:paraId="2C20C1A9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FB23374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UJ nespĺňa veľkostné podmienky na zatriedenie do veľkostnej skupiny –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malá účtovná jednotka</w:t>
      </w:r>
      <w:r>
        <w:rPr>
          <w:rFonts w:ascii="Arial Narrow" w:eastAsia="Arial Narrow" w:hAnsi="Arial Narrow" w:cs="Arial Narrow"/>
          <w:b/>
          <w:sz w:val="22"/>
          <w:szCs w:val="22"/>
        </w:rPr>
        <w:t xml:space="preserve">.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Účtovná jednotka sa rozhodla zostaviť účtovnú závierku podľa metodiky pre túto veľkostnú skupinu (Opatrenie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č.MF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/23378/2014-74).</w:t>
      </w:r>
    </w:p>
    <w:p w14:paraId="726CD8C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4C5635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Dátum schválenia účtovnej závierky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sz w:val="22"/>
          <w:szCs w:val="22"/>
        </w:rPr>
        <w:t>spoločnosť nemala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bezprostredne predchádzajúce účtovné obdobie</w:t>
      </w:r>
    </w:p>
    <w:p w14:paraId="338210F3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1FD10129" w14:textId="2BE80034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Právny dôvod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na zostavenie účtovnej závierky: riadna účtovná závierka k 31.12.20</w:t>
      </w:r>
      <w:r>
        <w:rPr>
          <w:rFonts w:ascii="Arial Narrow" w:eastAsia="Arial Narrow" w:hAnsi="Arial Narrow" w:cs="Arial Narrow"/>
          <w:sz w:val="22"/>
          <w:szCs w:val="22"/>
        </w:rPr>
        <w:t>24</w:t>
      </w:r>
    </w:p>
    <w:p w14:paraId="3026554A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9A2D817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Údaje o skupine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účtovných jednotiek v súvislosti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 konsolidáciou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konsolidovaná účtovná závierka sa nezostavuje</w:t>
      </w:r>
    </w:p>
    <w:p w14:paraId="0748CCE4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EE8F4D6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</w:t>
      </w:r>
    </w:p>
    <w:tbl>
      <w:tblPr>
        <w:tblStyle w:val="ad"/>
        <w:tblW w:w="974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67"/>
      </w:tblGrid>
      <w:tr w:rsidR="008E72AA" w14:paraId="6620A070" w14:textId="77777777">
        <w:trPr>
          <w:trHeight w:val="537"/>
        </w:trPr>
        <w:tc>
          <w:tcPr>
            <w:tcW w:w="4857" w:type="dxa"/>
            <w:vAlign w:val="center"/>
          </w:tcPr>
          <w:p w14:paraId="1A057D7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right="459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2523" w:type="dxa"/>
            <w:vAlign w:val="center"/>
          </w:tcPr>
          <w:p w14:paraId="5FAA781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Bežné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  <w:tc>
          <w:tcPr>
            <w:tcW w:w="2367" w:type="dxa"/>
            <w:vAlign w:val="center"/>
          </w:tcPr>
          <w:p w14:paraId="29CE3053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Bezprostredne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predchádzajúce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účtovné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obdobie</w:t>
            </w:r>
            <w:proofErr w:type="spellEnd"/>
          </w:p>
        </w:tc>
      </w:tr>
      <w:tr w:rsidR="008E72AA" w14:paraId="6662783C" w14:textId="77777777">
        <w:trPr>
          <w:trHeight w:val="163"/>
        </w:trPr>
        <w:tc>
          <w:tcPr>
            <w:tcW w:w="4857" w:type="dxa"/>
          </w:tcPr>
          <w:p w14:paraId="0CB7E30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Priemerný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prepočítaný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počas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účtovného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obdobia</w:t>
            </w:r>
            <w:proofErr w:type="spellEnd"/>
          </w:p>
        </w:tc>
        <w:tc>
          <w:tcPr>
            <w:tcW w:w="2523" w:type="dxa"/>
          </w:tcPr>
          <w:p w14:paraId="058E0E97" w14:textId="1BAC0730" w:rsidR="008E72AA" w:rsidRDefault="00A41215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1,5</w:t>
            </w:r>
          </w:p>
        </w:tc>
        <w:tc>
          <w:tcPr>
            <w:tcW w:w="2367" w:type="dxa"/>
          </w:tcPr>
          <w:p w14:paraId="35D2786B" w14:textId="0936F85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</w:rPr>
              <w:t>1</w:t>
            </w:r>
            <w:r w:rsidR="00746C5E">
              <w:rPr>
                <w:rFonts w:ascii="Arial Narrow" w:eastAsia="Arial Narrow" w:hAnsi="Arial Narrow" w:cs="Arial Narrow"/>
              </w:rPr>
              <w:t>,5</w:t>
            </w:r>
          </w:p>
        </w:tc>
      </w:tr>
    </w:tbl>
    <w:p w14:paraId="6AAB8E0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2759D61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5237A7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II – INFORMÁCIE O ORGÁNOCH SPOLOČNOSTI</w:t>
      </w:r>
    </w:p>
    <w:p w14:paraId="3D1DF41B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12A9796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účtovná jednotka nemá náplň pre túto položku.</w:t>
      </w:r>
    </w:p>
    <w:p w14:paraId="1A061EE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7DD1DD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III – INFORMÁCIE O PRIJATÝCH POSTUPOCH</w:t>
      </w:r>
    </w:p>
    <w:p w14:paraId="78CFE18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A0CF401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1) Spoločnosť zostavila účtovnú závierku za splnenia predpokladu, že účtovná jednotka bude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dni v zmysle § 7 ods. 4 zákona o účtovníctve.</w:t>
      </w:r>
    </w:p>
    <w:p w14:paraId="3DF9A819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DB2A9D7" w14:textId="415F602B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2) Účtovná jednotka nemenila v roku 20</w:t>
      </w:r>
      <w:r>
        <w:rPr>
          <w:rFonts w:ascii="Arial Narrow" w:eastAsia="Arial Narrow" w:hAnsi="Arial Narrow" w:cs="Arial Narrow"/>
          <w:sz w:val="22"/>
          <w:szCs w:val="22"/>
        </w:rPr>
        <w:t>24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účtovné zásady ani metódy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3A2A6004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6B25B2A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Účtovná jednotka neprevádza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rizikové transakcie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</w:t>
      </w:r>
    </w:p>
    <w:p w14:paraId="0360085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162CC04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Spôsob a určenie oceňovania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majetku a záväzkov (vrátane rozhodujúcich odhadov):</w:t>
      </w:r>
    </w:p>
    <w:p w14:paraId="4DD9595B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</w:t>
      </w:r>
    </w:p>
    <w:p w14:paraId="2645D1AD" w14:textId="77777777" w:rsidR="008E72AA" w:rsidRDefault="008E72A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08"/>
        </w:tabs>
        <w:spacing w:line="240" w:lineRule="auto"/>
        <w:ind w:left="0" w:hanging="2"/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e"/>
        <w:tblW w:w="976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77"/>
        <w:gridCol w:w="4960"/>
        <w:gridCol w:w="2857"/>
        <w:gridCol w:w="1271"/>
      </w:tblGrid>
      <w:tr w:rsidR="008E72AA" w14:paraId="49456637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9969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Č.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EAC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Názov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položky</w:t>
            </w:r>
            <w:proofErr w:type="spellEnd"/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3147B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Spôsob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oceňovania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5AF5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Vyznačené</w:t>
            </w:r>
            <w:proofErr w:type="spellEnd"/>
          </w:p>
        </w:tc>
      </w:tr>
      <w:tr w:rsidR="008E72AA" w14:paraId="6A79A93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F273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1588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externe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D24A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4FC8F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214EC29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078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3069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3B6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A306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55DD187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47F3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236A7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7A06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Reprodukčná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05871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64BB6734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BDFC9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5279E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externe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DAD2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828A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5B26B0B6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31102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0286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interne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vytvorený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AFDD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F5B3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60324BDD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62A67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5AE0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F8B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Reprodukčná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F6AD6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10EF7CB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5390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8751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FCC4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C2472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38CB00C4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4DA1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ECEA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A304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C3286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60287AF1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940FC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9.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DEF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vytvorené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činnosťou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DEB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náklady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6264F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1865E755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14C0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10.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EE7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Zásoby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inak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(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darom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):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27A8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Reprodukčná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4C1A7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7411C20C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5C2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5224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ZV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zákazková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výstavba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nehnuteľnosti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určenej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predaj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2031F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DE8E9D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5138118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E3C3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12.1.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925E9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Vlastné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00EE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4A5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5E4CF554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5CE98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12.2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99E6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pohľadávky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EFFB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A71D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323E3AA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7D4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13.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0E8D2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Krátkodobý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finančný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A80F0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15A9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570CB5B3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D486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14.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E62B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aktív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CF5A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8908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088546FA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722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15.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87F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vrátane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rezerv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dlhopisov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pôžičiek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úverov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249F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AC7E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15AE24F5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0993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16.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1EBBB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Časové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rozlíšenie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strane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pasív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súvahy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D3362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91742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  <w:tr w:rsidR="008E72AA" w14:paraId="102798B5" w14:textId="77777777"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C86B9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17.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382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Deriváty:</w:t>
            </w:r>
          </w:p>
        </w:tc>
        <w:tc>
          <w:tcPr>
            <w:tcW w:w="2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B2A6D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7424F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180BFB08" w14:textId="77777777">
        <w:tc>
          <w:tcPr>
            <w:tcW w:w="677" w:type="dxa"/>
          </w:tcPr>
          <w:p w14:paraId="5A1A2095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18.</w:t>
            </w:r>
          </w:p>
        </w:tc>
        <w:tc>
          <w:tcPr>
            <w:tcW w:w="4960" w:type="dxa"/>
          </w:tcPr>
          <w:p w14:paraId="3760E34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záväzky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zabezpečené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derivátmi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: </w:t>
            </w:r>
          </w:p>
        </w:tc>
        <w:tc>
          <w:tcPr>
            <w:tcW w:w="2857" w:type="dxa"/>
          </w:tcPr>
          <w:p w14:paraId="1AFAD00A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</w:tcPr>
          <w:p w14:paraId="230BD58B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19FC8771" w14:textId="77777777">
        <w:tc>
          <w:tcPr>
            <w:tcW w:w="677" w:type="dxa"/>
          </w:tcPr>
          <w:p w14:paraId="1EAA2AF7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19.</w:t>
            </w:r>
          </w:p>
        </w:tc>
        <w:tc>
          <w:tcPr>
            <w:tcW w:w="4960" w:type="dxa"/>
          </w:tcPr>
          <w:p w14:paraId="013EFD0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Prenajatý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obstaraný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na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základe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zmluvy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o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kúpe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prenajatej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veci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</w:tcPr>
          <w:p w14:paraId="687DD154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Obstarávacia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cena</w:t>
            </w:r>
            <w:proofErr w:type="spellEnd"/>
          </w:p>
        </w:tc>
        <w:tc>
          <w:tcPr>
            <w:tcW w:w="1271" w:type="dxa"/>
          </w:tcPr>
          <w:p w14:paraId="3DD470EA" w14:textId="77777777" w:rsidR="008E72AA" w:rsidRDefault="008E72A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</w:p>
        </w:tc>
      </w:tr>
      <w:tr w:rsidR="008E72AA" w14:paraId="06F9DB01" w14:textId="77777777">
        <w:tc>
          <w:tcPr>
            <w:tcW w:w="677" w:type="dxa"/>
          </w:tcPr>
          <w:p w14:paraId="07E4CA01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20.</w:t>
            </w:r>
          </w:p>
        </w:tc>
        <w:tc>
          <w:tcPr>
            <w:tcW w:w="4960" w:type="dxa"/>
          </w:tcPr>
          <w:p w14:paraId="6F26349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Splatná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a</w:t>
            </w:r>
            <w:proofErr w:type="gram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odložená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daň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z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príjmov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:</w:t>
            </w:r>
          </w:p>
        </w:tc>
        <w:tc>
          <w:tcPr>
            <w:tcW w:w="2857" w:type="dxa"/>
          </w:tcPr>
          <w:p w14:paraId="27BBA553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Menovitá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hodnota</w:t>
            </w:r>
            <w:proofErr w:type="spellEnd"/>
          </w:p>
        </w:tc>
        <w:tc>
          <w:tcPr>
            <w:tcW w:w="1271" w:type="dxa"/>
          </w:tcPr>
          <w:p w14:paraId="64C2245C" w14:textId="77777777" w:rsidR="008E72AA" w:rsidRDefault="00257EE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08"/>
              </w:tabs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x</w:t>
            </w:r>
          </w:p>
        </w:tc>
      </w:tr>
    </w:tbl>
    <w:p w14:paraId="3A537953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F623554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b) Trvalé zníženie hodnoty majetku nebolo účtované.</w:t>
      </w:r>
    </w:p>
    <w:p w14:paraId="65A498A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c) Záväzky účtovná jednotka ocenila menovitou hodnotou záväzkov. Rezervy v účtovnej jednotke boli účtované. </w:t>
      </w:r>
    </w:p>
    <w:p w14:paraId="76802C6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d)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 alebo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ktorý nie je finančným nástrojom pri oceňovaní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reálnou hodnotou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nemá náplň pre túto položku.</w:t>
      </w:r>
    </w:p>
    <w:p w14:paraId="2E347C6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e) Určenie ocenenia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finančných nástrojov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pri oceňovaní obstarávacou cenou alebo vlastnými nákladmi: účtovná jednotka nemá náplň pre túto položku.</w:t>
      </w:r>
    </w:p>
    <w:p w14:paraId="2E95678A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metódou vlastného imania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(§ 27/9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).</w:t>
      </w:r>
    </w:p>
    <w:p w14:paraId="34B1F71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A612505" w14:textId="77777777" w:rsidR="008E72AA" w:rsidRDefault="00257EE7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1005"/>
        </w:tabs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g)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Tvorba odpisového plánu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Style w:val="af"/>
        <w:tblW w:w="9606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68"/>
      </w:tblGrid>
      <w:tr w:rsidR="008E72AA" w14:paraId="0D372D76" w14:textId="77777777">
        <w:tc>
          <w:tcPr>
            <w:tcW w:w="4218" w:type="dxa"/>
          </w:tcPr>
          <w:p w14:paraId="6BD5E75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nehmotný</w:t>
            </w:r>
            <w:proofErr w:type="spellEnd"/>
          </w:p>
          <w:p w14:paraId="0819BD9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odpisovaný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1013" w:type="dxa"/>
          </w:tcPr>
          <w:p w14:paraId="5E8C205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číslo</w:t>
            </w:r>
            <w:proofErr w:type="spellEnd"/>
          </w:p>
          <w:p w14:paraId="40C2014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účtu</w:t>
            </w:r>
            <w:proofErr w:type="spellEnd"/>
          </w:p>
        </w:tc>
        <w:tc>
          <w:tcPr>
            <w:tcW w:w="2107" w:type="dxa"/>
          </w:tcPr>
          <w:p w14:paraId="6DB6C4F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doba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odpisovania</w:t>
            </w:r>
            <w:proofErr w:type="spellEnd"/>
          </w:p>
          <w:p w14:paraId="17AE69C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počet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rokov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)</w:t>
            </w:r>
          </w:p>
        </w:tc>
        <w:tc>
          <w:tcPr>
            <w:tcW w:w="2268" w:type="dxa"/>
          </w:tcPr>
          <w:p w14:paraId="191DE14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odpisová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sadzba</w:t>
            </w:r>
            <w:proofErr w:type="spellEnd"/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 xml:space="preserve"> </w:t>
            </w:r>
          </w:p>
          <w:p w14:paraId="2A58015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color w:val="000000"/>
                <w:sz w:val="22"/>
                <w:szCs w:val="22"/>
              </w:rPr>
              <w:t>(%)</w:t>
            </w:r>
          </w:p>
        </w:tc>
      </w:tr>
      <w:tr w:rsidR="008E72AA" w14:paraId="3F3C2BE8" w14:textId="77777777">
        <w:tc>
          <w:tcPr>
            <w:tcW w:w="4218" w:type="dxa"/>
          </w:tcPr>
          <w:p w14:paraId="18D7C1B7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82F45A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388FC5A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E9F458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</w:t>
            </w:r>
          </w:p>
        </w:tc>
      </w:tr>
      <w:tr w:rsidR="008E72AA" w14:paraId="78E66B59" w14:textId="77777777">
        <w:tc>
          <w:tcPr>
            <w:tcW w:w="4218" w:type="dxa"/>
          </w:tcPr>
          <w:p w14:paraId="026D3C8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DNM </w:t>
            </w:r>
          </w:p>
        </w:tc>
        <w:tc>
          <w:tcPr>
            <w:tcW w:w="1013" w:type="dxa"/>
          </w:tcPr>
          <w:p w14:paraId="33B7A0F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26A71E18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3A3A95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8E72AA" w14:paraId="23E69F5F" w14:textId="77777777">
        <w:tc>
          <w:tcPr>
            <w:tcW w:w="4218" w:type="dxa"/>
          </w:tcPr>
          <w:p w14:paraId="3AB13409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Stavby</w:t>
            </w:r>
            <w:proofErr w:type="spellEnd"/>
          </w:p>
        </w:tc>
        <w:tc>
          <w:tcPr>
            <w:tcW w:w="1013" w:type="dxa"/>
          </w:tcPr>
          <w:p w14:paraId="3B261D1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4037547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25B1751D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5</w:t>
            </w:r>
          </w:p>
        </w:tc>
      </w:tr>
      <w:tr w:rsidR="008E72AA" w14:paraId="4E42BCDC" w14:textId="77777777">
        <w:tc>
          <w:tcPr>
            <w:tcW w:w="4218" w:type="dxa"/>
          </w:tcPr>
          <w:p w14:paraId="617CBE13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Počítače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s 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príslušenstvom</w:t>
            </w:r>
            <w:proofErr w:type="spellEnd"/>
          </w:p>
        </w:tc>
        <w:tc>
          <w:tcPr>
            <w:tcW w:w="1013" w:type="dxa"/>
          </w:tcPr>
          <w:p w14:paraId="0994D27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2D5A1657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417C08C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8E72AA" w14:paraId="3426D3B9" w14:textId="77777777">
        <w:tc>
          <w:tcPr>
            <w:tcW w:w="4218" w:type="dxa"/>
          </w:tcPr>
          <w:p w14:paraId="7154237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Dopravné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prostriedky</w:t>
            </w:r>
            <w:proofErr w:type="spellEnd"/>
          </w:p>
        </w:tc>
        <w:tc>
          <w:tcPr>
            <w:tcW w:w="1013" w:type="dxa"/>
          </w:tcPr>
          <w:p w14:paraId="43E109A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2B3D51D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6A78B78F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25</w:t>
            </w:r>
          </w:p>
        </w:tc>
      </w:tr>
      <w:tr w:rsidR="008E72AA" w14:paraId="35DDB2DE" w14:textId="77777777">
        <w:tc>
          <w:tcPr>
            <w:tcW w:w="4218" w:type="dxa"/>
          </w:tcPr>
          <w:p w14:paraId="509533D4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Ostatné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stroje</w:t>
            </w:r>
            <w:proofErr w:type="spellEnd"/>
          </w:p>
        </w:tc>
        <w:tc>
          <w:tcPr>
            <w:tcW w:w="1013" w:type="dxa"/>
          </w:tcPr>
          <w:p w14:paraId="06F21AC5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F9A76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496BD01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12,5</w:t>
            </w:r>
          </w:p>
        </w:tc>
      </w:tr>
      <w:tr w:rsidR="008E72AA" w14:paraId="34B38114" w14:textId="77777777">
        <w:tc>
          <w:tcPr>
            <w:tcW w:w="4218" w:type="dxa"/>
          </w:tcPr>
          <w:p w14:paraId="1523D0E2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Ostatný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dlhodobý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hmotný</w:t>
            </w:r>
            <w:proofErr w:type="spellEnd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majetok</w:t>
            </w:r>
            <w:proofErr w:type="spellEnd"/>
          </w:p>
        </w:tc>
        <w:tc>
          <w:tcPr>
            <w:tcW w:w="1013" w:type="dxa"/>
          </w:tcPr>
          <w:p w14:paraId="1A11269A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F0293C6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12</w:t>
            </w:r>
          </w:p>
        </w:tc>
        <w:tc>
          <w:tcPr>
            <w:tcW w:w="2268" w:type="dxa"/>
          </w:tcPr>
          <w:p w14:paraId="40EBE4C0" w14:textId="77777777" w:rsidR="008E72AA" w:rsidRDefault="00257EE7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color w:val="000000"/>
                <w:sz w:val="22"/>
                <w:szCs w:val="22"/>
              </w:rPr>
              <w:t>8,33</w:t>
            </w:r>
          </w:p>
        </w:tc>
      </w:tr>
    </w:tbl>
    <w:p w14:paraId="656BA23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6D3C3DC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Komentár k odpisovému plánu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: </w:t>
      </w:r>
    </w:p>
    <w:p w14:paraId="3B19DA0C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účtovné odpisy nezávisle na daňových odpisoch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Majetok sa začína odpisovať v mesiaci, kedy bol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zaradený do užívania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. Účtovné odpisy vychádzajú z predpokladanej doby používania majetku. </w:t>
      </w:r>
    </w:p>
    <w:p w14:paraId="69CEDC64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používa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rovnomerné odpisovanie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dlhodobého hmotného majetku a dlhodobého nehmotného majetku.</w:t>
      </w:r>
    </w:p>
    <w:p w14:paraId="3FE9E6F5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odpisuje jednotlivé veci alebo relevantné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súbory hnuteľných vecí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. UJ nepoužíva komponentné odpisovanie (odpisovanie častí majetku - komponentov).</w:t>
      </w:r>
    </w:p>
    <w:p w14:paraId="0B4E1DCC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UJ nepoužila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jednorazový odpis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dlhodobého majetku z dôvodu jednorazového trvalého zníženia hodnoty majetku (§ 21/5 PU).</w:t>
      </w:r>
    </w:p>
    <w:p w14:paraId="4ED9D7F3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používa kategóriu drobného dlhodobého nehmotného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2 400 eur jednotkovej ceny so životnosťou nad jeden rok (§ 13/2 PU).</w:t>
      </w:r>
    </w:p>
    <w:p w14:paraId="163E7200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používa kategóriu drobného dlhodobého hmotného majetku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položky pod 1 700 eur jednotkovej ceny so životnosťou nad jeden rok (§ 13/6 PU).</w:t>
      </w:r>
    </w:p>
    <w:p w14:paraId="74A832FA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14:paraId="73B89DDF" w14:textId="77777777" w:rsidR="008E72AA" w:rsidRDefault="00257E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ÚJ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nepoužíva dobrovoľnú kapitalizáciu úrokov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14:paraId="0C8D7A5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A9BE920" w14:textId="77777777" w:rsidR="008E72AA" w:rsidRDefault="00257EE7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h) Informácia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>o poskytnutých dotáciách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účtovná jednotka nemá náplň pre túto položku.</w:t>
      </w:r>
    </w:p>
    <w:p w14:paraId="3A4B31F7" w14:textId="77777777" w:rsidR="008E72AA" w:rsidRDefault="008E72AA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i/>
          <w:color w:val="000000"/>
          <w:sz w:val="22"/>
          <w:szCs w:val="22"/>
        </w:rPr>
      </w:pPr>
    </w:p>
    <w:p w14:paraId="71C89330" w14:textId="77777777" w:rsidR="008E72AA" w:rsidRDefault="00257EE7">
      <w:pPr>
        <w:keepNext/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5)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</w:rPr>
        <w:t xml:space="preserve">Informácie o oprave </w:t>
      </w:r>
      <w:r>
        <w:rPr>
          <w:rFonts w:ascii="Arial Narrow" w:eastAsia="Arial Narrow" w:hAnsi="Arial Narrow" w:cs="Arial Narrow"/>
          <w:b/>
          <w:i/>
          <w:color w:val="000000"/>
          <w:sz w:val="22"/>
          <w:szCs w:val="22"/>
          <w:u w:val="single"/>
        </w:rPr>
        <w:t>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s uvedením sumy vplyvu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  <w:u w:val="single"/>
        </w:rPr>
        <w:t>nevýznamných chýb</w:t>
      </w:r>
      <w:r>
        <w:rPr>
          <w:rFonts w:ascii="Arial Narrow" w:eastAsia="Arial Narrow" w:hAnsi="Arial Narrow" w:cs="Arial Narrow"/>
          <w:i/>
          <w:color w:val="00000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účtovná jednotka nemá náplň pre túto položku.</w:t>
      </w:r>
    </w:p>
    <w:p w14:paraId="36C39D10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096D35C6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DB4A0EE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Článok IV – INFORMÁCIE, KTORÉ VYSVETĽUJÚ A DOPĹŇAJÚ SÚVAHU A VÝKAZ ZISKOV A STRÁT</w:t>
      </w:r>
    </w:p>
    <w:p w14:paraId="558EA68C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C982BC3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a) Dlhodobý nehmotný majetok, ktorým je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goodwill</w:t>
      </w:r>
      <w:proofErr w:type="spellEnd"/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 xml:space="preserve"> - 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dôvod jeho vzniku, spôsob výpočtu a prehodnotenie opodstatnenosti jeho výšky a odpisu jeho hodnoty: účtovná jednotka nemá pre túto položku náplň.</w:t>
      </w:r>
    </w:p>
    <w:p w14:paraId="54D3CF0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CBAFF3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významných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účtovná jednotka nemá náplň pre túto položku.</w:t>
      </w:r>
    </w:p>
    <w:p w14:paraId="0CDCA9A2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864737D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3a)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nemá náplň pre túto položku.</w:t>
      </w:r>
    </w:p>
    <w:p w14:paraId="10AF2867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before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2AADAE6B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14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3b) Celková suma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zabezpečených záväzkov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opis a spôsob zabezpečenia záväzkov: účtovná jednotka nemá náplň pre túto položku.</w:t>
      </w:r>
    </w:p>
    <w:p w14:paraId="6408FEC8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142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8233C89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4)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Informácie o vlastných akciách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>: účtovná jednotka nemá náplň pre túto položku.</w:t>
      </w:r>
    </w:p>
    <w:p w14:paraId="0AD6339B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14:paraId="568680FF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5) Informácie o sume a dôvodoch vzniku jednotlivých položiek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nákladov alebo výnosov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, ktoré majú </w:t>
      </w:r>
      <w:r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  <w:t>výnimočný rozsah alebo výskyt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(napr. výnosy z predaja podniku alebo jeho časti, náklady z dôvodu predaja podniku alebo jeho časti, škody z dôvodu živelných pohrôm): účtovná jednotka nemá náplň pre túto položku.</w:t>
      </w:r>
    </w:p>
    <w:p w14:paraId="010F9F9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  <w:u w:val="single"/>
        </w:rPr>
      </w:pPr>
    </w:p>
    <w:p w14:paraId="4F6B0FDE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 – INFORMÁCIE O INÝCH AKTÍVACH A INÝCH PASÍVACH</w:t>
      </w:r>
    </w:p>
    <w:p w14:paraId="594C9C94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1a)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Podmienený majetok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účtovná jednotka nemá náplň pre túto položku.</w:t>
      </w:r>
    </w:p>
    <w:p w14:paraId="6B1FB267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3A0C150D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1b)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Podmienené záväzky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účtovná jednotka nemá náplň pre túto položku.</w:t>
      </w:r>
    </w:p>
    <w:p w14:paraId="7C906278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4A1E922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Ostatné finančné povinnosti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- účtovná jednotka nemá náplň pre túto položku.</w:t>
      </w:r>
    </w:p>
    <w:p w14:paraId="11D8AB45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</w:t>
      </w:r>
    </w:p>
    <w:p w14:paraId="402F4125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</w:t>
      </w:r>
      <w:r>
        <w:rPr>
          <w:rFonts w:ascii="Arial Narrow" w:eastAsia="Arial Narrow" w:hAnsi="Arial Narrow" w:cs="Arial Narrow"/>
          <w:b/>
          <w:color w:val="000000"/>
          <w:sz w:val="22"/>
          <w:szCs w:val="22"/>
          <w:u w:val="single"/>
        </w:rPr>
        <w:t>Podsúvahové účty</w:t>
      </w: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 – účtovná jednotka nemá náplň pre túto položku.</w:t>
      </w:r>
    </w:p>
    <w:p w14:paraId="6FE3026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72E11591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 – UDALOSTI, KTORÉ NASTALI PO ZÁVIERKOVOM DNI</w:t>
      </w:r>
    </w:p>
    <w:p w14:paraId="4005533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(Následné udalosti)</w:t>
      </w:r>
    </w:p>
    <w:p w14:paraId="2755277D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08D8B217" w14:textId="5D7EAE96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Po uzávierkovom dni do dňa zostavenia účtovnej závierky nenastali v spoločnosti žiadne následné udalosti.</w:t>
      </w:r>
    </w:p>
    <w:p w14:paraId="7C34E15C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E03C687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51E40235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33358AF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center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b/>
          <w:color w:val="000000"/>
          <w:sz w:val="22"/>
          <w:szCs w:val="22"/>
        </w:rPr>
        <w:t>Článok VII – OSTATNÉ INFORMÁCIE</w:t>
      </w:r>
    </w:p>
    <w:p w14:paraId="281FF14E" w14:textId="77777777" w:rsidR="008E72AA" w:rsidRDefault="008E72A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-468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</w:p>
    <w:p w14:paraId="6C790830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>1) Informácie o výlučnom práve poskytovať služby vo verejnom záujme: účtovná jednotka nemá náplň pre túto položku.</w:t>
      </w:r>
    </w:p>
    <w:p w14:paraId="7A3C04E2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 účtovná jednotka nemá náplň pre túto položku.</w:t>
      </w:r>
    </w:p>
    <w:p w14:paraId="6B943E39" w14:textId="77777777" w:rsidR="008E72AA" w:rsidRDefault="00257EE7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-471" w:hanging="2"/>
        <w:jc w:val="both"/>
        <w:rPr>
          <w:rFonts w:ascii="Arial Narrow" w:eastAsia="Arial Narrow" w:hAnsi="Arial Narrow" w:cs="Arial Narrow"/>
          <w:color w:val="000000"/>
          <w:sz w:val="22"/>
          <w:szCs w:val="22"/>
        </w:rPr>
      </w:pPr>
      <w:r>
        <w:rPr>
          <w:rFonts w:ascii="Arial Narrow" w:eastAsia="Arial Narrow" w:hAnsi="Arial Narrow" w:cs="Arial Narrow"/>
          <w:color w:val="000000"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eastAsia="Arial Narrow" w:hAnsi="Arial Narrow" w:cs="Arial Narrow"/>
          <w:color w:val="000000"/>
          <w:sz w:val="22"/>
          <w:szCs w:val="22"/>
        </w:rPr>
        <w:t>ZoU</w:t>
      </w:r>
      <w:proofErr w:type="spellEnd"/>
      <w:r>
        <w:rPr>
          <w:rFonts w:ascii="Arial Narrow" w:eastAsia="Arial Narrow" w:hAnsi="Arial Narrow" w:cs="Arial Narrow"/>
          <w:color w:val="000000"/>
          <w:sz w:val="22"/>
          <w:szCs w:val="22"/>
        </w:rPr>
        <w:t>): účtovná jednotka nemá náplň pre túto položku.</w:t>
      </w:r>
    </w:p>
    <w:sectPr w:rsidR="008E72AA">
      <w:headerReference w:type="default" r:id="rId11"/>
      <w:footerReference w:type="default" r:id="rId12"/>
      <w:headerReference w:type="first" r:id="rId13"/>
      <w:pgSz w:w="11907" w:h="16840"/>
      <w:pgMar w:top="1417" w:right="992" w:bottom="1417" w:left="1417" w:header="567" w:footer="567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4BB9" w14:textId="77777777" w:rsidR="000552E7" w:rsidRDefault="000552E7">
      <w:pPr>
        <w:spacing w:line="240" w:lineRule="auto"/>
        <w:ind w:left="0" w:hanging="2"/>
      </w:pPr>
      <w:r>
        <w:separator/>
      </w:r>
    </w:p>
  </w:endnote>
  <w:endnote w:type="continuationSeparator" w:id="0">
    <w:p w14:paraId="2DE6FEE8" w14:textId="77777777" w:rsidR="000552E7" w:rsidRDefault="000552E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0A065A4C-F59B-4641-86DD-979EC0069DC4}"/>
    <w:embedBoldItalic r:id="rId2" w:fontKey="{556803FF-33A4-4ACE-B8E3-75498CE909BF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1AB117D4-1C56-45B5-A193-02ED5E2B14F6}"/>
    <w:embedBold r:id="rId4" w:fontKey="{130CFE21-921F-4B16-AC23-FB5B0395F363}"/>
    <w:embedItalic r:id="rId5" w:fontKey="{7D0B61EC-D553-4A94-B6EC-5FEED4BF9507}"/>
    <w:embedBoldItalic r:id="rId6" w:fontKey="{98CD1AF6-798D-450F-9E82-D2F103369C3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7" w:fontKey="{07787BFF-0B1F-4E72-96AB-12C73C68E271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8" w:fontKey="{74779D1E-B09A-4393-A326-5BD5381867B0}"/>
    <w:embedItalic r:id="rId9" w:fontKey="{785A129A-26BA-4F7A-9A40-A914F6DF8C3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E805B" w14:textId="77777777" w:rsidR="008E72AA" w:rsidRDefault="00257EE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F6198">
      <w:rPr>
        <w:noProof/>
        <w:color w:val="000000"/>
      </w:rPr>
      <w:t>1</w:t>
    </w:r>
    <w:r>
      <w:rPr>
        <w:color w:val="000000"/>
      </w:rPr>
      <w:fldChar w:fldCharType="end"/>
    </w:r>
  </w:p>
  <w:p w14:paraId="5C3F17F2" w14:textId="77777777" w:rsidR="008E72AA" w:rsidRDefault="008E72AA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166A" w14:textId="77777777" w:rsidR="000552E7" w:rsidRDefault="000552E7">
      <w:pPr>
        <w:spacing w:line="240" w:lineRule="auto"/>
        <w:ind w:left="0" w:hanging="2"/>
      </w:pPr>
      <w:r>
        <w:separator/>
      </w:r>
    </w:p>
  </w:footnote>
  <w:footnote w:type="continuationSeparator" w:id="0">
    <w:p w14:paraId="6524A006" w14:textId="77777777" w:rsidR="000552E7" w:rsidRDefault="000552E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09B75" w14:textId="77777777" w:rsidR="008E72AA" w:rsidRDefault="00257EE7">
    <w:pPr>
      <w:widowControl w:val="0"/>
      <w:pBdr>
        <w:top w:val="nil"/>
        <w:left w:val="nil"/>
        <w:bottom w:val="nil"/>
        <w:right w:val="nil"/>
        <w:between w:val="nil"/>
      </w:pBdr>
      <w:tabs>
        <w:tab w:val="left" w:pos="2990"/>
        <w:tab w:val="left" w:pos="6348"/>
      </w:tabs>
      <w:spacing w:line="240" w:lineRule="auto"/>
      <w:ind w:left="0" w:hanging="2"/>
      <w:jc w:val="center"/>
      <w:rPr>
        <w:color w:val="000000"/>
      </w:rPr>
    </w:pPr>
    <w:r>
      <w:rPr>
        <w:rFonts w:ascii="Arial" w:eastAsia="Arial" w:hAnsi="Arial" w:cs="Arial"/>
        <w:color w:val="000000"/>
        <w:sz w:val="22"/>
        <w:szCs w:val="22"/>
      </w:rPr>
      <w:t xml:space="preserve">Poznámky </w:t>
    </w:r>
    <w:proofErr w:type="spellStart"/>
    <w:r>
      <w:rPr>
        <w:rFonts w:ascii="Arial" w:eastAsia="Arial" w:hAnsi="Arial" w:cs="Arial"/>
        <w:color w:val="000000"/>
        <w:sz w:val="22"/>
        <w:szCs w:val="22"/>
      </w:rPr>
      <w:t>Úč</w:t>
    </w:r>
    <w:proofErr w:type="spellEnd"/>
    <w:r>
      <w:rPr>
        <w:rFonts w:ascii="Arial" w:eastAsia="Arial" w:hAnsi="Arial" w:cs="Arial"/>
        <w:color w:val="000000"/>
        <w:sz w:val="22"/>
        <w:szCs w:val="22"/>
      </w:rPr>
      <w:t xml:space="preserve"> POD 3 – 01                           IČO: </w:t>
    </w:r>
    <w:r>
      <w:rPr>
        <w:rFonts w:ascii="Arial" w:eastAsia="Arial" w:hAnsi="Arial" w:cs="Arial"/>
        <w:sz w:val="22"/>
        <w:szCs w:val="22"/>
      </w:rPr>
      <w:t>53211006</w:t>
    </w:r>
    <w:r>
      <w:rPr>
        <w:rFonts w:ascii="Arial" w:eastAsia="Arial" w:hAnsi="Arial" w:cs="Arial"/>
        <w:color w:val="000000"/>
        <w:sz w:val="22"/>
        <w:szCs w:val="22"/>
      </w:rPr>
      <w:t xml:space="preserve">      DIČ:</w:t>
    </w:r>
    <w:r>
      <w:rPr>
        <w:rFonts w:ascii="Arial" w:eastAsia="Arial" w:hAnsi="Arial" w:cs="Arial"/>
        <w:sz w:val="22"/>
        <w:szCs w:val="22"/>
      </w:rPr>
      <w:t xml:space="preserve"> 2121319387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43DFD" w14:textId="77777777" w:rsidR="008E72AA" w:rsidRDefault="008E72A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color w:val="000000"/>
      </w:rPr>
    </w:pPr>
  </w:p>
  <w:tbl>
    <w:tblPr>
      <w:tblStyle w:val="af0"/>
      <w:tblW w:w="8794" w:type="dxa"/>
      <w:tblInd w:w="55" w:type="dxa"/>
      <w:tblLayout w:type="fixed"/>
      <w:tblLook w:val="0000" w:firstRow="0" w:lastRow="0" w:firstColumn="0" w:lastColumn="0" w:noHBand="0" w:noVBand="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E72AA" w14:paraId="36FBAA6A" w14:textId="77777777">
      <w:trPr>
        <w:trHeight w:val="330"/>
      </w:trPr>
      <w:tc>
        <w:tcPr>
          <w:tcW w:w="278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14:paraId="392AF571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proofErr w:type="spellStart"/>
          <w:r>
            <w:rPr>
              <w:rFonts w:ascii="Times New Roman" w:eastAsia="Times New Roman" w:hAnsi="Times New Roman" w:cs="Times New Roman"/>
              <w:color w:val="000000"/>
            </w:rPr>
            <w:t>Poznámky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</w:rPr>
            <w:t xml:space="preserve"> </w:t>
          </w:r>
          <w:proofErr w:type="spellStart"/>
          <w:r>
            <w:rPr>
              <w:rFonts w:ascii="Times New Roman" w:eastAsia="Times New Roman" w:hAnsi="Times New Roman" w:cs="Times New Roman"/>
              <w:color w:val="000000"/>
            </w:rPr>
            <w:t>Úč</w:t>
          </w:r>
          <w:proofErr w:type="spellEnd"/>
          <w:r>
            <w:rPr>
              <w:rFonts w:ascii="Times New Roman" w:eastAsia="Times New Roman" w:hAnsi="Times New Roman" w:cs="Times New Roman"/>
              <w:color w:val="000000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</w:tcPr>
        <w:p w14:paraId="4016C47F" w14:textId="77777777" w:rsidR="008E72AA" w:rsidRDefault="008E72AA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</w:p>
      </w:tc>
      <w:tc>
        <w:tcPr>
          <w:tcW w:w="554" w:type="dxa"/>
          <w:tcBorders>
            <w:top w:val="nil"/>
            <w:left w:val="nil"/>
            <w:bottom w:val="nil"/>
            <w:right w:val="nil"/>
          </w:tcBorders>
        </w:tcPr>
        <w:p w14:paraId="447D0AD0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DIČ</w:t>
          </w:r>
        </w:p>
      </w:tc>
      <w:tc>
        <w:tcPr>
          <w:tcW w:w="320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14:paraId="0C149CC4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 1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0DCEBE75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2 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4F6D4B45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3 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2EED7BD2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4 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67B3F463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5 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7DB376A4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6 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68DB7B5E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7 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4718C6D9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8 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1C915CC8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9 </w:t>
          </w:r>
        </w:p>
      </w:tc>
      <w:tc>
        <w:tcPr>
          <w:tcW w:w="320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vAlign w:val="center"/>
        </w:tcPr>
        <w:p w14:paraId="0FA1385B" w14:textId="77777777" w:rsidR="008E72AA" w:rsidRDefault="00257EE7">
          <w:pPr>
            <w:widowControl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color w:val="000000"/>
            </w:rPr>
            <w:t>0 </w:t>
          </w:r>
        </w:p>
      </w:tc>
    </w:tr>
  </w:tbl>
  <w:p w14:paraId="6FC5768D" w14:textId="77777777" w:rsidR="008E72AA" w:rsidRDefault="008E72AA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55F20"/>
    <w:multiLevelType w:val="multilevel"/>
    <w:tmpl w:val="1ADE0E64"/>
    <w:lvl w:ilvl="0">
      <w:start w:val="1"/>
      <w:numFmt w:val="bullet"/>
      <w:pStyle w:val="Nadpis1"/>
      <w:lvlText w:val="⮚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208653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72AA"/>
    <w:rsid w:val="000552E7"/>
    <w:rsid w:val="0021269F"/>
    <w:rsid w:val="00257EE7"/>
    <w:rsid w:val="00520A80"/>
    <w:rsid w:val="00746C5E"/>
    <w:rsid w:val="00826DD5"/>
    <w:rsid w:val="008D407C"/>
    <w:rsid w:val="008E72AA"/>
    <w:rsid w:val="00A00901"/>
    <w:rsid w:val="00A41215"/>
    <w:rsid w:val="00B7709B"/>
    <w:rsid w:val="00BF6AE6"/>
    <w:rsid w:val="00D61530"/>
    <w:rsid w:val="00DE7FF6"/>
    <w:rsid w:val="00F933AC"/>
    <w:rsid w:val="00FF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B99C3"/>
  <w15:docId w15:val="{6DCF00DD-301A-48E5-9F60-7EC9D8C5F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y"/>
    <w:next w:val="Nadpis2"/>
    <w:uiPriority w:val="9"/>
    <w:qFormat/>
    <w:pPr>
      <w:keepNext/>
      <w:numPr>
        <w:numId w:val="1"/>
      </w:numPr>
      <w:tabs>
        <w:tab w:val="num" w:pos="5220"/>
      </w:tabs>
      <w:spacing w:before="240" w:after="60"/>
      <w:ind w:left="4500" w:firstLine="360"/>
      <w:jc w:val="center"/>
    </w:pPr>
    <w:rPr>
      <w:b/>
      <w:bCs/>
      <w:kern w:val="32"/>
    </w:rPr>
  </w:style>
  <w:style w:type="paragraph" w:styleId="Nadpis2">
    <w:name w:val="heading 2"/>
    <w:basedOn w:val="Normlny"/>
    <w:next w:val="Normlny"/>
    <w:uiPriority w:val="9"/>
    <w:semiHidden/>
    <w:unhideWhenUsed/>
    <w:qFormat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y"/>
    <w:next w:val="Norm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y"/>
    <w:next w:val="Norm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y"/>
    <w:next w:val="Norm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ov">
    <w:name w:val="Title"/>
    <w:basedOn w:val="Normlny"/>
    <w:next w:val="Normlny"/>
    <w:uiPriority w:val="10"/>
    <w:qFormat/>
    <w:pPr>
      <w:keepNext/>
      <w:spacing w:before="100" w:beforeAutospacing="1" w:after="220"/>
      <w:jc w:val="center"/>
    </w:pPr>
    <w:rPr>
      <w:rFonts w:ascii="Arial Narrow" w:hAnsi="Arial Narrow"/>
      <w:b/>
      <w:bCs/>
      <w:kern w:val="28"/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adpis1Char">
    <w:name w:val="Nadpis 1 Char"/>
    <w:rPr>
      <w:b/>
      <w:bCs/>
      <w:w w:val="100"/>
      <w:kern w:val="32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Zkladntext">
    <w:name w:val="Základní text"/>
    <w:pPr>
      <w:suppressAutoHyphens/>
      <w:spacing w:after="240"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styleId="Textpoznmkypodiarou">
    <w:name w:val="footnote text"/>
    <w:basedOn w:val="Normlny"/>
    <w:rPr>
      <w:sz w:val="20"/>
      <w:szCs w:val="20"/>
    </w:rPr>
  </w:style>
  <w:style w:type="character" w:customStyle="1" w:styleId="TextpoznmkypodiarouChar">
    <w:name w:val="Text poznámky pod či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Odkaznapoznmkupodi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customStyle="1" w:styleId="PtaChar">
    <w:name w:val="Päta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slostrany">
    <w:name w:val="page numb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zovChar">
    <w:name w:val="Názov Char"/>
    <w:rPr>
      <w:rFonts w:ascii="Arial Narrow" w:hAnsi="Arial Narrow" w:cs="Arial Narrow"/>
      <w:b/>
      <w:bCs/>
      <w:w w:val="100"/>
      <w:kern w:val="28"/>
      <w:position w:val="-1"/>
      <w:sz w:val="32"/>
      <w:szCs w:val="32"/>
      <w:effect w:val="none"/>
      <w:vertAlign w:val="baseline"/>
      <w:cs w:val="0"/>
      <w:em w:val="none"/>
      <w:lang w:val="sk-SK"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character" w:customStyle="1" w:styleId="HlavikaChar">
    <w:name w:val="Hlavička Char"/>
    <w:rPr>
      <w:w w:val="100"/>
      <w:position w:val="-1"/>
      <w:sz w:val="24"/>
      <w:szCs w:val="24"/>
      <w:effect w:val="none"/>
      <w:vertAlign w:val="baseline"/>
      <w:cs w:val="0"/>
      <w:em w:val="none"/>
      <w:lang w:val="sk-SK" w:eastAsia="sk-SK"/>
    </w:rPr>
  </w:style>
  <w:style w:type="paragraph" w:styleId="Zkladntext0">
    <w:name w:val="Body Text"/>
    <w:basedOn w:val="Normlny"/>
    <w:qFormat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rPr>
      <w:w w:val="100"/>
      <w:position w:val="-1"/>
      <w:sz w:val="24"/>
      <w:szCs w:val="24"/>
      <w:effect w:val="none"/>
      <w:vertAlign w:val="baseline"/>
      <w:cs w:val="0"/>
      <w:em w:val="none"/>
      <w:lang w:val="en-US" w:eastAsia="en-US"/>
    </w:rPr>
  </w:style>
  <w:style w:type="table" w:customStyle="1" w:styleId="TableNormal2">
    <w:name w:val="Table Normal"/>
    <w:next w:val="TableNormal1"/>
    <w:pPr>
      <w:widowControl w:val="0"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odtitul">
    <w:name w:val="Subtitle"/>
    <w:basedOn w:val="Normlny"/>
    <w:next w:val="Norm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rPr>
      <w:rFonts w:cs="Calibri"/>
    </w:rPr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128d0e-f320-4d22-9076-56b164f4161a">
      <Terms xmlns="http://schemas.microsoft.com/office/infopath/2007/PartnerControls"/>
    </lcf76f155ced4ddcb4097134ff3c332f>
    <TaxCatchAll xmlns="21837628-b3e4-43df-8a39-8adcae374b3c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fMPoaVaeJFWQepTf2aN7SBScCCw==">AMUW2mVvjYVo/CJOgcC/vAng0YrD62u+XiuOtS+xVAZ5m6aKlzmaX/+d2YZ1QvD4RFt0cKXbzL05SVLQ3R9TGtmyWUkjEQEk9dR7/JYRH4j6S4joFGqDUBc=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50413E1F58E1E4188166EC76D47995E" ma:contentTypeVersion="14" ma:contentTypeDescription="Umožňuje vytvoriť nový dokument." ma:contentTypeScope="" ma:versionID="0fb3f1628cd49aad9e2c6017d2bbf21e">
  <xsd:schema xmlns:xsd="http://www.w3.org/2001/XMLSchema" xmlns:xs="http://www.w3.org/2001/XMLSchema" xmlns:p="http://schemas.microsoft.com/office/2006/metadata/properties" xmlns:ns2="7e128d0e-f320-4d22-9076-56b164f4161a" xmlns:ns3="21837628-b3e4-43df-8a39-8adcae374b3c" targetNamespace="http://schemas.microsoft.com/office/2006/metadata/properties" ma:root="true" ma:fieldsID="f13fd46ebc76251a8a5c1c91780f08bc" ns2:_="" ns3:_="">
    <xsd:import namespace="7e128d0e-f320-4d22-9076-56b164f4161a"/>
    <xsd:import namespace="21837628-b3e4-43df-8a39-8adcae374b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128d0e-f320-4d22-9076-56b164f41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Značky obrázka" ma:readOnly="false" ma:fieldId="{5cf76f15-5ced-4ddc-b409-7134ff3c332f}" ma:taxonomyMulti="true" ma:sspId="3408f8f0-b8dd-4f7b-bc2e-7416fff38c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837628-b3e4-43df-8a39-8adcae374b3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ac0838a-8118-41e5-a46e-49bfaa6e632b}" ma:internalName="TaxCatchAll" ma:showField="CatchAllData" ma:web="21837628-b3e4-43df-8a39-8adcae374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F91F8A3-4169-4735-9728-96E7DA906CA2}">
  <ds:schemaRefs>
    <ds:schemaRef ds:uri="http://schemas.microsoft.com/office/2006/metadata/properties"/>
    <ds:schemaRef ds:uri="http://schemas.microsoft.com/office/infopath/2007/PartnerControls"/>
    <ds:schemaRef ds:uri="7e128d0e-f320-4d22-9076-56b164f4161a"/>
    <ds:schemaRef ds:uri="21837628-b3e4-43df-8a39-8adcae374b3c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FEC623BE-51A4-468E-A84C-1FCFD6AB9B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128d0e-f320-4d22-9076-56b164f4161a"/>
    <ds:schemaRef ds:uri="21837628-b3e4-43df-8a39-8adcae374b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0E0ED02-C9B2-4291-9049-20B8AF077CC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Martina Košovan</cp:lastModifiedBy>
  <cp:revision>6</cp:revision>
  <cp:lastPrinted>2025-06-27T10:31:00Z</cp:lastPrinted>
  <dcterms:created xsi:type="dcterms:W3CDTF">2020-03-30T14:28:00Z</dcterms:created>
  <dcterms:modified xsi:type="dcterms:W3CDTF">2025-06-27T10:31:00Z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0x010100A50413E1F58E1E4188166EC76D47995E</vt:lpwstr>
  </property>
</Properties>
</file>