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4"/>
          <w:szCs w:val="24"/>
        </w:rPr>
      </w:pP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8"/>
          <w:szCs w:val="28"/>
        </w:rPr>
      </w:pPr>
      <w:r w:rsidRPr="007A314E">
        <w:rPr>
          <w:rFonts w:ascii="Times New Roman" w:hAnsi="Times New Roman" w:cs="Times New Roman"/>
          <w:b/>
          <w:bCs/>
          <w:color w:val="000000"/>
          <w:sz w:val="28"/>
          <w:szCs w:val="28"/>
        </w:rPr>
        <w:t>Poznámky k účtovnej závierke</w:t>
      </w: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28"/>
          <w:szCs w:val="28"/>
        </w:rPr>
      </w:pPr>
      <w:r w:rsidRPr="007A314E">
        <w:rPr>
          <w:rFonts w:ascii="Times New Roman" w:hAnsi="Times New Roman" w:cs="Times New Roman"/>
          <w:b/>
          <w:bCs/>
          <w:color w:val="000000"/>
          <w:sz w:val="28"/>
          <w:szCs w:val="28"/>
        </w:rPr>
        <w:t>zostavenej k 31. decembru 202</w:t>
      </w:r>
      <w:r w:rsidR="008A2FA4">
        <w:rPr>
          <w:rFonts w:ascii="Times New Roman" w:hAnsi="Times New Roman" w:cs="Times New Roman"/>
          <w:b/>
          <w:bCs/>
          <w:color w:val="000000"/>
          <w:sz w:val="28"/>
          <w:szCs w:val="28"/>
        </w:rPr>
        <w:t>4</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8"/>
          <w:szCs w:val="28"/>
        </w:rPr>
      </w:pPr>
    </w:p>
    <w:p w:rsidR="007A314E" w:rsidRPr="002936F4" w:rsidRDefault="007A314E" w:rsidP="002936F4">
      <w:pPr>
        <w:pStyle w:val="Odsekzoznamu"/>
        <w:numPr>
          <w:ilvl w:val="0"/>
          <w:numId w:val="1"/>
        </w:numPr>
        <w:autoSpaceDE w:val="0"/>
        <w:autoSpaceDN w:val="0"/>
        <w:adjustRightInd w:val="0"/>
        <w:spacing w:after="0" w:line="240" w:lineRule="auto"/>
        <w:ind w:left="0" w:firstLine="0"/>
        <w:jc w:val="both"/>
        <w:rPr>
          <w:rFonts w:ascii="Times New Roman" w:hAnsi="Times New Roman" w:cs="Times New Roman"/>
          <w:b/>
          <w:bCs/>
          <w:color w:val="000000"/>
          <w:sz w:val="20"/>
          <w:szCs w:val="20"/>
        </w:rPr>
      </w:pPr>
      <w:r w:rsidRPr="002936F4">
        <w:rPr>
          <w:rFonts w:ascii="Times New Roman" w:hAnsi="Times New Roman" w:cs="Times New Roman"/>
          <w:b/>
          <w:bCs/>
          <w:color w:val="000000"/>
          <w:sz w:val="20"/>
          <w:szCs w:val="20"/>
        </w:rPr>
        <w:t xml:space="preserve">ZÁKLADNÉ INFORMÁCIE </w:t>
      </w:r>
    </w:p>
    <w:p w:rsidR="007A314E" w:rsidRPr="002936F4" w:rsidRDefault="007A314E" w:rsidP="002936F4">
      <w:pPr>
        <w:pStyle w:val="Odsekzoznamu"/>
        <w:autoSpaceDE w:val="0"/>
        <w:autoSpaceDN w:val="0"/>
        <w:adjustRightInd w:val="0"/>
        <w:spacing w:after="0" w:line="240" w:lineRule="auto"/>
        <w:jc w:val="both"/>
        <w:rPr>
          <w:rFonts w:ascii="Times New Roman" w:hAnsi="Times New Roman" w:cs="Times New Roman"/>
          <w:color w:val="000000"/>
          <w:sz w:val="20"/>
          <w:szCs w:val="20"/>
        </w:rPr>
      </w:pP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Cs w:val="20"/>
        </w:rPr>
      </w:pPr>
      <w:r w:rsidRPr="007A314E">
        <w:rPr>
          <w:rFonts w:ascii="Times New Roman" w:hAnsi="Times New Roman" w:cs="Times New Roman"/>
          <w:b/>
          <w:bCs/>
          <w:color w:val="000000"/>
          <w:szCs w:val="20"/>
        </w:rPr>
        <w:t xml:space="preserve">1. Obchodné meno a sídlo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WOOD </w:t>
      </w:r>
      <w:proofErr w:type="spellStart"/>
      <w:r w:rsidRPr="007A314E">
        <w:rPr>
          <w:rFonts w:ascii="Times New Roman" w:hAnsi="Times New Roman" w:cs="Times New Roman"/>
          <w:color w:val="000000"/>
          <w:sz w:val="20"/>
          <w:szCs w:val="20"/>
        </w:rPr>
        <w:t>Real</w:t>
      </w:r>
      <w:proofErr w:type="spellEnd"/>
      <w:r w:rsidRPr="007A314E">
        <w:rPr>
          <w:rFonts w:ascii="Times New Roman" w:hAnsi="Times New Roman" w:cs="Times New Roman"/>
          <w:color w:val="000000"/>
          <w:sz w:val="20"/>
          <w:szCs w:val="20"/>
        </w:rPr>
        <w:t xml:space="preserve"> </w:t>
      </w:r>
      <w:proofErr w:type="spellStart"/>
      <w:r w:rsidRPr="007A314E">
        <w:rPr>
          <w:rFonts w:ascii="Times New Roman" w:hAnsi="Times New Roman" w:cs="Times New Roman"/>
          <w:color w:val="000000"/>
          <w:sz w:val="20"/>
          <w:szCs w:val="20"/>
        </w:rPr>
        <w:t>Estate</w:t>
      </w:r>
      <w:proofErr w:type="spellEnd"/>
      <w:r w:rsidRPr="007A314E">
        <w:rPr>
          <w:rFonts w:ascii="Times New Roman" w:hAnsi="Times New Roman" w:cs="Times New Roman"/>
          <w:color w:val="000000"/>
          <w:sz w:val="20"/>
          <w:szCs w:val="20"/>
        </w:rPr>
        <w:t xml:space="preserve"> Management, </w:t>
      </w:r>
      <w:proofErr w:type="spellStart"/>
      <w:r w:rsidRPr="007A314E">
        <w:rPr>
          <w:rFonts w:ascii="Times New Roman" w:hAnsi="Times New Roman" w:cs="Times New Roman"/>
          <w:color w:val="000000"/>
          <w:sz w:val="20"/>
          <w:szCs w:val="20"/>
        </w:rPr>
        <w:t>s.r.o</w:t>
      </w:r>
      <w:proofErr w:type="spellEnd"/>
      <w:r w:rsidRPr="007A314E">
        <w:rPr>
          <w:rFonts w:ascii="Times New Roman" w:hAnsi="Times New Roman" w:cs="Times New Roman"/>
          <w:color w:val="000000"/>
          <w:sz w:val="20"/>
          <w:szCs w:val="20"/>
        </w:rPr>
        <w:t xml:space="preserve">.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(predtým </w:t>
      </w:r>
      <w:proofErr w:type="spellStart"/>
      <w:r w:rsidRPr="007A314E">
        <w:rPr>
          <w:rFonts w:ascii="Times New Roman" w:hAnsi="Times New Roman" w:cs="Times New Roman"/>
          <w:color w:val="000000"/>
          <w:sz w:val="20"/>
          <w:szCs w:val="20"/>
        </w:rPr>
        <w:t>TriGranit</w:t>
      </w:r>
      <w:proofErr w:type="spellEnd"/>
      <w:r w:rsidRPr="007A314E">
        <w:rPr>
          <w:rFonts w:ascii="Times New Roman" w:hAnsi="Times New Roman" w:cs="Times New Roman"/>
          <w:color w:val="000000"/>
          <w:sz w:val="20"/>
          <w:szCs w:val="20"/>
        </w:rPr>
        <w:t xml:space="preserve"> Bratislava /Management/, </w:t>
      </w:r>
      <w:proofErr w:type="spellStart"/>
      <w:r w:rsidRPr="007A314E">
        <w:rPr>
          <w:rFonts w:ascii="Times New Roman" w:hAnsi="Times New Roman" w:cs="Times New Roman"/>
          <w:color w:val="000000"/>
          <w:sz w:val="20"/>
          <w:szCs w:val="20"/>
        </w:rPr>
        <w:t>s.r.o</w:t>
      </w:r>
      <w:proofErr w:type="spellEnd"/>
      <w:r w:rsidRPr="007A314E">
        <w:rPr>
          <w:rFonts w:ascii="Times New Roman" w:hAnsi="Times New Roman" w:cs="Times New Roman"/>
          <w:color w:val="000000"/>
          <w:sz w:val="20"/>
          <w:szCs w:val="20"/>
        </w:rPr>
        <w:t xml:space="preserve">.)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Tomášikova 64 </w:t>
      </w:r>
    </w:p>
    <w:p w:rsidR="007A314E" w:rsidRPr="002936F4" w:rsidRDefault="007A314E" w:rsidP="002936F4">
      <w:pPr>
        <w:autoSpaceDE w:val="0"/>
        <w:autoSpaceDN w:val="0"/>
        <w:adjustRightInd w:val="0"/>
        <w:spacing w:after="0"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831 04 Bratislava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0"/>
          <w:szCs w:val="20"/>
        </w:rPr>
      </w:pP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Cs w:val="20"/>
        </w:rPr>
      </w:pPr>
      <w:r w:rsidRPr="007A314E">
        <w:rPr>
          <w:rFonts w:ascii="Times New Roman" w:hAnsi="Times New Roman" w:cs="Times New Roman"/>
          <w:b/>
          <w:bCs/>
          <w:color w:val="000000"/>
          <w:szCs w:val="20"/>
        </w:rPr>
        <w:t xml:space="preserve">2. Hlavné činnosti Spoločnosti podľa výpisu z Obchodného registra </w:t>
      </w:r>
    </w:p>
    <w:p w:rsidR="007A314E" w:rsidRPr="007A314E" w:rsidRDefault="007A314E" w:rsidP="002936F4">
      <w:pPr>
        <w:autoSpaceDE w:val="0"/>
        <w:autoSpaceDN w:val="0"/>
        <w:adjustRightInd w:val="0"/>
        <w:spacing w:after="25" w:line="240" w:lineRule="auto"/>
        <w:ind w:left="142" w:hanging="142"/>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kúpa tovaru za účelom jeho predaja konečnému spotrebiteľovi (maloobchod) alebo za účelom jeho predaja iným prevádzkovateľom živnosti (veľkoobchod) </w:t>
      </w:r>
    </w:p>
    <w:p w:rsidR="007A314E" w:rsidRPr="007A314E" w:rsidRDefault="007A314E" w:rsidP="002936F4">
      <w:pPr>
        <w:autoSpaceDE w:val="0"/>
        <w:autoSpaceDN w:val="0"/>
        <w:adjustRightInd w:val="0"/>
        <w:spacing w:after="25"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poskytovanie a obstarávanie služieb spojených so správou bytového a nebytového fondu </w:t>
      </w:r>
    </w:p>
    <w:p w:rsidR="007A314E" w:rsidRPr="007A314E" w:rsidRDefault="007A314E" w:rsidP="002936F4">
      <w:pPr>
        <w:autoSpaceDE w:val="0"/>
        <w:autoSpaceDN w:val="0"/>
        <w:adjustRightInd w:val="0"/>
        <w:spacing w:after="25"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sprostredkovateľská činnosť v oblasti obchodu, služieb a výroby </w:t>
      </w:r>
    </w:p>
    <w:p w:rsidR="007A314E" w:rsidRPr="007A314E" w:rsidRDefault="007A314E" w:rsidP="002936F4">
      <w:pPr>
        <w:autoSpaceDE w:val="0"/>
        <w:autoSpaceDN w:val="0"/>
        <w:adjustRightInd w:val="0"/>
        <w:spacing w:after="25"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reklamná činnosť </w:t>
      </w:r>
    </w:p>
    <w:p w:rsidR="007A314E" w:rsidRPr="007A314E" w:rsidRDefault="007A314E" w:rsidP="002936F4">
      <w:pPr>
        <w:autoSpaceDE w:val="0"/>
        <w:autoSpaceDN w:val="0"/>
        <w:adjustRightInd w:val="0"/>
        <w:spacing w:after="25"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prieskum trhu </w:t>
      </w:r>
    </w:p>
    <w:p w:rsidR="007A314E" w:rsidRPr="007A314E" w:rsidRDefault="007A314E" w:rsidP="002936F4">
      <w:pPr>
        <w:autoSpaceDE w:val="0"/>
        <w:autoSpaceDN w:val="0"/>
        <w:adjustRightInd w:val="0"/>
        <w:spacing w:after="25" w:line="240" w:lineRule="auto"/>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kopírovacie služby </w:t>
      </w:r>
    </w:p>
    <w:p w:rsidR="007A314E" w:rsidRPr="007A314E" w:rsidRDefault="007A314E" w:rsidP="002936F4">
      <w:pPr>
        <w:autoSpaceDE w:val="0"/>
        <w:autoSpaceDN w:val="0"/>
        <w:adjustRightInd w:val="0"/>
        <w:spacing w:after="25" w:line="240" w:lineRule="auto"/>
        <w:ind w:left="142" w:hanging="142"/>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prevádzkovanie garáží a iných odstavných plôch pre motorové vozidlá, ak slúžia na umiestnenie najmenej piatich vozidiel patriacich iným osobám než majiteľovi alebo nájomcovi nehnuteľností </w:t>
      </w:r>
    </w:p>
    <w:p w:rsidR="007A314E" w:rsidRPr="007A314E" w:rsidRDefault="007A314E" w:rsidP="002936F4">
      <w:pPr>
        <w:autoSpaceDE w:val="0"/>
        <w:autoSpaceDN w:val="0"/>
        <w:adjustRightInd w:val="0"/>
        <w:spacing w:after="25" w:line="240" w:lineRule="auto"/>
        <w:ind w:left="142" w:hanging="142"/>
        <w:jc w:val="both"/>
        <w:rPr>
          <w:rFonts w:ascii="Times New Roman" w:hAnsi="Times New Roman" w:cs="Times New Roman"/>
          <w:color w:val="000000"/>
          <w:sz w:val="20"/>
          <w:szCs w:val="20"/>
        </w:rPr>
      </w:pPr>
      <w:r w:rsidRPr="007A314E">
        <w:rPr>
          <w:rFonts w:ascii="Times New Roman" w:hAnsi="Times New Roman" w:cs="Times New Roman"/>
          <w:color w:val="000000"/>
          <w:sz w:val="20"/>
          <w:szCs w:val="20"/>
        </w:rPr>
        <w:t xml:space="preserve">− prenájom nehnuteľností, bytov a nebytových priestorov s poskytovaním iných než základných služieb spojených s prenájmom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3"/>
          <w:szCs w:val="23"/>
        </w:rPr>
      </w:pPr>
      <w:r w:rsidRPr="007A314E">
        <w:rPr>
          <w:rFonts w:ascii="Times New Roman" w:hAnsi="Times New Roman" w:cs="Times New Roman"/>
          <w:color w:val="000000"/>
          <w:sz w:val="23"/>
          <w:szCs w:val="23"/>
        </w:rPr>
        <w:t xml:space="preserve">− vedenie účtovníctva </w:t>
      </w: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23"/>
          <w:szCs w:val="23"/>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039"/>
        <w:gridCol w:w="3039"/>
        <w:gridCol w:w="3039"/>
      </w:tblGrid>
      <w:tr w:rsidR="007A314E" w:rsidRPr="007A314E">
        <w:trPr>
          <w:trHeight w:val="199"/>
        </w:trPr>
        <w:tc>
          <w:tcPr>
            <w:tcW w:w="3039" w:type="dxa"/>
          </w:tcPr>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Cs w:val="20"/>
              </w:rPr>
            </w:pPr>
            <w:r w:rsidRPr="007A314E">
              <w:rPr>
                <w:rFonts w:ascii="Times New Roman" w:hAnsi="Times New Roman" w:cs="Times New Roman"/>
                <w:b/>
                <w:bCs/>
                <w:color w:val="000000"/>
                <w:szCs w:val="20"/>
              </w:rPr>
              <w:t xml:space="preserve">3. Počet zamestnancov </w:t>
            </w: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20"/>
                <w:szCs w:val="20"/>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18"/>
                <w:szCs w:val="18"/>
              </w:rPr>
            </w:pPr>
            <w:r w:rsidRPr="007A314E">
              <w:rPr>
                <w:rFonts w:ascii="Times New Roman" w:hAnsi="Times New Roman" w:cs="Times New Roman"/>
                <w:b/>
                <w:bCs/>
                <w:color w:val="000000"/>
                <w:sz w:val="18"/>
                <w:szCs w:val="18"/>
              </w:rPr>
              <w:t xml:space="preserve">Údaje o počte zamestnancov </w:t>
            </w:r>
          </w:p>
        </w:tc>
        <w:tc>
          <w:tcPr>
            <w:tcW w:w="3039" w:type="dxa"/>
          </w:tcPr>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18"/>
                <w:szCs w:val="18"/>
              </w:rPr>
            </w:pPr>
            <w:r w:rsidRPr="007A314E">
              <w:rPr>
                <w:rFonts w:ascii="Times New Roman" w:hAnsi="Times New Roman" w:cs="Times New Roman"/>
                <w:b/>
                <w:bCs/>
                <w:color w:val="000000"/>
                <w:sz w:val="18"/>
                <w:szCs w:val="18"/>
              </w:rPr>
              <w:t xml:space="preserve">Bežné účtovné obdobie </w:t>
            </w:r>
          </w:p>
        </w:tc>
        <w:tc>
          <w:tcPr>
            <w:tcW w:w="3039" w:type="dxa"/>
          </w:tcPr>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b/>
                <w:bCs/>
                <w:color w:val="000000"/>
                <w:sz w:val="18"/>
                <w:szCs w:val="18"/>
              </w:rPr>
            </w:pPr>
          </w:p>
          <w:p w:rsidR="007A314E" w:rsidRPr="007A314E" w:rsidRDefault="007A314E" w:rsidP="008A2FA4">
            <w:pPr>
              <w:autoSpaceDE w:val="0"/>
              <w:autoSpaceDN w:val="0"/>
              <w:adjustRightInd w:val="0"/>
              <w:spacing w:after="0" w:line="240" w:lineRule="auto"/>
              <w:rPr>
                <w:rFonts w:ascii="Times New Roman" w:hAnsi="Times New Roman" w:cs="Times New Roman"/>
                <w:color w:val="000000"/>
                <w:sz w:val="18"/>
                <w:szCs w:val="18"/>
              </w:rPr>
            </w:pPr>
            <w:r w:rsidRPr="007A314E">
              <w:rPr>
                <w:rFonts w:ascii="Times New Roman" w:hAnsi="Times New Roman" w:cs="Times New Roman"/>
                <w:b/>
                <w:bCs/>
                <w:color w:val="000000"/>
                <w:sz w:val="18"/>
                <w:szCs w:val="18"/>
              </w:rPr>
              <w:t xml:space="preserve">Bezprostredne </w:t>
            </w:r>
            <w:proofErr w:type="spellStart"/>
            <w:r w:rsidRPr="007A314E">
              <w:rPr>
                <w:rFonts w:ascii="Times New Roman" w:hAnsi="Times New Roman" w:cs="Times New Roman"/>
                <w:b/>
                <w:bCs/>
                <w:color w:val="000000"/>
                <w:sz w:val="18"/>
                <w:szCs w:val="18"/>
              </w:rPr>
              <w:t>predchá-dzajúce</w:t>
            </w:r>
            <w:proofErr w:type="spellEnd"/>
            <w:r w:rsidRPr="007A314E">
              <w:rPr>
                <w:rFonts w:ascii="Times New Roman" w:hAnsi="Times New Roman" w:cs="Times New Roman"/>
                <w:b/>
                <w:bCs/>
                <w:color w:val="000000"/>
                <w:sz w:val="18"/>
                <w:szCs w:val="18"/>
              </w:rPr>
              <w:t xml:space="preserve"> účtovné obdobie </w:t>
            </w:r>
          </w:p>
        </w:tc>
      </w:tr>
      <w:tr w:rsidR="007A314E" w:rsidRPr="007A314E">
        <w:trPr>
          <w:trHeight w:val="90"/>
        </w:trPr>
        <w:tc>
          <w:tcPr>
            <w:tcW w:w="3039" w:type="dxa"/>
          </w:tcPr>
          <w:p w:rsidR="007A314E" w:rsidRPr="007A314E" w:rsidRDefault="007A314E" w:rsidP="002936F4">
            <w:pPr>
              <w:autoSpaceDE w:val="0"/>
              <w:autoSpaceDN w:val="0"/>
              <w:adjustRightInd w:val="0"/>
              <w:spacing w:after="0" w:line="240" w:lineRule="auto"/>
              <w:jc w:val="both"/>
              <w:rPr>
                <w:rFonts w:ascii="Times New Roman" w:hAnsi="Times New Roman" w:cs="Times New Roman"/>
                <w:color w:val="000000"/>
                <w:sz w:val="18"/>
                <w:szCs w:val="18"/>
              </w:rPr>
            </w:pPr>
            <w:r w:rsidRPr="007A314E">
              <w:rPr>
                <w:rFonts w:ascii="Times New Roman" w:hAnsi="Times New Roman" w:cs="Times New Roman"/>
                <w:color w:val="000000"/>
                <w:sz w:val="18"/>
                <w:szCs w:val="18"/>
              </w:rPr>
              <w:t xml:space="preserve">Priemerný prepočítaný počet zamestnancov </w:t>
            </w:r>
          </w:p>
        </w:tc>
        <w:tc>
          <w:tcPr>
            <w:tcW w:w="3039" w:type="dxa"/>
          </w:tcPr>
          <w:p w:rsidR="007A314E" w:rsidRPr="007A314E" w:rsidRDefault="008A2FA4" w:rsidP="002936F4">
            <w:pPr>
              <w:autoSpaceDE w:val="0"/>
              <w:autoSpaceDN w:val="0"/>
              <w:adjustRightInd w:val="0"/>
              <w:spacing w:after="0" w:line="240" w:lineRule="auto"/>
              <w:jc w:val="both"/>
              <w:rPr>
                <w:rFonts w:ascii="Times New Roman" w:hAnsi="Times New Roman" w:cs="Times New Roman"/>
                <w:color w:val="000000"/>
                <w:sz w:val="18"/>
                <w:szCs w:val="18"/>
              </w:rPr>
            </w:pPr>
            <w:r>
              <w:rPr>
                <w:rFonts w:ascii="Times New Roman" w:hAnsi="Times New Roman" w:cs="Times New Roman"/>
                <w:color w:val="000000" w:themeColor="text1"/>
                <w:sz w:val="18"/>
                <w:szCs w:val="18"/>
              </w:rPr>
              <w:t>10,5</w:t>
            </w:r>
          </w:p>
        </w:tc>
        <w:tc>
          <w:tcPr>
            <w:tcW w:w="3039" w:type="dxa"/>
          </w:tcPr>
          <w:p w:rsidR="007A314E" w:rsidRPr="007A314E" w:rsidRDefault="008A2FA4" w:rsidP="002936F4">
            <w:pPr>
              <w:autoSpaceDE w:val="0"/>
              <w:autoSpaceDN w:val="0"/>
              <w:adjustRightInd w:val="0"/>
              <w:spacing w:after="0" w:line="240" w:lineRule="auto"/>
              <w:jc w:val="both"/>
              <w:rPr>
                <w:rFonts w:ascii="Times New Roman" w:hAnsi="Times New Roman" w:cs="Times New Roman"/>
                <w:color w:val="000000"/>
                <w:sz w:val="18"/>
                <w:szCs w:val="18"/>
              </w:rPr>
            </w:pPr>
            <w:r>
              <w:rPr>
                <w:rFonts w:ascii="Times New Roman" w:hAnsi="Times New Roman" w:cs="Times New Roman"/>
                <w:color w:val="000000"/>
                <w:sz w:val="18"/>
                <w:szCs w:val="18"/>
              </w:rPr>
              <w:t>10,7</w:t>
            </w:r>
            <w:r w:rsidR="007A314E" w:rsidRPr="007A314E">
              <w:rPr>
                <w:rFonts w:ascii="Times New Roman" w:hAnsi="Times New Roman" w:cs="Times New Roman"/>
                <w:color w:val="000000"/>
                <w:sz w:val="18"/>
                <w:szCs w:val="18"/>
              </w:rPr>
              <w:t xml:space="preserve"> </w:t>
            </w:r>
          </w:p>
        </w:tc>
      </w:tr>
    </w:tbl>
    <w:p w:rsidR="007A314E" w:rsidRPr="002936F4" w:rsidRDefault="007A314E" w:rsidP="002936F4">
      <w:pPr>
        <w:autoSpaceDE w:val="0"/>
        <w:autoSpaceDN w:val="0"/>
        <w:adjustRightInd w:val="0"/>
        <w:spacing w:after="0" w:line="240" w:lineRule="auto"/>
        <w:jc w:val="both"/>
        <w:rPr>
          <w:rFonts w:ascii="Times New Roman" w:hAnsi="Times New Roman" w:cs="Times New Roman"/>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sz w:val="24"/>
        </w:rPr>
      </w:pPr>
      <w:r w:rsidRPr="002936F4">
        <w:rPr>
          <w:rFonts w:ascii="Times New Roman" w:hAnsi="Times New Roman" w:cs="Times New Roman"/>
          <w:b/>
          <w:bCs/>
          <w:color w:val="000000"/>
          <w:szCs w:val="20"/>
        </w:rPr>
        <w:t xml:space="preserve"> 4. Právny dôvod na zostavenie účtovnej závierky </w:t>
      </w:r>
    </w:p>
    <w:p w:rsidR="007A314E" w:rsidRPr="002936F4" w:rsidRDefault="007A314E" w:rsidP="002936F4">
      <w:pPr>
        <w:pStyle w:val="Default"/>
        <w:jc w:val="both"/>
        <w:rPr>
          <w:rFonts w:ascii="Times New Roman" w:hAnsi="Times New Roman" w:cs="Times New Roman"/>
        </w:rPr>
      </w:pPr>
    </w:p>
    <w:p w:rsidR="007A314E" w:rsidRPr="002936F4" w:rsidRDefault="007A314E"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Účtovná závierka Spoločnosti k 31. decembru 202</w:t>
      </w:r>
      <w:r w:rsidR="008A2FA4">
        <w:rPr>
          <w:rFonts w:ascii="Times New Roman" w:hAnsi="Times New Roman" w:cs="Times New Roman"/>
          <w:sz w:val="20"/>
          <w:szCs w:val="20"/>
        </w:rPr>
        <w:t>4</w:t>
      </w:r>
      <w:r w:rsidRPr="002936F4">
        <w:rPr>
          <w:rFonts w:ascii="Times New Roman" w:hAnsi="Times New Roman" w:cs="Times New Roman"/>
          <w:sz w:val="20"/>
          <w:szCs w:val="20"/>
        </w:rPr>
        <w:t xml:space="preserve"> je zostavená ako riadna účtovná závierka podľa § 17 ods. 6 zákona NR SR č. 431/2002 </w:t>
      </w:r>
      <w:proofErr w:type="spellStart"/>
      <w:r w:rsidRPr="002936F4">
        <w:rPr>
          <w:rFonts w:ascii="Times New Roman" w:hAnsi="Times New Roman" w:cs="Times New Roman"/>
          <w:sz w:val="20"/>
          <w:szCs w:val="20"/>
        </w:rPr>
        <w:t>Z.z</w:t>
      </w:r>
      <w:proofErr w:type="spellEnd"/>
      <w:r w:rsidRPr="002936F4">
        <w:rPr>
          <w:rFonts w:ascii="Times New Roman" w:hAnsi="Times New Roman" w:cs="Times New Roman"/>
          <w:sz w:val="20"/>
          <w:szCs w:val="20"/>
        </w:rPr>
        <w:t>. o účtovníctve v znení neskorších predpisov (ďalej len „zákon o účtovníctve“) za účtovné obdobie od 1. januára 202</w:t>
      </w:r>
      <w:r w:rsidR="008A2FA4">
        <w:rPr>
          <w:rFonts w:ascii="Times New Roman" w:hAnsi="Times New Roman" w:cs="Times New Roman"/>
          <w:sz w:val="20"/>
          <w:szCs w:val="20"/>
        </w:rPr>
        <w:t>4</w:t>
      </w:r>
      <w:r w:rsidRPr="002936F4">
        <w:rPr>
          <w:rFonts w:ascii="Times New Roman" w:hAnsi="Times New Roman" w:cs="Times New Roman"/>
          <w:sz w:val="20"/>
          <w:szCs w:val="20"/>
        </w:rPr>
        <w:t xml:space="preserve"> do 31. decembra 202</w:t>
      </w:r>
      <w:r w:rsidR="008A2FA4">
        <w:rPr>
          <w:rFonts w:ascii="Times New Roman" w:hAnsi="Times New Roman" w:cs="Times New Roman"/>
          <w:sz w:val="20"/>
          <w:szCs w:val="20"/>
        </w:rPr>
        <w:t>4</w:t>
      </w:r>
      <w:r w:rsidRPr="002936F4">
        <w:rPr>
          <w:rFonts w:ascii="Times New Roman" w:hAnsi="Times New Roman" w:cs="Times New Roman"/>
          <w:sz w:val="20"/>
          <w:szCs w:val="20"/>
        </w:rPr>
        <w:t xml:space="preserve">. </w:t>
      </w:r>
    </w:p>
    <w:p w:rsidR="007A314E" w:rsidRPr="002936F4" w:rsidRDefault="007A314E"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 </w:t>
      </w:r>
    </w:p>
    <w:p w:rsidR="007A314E" w:rsidRPr="002936F4" w:rsidRDefault="007A314E" w:rsidP="002936F4">
      <w:pPr>
        <w:autoSpaceDE w:val="0"/>
        <w:autoSpaceDN w:val="0"/>
        <w:adjustRightInd w:val="0"/>
        <w:spacing w:after="0" w:line="240" w:lineRule="auto"/>
        <w:jc w:val="both"/>
        <w:rPr>
          <w:rFonts w:ascii="Times New Roman" w:hAnsi="Times New Roman" w:cs="Times New Roman"/>
          <w:b/>
        </w:rPr>
      </w:pPr>
    </w:p>
    <w:p w:rsidR="007A314E" w:rsidRPr="00DB5418" w:rsidRDefault="007A314E" w:rsidP="002936F4">
      <w:pPr>
        <w:autoSpaceDE w:val="0"/>
        <w:autoSpaceDN w:val="0"/>
        <w:adjustRightInd w:val="0"/>
        <w:spacing w:after="0" w:line="240" w:lineRule="auto"/>
        <w:jc w:val="both"/>
        <w:rPr>
          <w:rFonts w:ascii="Times New Roman" w:hAnsi="Times New Roman" w:cs="Times New Roman"/>
          <w:b/>
        </w:rPr>
      </w:pPr>
      <w:r w:rsidRPr="00DB5418">
        <w:rPr>
          <w:rFonts w:ascii="Times New Roman" w:hAnsi="Times New Roman" w:cs="Times New Roman"/>
          <w:b/>
        </w:rPr>
        <w:t xml:space="preserve">5. Dátum schválenia účtovnej závierky za predchádzajúce účtovné obdobie </w:t>
      </w:r>
    </w:p>
    <w:p w:rsidR="007A314E" w:rsidRPr="002936F4" w:rsidRDefault="007A314E" w:rsidP="002936F4">
      <w:pPr>
        <w:pStyle w:val="Default"/>
        <w:jc w:val="both"/>
        <w:rPr>
          <w:rFonts w:ascii="Times New Roman" w:hAnsi="Times New Roman" w:cs="Times New Roman"/>
          <w:sz w:val="20"/>
          <w:szCs w:val="20"/>
        </w:rPr>
      </w:pPr>
      <w:r w:rsidRPr="00DB5418">
        <w:rPr>
          <w:rFonts w:ascii="Times New Roman" w:hAnsi="Times New Roman" w:cs="Times New Roman"/>
          <w:sz w:val="20"/>
          <w:szCs w:val="20"/>
        </w:rPr>
        <w:t xml:space="preserve">Valné zhromaždenie schválilo účtovnú závierku Spoločnosti za predchádzajúce účtovné obdobie dňa </w:t>
      </w:r>
      <w:r w:rsidR="00DB5418" w:rsidRPr="00DB5418">
        <w:rPr>
          <w:rFonts w:ascii="Times New Roman" w:hAnsi="Times New Roman" w:cs="Times New Roman"/>
          <w:color w:val="000000" w:themeColor="text1"/>
          <w:sz w:val="20"/>
          <w:szCs w:val="20"/>
        </w:rPr>
        <w:t>28.06.2024</w:t>
      </w:r>
      <w:r w:rsidRPr="00DB5418">
        <w:rPr>
          <w:rFonts w:ascii="Times New Roman" w:hAnsi="Times New Roman" w:cs="Times New Roman"/>
          <w:color w:val="000000" w:themeColor="text1"/>
          <w:sz w:val="20"/>
          <w:szCs w:val="20"/>
        </w:rPr>
        <w:t>.</w:t>
      </w:r>
      <w:bookmarkStart w:id="0" w:name="_GoBack"/>
      <w:bookmarkEnd w:id="0"/>
      <w:r w:rsidRPr="00466519">
        <w:rPr>
          <w:rFonts w:ascii="Times New Roman" w:hAnsi="Times New Roman" w:cs="Times New Roman"/>
          <w:color w:val="000000" w:themeColor="text1"/>
          <w:sz w:val="20"/>
          <w:szCs w:val="20"/>
        </w:rPr>
        <w:t xml:space="preserve"> </w:t>
      </w:r>
    </w:p>
    <w:p w:rsidR="007A314E" w:rsidRPr="002936F4" w:rsidRDefault="007A314E" w:rsidP="002936F4">
      <w:pPr>
        <w:pStyle w:val="Default"/>
        <w:jc w:val="both"/>
        <w:rPr>
          <w:rFonts w:ascii="Times New Roman" w:hAnsi="Times New Roman" w:cs="Times New Roman"/>
          <w:sz w:val="20"/>
          <w:szCs w:val="20"/>
        </w:rPr>
      </w:pPr>
    </w:p>
    <w:p w:rsidR="007A314E" w:rsidRPr="002936F4" w:rsidRDefault="007A314E" w:rsidP="002936F4">
      <w:pPr>
        <w:autoSpaceDE w:val="0"/>
        <w:autoSpaceDN w:val="0"/>
        <w:adjustRightInd w:val="0"/>
        <w:spacing w:after="0" w:line="240" w:lineRule="auto"/>
        <w:jc w:val="both"/>
        <w:rPr>
          <w:rFonts w:ascii="Times New Roman" w:hAnsi="Times New Roman" w:cs="Times New Roman"/>
          <w:b/>
        </w:rPr>
      </w:pPr>
      <w:r w:rsidRPr="002936F4">
        <w:rPr>
          <w:rFonts w:ascii="Times New Roman" w:hAnsi="Times New Roman" w:cs="Times New Roman"/>
          <w:b/>
        </w:rPr>
        <w:t xml:space="preserve">6. Dátum schválenia audítora Spoločnosti </w:t>
      </w:r>
    </w:p>
    <w:p w:rsidR="007A314E" w:rsidRPr="002936F4" w:rsidRDefault="007A314E" w:rsidP="002936F4">
      <w:pPr>
        <w:jc w:val="both"/>
        <w:rPr>
          <w:rFonts w:ascii="Times New Roman" w:hAnsi="Times New Roman" w:cs="Times New Roman"/>
          <w:sz w:val="20"/>
          <w:szCs w:val="20"/>
        </w:rPr>
      </w:pPr>
      <w:r w:rsidRPr="002936F4">
        <w:rPr>
          <w:rFonts w:ascii="Times New Roman" w:hAnsi="Times New Roman" w:cs="Times New Roman"/>
          <w:sz w:val="20"/>
          <w:szCs w:val="20"/>
        </w:rPr>
        <w:t>Spoločníci Spoločnosti rozhodli, že účtovná závierka za rok 202</w:t>
      </w:r>
      <w:r w:rsidR="008A2FA4">
        <w:rPr>
          <w:rFonts w:ascii="Times New Roman" w:hAnsi="Times New Roman" w:cs="Times New Roman"/>
          <w:sz w:val="20"/>
          <w:szCs w:val="20"/>
        </w:rPr>
        <w:t xml:space="preserve">4 </w:t>
      </w:r>
      <w:r w:rsidRPr="002936F4">
        <w:rPr>
          <w:rFonts w:ascii="Times New Roman" w:hAnsi="Times New Roman" w:cs="Times New Roman"/>
          <w:sz w:val="20"/>
          <w:szCs w:val="20"/>
        </w:rPr>
        <w:t>nebude auditovaná, keďže Spoločnosť nemá povinnosť auditu účtovnej závierky.</w:t>
      </w:r>
    </w:p>
    <w:p w:rsidR="002936F4" w:rsidRPr="002936F4" w:rsidRDefault="002936F4" w:rsidP="002936F4">
      <w:pPr>
        <w:jc w:val="both"/>
        <w:rPr>
          <w:rFonts w:ascii="Times New Roman" w:hAnsi="Times New Roman" w:cs="Times New Roman"/>
          <w:sz w:val="20"/>
          <w:szCs w:val="20"/>
        </w:rPr>
      </w:pPr>
    </w:p>
    <w:p w:rsidR="002936F4" w:rsidRPr="002936F4" w:rsidRDefault="002936F4" w:rsidP="002936F4">
      <w:pPr>
        <w:jc w:val="both"/>
        <w:rPr>
          <w:rFonts w:ascii="Times New Roman" w:hAnsi="Times New Roman" w:cs="Times New Roman"/>
          <w:sz w:val="20"/>
          <w:szCs w:val="20"/>
        </w:rPr>
      </w:pPr>
    </w:p>
    <w:p w:rsidR="002936F4" w:rsidRPr="002936F4" w:rsidRDefault="002936F4" w:rsidP="002936F4">
      <w:pPr>
        <w:jc w:val="both"/>
        <w:rPr>
          <w:rFonts w:ascii="Times New Roman" w:hAnsi="Times New Roman" w:cs="Times New Roman"/>
          <w:sz w:val="20"/>
          <w:szCs w:val="20"/>
        </w:rPr>
      </w:pPr>
    </w:p>
    <w:p w:rsidR="002936F4" w:rsidRPr="002936F4" w:rsidRDefault="002936F4" w:rsidP="002936F4">
      <w:pPr>
        <w:jc w:val="both"/>
        <w:rPr>
          <w:rFonts w:ascii="Times New Roman" w:hAnsi="Times New Roman" w:cs="Times New Roman"/>
          <w:sz w:val="20"/>
          <w:szCs w:val="20"/>
        </w:rPr>
      </w:pPr>
    </w:p>
    <w:p w:rsidR="002936F4" w:rsidRPr="002936F4" w:rsidRDefault="002936F4" w:rsidP="002936F4">
      <w:pPr>
        <w:jc w:val="both"/>
        <w:rPr>
          <w:rFonts w:ascii="Times New Roman" w:hAnsi="Times New Roman" w:cs="Times New Roman"/>
          <w:sz w:val="20"/>
          <w:szCs w:val="20"/>
        </w:rPr>
      </w:pPr>
    </w:p>
    <w:p w:rsidR="002936F4" w:rsidRPr="002936F4" w:rsidRDefault="002936F4" w:rsidP="002936F4">
      <w:pPr>
        <w:pStyle w:val="Odsekzoznamu"/>
        <w:numPr>
          <w:ilvl w:val="0"/>
          <w:numId w:val="1"/>
        </w:numPr>
        <w:autoSpaceDE w:val="0"/>
        <w:autoSpaceDN w:val="0"/>
        <w:adjustRightInd w:val="0"/>
        <w:spacing w:after="0" w:line="240" w:lineRule="auto"/>
        <w:ind w:left="0" w:firstLine="0"/>
        <w:jc w:val="both"/>
        <w:rPr>
          <w:rFonts w:ascii="Times New Roman" w:hAnsi="Times New Roman" w:cs="Times New Roman"/>
          <w:color w:val="000000"/>
          <w:sz w:val="20"/>
          <w:szCs w:val="20"/>
        </w:rPr>
      </w:pPr>
      <w:r w:rsidRPr="002936F4">
        <w:rPr>
          <w:rFonts w:ascii="Times New Roman" w:hAnsi="Times New Roman" w:cs="Times New Roman"/>
          <w:b/>
          <w:bCs/>
          <w:color w:val="000000"/>
          <w:sz w:val="20"/>
          <w:szCs w:val="20"/>
        </w:rPr>
        <w:lastRenderedPageBreak/>
        <w:t xml:space="preserve">INFORMÁCIE O ORGÁNOCH SPOLOČNOSTI </w:t>
      </w:r>
    </w:p>
    <w:p w:rsidR="002936F4" w:rsidRPr="002936F4" w:rsidRDefault="002936F4" w:rsidP="002936F4">
      <w:pPr>
        <w:pStyle w:val="Odsekzoznamu"/>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Dňa 30. novembra 2015 kúpili obchodné podiely v spoločnosti noví spoločníci: </w:t>
      </w:r>
      <w:proofErr w:type="spellStart"/>
      <w:r w:rsidRPr="002936F4">
        <w:rPr>
          <w:rFonts w:ascii="Times New Roman" w:hAnsi="Times New Roman" w:cs="Times New Roman"/>
          <w:color w:val="000000"/>
          <w:sz w:val="20"/>
          <w:szCs w:val="20"/>
        </w:rPr>
        <w:t>Trios</w:t>
      </w:r>
      <w:proofErr w:type="spellEnd"/>
      <w:r w:rsidRPr="002936F4">
        <w:rPr>
          <w:rFonts w:ascii="Times New Roman" w:hAnsi="Times New Roman" w:cs="Times New Roman"/>
          <w:color w:val="000000"/>
          <w:sz w:val="20"/>
          <w:szCs w:val="20"/>
        </w:rPr>
        <w:t xml:space="preserve"> Holdings </w:t>
      </w:r>
      <w:proofErr w:type="spellStart"/>
      <w:r w:rsidRPr="002936F4">
        <w:rPr>
          <w:rFonts w:ascii="Times New Roman" w:hAnsi="Times New Roman" w:cs="Times New Roman"/>
          <w:color w:val="000000"/>
          <w:sz w:val="20"/>
          <w:szCs w:val="20"/>
        </w:rPr>
        <w:t>S.à</w:t>
      </w:r>
      <w:proofErr w:type="spellEnd"/>
      <w:r w:rsidRPr="002936F4">
        <w:rPr>
          <w:rFonts w:ascii="Times New Roman" w:hAnsi="Times New Roman" w:cs="Times New Roman"/>
          <w:color w:val="000000"/>
          <w:sz w:val="20"/>
          <w:szCs w:val="20"/>
        </w:rPr>
        <w:t xml:space="preserve"> </w:t>
      </w:r>
      <w:proofErr w:type="spellStart"/>
      <w:r w:rsidRPr="002936F4">
        <w:rPr>
          <w:rFonts w:ascii="Times New Roman" w:hAnsi="Times New Roman" w:cs="Times New Roman"/>
          <w:color w:val="000000"/>
          <w:sz w:val="20"/>
          <w:szCs w:val="20"/>
        </w:rPr>
        <w:t>r.l</w:t>
      </w:r>
      <w:proofErr w:type="spellEnd"/>
      <w:r w:rsidRPr="002936F4">
        <w:rPr>
          <w:rFonts w:ascii="Times New Roman" w:hAnsi="Times New Roman" w:cs="Times New Roman"/>
          <w:color w:val="000000"/>
          <w:sz w:val="20"/>
          <w:szCs w:val="20"/>
        </w:rPr>
        <w:t xml:space="preserve">., so sídlom </w:t>
      </w:r>
      <w:proofErr w:type="spellStart"/>
      <w:r w:rsidRPr="002936F4">
        <w:rPr>
          <w:rFonts w:ascii="Times New Roman" w:hAnsi="Times New Roman" w:cs="Times New Roman"/>
          <w:color w:val="000000"/>
          <w:sz w:val="20"/>
          <w:szCs w:val="20"/>
        </w:rPr>
        <w:t>route</w:t>
      </w:r>
      <w:proofErr w:type="spellEnd"/>
      <w:r w:rsidRPr="002936F4">
        <w:rPr>
          <w:rFonts w:ascii="Times New Roman" w:hAnsi="Times New Roman" w:cs="Times New Roman"/>
          <w:color w:val="000000"/>
          <w:sz w:val="20"/>
          <w:szCs w:val="20"/>
        </w:rPr>
        <w:t xml:space="preserve"> de </w:t>
      </w:r>
      <w:proofErr w:type="spellStart"/>
      <w:r w:rsidRPr="002936F4">
        <w:rPr>
          <w:rFonts w:ascii="Times New Roman" w:hAnsi="Times New Roman" w:cs="Times New Roman"/>
          <w:color w:val="000000"/>
          <w:sz w:val="20"/>
          <w:szCs w:val="20"/>
        </w:rPr>
        <w:t>Tréves</w:t>
      </w:r>
      <w:proofErr w:type="spellEnd"/>
      <w:r w:rsidRPr="002936F4">
        <w:rPr>
          <w:rFonts w:ascii="Times New Roman" w:hAnsi="Times New Roman" w:cs="Times New Roman"/>
          <w:color w:val="000000"/>
          <w:sz w:val="20"/>
          <w:szCs w:val="20"/>
        </w:rPr>
        <w:t xml:space="preserve"> 6D, </w:t>
      </w:r>
      <w:proofErr w:type="spellStart"/>
      <w:r w:rsidRPr="002936F4">
        <w:rPr>
          <w:rFonts w:ascii="Times New Roman" w:hAnsi="Times New Roman" w:cs="Times New Roman"/>
          <w:color w:val="000000"/>
          <w:sz w:val="20"/>
          <w:szCs w:val="20"/>
        </w:rPr>
        <w:t>Senningerberg</w:t>
      </w:r>
      <w:proofErr w:type="spellEnd"/>
      <w:r w:rsidRPr="002936F4">
        <w:rPr>
          <w:rFonts w:ascii="Times New Roman" w:hAnsi="Times New Roman" w:cs="Times New Roman"/>
          <w:color w:val="000000"/>
          <w:sz w:val="20"/>
          <w:szCs w:val="20"/>
        </w:rPr>
        <w:t xml:space="preserve"> L-2633, Luxemburské veľkovojvodstvo, a </w:t>
      </w:r>
      <w:proofErr w:type="spellStart"/>
      <w:r w:rsidRPr="002936F4">
        <w:rPr>
          <w:rFonts w:ascii="Times New Roman" w:hAnsi="Times New Roman" w:cs="Times New Roman"/>
          <w:color w:val="000000"/>
          <w:sz w:val="20"/>
          <w:szCs w:val="20"/>
        </w:rPr>
        <w:t>Trios</w:t>
      </w:r>
      <w:proofErr w:type="spellEnd"/>
      <w:r w:rsidRPr="002936F4">
        <w:rPr>
          <w:rFonts w:ascii="Times New Roman" w:hAnsi="Times New Roman" w:cs="Times New Roman"/>
          <w:color w:val="000000"/>
          <w:sz w:val="20"/>
          <w:szCs w:val="20"/>
        </w:rPr>
        <w:t xml:space="preserve"> </w:t>
      </w:r>
      <w:proofErr w:type="spellStart"/>
      <w:r w:rsidRPr="002936F4">
        <w:rPr>
          <w:rFonts w:ascii="Times New Roman" w:hAnsi="Times New Roman" w:cs="Times New Roman"/>
          <w:color w:val="000000"/>
          <w:sz w:val="20"/>
          <w:szCs w:val="20"/>
        </w:rPr>
        <w:t>Dutch</w:t>
      </w:r>
      <w:proofErr w:type="spellEnd"/>
      <w:r w:rsidRPr="002936F4">
        <w:rPr>
          <w:rFonts w:ascii="Times New Roman" w:hAnsi="Times New Roman" w:cs="Times New Roman"/>
          <w:color w:val="000000"/>
          <w:sz w:val="20"/>
          <w:szCs w:val="20"/>
        </w:rPr>
        <w:t xml:space="preserve"> Holdings B.V., so sídlom </w:t>
      </w:r>
      <w:proofErr w:type="spellStart"/>
      <w:r w:rsidRPr="002936F4">
        <w:rPr>
          <w:rFonts w:ascii="Times New Roman" w:hAnsi="Times New Roman" w:cs="Times New Roman"/>
          <w:color w:val="000000"/>
          <w:sz w:val="20"/>
          <w:szCs w:val="20"/>
        </w:rPr>
        <w:t>Prins</w:t>
      </w:r>
      <w:proofErr w:type="spellEnd"/>
      <w:r w:rsidRPr="002936F4">
        <w:rPr>
          <w:rFonts w:ascii="Times New Roman" w:hAnsi="Times New Roman" w:cs="Times New Roman"/>
          <w:color w:val="000000"/>
          <w:sz w:val="20"/>
          <w:szCs w:val="20"/>
        </w:rPr>
        <w:t xml:space="preserve"> </w:t>
      </w:r>
      <w:proofErr w:type="spellStart"/>
      <w:r w:rsidRPr="002936F4">
        <w:rPr>
          <w:rFonts w:ascii="Times New Roman" w:hAnsi="Times New Roman" w:cs="Times New Roman"/>
          <w:color w:val="000000"/>
          <w:sz w:val="20"/>
          <w:szCs w:val="20"/>
        </w:rPr>
        <w:t>Bernhardplein</w:t>
      </w:r>
      <w:proofErr w:type="spellEnd"/>
      <w:r w:rsidRPr="002936F4">
        <w:rPr>
          <w:rFonts w:ascii="Times New Roman" w:hAnsi="Times New Roman" w:cs="Times New Roman"/>
          <w:color w:val="000000"/>
          <w:sz w:val="20"/>
          <w:szCs w:val="20"/>
        </w:rPr>
        <w:t xml:space="preserve"> 200, 1097JB Amsterdam, Holandsko. Dňa 8. júna 2018 kúpila obchodný podiel v spoločnosti spoločnosť </w:t>
      </w:r>
      <w:proofErr w:type="spellStart"/>
      <w:r w:rsidRPr="002936F4">
        <w:rPr>
          <w:rFonts w:ascii="Times New Roman" w:hAnsi="Times New Roman" w:cs="Times New Roman"/>
          <w:color w:val="000000"/>
          <w:sz w:val="20"/>
          <w:szCs w:val="20"/>
        </w:rPr>
        <w:t>All-Star</w:t>
      </w:r>
      <w:proofErr w:type="spellEnd"/>
      <w:r w:rsidRPr="002936F4">
        <w:rPr>
          <w:rFonts w:ascii="Times New Roman" w:hAnsi="Times New Roman" w:cs="Times New Roman"/>
          <w:color w:val="000000"/>
          <w:sz w:val="20"/>
          <w:szCs w:val="20"/>
        </w:rPr>
        <w:t xml:space="preserve"> Holding </w:t>
      </w:r>
      <w:proofErr w:type="spellStart"/>
      <w:r w:rsidRPr="002936F4">
        <w:rPr>
          <w:rFonts w:ascii="Times New Roman" w:hAnsi="Times New Roman" w:cs="Times New Roman"/>
          <w:color w:val="000000"/>
          <w:sz w:val="20"/>
          <w:szCs w:val="20"/>
        </w:rPr>
        <w:t>Limited</w:t>
      </w:r>
      <w:proofErr w:type="spellEnd"/>
      <w:r w:rsidRPr="002936F4">
        <w:rPr>
          <w:rFonts w:ascii="Times New Roman" w:hAnsi="Times New Roman" w:cs="Times New Roman"/>
          <w:color w:val="000000"/>
          <w:sz w:val="20"/>
          <w:szCs w:val="20"/>
        </w:rPr>
        <w:t xml:space="preserve"> so sídlom </w:t>
      </w:r>
      <w:proofErr w:type="spellStart"/>
      <w:r w:rsidRPr="002936F4">
        <w:rPr>
          <w:rFonts w:ascii="Times New Roman" w:hAnsi="Times New Roman" w:cs="Times New Roman"/>
          <w:color w:val="000000"/>
          <w:sz w:val="20"/>
          <w:szCs w:val="20"/>
        </w:rPr>
        <w:t>Cannon</w:t>
      </w:r>
      <w:proofErr w:type="spellEnd"/>
      <w:r w:rsidRPr="002936F4">
        <w:rPr>
          <w:rFonts w:ascii="Times New Roman" w:hAnsi="Times New Roman" w:cs="Times New Roman"/>
          <w:color w:val="000000"/>
          <w:sz w:val="20"/>
          <w:szCs w:val="20"/>
        </w:rPr>
        <w:t xml:space="preserve"> Road 20, Santa </w:t>
      </w:r>
      <w:proofErr w:type="spellStart"/>
      <w:r w:rsidRPr="002936F4">
        <w:rPr>
          <w:rFonts w:ascii="Times New Roman" w:hAnsi="Times New Roman" w:cs="Times New Roman"/>
          <w:color w:val="000000"/>
          <w:sz w:val="20"/>
          <w:szCs w:val="20"/>
        </w:rPr>
        <w:t>Venera</w:t>
      </w:r>
      <w:proofErr w:type="spellEnd"/>
      <w:r w:rsidRPr="002936F4">
        <w:rPr>
          <w:rFonts w:ascii="Times New Roman" w:hAnsi="Times New Roman" w:cs="Times New Roman"/>
          <w:color w:val="000000"/>
          <w:sz w:val="20"/>
          <w:szCs w:val="20"/>
        </w:rPr>
        <w:t xml:space="preserve"> SVR 9039, Maltská republika.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Spoločnosť neposkytla členom orgánov žiadne záruky, iné zabezpečenia ani žiadne pôžičky.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b/>
          <w:bCs/>
          <w:color w:val="000000"/>
          <w:sz w:val="20"/>
          <w:szCs w:val="20"/>
        </w:rPr>
        <w:t xml:space="preserve">C. KONSOLIDOVANÝ CELOK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Spoločnosť sa nezahrňuje do žiadnej konsolidovanej účtovnej závierky spoločnosti.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autoSpaceDE w:val="0"/>
        <w:autoSpaceDN w:val="0"/>
        <w:adjustRightInd w:val="0"/>
        <w:spacing w:after="0" w:line="240" w:lineRule="auto"/>
        <w:jc w:val="both"/>
        <w:rPr>
          <w:rFonts w:ascii="Times New Roman" w:hAnsi="Times New Roman" w:cs="Times New Roman"/>
          <w:b/>
          <w:bCs/>
          <w:color w:val="000000"/>
          <w:sz w:val="20"/>
          <w:szCs w:val="20"/>
        </w:rPr>
      </w:pPr>
      <w:r w:rsidRPr="002936F4">
        <w:rPr>
          <w:rFonts w:ascii="Times New Roman" w:hAnsi="Times New Roman" w:cs="Times New Roman"/>
          <w:b/>
          <w:bCs/>
          <w:color w:val="000000"/>
          <w:sz w:val="20"/>
          <w:szCs w:val="20"/>
        </w:rPr>
        <w:t xml:space="preserve">D. ÚČTOVNÉ METÓDY A VŠEOBECNÉ ÚČTOVNÉ ZÁSADY </w:t>
      </w:r>
    </w:p>
    <w:p w:rsidR="002936F4" w:rsidRPr="002936F4" w:rsidRDefault="002936F4" w:rsidP="002936F4">
      <w:pPr>
        <w:rPr>
          <w:rFonts w:ascii="Times New Roman" w:hAnsi="Times New Roman" w:cs="Times New Roman"/>
        </w:rPr>
      </w:pPr>
    </w:p>
    <w:p w:rsidR="002936F4" w:rsidRPr="002936F4" w:rsidRDefault="002936F4" w:rsidP="002936F4">
      <w:pPr>
        <w:numPr>
          <w:ilvl w:val="0"/>
          <w:numId w:val="2"/>
        </w:num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b/>
          <w:bCs/>
          <w:color w:val="000000"/>
          <w:sz w:val="20"/>
          <w:szCs w:val="20"/>
        </w:rPr>
        <w:t xml:space="preserve">a) Východiská pre zostavenie účtovnej závierky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Účtovná závierka Spoločnosti bola zostavená za predpokladu nepretržitého trvania jej činnosti v súlade so zákonom o účtovníctve platným v Slovenskej republike a nadväzujúcimi postupmi účtovania.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Účtovníctvo Spoločnosť vedie na základe dodržania časovej a vecnej súvislosti nákladov a výnosov. Za základ sa berú všetky náklady a výnosy, ktoré sa vzťahujú na účtovné obdobie bez ohľadu na dátum ich platenia.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Peňažné údaje v účtovnej závierke sú uvedené v celých EUR, pokiaľ nie je určené inak.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Účtovné metódy a všeobecné účtovné zásady Spoločnosť aplikovala konzistentne s predchádzajúcim účtovným obdobím.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numPr>
          <w:ilvl w:val="0"/>
          <w:numId w:val="3"/>
        </w:num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b/>
          <w:bCs/>
          <w:color w:val="000000"/>
          <w:sz w:val="20"/>
          <w:szCs w:val="20"/>
        </w:rPr>
        <w:t xml:space="preserve">b) Dlhodobý nehmotný a dlhodobý hmotný majetok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Dlhodobý majetok nakupovaný sa oceňuje obstarávacou cenou, ktorá zahrňuje cenu, za ktorú sa majetok obstaral, a náklady súvisiace s obstaraním (clo, prepravu, montáž, poistné a pod.).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Hodnota obstarávaného dlhodobého hmotného majetku, ktorý sa používa, sa zníži o opravnú položku vo výške zodpovedajúcej opotrebeniu. </w:t>
      </w:r>
    </w:p>
    <w:p w:rsidR="002936F4" w:rsidRPr="002936F4" w:rsidRDefault="002936F4" w:rsidP="002936F4">
      <w:pPr>
        <w:autoSpaceDE w:val="0"/>
        <w:autoSpaceDN w:val="0"/>
        <w:adjustRightInd w:val="0"/>
        <w:spacing w:after="0" w:line="240" w:lineRule="auto"/>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p>
    <w:p w:rsidR="002936F4" w:rsidRPr="002936F4" w:rsidRDefault="002936F4" w:rsidP="002936F4">
      <w:pPr>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Predpokladaná doba používania, metóda odpisovania a odpisová sadzba sú uvedené v nasledujúcej tabuľke:</w:t>
      </w:r>
    </w:p>
    <w:tbl>
      <w:tblPr>
        <w:tblW w:w="5000" w:type="pct"/>
        <w:tblCellMar>
          <w:left w:w="70" w:type="dxa"/>
          <w:right w:w="70" w:type="dxa"/>
        </w:tblCellMar>
        <w:tblLook w:val="04A0" w:firstRow="1" w:lastRow="0" w:firstColumn="1" w:lastColumn="0" w:noHBand="0" w:noVBand="1"/>
      </w:tblPr>
      <w:tblGrid>
        <w:gridCol w:w="4086"/>
        <w:gridCol w:w="2112"/>
        <w:gridCol w:w="1524"/>
        <w:gridCol w:w="1350"/>
      </w:tblGrid>
      <w:tr w:rsidR="002936F4" w:rsidRPr="002936F4" w:rsidTr="002936F4">
        <w:trPr>
          <w:trHeight w:val="450"/>
        </w:trPr>
        <w:tc>
          <w:tcPr>
            <w:tcW w:w="2252" w:type="pct"/>
            <w:vMerge w:val="restart"/>
            <w:tcBorders>
              <w:top w:val="nil"/>
              <w:left w:val="nil"/>
              <w:bottom w:val="single" w:sz="4" w:space="0" w:color="000000"/>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Majetok</w:t>
            </w:r>
          </w:p>
        </w:tc>
        <w:tc>
          <w:tcPr>
            <w:tcW w:w="1164"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Predpokladaná doba používania v rokoch</w:t>
            </w:r>
          </w:p>
        </w:tc>
        <w:tc>
          <w:tcPr>
            <w:tcW w:w="840"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Metóda odpisovania</w:t>
            </w:r>
          </w:p>
        </w:tc>
        <w:tc>
          <w:tcPr>
            <w:tcW w:w="744"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Ročná odpisová sadzba v %</w:t>
            </w:r>
          </w:p>
        </w:tc>
      </w:tr>
      <w:tr w:rsidR="002936F4" w:rsidRPr="002936F4" w:rsidTr="002936F4">
        <w:trPr>
          <w:trHeight w:val="450"/>
        </w:trPr>
        <w:tc>
          <w:tcPr>
            <w:tcW w:w="2252"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1164"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840"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744"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r>
      <w:tr w:rsidR="002936F4" w:rsidRPr="002936F4" w:rsidTr="002936F4">
        <w:trPr>
          <w:trHeight w:val="300"/>
        </w:trPr>
        <w:tc>
          <w:tcPr>
            <w:tcW w:w="2252" w:type="pct"/>
            <w:tcBorders>
              <w:top w:val="nil"/>
              <w:left w:val="nil"/>
              <w:bottom w:val="nil"/>
              <w:right w:val="nil"/>
            </w:tcBorders>
            <w:shd w:val="clear" w:color="auto" w:fill="auto"/>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Aktivované náklady na vývoj </w:t>
            </w:r>
          </w:p>
        </w:tc>
        <w:tc>
          <w:tcPr>
            <w:tcW w:w="116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840"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74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r>
      <w:tr w:rsidR="002936F4" w:rsidRPr="002936F4" w:rsidTr="002936F4">
        <w:trPr>
          <w:trHeight w:val="300"/>
        </w:trPr>
        <w:tc>
          <w:tcPr>
            <w:tcW w:w="2252" w:type="pct"/>
            <w:tcBorders>
              <w:top w:val="nil"/>
              <w:left w:val="nil"/>
              <w:bottom w:val="nil"/>
              <w:right w:val="nil"/>
            </w:tcBorders>
            <w:shd w:val="clear" w:color="auto" w:fill="auto"/>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Softvér </w:t>
            </w:r>
          </w:p>
        </w:tc>
        <w:tc>
          <w:tcPr>
            <w:tcW w:w="116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4.6</w:t>
            </w:r>
          </w:p>
        </w:tc>
        <w:tc>
          <w:tcPr>
            <w:tcW w:w="840"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Lineárna</w:t>
            </w:r>
          </w:p>
        </w:tc>
        <w:tc>
          <w:tcPr>
            <w:tcW w:w="74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16,67-25</w:t>
            </w:r>
          </w:p>
        </w:tc>
      </w:tr>
      <w:tr w:rsidR="002936F4" w:rsidRPr="002936F4" w:rsidTr="002936F4">
        <w:trPr>
          <w:trHeight w:val="300"/>
        </w:trPr>
        <w:tc>
          <w:tcPr>
            <w:tcW w:w="2252" w:type="pct"/>
            <w:tcBorders>
              <w:top w:val="nil"/>
              <w:left w:val="nil"/>
              <w:bottom w:val="nil"/>
              <w:right w:val="nil"/>
            </w:tcBorders>
            <w:shd w:val="clear" w:color="auto" w:fill="auto"/>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Oceniteľné práva (licencie) </w:t>
            </w:r>
          </w:p>
        </w:tc>
        <w:tc>
          <w:tcPr>
            <w:tcW w:w="116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840"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74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r>
      <w:tr w:rsidR="002936F4" w:rsidRPr="002936F4" w:rsidTr="002936F4">
        <w:trPr>
          <w:trHeight w:val="495"/>
        </w:trPr>
        <w:tc>
          <w:tcPr>
            <w:tcW w:w="2252" w:type="pct"/>
            <w:tcBorders>
              <w:top w:val="nil"/>
              <w:left w:val="nil"/>
              <w:bottom w:val="nil"/>
              <w:right w:val="nil"/>
            </w:tcBorders>
            <w:shd w:val="clear" w:color="auto" w:fill="auto"/>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Nehmotný majetok, ktorého obstarávacia cena neprevýši 2 400 EUR </w:t>
            </w:r>
          </w:p>
        </w:tc>
        <w:tc>
          <w:tcPr>
            <w:tcW w:w="116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840"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c>
          <w:tcPr>
            <w:tcW w:w="744"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w:t>
            </w:r>
          </w:p>
        </w:tc>
      </w:tr>
    </w:tbl>
    <w:p w:rsidR="002936F4" w:rsidRPr="002936F4" w:rsidRDefault="002936F4" w:rsidP="002936F4">
      <w:pPr>
        <w:jc w:val="both"/>
        <w:rPr>
          <w:rFonts w:ascii="Times New Roman" w:hAnsi="Times New Roman" w:cs="Times New Roman"/>
          <w:color w:val="000000"/>
          <w:sz w:val="20"/>
          <w:szCs w:val="20"/>
        </w:rPr>
      </w:pPr>
    </w:p>
    <w:p w:rsidR="002936F4" w:rsidRPr="002936F4" w:rsidRDefault="002936F4" w:rsidP="002936F4">
      <w:pPr>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2936F4" w:rsidRPr="002936F4" w:rsidRDefault="002936F4" w:rsidP="002936F4">
      <w:pPr>
        <w:jc w:val="both"/>
        <w:rPr>
          <w:rFonts w:ascii="Times New Roman" w:hAnsi="Times New Roman" w:cs="Times New Roman"/>
          <w:color w:val="000000"/>
          <w:sz w:val="20"/>
          <w:szCs w:val="20"/>
        </w:rPr>
      </w:pPr>
    </w:p>
    <w:p w:rsidR="002936F4" w:rsidRPr="002936F4" w:rsidRDefault="002936F4" w:rsidP="002936F4">
      <w:pPr>
        <w:jc w:val="both"/>
        <w:rPr>
          <w:rFonts w:ascii="Times New Roman" w:hAnsi="Times New Roman" w:cs="Times New Roman"/>
          <w:color w:val="000000"/>
          <w:sz w:val="20"/>
          <w:szCs w:val="20"/>
        </w:rPr>
      </w:pPr>
    </w:p>
    <w:p w:rsidR="002936F4" w:rsidRPr="002936F4" w:rsidRDefault="002936F4" w:rsidP="002936F4">
      <w:pPr>
        <w:jc w:val="both"/>
        <w:rPr>
          <w:rFonts w:ascii="Times New Roman" w:hAnsi="Times New Roman" w:cs="Times New Roman"/>
          <w:color w:val="000000"/>
          <w:sz w:val="20"/>
          <w:szCs w:val="20"/>
        </w:rPr>
      </w:pPr>
    </w:p>
    <w:p w:rsidR="002936F4" w:rsidRPr="002936F4" w:rsidRDefault="002936F4" w:rsidP="002936F4">
      <w:pPr>
        <w:jc w:val="both"/>
        <w:rPr>
          <w:rFonts w:ascii="Times New Roman" w:hAnsi="Times New Roman" w:cs="Times New Roman"/>
          <w:color w:val="000000"/>
          <w:sz w:val="20"/>
          <w:szCs w:val="20"/>
        </w:rPr>
      </w:pPr>
      <w:r w:rsidRPr="002936F4">
        <w:rPr>
          <w:rFonts w:ascii="Times New Roman" w:hAnsi="Times New Roman" w:cs="Times New Roman"/>
          <w:color w:val="000000"/>
          <w:sz w:val="20"/>
          <w:szCs w:val="20"/>
        </w:rPr>
        <w:lastRenderedPageBreak/>
        <w:t>Predpokladaná doba používania, metóda odpisovania a odpisová sadzba sú uvedené v nasledujúcej tabuľke:</w:t>
      </w:r>
    </w:p>
    <w:p w:rsidR="002936F4" w:rsidRPr="002936F4" w:rsidRDefault="002936F4" w:rsidP="002936F4">
      <w:pPr>
        <w:jc w:val="both"/>
        <w:rPr>
          <w:rFonts w:ascii="Times New Roman" w:hAnsi="Times New Roman" w:cs="Times New Roman"/>
          <w:color w:val="000000"/>
          <w:sz w:val="20"/>
          <w:szCs w:val="20"/>
        </w:rPr>
      </w:pPr>
    </w:p>
    <w:tbl>
      <w:tblPr>
        <w:tblW w:w="5000" w:type="pct"/>
        <w:tblCellMar>
          <w:left w:w="70" w:type="dxa"/>
          <w:right w:w="70" w:type="dxa"/>
        </w:tblCellMar>
        <w:tblLook w:val="04A0" w:firstRow="1" w:lastRow="0" w:firstColumn="1" w:lastColumn="0" w:noHBand="0" w:noVBand="1"/>
      </w:tblPr>
      <w:tblGrid>
        <w:gridCol w:w="5524"/>
        <w:gridCol w:w="1452"/>
        <w:gridCol w:w="1200"/>
        <w:gridCol w:w="896"/>
      </w:tblGrid>
      <w:tr w:rsidR="002936F4" w:rsidRPr="002936F4" w:rsidTr="002936F4">
        <w:trPr>
          <w:trHeight w:val="450"/>
        </w:trPr>
        <w:tc>
          <w:tcPr>
            <w:tcW w:w="3081" w:type="pct"/>
            <w:vMerge w:val="restart"/>
            <w:tcBorders>
              <w:top w:val="nil"/>
              <w:left w:val="nil"/>
              <w:bottom w:val="single" w:sz="4" w:space="0" w:color="000000"/>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Majetok</w:t>
            </w:r>
          </w:p>
        </w:tc>
        <w:tc>
          <w:tcPr>
            <w:tcW w:w="747"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 xml:space="preserve">Predpokladaná doba používania v rokoch </w:t>
            </w:r>
          </w:p>
        </w:tc>
        <w:tc>
          <w:tcPr>
            <w:tcW w:w="697"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 xml:space="preserve">Metóda odpisovania </w:t>
            </w:r>
          </w:p>
        </w:tc>
        <w:tc>
          <w:tcPr>
            <w:tcW w:w="475" w:type="pct"/>
            <w:vMerge w:val="restart"/>
            <w:tcBorders>
              <w:top w:val="nil"/>
              <w:left w:val="nil"/>
              <w:bottom w:val="single" w:sz="4" w:space="0" w:color="000000"/>
              <w:right w:val="nil"/>
            </w:tcBorders>
            <w:shd w:val="clear" w:color="auto" w:fill="auto"/>
            <w:vAlign w:val="bottom"/>
            <w:hideMark/>
          </w:tcPr>
          <w:p w:rsidR="002936F4" w:rsidRPr="002936F4" w:rsidRDefault="002936F4" w:rsidP="002936F4">
            <w:pPr>
              <w:spacing w:after="0" w:line="240" w:lineRule="auto"/>
              <w:jc w:val="center"/>
              <w:rPr>
                <w:rFonts w:ascii="Times New Roman" w:eastAsia="Times New Roman" w:hAnsi="Times New Roman" w:cs="Times New Roman"/>
                <w:b/>
                <w:bCs/>
                <w:color w:val="000000"/>
                <w:sz w:val="20"/>
                <w:lang w:eastAsia="sk-SK"/>
              </w:rPr>
            </w:pPr>
            <w:r w:rsidRPr="002936F4">
              <w:rPr>
                <w:rFonts w:ascii="Times New Roman" w:eastAsia="Times New Roman" w:hAnsi="Times New Roman" w:cs="Times New Roman"/>
                <w:b/>
                <w:bCs/>
                <w:color w:val="000000"/>
                <w:sz w:val="20"/>
                <w:lang w:eastAsia="sk-SK"/>
              </w:rPr>
              <w:t xml:space="preserve">Ročná odpisová </w:t>
            </w:r>
          </w:p>
        </w:tc>
      </w:tr>
      <w:tr w:rsidR="002936F4" w:rsidRPr="002936F4" w:rsidTr="002936F4">
        <w:trPr>
          <w:trHeight w:val="450"/>
        </w:trPr>
        <w:tc>
          <w:tcPr>
            <w:tcW w:w="3081"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747"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697"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c>
          <w:tcPr>
            <w:tcW w:w="475" w:type="pct"/>
            <w:vMerge/>
            <w:tcBorders>
              <w:top w:val="nil"/>
              <w:left w:val="nil"/>
              <w:bottom w:val="single" w:sz="4" w:space="0" w:color="000000"/>
              <w:right w:val="nil"/>
            </w:tcBorders>
            <w:vAlign w:val="center"/>
            <w:hideMark/>
          </w:tcPr>
          <w:p w:rsidR="002936F4" w:rsidRPr="002936F4" w:rsidRDefault="002936F4" w:rsidP="002936F4">
            <w:pPr>
              <w:spacing w:after="0" w:line="240" w:lineRule="auto"/>
              <w:rPr>
                <w:rFonts w:ascii="Times New Roman" w:eastAsia="Times New Roman" w:hAnsi="Times New Roman" w:cs="Times New Roman"/>
                <w:b/>
                <w:bCs/>
                <w:color w:val="000000"/>
                <w:sz w:val="20"/>
                <w:lang w:eastAsia="sk-SK"/>
              </w:rPr>
            </w:pPr>
          </w:p>
        </w:tc>
      </w:tr>
      <w:tr w:rsidR="002936F4" w:rsidRPr="002936F4" w:rsidTr="002936F4">
        <w:trPr>
          <w:trHeight w:val="300"/>
        </w:trPr>
        <w:tc>
          <w:tcPr>
            <w:tcW w:w="3081"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Stavby </w:t>
            </w:r>
          </w:p>
        </w:tc>
        <w:tc>
          <w:tcPr>
            <w:tcW w:w="747" w:type="pct"/>
            <w:tcBorders>
              <w:top w:val="nil"/>
              <w:left w:val="nil"/>
              <w:bottom w:val="nil"/>
              <w:right w:val="nil"/>
            </w:tcBorders>
            <w:shd w:val="clear" w:color="auto" w:fill="auto"/>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c>
          <w:tcPr>
            <w:tcW w:w="697"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c>
          <w:tcPr>
            <w:tcW w:w="475"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r>
      <w:tr w:rsidR="002936F4" w:rsidRPr="002936F4" w:rsidTr="002936F4">
        <w:trPr>
          <w:trHeight w:val="300"/>
        </w:trPr>
        <w:tc>
          <w:tcPr>
            <w:tcW w:w="3081"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Samostatný hnuteľný majetok </w:t>
            </w:r>
          </w:p>
        </w:tc>
        <w:tc>
          <w:tcPr>
            <w:tcW w:w="747" w:type="pct"/>
            <w:tcBorders>
              <w:top w:val="nil"/>
              <w:left w:val="nil"/>
              <w:bottom w:val="nil"/>
              <w:right w:val="nil"/>
            </w:tcBorders>
            <w:shd w:val="clear" w:color="auto" w:fill="auto"/>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c>
          <w:tcPr>
            <w:tcW w:w="697"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c>
          <w:tcPr>
            <w:tcW w:w="475"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 </w:t>
            </w:r>
          </w:p>
        </w:tc>
      </w:tr>
      <w:tr w:rsidR="002936F4" w:rsidRPr="002936F4" w:rsidTr="002936F4">
        <w:trPr>
          <w:trHeight w:val="300"/>
        </w:trPr>
        <w:tc>
          <w:tcPr>
            <w:tcW w:w="3081" w:type="pct"/>
            <w:tcBorders>
              <w:top w:val="nil"/>
              <w:left w:val="nil"/>
              <w:bottom w:val="nil"/>
              <w:right w:val="nil"/>
            </w:tcBorders>
            <w:shd w:val="clear" w:color="auto" w:fill="auto"/>
            <w:noWrap/>
            <w:vAlign w:val="bottom"/>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Stroje, prístroje a zariadenia </w:t>
            </w:r>
          </w:p>
        </w:tc>
        <w:tc>
          <w:tcPr>
            <w:tcW w:w="747" w:type="pct"/>
            <w:tcBorders>
              <w:top w:val="nil"/>
              <w:left w:val="nil"/>
              <w:bottom w:val="nil"/>
              <w:right w:val="nil"/>
            </w:tcBorders>
            <w:shd w:val="clear" w:color="auto" w:fill="auto"/>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4-6</w:t>
            </w:r>
          </w:p>
        </w:tc>
        <w:tc>
          <w:tcPr>
            <w:tcW w:w="697"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DO = ÚO</w:t>
            </w:r>
          </w:p>
        </w:tc>
        <w:tc>
          <w:tcPr>
            <w:tcW w:w="475"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 xml:space="preserve">16,67-25 </w:t>
            </w:r>
          </w:p>
        </w:tc>
      </w:tr>
      <w:tr w:rsidR="002936F4" w:rsidRPr="002936F4" w:rsidTr="0046673D">
        <w:trPr>
          <w:trHeight w:val="495"/>
        </w:trPr>
        <w:tc>
          <w:tcPr>
            <w:tcW w:w="3081" w:type="pct"/>
            <w:tcBorders>
              <w:top w:val="nil"/>
              <w:left w:val="nil"/>
              <w:bottom w:val="nil"/>
              <w:right w:val="nil"/>
            </w:tcBorders>
            <w:shd w:val="clear" w:color="auto" w:fill="auto"/>
            <w:noWrap/>
            <w:vAlign w:val="center"/>
            <w:hideMark/>
          </w:tcPr>
          <w:p w:rsidR="002936F4" w:rsidRPr="002936F4" w:rsidRDefault="002936F4" w:rsidP="0046673D">
            <w:pPr>
              <w:spacing w:after="0" w:line="240" w:lineRule="auto"/>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Dopravné prostriedky</w:t>
            </w:r>
          </w:p>
        </w:tc>
        <w:tc>
          <w:tcPr>
            <w:tcW w:w="747" w:type="pct"/>
            <w:tcBorders>
              <w:top w:val="nil"/>
              <w:left w:val="nil"/>
              <w:bottom w:val="nil"/>
              <w:right w:val="nil"/>
            </w:tcBorders>
            <w:shd w:val="clear" w:color="auto" w:fill="auto"/>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4,00</w:t>
            </w:r>
          </w:p>
        </w:tc>
        <w:tc>
          <w:tcPr>
            <w:tcW w:w="697"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DO = ÚO</w:t>
            </w:r>
          </w:p>
        </w:tc>
        <w:tc>
          <w:tcPr>
            <w:tcW w:w="475"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right"/>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25</w:t>
            </w:r>
          </w:p>
        </w:tc>
      </w:tr>
      <w:tr w:rsidR="002936F4" w:rsidRPr="002936F4" w:rsidTr="0046673D">
        <w:trPr>
          <w:trHeight w:val="600"/>
        </w:trPr>
        <w:tc>
          <w:tcPr>
            <w:tcW w:w="3081" w:type="pct"/>
            <w:tcBorders>
              <w:top w:val="nil"/>
              <w:left w:val="nil"/>
              <w:bottom w:val="nil"/>
              <w:right w:val="nil"/>
            </w:tcBorders>
            <w:shd w:val="clear" w:color="auto" w:fill="auto"/>
            <w:noWrap/>
            <w:vAlign w:val="center"/>
            <w:hideMark/>
          </w:tcPr>
          <w:p w:rsidR="002936F4" w:rsidRPr="002936F4" w:rsidRDefault="002936F4" w:rsidP="0046673D">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Hmotný majetok, ktorého obstarávacia cena neprevýši 1 700 EUR</w:t>
            </w:r>
          </w:p>
        </w:tc>
        <w:tc>
          <w:tcPr>
            <w:tcW w:w="747"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1,00</w:t>
            </w:r>
          </w:p>
        </w:tc>
        <w:tc>
          <w:tcPr>
            <w:tcW w:w="697" w:type="pct"/>
            <w:tcBorders>
              <w:top w:val="nil"/>
              <w:left w:val="nil"/>
              <w:bottom w:val="nil"/>
              <w:right w:val="nil"/>
            </w:tcBorders>
            <w:shd w:val="clear" w:color="auto" w:fill="auto"/>
            <w:vAlign w:val="center"/>
            <w:hideMark/>
          </w:tcPr>
          <w:p w:rsidR="002936F4" w:rsidRPr="002936F4" w:rsidRDefault="002936F4" w:rsidP="002936F4">
            <w:pPr>
              <w:spacing w:after="0" w:line="240" w:lineRule="auto"/>
              <w:jc w:val="center"/>
              <w:rPr>
                <w:rFonts w:ascii="Times New Roman" w:eastAsia="Times New Roman" w:hAnsi="Times New Roman" w:cs="Times New Roman"/>
                <w:color w:val="000000"/>
                <w:sz w:val="20"/>
                <w:lang w:eastAsia="sk-SK"/>
              </w:rPr>
            </w:pPr>
            <w:proofErr w:type="spellStart"/>
            <w:r w:rsidRPr="002936F4">
              <w:rPr>
                <w:rFonts w:ascii="Times New Roman" w:eastAsia="Times New Roman" w:hAnsi="Times New Roman" w:cs="Times New Roman"/>
                <w:color w:val="000000"/>
                <w:sz w:val="20"/>
                <w:lang w:eastAsia="sk-SK"/>
              </w:rPr>
              <w:t>Jednorázový</w:t>
            </w:r>
            <w:proofErr w:type="spellEnd"/>
            <w:r w:rsidRPr="002936F4">
              <w:rPr>
                <w:rFonts w:ascii="Times New Roman" w:eastAsia="Times New Roman" w:hAnsi="Times New Roman" w:cs="Times New Roman"/>
                <w:color w:val="000000"/>
                <w:sz w:val="20"/>
                <w:lang w:eastAsia="sk-SK"/>
              </w:rPr>
              <w:t xml:space="preserve"> odpis </w:t>
            </w:r>
          </w:p>
        </w:tc>
        <w:tc>
          <w:tcPr>
            <w:tcW w:w="475" w:type="pct"/>
            <w:tcBorders>
              <w:top w:val="nil"/>
              <w:left w:val="nil"/>
              <w:bottom w:val="nil"/>
              <w:right w:val="nil"/>
            </w:tcBorders>
            <w:shd w:val="clear" w:color="auto" w:fill="auto"/>
            <w:noWrap/>
            <w:vAlign w:val="center"/>
            <w:hideMark/>
          </w:tcPr>
          <w:p w:rsidR="002936F4" w:rsidRPr="002936F4" w:rsidRDefault="002936F4" w:rsidP="002936F4">
            <w:pPr>
              <w:spacing w:after="0" w:line="240" w:lineRule="auto"/>
              <w:jc w:val="right"/>
              <w:rPr>
                <w:rFonts w:ascii="Times New Roman" w:eastAsia="Times New Roman" w:hAnsi="Times New Roman" w:cs="Times New Roman"/>
                <w:color w:val="000000"/>
                <w:sz w:val="20"/>
                <w:lang w:eastAsia="sk-SK"/>
              </w:rPr>
            </w:pPr>
            <w:r w:rsidRPr="002936F4">
              <w:rPr>
                <w:rFonts w:ascii="Times New Roman" w:eastAsia="Times New Roman" w:hAnsi="Times New Roman" w:cs="Times New Roman"/>
                <w:color w:val="000000"/>
                <w:sz w:val="20"/>
                <w:lang w:eastAsia="sk-SK"/>
              </w:rPr>
              <w:t>100</w:t>
            </w:r>
          </w:p>
        </w:tc>
      </w:tr>
    </w:tbl>
    <w:p w:rsidR="002936F4" w:rsidRPr="002936F4" w:rsidRDefault="002936F4" w:rsidP="002936F4">
      <w:pPr>
        <w:jc w:val="both"/>
        <w:rPr>
          <w:rFonts w:ascii="Times New Roman" w:hAnsi="Times New Roman" w:cs="Times New Roman"/>
        </w:rPr>
      </w:pPr>
    </w:p>
    <w:p w:rsid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V prípade prechodného zníženia úžitkovej hodnoty dlhodobého majetku, ktorá bola zistená pri inventarizácii a je výrazne nižšia ako jeho ocenenie v účtovníctve po odpočítaní oprávok, je vytvorená opravná položka na úroveň jeho zistenej úžitkovej hodnoty. </w:t>
      </w:r>
    </w:p>
    <w:p w:rsidR="0046673D" w:rsidRPr="002936F4" w:rsidRDefault="0046673D" w:rsidP="002936F4">
      <w:pPr>
        <w:pStyle w:val="Default"/>
        <w:jc w:val="both"/>
        <w:rPr>
          <w:rFonts w:ascii="Times New Roman" w:hAnsi="Times New Roman" w:cs="Times New Roman"/>
          <w:sz w:val="20"/>
          <w:szCs w:val="20"/>
        </w:rPr>
      </w:pPr>
    </w:p>
    <w:p w:rsidR="002936F4" w:rsidRPr="002936F4" w:rsidRDefault="002936F4" w:rsidP="002936F4">
      <w:pPr>
        <w:pStyle w:val="Default"/>
        <w:numPr>
          <w:ilvl w:val="0"/>
          <w:numId w:val="4"/>
        </w:numPr>
        <w:jc w:val="both"/>
        <w:rPr>
          <w:rFonts w:ascii="Times New Roman" w:hAnsi="Times New Roman" w:cs="Times New Roman"/>
          <w:sz w:val="20"/>
          <w:szCs w:val="20"/>
        </w:rPr>
      </w:pPr>
      <w:r w:rsidRPr="002936F4">
        <w:rPr>
          <w:rFonts w:ascii="Times New Roman" w:hAnsi="Times New Roman" w:cs="Times New Roman"/>
          <w:b/>
          <w:bCs/>
          <w:sz w:val="20"/>
          <w:szCs w:val="20"/>
        </w:rPr>
        <w:t xml:space="preserve">c) Pohľadávky </w:t>
      </w:r>
    </w:p>
    <w:p w:rsidR="002936F4" w:rsidRPr="002936F4" w:rsidRDefault="002936F4" w:rsidP="002936F4">
      <w:pPr>
        <w:pStyle w:val="Default"/>
        <w:jc w:val="both"/>
        <w:rPr>
          <w:rFonts w:ascii="Times New Roman" w:hAnsi="Times New Roman" w:cs="Times New Roman"/>
          <w:sz w:val="20"/>
          <w:szCs w:val="20"/>
        </w:rPr>
      </w:pPr>
    </w:p>
    <w:p w:rsidR="002936F4" w:rsidRP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Pohľadávky sa pri ich vzniku oceňujú ich menovitou hodnotou (postúpené pohľadávky a pohľadávky nadobudnuté vkladom do základného imania sa oceňujú obstarávacou cenou, </w:t>
      </w:r>
      <w:proofErr w:type="spellStart"/>
      <w:r w:rsidRPr="002936F4">
        <w:rPr>
          <w:rFonts w:ascii="Times New Roman" w:hAnsi="Times New Roman" w:cs="Times New Roman"/>
          <w:sz w:val="20"/>
          <w:szCs w:val="20"/>
        </w:rPr>
        <w:t>t.j</w:t>
      </w:r>
      <w:proofErr w:type="spellEnd"/>
      <w:r w:rsidRPr="002936F4">
        <w:rPr>
          <w:rFonts w:ascii="Times New Roman" w:hAnsi="Times New Roman" w:cs="Times New Roman"/>
          <w:sz w:val="20"/>
          <w:szCs w:val="20"/>
        </w:rPr>
        <w:t xml:space="preserve">. vrátane nákladov súvisiacich s obstaraním). Opravná položka sa vytvára k pochybným a nedobytným pohľadávkam, kde existuje riziko nevymožiteľnosti pohľadávok. </w:t>
      </w:r>
    </w:p>
    <w:p w:rsid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 </w:t>
      </w:r>
    </w:p>
    <w:p w:rsidR="0046673D" w:rsidRPr="002936F4" w:rsidRDefault="0046673D" w:rsidP="002936F4">
      <w:pPr>
        <w:pStyle w:val="Default"/>
        <w:jc w:val="both"/>
        <w:rPr>
          <w:rFonts w:ascii="Times New Roman" w:hAnsi="Times New Roman" w:cs="Times New Roman"/>
          <w:sz w:val="20"/>
          <w:szCs w:val="20"/>
        </w:rPr>
      </w:pPr>
    </w:p>
    <w:p w:rsidR="002936F4" w:rsidRPr="002936F4" w:rsidRDefault="002936F4" w:rsidP="002936F4">
      <w:pPr>
        <w:pStyle w:val="Default"/>
        <w:numPr>
          <w:ilvl w:val="0"/>
          <w:numId w:val="5"/>
        </w:numPr>
        <w:jc w:val="both"/>
        <w:rPr>
          <w:rFonts w:ascii="Times New Roman" w:hAnsi="Times New Roman" w:cs="Times New Roman"/>
          <w:sz w:val="20"/>
          <w:szCs w:val="20"/>
        </w:rPr>
      </w:pPr>
      <w:r w:rsidRPr="002936F4">
        <w:rPr>
          <w:rFonts w:ascii="Times New Roman" w:hAnsi="Times New Roman" w:cs="Times New Roman"/>
          <w:b/>
          <w:bCs/>
          <w:sz w:val="20"/>
          <w:szCs w:val="20"/>
        </w:rPr>
        <w:t xml:space="preserve">d) Finančné účty </w:t>
      </w:r>
    </w:p>
    <w:p w:rsidR="002936F4" w:rsidRPr="002936F4" w:rsidRDefault="002936F4" w:rsidP="002936F4">
      <w:pPr>
        <w:pStyle w:val="Default"/>
        <w:jc w:val="both"/>
        <w:rPr>
          <w:rFonts w:ascii="Times New Roman" w:hAnsi="Times New Roman" w:cs="Times New Roman"/>
          <w:sz w:val="20"/>
          <w:szCs w:val="20"/>
        </w:rPr>
      </w:pPr>
    </w:p>
    <w:p w:rsid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Finančné účty tvorí peňažná hotovosť a zostatky na bankových účtoch, pričom riziko zmeny hodnoty tohto majetku je zanedbateľne nízke. </w:t>
      </w:r>
    </w:p>
    <w:p w:rsidR="0046673D" w:rsidRPr="002936F4" w:rsidRDefault="0046673D" w:rsidP="002936F4">
      <w:pPr>
        <w:pStyle w:val="Default"/>
        <w:jc w:val="both"/>
        <w:rPr>
          <w:rFonts w:ascii="Times New Roman" w:hAnsi="Times New Roman" w:cs="Times New Roman"/>
          <w:sz w:val="20"/>
          <w:szCs w:val="20"/>
        </w:rPr>
      </w:pPr>
    </w:p>
    <w:p w:rsidR="002936F4" w:rsidRPr="002936F4" w:rsidRDefault="002936F4" w:rsidP="002936F4">
      <w:pPr>
        <w:pStyle w:val="Default"/>
        <w:numPr>
          <w:ilvl w:val="0"/>
          <w:numId w:val="6"/>
        </w:numPr>
        <w:jc w:val="both"/>
        <w:rPr>
          <w:rFonts w:ascii="Times New Roman" w:hAnsi="Times New Roman" w:cs="Times New Roman"/>
          <w:sz w:val="20"/>
          <w:szCs w:val="20"/>
        </w:rPr>
      </w:pPr>
      <w:r w:rsidRPr="002936F4">
        <w:rPr>
          <w:rFonts w:ascii="Times New Roman" w:hAnsi="Times New Roman" w:cs="Times New Roman"/>
          <w:b/>
          <w:bCs/>
          <w:sz w:val="20"/>
          <w:szCs w:val="20"/>
        </w:rPr>
        <w:t xml:space="preserve">e) Náklady budúcich období a príjmy budúcich období </w:t>
      </w:r>
    </w:p>
    <w:p w:rsidR="002936F4" w:rsidRPr="002936F4" w:rsidRDefault="002936F4" w:rsidP="002936F4">
      <w:pPr>
        <w:pStyle w:val="Default"/>
        <w:jc w:val="both"/>
        <w:rPr>
          <w:rFonts w:ascii="Times New Roman" w:hAnsi="Times New Roman" w:cs="Times New Roman"/>
          <w:sz w:val="20"/>
          <w:szCs w:val="20"/>
        </w:rPr>
      </w:pPr>
    </w:p>
    <w:p w:rsid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Náklady budúcich období a príjmy budúcich období sú vykázané vo výške, ktorá je potrebná na dodržanie zásady vecnej a časovej súvislosti s účtovným obdobím. </w:t>
      </w:r>
    </w:p>
    <w:p w:rsidR="0046673D" w:rsidRPr="002936F4" w:rsidRDefault="0046673D" w:rsidP="002936F4">
      <w:pPr>
        <w:pStyle w:val="Default"/>
        <w:jc w:val="both"/>
        <w:rPr>
          <w:rFonts w:ascii="Times New Roman" w:hAnsi="Times New Roman" w:cs="Times New Roman"/>
          <w:sz w:val="20"/>
          <w:szCs w:val="20"/>
        </w:rPr>
      </w:pPr>
    </w:p>
    <w:p w:rsidR="002936F4" w:rsidRPr="002936F4" w:rsidRDefault="002936F4" w:rsidP="002936F4">
      <w:pPr>
        <w:pStyle w:val="Default"/>
        <w:numPr>
          <w:ilvl w:val="0"/>
          <w:numId w:val="7"/>
        </w:numPr>
        <w:jc w:val="both"/>
        <w:rPr>
          <w:rFonts w:ascii="Times New Roman" w:hAnsi="Times New Roman" w:cs="Times New Roman"/>
          <w:sz w:val="20"/>
          <w:szCs w:val="20"/>
        </w:rPr>
      </w:pPr>
      <w:r w:rsidRPr="002936F4">
        <w:rPr>
          <w:rFonts w:ascii="Times New Roman" w:hAnsi="Times New Roman" w:cs="Times New Roman"/>
          <w:b/>
          <w:bCs/>
          <w:sz w:val="20"/>
          <w:szCs w:val="20"/>
        </w:rPr>
        <w:t xml:space="preserve">f) Opravné položky </w:t>
      </w:r>
    </w:p>
    <w:p w:rsidR="002936F4" w:rsidRPr="002936F4" w:rsidRDefault="002936F4" w:rsidP="002936F4">
      <w:pPr>
        <w:pStyle w:val="Default"/>
        <w:jc w:val="both"/>
        <w:rPr>
          <w:rFonts w:ascii="Times New Roman" w:hAnsi="Times New Roman" w:cs="Times New Roman"/>
          <w:sz w:val="20"/>
          <w:szCs w:val="20"/>
        </w:rPr>
      </w:pPr>
    </w:p>
    <w:p w:rsid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rsidR="0046673D" w:rsidRPr="002936F4" w:rsidRDefault="0046673D" w:rsidP="002936F4">
      <w:pPr>
        <w:pStyle w:val="Default"/>
        <w:jc w:val="both"/>
        <w:rPr>
          <w:rFonts w:ascii="Times New Roman" w:hAnsi="Times New Roman" w:cs="Times New Roman"/>
          <w:sz w:val="20"/>
          <w:szCs w:val="20"/>
        </w:rPr>
      </w:pPr>
    </w:p>
    <w:p w:rsidR="002936F4" w:rsidRPr="002936F4" w:rsidRDefault="002936F4" w:rsidP="002936F4">
      <w:pPr>
        <w:pStyle w:val="Default"/>
        <w:numPr>
          <w:ilvl w:val="0"/>
          <w:numId w:val="8"/>
        </w:numPr>
        <w:jc w:val="both"/>
        <w:rPr>
          <w:rFonts w:ascii="Times New Roman" w:hAnsi="Times New Roman" w:cs="Times New Roman"/>
          <w:sz w:val="20"/>
          <w:szCs w:val="20"/>
        </w:rPr>
      </w:pPr>
      <w:r w:rsidRPr="002936F4">
        <w:rPr>
          <w:rFonts w:ascii="Times New Roman" w:hAnsi="Times New Roman" w:cs="Times New Roman"/>
          <w:b/>
          <w:bCs/>
          <w:sz w:val="20"/>
          <w:szCs w:val="20"/>
        </w:rPr>
        <w:t xml:space="preserve">g) Rezervy </w:t>
      </w:r>
    </w:p>
    <w:p w:rsidR="002936F4" w:rsidRPr="002936F4" w:rsidRDefault="002936F4" w:rsidP="002936F4">
      <w:pPr>
        <w:pStyle w:val="Default"/>
        <w:jc w:val="both"/>
        <w:rPr>
          <w:rFonts w:ascii="Times New Roman" w:hAnsi="Times New Roman" w:cs="Times New Roman"/>
          <w:sz w:val="20"/>
          <w:szCs w:val="20"/>
        </w:rPr>
      </w:pPr>
    </w:p>
    <w:p w:rsidR="002936F4" w:rsidRPr="002936F4" w:rsidRDefault="002936F4" w:rsidP="002936F4">
      <w:pPr>
        <w:pStyle w:val="Default"/>
        <w:jc w:val="both"/>
        <w:rPr>
          <w:rFonts w:ascii="Times New Roman" w:hAnsi="Times New Roman" w:cs="Times New Roman"/>
          <w:sz w:val="20"/>
          <w:szCs w:val="20"/>
        </w:rPr>
      </w:pPr>
      <w:r w:rsidRPr="002936F4">
        <w:rPr>
          <w:rFonts w:ascii="Times New Roman" w:hAnsi="Times New Roman" w:cs="Times New Roman"/>
          <w:sz w:val="20"/>
          <w:szCs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936F4" w:rsidRDefault="002936F4" w:rsidP="002936F4">
      <w:pPr>
        <w:jc w:val="both"/>
        <w:rPr>
          <w:rFonts w:ascii="Times New Roman" w:hAnsi="Times New Roman" w:cs="Times New Roman"/>
          <w:sz w:val="20"/>
          <w:szCs w:val="20"/>
        </w:rPr>
      </w:pPr>
      <w:r w:rsidRPr="002936F4">
        <w:rPr>
          <w:rFonts w:ascii="Times New Roman" w:hAnsi="Times New Roman" w:cs="Times New Roman"/>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C4514D" w:rsidRDefault="00C4514D" w:rsidP="002936F4">
      <w:pPr>
        <w:jc w:val="both"/>
        <w:rPr>
          <w:rFonts w:ascii="Times New Roman" w:hAnsi="Times New Roman" w:cs="Times New Roman"/>
          <w:sz w:val="20"/>
          <w:szCs w:val="20"/>
        </w:rPr>
      </w:pPr>
    </w:p>
    <w:p w:rsidR="00C4514D" w:rsidRDefault="00C4514D" w:rsidP="002936F4">
      <w:pPr>
        <w:jc w:val="both"/>
        <w:rPr>
          <w:sz w:val="20"/>
          <w:szCs w:val="20"/>
        </w:rPr>
      </w:pPr>
      <w:r>
        <w:rPr>
          <w:sz w:val="20"/>
          <w:szCs w:val="20"/>
        </w:rPr>
        <w:lastRenderedPageBreak/>
        <w:t>Spoločnosť vytvorila rezervy na nevyčerpané dovolenky a spracovanie daňového priznania k dani z príjmu právnických osôb za rok 202</w:t>
      </w:r>
      <w:r w:rsidR="00F96E4A">
        <w:rPr>
          <w:sz w:val="20"/>
          <w:szCs w:val="20"/>
        </w:rPr>
        <w:t>4</w:t>
      </w:r>
      <w:r>
        <w:rPr>
          <w:sz w:val="20"/>
          <w:szCs w:val="20"/>
        </w:rPr>
        <w:t>.</w:t>
      </w:r>
    </w:p>
    <w:p w:rsidR="00C4514D" w:rsidRDefault="00C4514D" w:rsidP="00C4514D">
      <w:pPr>
        <w:pStyle w:val="Default"/>
      </w:pPr>
    </w:p>
    <w:p w:rsidR="00C4514D" w:rsidRDefault="00C4514D" w:rsidP="00C4514D">
      <w:pPr>
        <w:pStyle w:val="Default"/>
        <w:jc w:val="both"/>
        <w:rPr>
          <w:rFonts w:ascii="Times New Roman" w:hAnsi="Times New Roman" w:cs="Times New Roman"/>
          <w:b/>
          <w:bCs/>
          <w:sz w:val="20"/>
          <w:szCs w:val="20"/>
        </w:rPr>
      </w:pPr>
      <w:r>
        <w:rPr>
          <w:rFonts w:ascii="Times New Roman" w:hAnsi="Times New Roman" w:cs="Times New Roman"/>
          <w:b/>
          <w:bCs/>
          <w:sz w:val="20"/>
          <w:szCs w:val="20"/>
        </w:rPr>
        <w:t xml:space="preserve">h) </w:t>
      </w:r>
      <w:r w:rsidRPr="00C4514D">
        <w:rPr>
          <w:rFonts w:ascii="Times New Roman" w:hAnsi="Times New Roman" w:cs="Times New Roman"/>
          <w:b/>
          <w:bCs/>
          <w:sz w:val="20"/>
          <w:szCs w:val="20"/>
        </w:rPr>
        <w:t xml:space="preserve">Záväzky </w:t>
      </w:r>
    </w:p>
    <w:p w:rsidR="00C4514D" w:rsidRPr="00C4514D" w:rsidRDefault="00C4514D" w:rsidP="00C4514D">
      <w:pPr>
        <w:pStyle w:val="Default"/>
        <w:jc w:val="both"/>
        <w:rPr>
          <w:rFonts w:ascii="Times New Roman" w:hAnsi="Times New Roman" w:cs="Times New Roman"/>
          <w:b/>
          <w:bCs/>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4514D" w:rsidRP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numPr>
          <w:ilvl w:val="0"/>
          <w:numId w:val="10"/>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i) Zamestnanecké požitky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 </w:t>
      </w:r>
    </w:p>
    <w:p w:rsidR="00C4514D" w:rsidRP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numPr>
          <w:ilvl w:val="0"/>
          <w:numId w:val="11"/>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j) Splatná daň z príjmov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jc w:val="both"/>
        <w:rPr>
          <w:rFonts w:ascii="Times New Roman" w:hAnsi="Times New Roman" w:cs="Times New Roman"/>
          <w:sz w:val="20"/>
          <w:szCs w:val="20"/>
        </w:rPr>
      </w:pPr>
      <w:r w:rsidRPr="00C4514D">
        <w:rPr>
          <w:rFonts w:ascii="Times New Roman" w:hAnsi="Times New Roman" w:cs="Times New Roman"/>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C4514D" w:rsidRDefault="00C4514D" w:rsidP="00C4514D">
      <w:pPr>
        <w:pStyle w:val="Default"/>
      </w:pPr>
    </w:p>
    <w:p w:rsidR="00C4514D" w:rsidRDefault="00C4514D" w:rsidP="00C4514D">
      <w:pPr>
        <w:pStyle w:val="Default"/>
        <w:jc w:val="both"/>
        <w:rPr>
          <w:rFonts w:ascii="Times New Roman" w:hAnsi="Times New Roman" w:cs="Times New Roman"/>
          <w:b/>
          <w:bCs/>
          <w:sz w:val="20"/>
          <w:szCs w:val="20"/>
        </w:rPr>
      </w:pPr>
      <w:r w:rsidRPr="00C4514D">
        <w:rPr>
          <w:rFonts w:ascii="Times New Roman" w:hAnsi="Times New Roman" w:cs="Times New Roman"/>
          <w:b/>
          <w:bCs/>
          <w:sz w:val="20"/>
          <w:szCs w:val="20"/>
        </w:rPr>
        <w:t xml:space="preserve">k) Odložená daň z príjmov </w:t>
      </w:r>
    </w:p>
    <w:p w:rsidR="00C4514D" w:rsidRPr="00C4514D" w:rsidRDefault="00C4514D" w:rsidP="00C4514D">
      <w:pPr>
        <w:pStyle w:val="Default"/>
        <w:jc w:val="both"/>
        <w:rPr>
          <w:rFonts w:ascii="Times New Roman" w:hAnsi="Times New Roman" w:cs="Times New Roman"/>
        </w:rPr>
      </w:pP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Odložená daň z príjmov vyplýva z: </w:t>
      </w: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a) rozdielov medzi účtovnou hodnotou majetku a účtovnou hodnotou záväzkov vykázanou v súvahe a ich daňovou základňou, </w:t>
      </w: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b) možnosti umorovať daňovú stratu v budúcnosti, pod ktorou sa rozumie možnosť odpočítať daňovú stratu od základu dane v budúcnosti, </w:t>
      </w: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Odložená daňová pohľadávka sa účtuje iba do takej výšky, do akej je pravdepodobné, že bude možné dočasné rozdiely vyrovnať voči budúcemu základu dane. </w:t>
      </w: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Pri výpočte odloženej dane sa použije sadzba dane z príjmov, o ktorej sa predpokladá, že bude platiť v čase vyrovnania odloženej dane. </w:t>
      </w:r>
    </w:p>
    <w:p w:rsidR="00C4514D" w:rsidRP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numPr>
          <w:ilvl w:val="0"/>
          <w:numId w:val="13"/>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l) Výdavky budúcich období a výnosy budúcich období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Výdavky budúcich období a výnosy budúcich období sú vykázané vo výške, ktorá je potrebná na dodržanie zásady vecnej a časovej súvislosti s účtovným obdobím. </w:t>
      </w:r>
    </w:p>
    <w:p w:rsidR="00C4514D" w:rsidRP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numPr>
          <w:ilvl w:val="0"/>
          <w:numId w:val="14"/>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m) Cudzia mena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rsidR="00C4514D" w:rsidRP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numPr>
          <w:ilvl w:val="0"/>
          <w:numId w:val="15"/>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n) Vykazovanie výnosov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rsid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jc w:val="both"/>
        <w:rPr>
          <w:rFonts w:ascii="Times New Roman" w:hAnsi="Times New Roman" w:cs="Times New Roman"/>
          <w:sz w:val="20"/>
          <w:szCs w:val="20"/>
        </w:rPr>
      </w:pPr>
      <w:r w:rsidRPr="00C4514D">
        <w:rPr>
          <w:rFonts w:ascii="Times New Roman" w:hAnsi="Times New Roman" w:cs="Times New Roman"/>
          <w:sz w:val="20"/>
          <w:szCs w:val="20"/>
        </w:rPr>
        <w:lastRenderedPageBreak/>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Výnosy Spoločnosti tvoria najmä tržby za správu a prevádzku administratívnej budovy </w:t>
      </w:r>
      <w:proofErr w:type="spellStart"/>
      <w:r w:rsidRPr="00C4514D">
        <w:rPr>
          <w:rFonts w:ascii="Times New Roman" w:hAnsi="Times New Roman" w:cs="Times New Roman"/>
          <w:sz w:val="20"/>
          <w:szCs w:val="20"/>
        </w:rPr>
        <w:t>Lakeside</w:t>
      </w:r>
      <w:proofErr w:type="spellEnd"/>
      <w:r w:rsidRPr="00C4514D">
        <w:rPr>
          <w:rFonts w:ascii="Times New Roman" w:hAnsi="Times New Roman" w:cs="Times New Roman"/>
          <w:sz w:val="20"/>
          <w:szCs w:val="20"/>
        </w:rPr>
        <w:t xml:space="preserve"> Park.</w:t>
      </w:r>
    </w:p>
    <w:p w:rsidR="00C4514D" w:rsidRP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 </w:t>
      </w:r>
    </w:p>
    <w:p w:rsidR="00C4514D" w:rsidRPr="00C4514D" w:rsidRDefault="00C4514D" w:rsidP="00C4514D">
      <w:pPr>
        <w:pStyle w:val="Default"/>
        <w:numPr>
          <w:ilvl w:val="0"/>
          <w:numId w:val="16"/>
        </w:numPr>
        <w:jc w:val="both"/>
        <w:rPr>
          <w:rFonts w:ascii="Times New Roman" w:hAnsi="Times New Roman" w:cs="Times New Roman"/>
          <w:sz w:val="20"/>
          <w:szCs w:val="20"/>
        </w:rPr>
      </w:pPr>
      <w:r w:rsidRPr="00C4514D">
        <w:rPr>
          <w:rFonts w:ascii="Times New Roman" w:hAnsi="Times New Roman" w:cs="Times New Roman"/>
          <w:b/>
          <w:bCs/>
          <w:sz w:val="20"/>
          <w:szCs w:val="20"/>
        </w:rPr>
        <w:t xml:space="preserve">o) Oprava chýb minulých období </w:t>
      </w:r>
    </w:p>
    <w:p w:rsidR="00C4514D" w:rsidRPr="00C4514D" w:rsidRDefault="00C4514D" w:rsidP="00C4514D">
      <w:pPr>
        <w:pStyle w:val="Default"/>
        <w:jc w:val="both"/>
        <w:rPr>
          <w:rFonts w:ascii="Times New Roman" w:hAnsi="Times New Roman" w:cs="Times New Roman"/>
          <w:sz w:val="20"/>
          <w:szCs w:val="20"/>
        </w:rPr>
      </w:pPr>
    </w:p>
    <w:p w:rsidR="00C4514D" w:rsidRDefault="00C4514D" w:rsidP="00C4514D">
      <w:pPr>
        <w:pStyle w:val="Default"/>
        <w:jc w:val="both"/>
        <w:rPr>
          <w:rFonts w:ascii="Times New Roman" w:hAnsi="Times New Roman" w:cs="Times New Roman"/>
          <w:sz w:val="20"/>
          <w:szCs w:val="20"/>
        </w:rPr>
      </w:pPr>
      <w:r w:rsidRPr="00C4514D">
        <w:rPr>
          <w:rFonts w:ascii="Times New Roman" w:hAnsi="Times New Roman" w:cs="Times New Roman"/>
          <w:sz w:val="20"/>
          <w:szCs w:val="20"/>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C4514D">
        <w:rPr>
          <w:rFonts w:ascii="Times New Roman" w:hAnsi="Times New Roman" w:cs="Times New Roman"/>
          <w:sz w:val="20"/>
          <w:szCs w:val="20"/>
        </w:rPr>
        <w:t>t.j</w:t>
      </w:r>
      <w:proofErr w:type="spellEnd"/>
      <w:r w:rsidRPr="00C4514D">
        <w:rPr>
          <w:rFonts w:ascii="Times New Roman" w:hAnsi="Times New Roman" w:cs="Times New Roman"/>
          <w:sz w:val="20"/>
          <w:szCs w:val="20"/>
        </w:rPr>
        <w:t xml:space="preserve">. bez vplyvu na výsledok hospodárenia v bežnom účtovnom období. Opravy nevýznamných chýb minulých účtovných období sa účtujú v bežnom účtovnom období na príslušný nákladový alebo výnosový účet. </w:t>
      </w:r>
    </w:p>
    <w:p w:rsidR="00C4514D" w:rsidRDefault="00C4514D" w:rsidP="00C4514D">
      <w:pPr>
        <w:pStyle w:val="Default"/>
        <w:jc w:val="both"/>
        <w:rPr>
          <w:rFonts w:ascii="Times New Roman" w:hAnsi="Times New Roman" w:cs="Times New Roman"/>
          <w:sz w:val="20"/>
          <w:szCs w:val="20"/>
        </w:rPr>
      </w:pPr>
    </w:p>
    <w:p w:rsidR="00C4514D" w:rsidRPr="00C4514D" w:rsidRDefault="00C4514D" w:rsidP="00C4514D">
      <w:pPr>
        <w:pStyle w:val="Default"/>
        <w:rPr>
          <w:rFonts w:ascii="Times New Roman" w:hAnsi="Times New Roman" w:cs="Times New Roman"/>
          <w:sz w:val="20"/>
          <w:szCs w:val="20"/>
        </w:rPr>
      </w:pPr>
    </w:p>
    <w:p w:rsidR="00C4514D" w:rsidRDefault="00C4514D" w:rsidP="00C4514D">
      <w:pPr>
        <w:pStyle w:val="Default"/>
        <w:rPr>
          <w:rFonts w:ascii="Times New Roman" w:hAnsi="Times New Roman" w:cs="Times New Roman"/>
          <w:b/>
          <w:bCs/>
          <w:sz w:val="20"/>
          <w:szCs w:val="20"/>
        </w:rPr>
      </w:pPr>
      <w:r w:rsidRPr="00C4514D">
        <w:rPr>
          <w:rFonts w:ascii="Times New Roman" w:hAnsi="Times New Roman" w:cs="Times New Roman"/>
          <w:b/>
          <w:bCs/>
          <w:sz w:val="20"/>
          <w:szCs w:val="20"/>
        </w:rPr>
        <w:t xml:space="preserve">E. INFORMÁCIE, KTORÉ VYSVETĽUJÚ A DOPĹŇAJÚ SÚVAHU A VÝKAZ ZISKOV A STRÁT </w:t>
      </w:r>
    </w:p>
    <w:p w:rsidR="00C4514D" w:rsidRPr="00C4514D" w:rsidRDefault="00C4514D" w:rsidP="00C4514D">
      <w:pPr>
        <w:pStyle w:val="Default"/>
        <w:rPr>
          <w:rFonts w:ascii="Times New Roman" w:hAnsi="Times New Roman" w:cs="Times New Roman"/>
          <w:sz w:val="20"/>
          <w:szCs w:val="20"/>
        </w:rPr>
      </w:pPr>
    </w:p>
    <w:p w:rsidR="00C4514D" w:rsidRDefault="00C4514D" w:rsidP="00C4514D">
      <w:pPr>
        <w:jc w:val="both"/>
        <w:rPr>
          <w:rFonts w:ascii="Times New Roman" w:hAnsi="Times New Roman" w:cs="Times New Roman"/>
          <w:b/>
          <w:bCs/>
          <w:sz w:val="20"/>
          <w:szCs w:val="20"/>
        </w:rPr>
      </w:pPr>
      <w:r w:rsidRPr="00C4514D">
        <w:rPr>
          <w:rFonts w:ascii="Times New Roman" w:hAnsi="Times New Roman" w:cs="Times New Roman"/>
          <w:b/>
          <w:bCs/>
          <w:sz w:val="20"/>
          <w:szCs w:val="20"/>
        </w:rPr>
        <w:t>1. Záväzky</w:t>
      </w:r>
    </w:p>
    <w:tbl>
      <w:tblPr>
        <w:tblW w:w="5000" w:type="pct"/>
        <w:tblCellMar>
          <w:left w:w="70" w:type="dxa"/>
          <w:right w:w="70" w:type="dxa"/>
        </w:tblCellMar>
        <w:tblLook w:val="04A0" w:firstRow="1" w:lastRow="0" w:firstColumn="1" w:lastColumn="0" w:noHBand="0" w:noVBand="1"/>
      </w:tblPr>
      <w:tblGrid>
        <w:gridCol w:w="5411"/>
        <w:gridCol w:w="2141"/>
        <w:gridCol w:w="1520"/>
      </w:tblGrid>
      <w:tr w:rsidR="00C4514D" w:rsidRPr="00C4514D" w:rsidTr="00C4514D">
        <w:trPr>
          <w:trHeight w:val="480"/>
        </w:trPr>
        <w:tc>
          <w:tcPr>
            <w:tcW w:w="2982" w:type="pct"/>
            <w:tcBorders>
              <w:top w:val="nil"/>
              <w:left w:val="nil"/>
              <w:bottom w:val="single" w:sz="4" w:space="0" w:color="auto"/>
              <w:right w:val="nil"/>
            </w:tcBorders>
            <w:shd w:val="clear" w:color="auto" w:fill="auto"/>
            <w:vAlign w:val="center"/>
            <w:hideMark/>
          </w:tcPr>
          <w:p w:rsidR="00C4514D" w:rsidRPr="00C4514D" w:rsidRDefault="00C4514D" w:rsidP="00C4514D">
            <w:pPr>
              <w:spacing w:after="0" w:line="240" w:lineRule="auto"/>
              <w:jc w:val="center"/>
              <w:rPr>
                <w:rFonts w:ascii="Calibri" w:eastAsia="Times New Roman" w:hAnsi="Calibri" w:cs="Calibri"/>
                <w:b/>
                <w:bCs/>
                <w:color w:val="000000"/>
                <w:sz w:val="18"/>
                <w:szCs w:val="18"/>
                <w:lang w:eastAsia="sk-SK"/>
              </w:rPr>
            </w:pPr>
            <w:r w:rsidRPr="00C4514D">
              <w:rPr>
                <w:rFonts w:ascii="Calibri" w:eastAsia="Times New Roman" w:hAnsi="Calibri" w:cs="Calibri"/>
                <w:b/>
                <w:bCs/>
                <w:color w:val="000000"/>
                <w:sz w:val="18"/>
                <w:szCs w:val="18"/>
                <w:lang w:eastAsia="sk-SK"/>
              </w:rPr>
              <w:t xml:space="preserve">Názov položky </w:t>
            </w:r>
          </w:p>
        </w:tc>
        <w:tc>
          <w:tcPr>
            <w:tcW w:w="1180" w:type="pct"/>
            <w:tcBorders>
              <w:top w:val="nil"/>
              <w:left w:val="nil"/>
              <w:bottom w:val="single" w:sz="4" w:space="0" w:color="auto"/>
              <w:right w:val="nil"/>
            </w:tcBorders>
            <w:shd w:val="clear" w:color="auto" w:fill="auto"/>
            <w:vAlign w:val="center"/>
            <w:hideMark/>
          </w:tcPr>
          <w:p w:rsidR="00C4514D" w:rsidRPr="00C4514D" w:rsidRDefault="00C4514D" w:rsidP="00C4514D">
            <w:pPr>
              <w:spacing w:after="0" w:line="240" w:lineRule="auto"/>
              <w:jc w:val="center"/>
              <w:rPr>
                <w:rFonts w:ascii="Calibri" w:eastAsia="Times New Roman" w:hAnsi="Calibri" w:cs="Calibri"/>
                <w:b/>
                <w:bCs/>
                <w:color w:val="000000"/>
                <w:sz w:val="18"/>
                <w:szCs w:val="18"/>
                <w:lang w:eastAsia="sk-SK"/>
              </w:rPr>
            </w:pPr>
            <w:r w:rsidRPr="00C4514D">
              <w:rPr>
                <w:rFonts w:ascii="Calibri" w:eastAsia="Times New Roman" w:hAnsi="Calibri" w:cs="Calibri"/>
                <w:b/>
                <w:bCs/>
                <w:color w:val="000000"/>
                <w:sz w:val="18"/>
                <w:szCs w:val="18"/>
                <w:lang w:eastAsia="sk-SK"/>
              </w:rPr>
              <w:t>Stav k 31.12.202</w:t>
            </w:r>
            <w:r w:rsidR="00F96E4A">
              <w:rPr>
                <w:rFonts w:ascii="Calibri" w:eastAsia="Times New Roman" w:hAnsi="Calibri" w:cs="Calibri"/>
                <w:b/>
                <w:bCs/>
                <w:color w:val="000000"/>
                <w:sz w:val="18"/>
                <w:szCs w:val="18"/>
                <w:lang w:eastAsia="sk-SK"/>
              </w:rPr>
              <w:t>4</w:t>
            </w:r>
          </w:p>
        </w:tc>
        <w:tc>
          <w:tcPr>
            <w:tcW w:w="839" w:type="pct"/>
            <w:tcBorders>
              <w:top w:val="nil"/>
              <w:left w:val="nil"/>
              <w:bottom w:val="single" w:sz="4" w:space="0" w:color="auto"/>
              <w:right w:val="nil"/>
            </w:tcBorders>
            <w:shd w:val="clear" w:color="auto" w:fill="auto"/>
            <w:vAlign w:val="center"/>
            <w:hideMark/>
          </w:tcPr>
          <w:p w:rsidR="00C4514D" w:rsidRPr="00C4514D" w:rsidRDefault="00C4514D" w:rsidP="00C4514D">
            <w:pPr>
              <w:spacing w:after="0" w:line="240" w:lineRule="auto"/>
              <w:jc w:val="center"/>
              <w:rPr>
                <w:rFonts w:ascii="Calibri" w:eastAsia="Times New Roman" w:hAnsi="Calibri" w:cs="Calibri"/>
                <w:b/>
                <w:bCs/>
                <w:color w:val="000000"/>
                <w:sz w:val="18"/>
                <w:szCs w:val="18"/>
                <w:lang w:eastAsia="sk-SK"/>
              </w:rPr>
            </w:pPr>
            <w:r w:rsidRPr="00C4514D">
              <w:rPr>
                <w:rFonts w:ascii="Calibri" w:eastAsia="Times New Roman" w:hAnsi="Calibri" w:cs="Calibri"/>
                <w:b/>
                <w:bCs/>
                <w:color w:val="000000"/>
                <w:sz w:val="18"/>
                <w:szCs w:val="18"/>
                <w:lang w:eastAsia="sk-SK"/>
              </w:rPr>
              <w:t>Stav k 31.12.202</w:t>
            </w:r>
            <w:r w:rsidR="00F96E4A">
              <w:rPr>
                <w:rFonts w:ascii="Calibri" w:eastAsia="Times New Roman" w:hAnsi="Calibri" w:cs="Calibri"/>
                <w:b/>
                <w:bCs/>
                <w:color w:val="000000"/>
                <w:sz w:val="18"/>
                <w:szCs w:val="18"/>
                <w:lang w:eastAsia="sk-SK"/>
              </w:rPr>
              <w:t>3</w:t>
            </w:r>
            <w:r w:rsidRPr="00C4514D">
              <w:rPr>
                <w:rFonts w:ascii="Calibri" w:eastAsia="Times New Roman" w:hAnsi="Calibri" w:cs="Calibri"/>
                <w:b/>
                <w:bCs/>
                <w:color w:val="000000"/>
                <w:sz w:val="18"/>
                <w:szCs w:val="18"/>
                <w:lang w:eastAsia="sk-SK"/>
              </w:rPr>
              <w:t xml:space="preserve"> </w:t>
            </w:r>
          </w:p>
        </w:tc>
      </w:tr>
      <w:tr w:rsidR="00C4514D" w:rsidRPr="00C4514D" w:rsidTr="00C4514D">
        <w:trPr>
          <w:trHeight w:val="300"/>
        </w:trPr>
        <w:tc>
          <w:tcPr>
            <w:tcW w:w="2982" w:type="pct"/>
            <w:tcBorders>
              <w:top w:val="nil"/>
              <w:left w:val="nil"/>
              <w:bottom w:val="nil"/>
              <w:right w:val="nil"/>
            </w:tcBorders>
            <w:shd w:val="clear" w:color="auto" w:fill="auto"/>
            <w:vAlign w:val="center"/>
            <w:hideMark/>
          </w:tcPr>
          <w:p w:rsidR="00C4514D" w:rsidRPr="00C4514D" w:rsidRDefault="00C4514D" w:rsidP="00C4514D">
            <w:pPr>
              <w:spacing w:after="0" w:line="240" w:lineRule="auto"/>
              <w:rPr>
                <w:rFonts w:ascii="Calibri" w:eastAsia="Times New Roman" w:hAnsi="Calibri" w:cs="Calibri"/>
                <w:b/>
                <w:bCs/>
                <w:color w:val="000000"/>
                <w:sz w:val="18"/>
                <w:szCs w:val="18"/>
                <w:lang w:eastAsia="sk-SK"/>
              </w:rPr>
            </w:pPr>
            <w:r w:rsidRPr="00C4514D">
              <w:rPr>
                <w:rFonts w:ascii="Calibri" w:eastAsia="Times New Roman" w:hAnsi="Calibri" w:cs="Calibri"/>
                <w:b/>
                <w:bCs/>
                <w:color w:val="000000"/>
                <w:sz w:val="18"/>
                <w:szCs w:val="18"/>
                <w:lang w:eastAsia="sk-SK"/>
              </w:rPr>
              <w:t xml:space="preserve">Dlhodobé záväzky: </w:t>
            </w:r>
          </w:p>
        </w:tc>
        <w:tc>
          <w:tcPr>
            <w:tcW w:w="1180" w:type="pct"/>
            <w:vMerge w:val="restart"/>
            <w:tcBorders>
              <w:top w:val="nil"/>
              <w:left w:val="nil"/>
              <w:bottom w:val="nil"/>
              <w:right w:val="nil"/>
            </w:tcBorders>
            <w:shd w:val="clear" w:color="auto" w:fill="auto"/>
            <w:vAlign w:val="center"/>
            <w:hideMark/>
          </w:tcPr>
          <w:p w:rsidR="00C4514D" w:rsidRPr="00C4514D" w:rsidRDefault="00C4514D" w:rsidP="00C4514D">
            <w:pPr>
              <w:spacing w:after="0" w:line="240" w:lineRule="auto"/>
              <w:jc w:val="right"/>
              <w:rPr>
                <w:rFonts w:ascii="Calibri" w:eastAsia="Times New Roman" w:hAnsi="Calibri" w:cs="Calibri"/>
                <w:color w:val="000000"/>
                <w:sz w:val="18"/>
                <w:szCs w:val="18"/>
                <w:lang w:eastAsia="sk-SK"/>
              </w:rPr>
            </w:pPr>
            <w:r w:rsidRPr="00C4514D">
              <w:rPr>
                <w:rFonts w:ascii="Calibri" w:eastAsia="Times New Roman" w:hAnsi="Calibri" w:cs="Calibri"/>
                <w:color w:val="000000"/>
                <w:sz w:val="18"/>
                <w:szCs w:val="18"/>
                <w:lang w:eastAsia="sk-SK"/>
              </w:rPr>
              <w:t>0</w:t>
            </w:r>
          </w:p>
        </w:tc>
        <w:tc>
          <w:tcPr>
            <w:tcW w:w="839" w:type="pct"/>
            <w:vMerge w:val="restart"/>
            <w:tcBorders>
              <w:top w:val="nil"/>
              <w:left w:val="nil"/>
              <w:bottom w:val="nil"/>
              <w:right w:val="nil"/>
            </w:tcBorders>
            <w:shd w:val="clear" w:color="auto" w:fill="auto"/>
            <w:vAlign w:val="center"/>
            <w:hideMark/>
          </w:tcPr>
          <w:p w:rsidR="00C4514D" w:rsidRPr="00C4514D" w:rsidRDefault="0039756C" w:rsidP="00C4514D">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0</w:t>
            </w:r>
          </w:p>
        </w:tc>
      </w:tr>
      <w:tr w:rsidR="00C4514D" w:rsidRPr="00C4514D" w:rsidTr="00C4514D">
        <w:trPr>
          <w:trHeight w:val="480"/>
        </w:trPr>
        <w:tc>
          <w:tcPr>
            <w:tcW w:w="2982" w:type="pct"/>
            <w:tcBorders>
              <w:top w:val="nil"/>
              <w:left w:val="nil"/>
              <w:bottom w:val="nil"/>
              <w:right w:val="nil"/>
            </w:tcBorders>
            <w:shd w:val="clear" w:color="auto" w:fill="auto"/>
            <w:vAlign w:val="center"/>
            <w:hideMark/>
          </w:tcPr>
          <w:p w:rsidR="00C4514D" w:rsidRPr="00C4514D" w:rsidRDefault="00C4514D" w:rsidP="00C4514D">
            <w:pPr>
              <w:spacing w:after="0" w:line="240" w:lineRule="auto"/>
              <w:rPr>
                <w:rFonts w:ascii="Calibri" w:eastAsia="Times New Roman" w:hAnsi="Calibri" w:cs="Calibri"/>
                <w:color w:val="000000"/>
                <w:sz w:val="18"/>
                <w:szCs w:val="18"/>
                <w:lang w:eastAsia="sk-SK"/>
              </w:rPr>
            </w:pPr>
            <w:r w:rsidRPr="00C4514D">
              <w:rPr>
                <w:rFonts w:ascii="Calibri" w:eastAsia="Times New Roman" w:hAnsi="Calibri" w:cs="Calibri"/>
                <w:color w:val="000000"/>
                <w:sz w:val="18"/>
                <w:szCs w:val="18"/>
                <w:lang w:eastAsia="sk-SK"/>
              </w:rPr>
              <w:t xml:space="preserve">Záväzky so zostatkovou dobou splatnosti jeden rok až päť rokov </w:t>
            </w:r>
          </w:p>
        </w:tc>
        <w:tc>
          <w:tcPr>
            <w:tcW w:w="1180" w:type="pct"/>
            <w:vMerge/>
            <w:tcBorders>
              <w:top w:val="nil"/>
              <w:left w:val="nil"/>
              <w:bottom w:val="nil"/>
              <w:right w:val="nil"/>
            </w:tcBorders>
            <w:vAlign w:val="center"/>
            <w:hideMark/>
          </w:tcPr>
          <w:p w:rsidR="00C4514D" w:rsidRPr="00C4514D" w:rsidRDefault="00C4514D" w:rsidP="00C4514D">
            <w:pPr>
              <w:spacing w:after="0" w:line="240" w:lineRule="auto"/>
              <w:rPr>
                <w:rFonts w:ascii="Calibri" w:eastAsia="Times New Roman" w:hAnsi="Calibri" w:cs="Calibri"/>
                <w:color w:val="000000"/>
                <w:sz w:val="18"/>
                <w:szCs w:val="18"/>
                <w:lang w:eastAsia="sk-SK"/>
              </w:rPr>
            </w:pPr>
          </w:p>
        </w:tc>
        <w:tc>
          <w:tcPr>
            <w:tcW w:w="839" w:type="pct"/>
            <w:vMerge/>
            <w:tcBorders>
              <w:top w:val="nil"/>
              <w:left w:val="nil"/>
              <w:bottom w:val="nil"/>
              <w:right w:val="nil"/>
            </w:tcBorders>
            <w:vAlign w:val="center"/>
            <w:hideMark/>
          </w:tcPr>
          <w:p w:rsidR="00C4514D" w:rsidRPr="00C4514D" w:rsidRDefault="00C4514D" w:rsidP="00C4514D">
            <w:pPr>
              <w:spacing w:after="0" w:line="240" w:lineRule="auto"/>
              <w:rPr>
                <w:rFonts w:ascii="Calibri" w:eastAsia="Times New Roman" w:hAnsi="Calibri" w:cs="Calibri"/>
                <w:color w:val="000000"/>
                <w:sz w:val="18"/>
                <w:szCs w:val="18"/>
                <w:lang w:eastAsia="sk-SK"/>
              </w:rPr>
            </w:pPr>
          </w:p>
        </w:tc>
      </w:tr>
      <w:tr w:rsidR="00C4514D" w:rsidRPr="00C4514D" w:rsidTr="00C4514D">
        <w:trPr>
          <w:trHeight w:val="480"/>
        </w:trPr>
        <w:tc>
          <w:tcPr>
            <w:tcW w:w="2982" w:type="pct"/>
            <w:tcBorders>
              <w:top w:val="nil"/>
              <w:left w:val="nil"/>
              <w:bottom w:val="nil"/>
              <w:right w:val="nil"/>
            </w:tcBorders>
            <w:shd w:val="clear" w:color="auto" w:fill="auto"/>
            <w:vAlign w:val="center"/>
            <w:hideMark/>
          </w:tcPr>
          <w:p w:rsidR="00C4514D" w:rsidRPr="00C4514D" w:rsidRDefault="00C4514D" w:rsidP="00C4514D">
            <w:pPr>
              <w:spacing w:after="0" w:line="240" w:lineRule="auto"/>
              <w:rPr>
                <w:rFonts w:ascii="Calibri" w:eastAsia="Times New Roman" w:hAnsi="Calibri" w:cs="Calibri"/>
                <w:color w:val="000000"/>
                <w:sz w:val="18"/>
                <w:szCs w:val="18"/>
                <w:lang w:eastAsia="sk-SK"/>
              </w:rPr>
            </w:pPr>
            <w:r w:rsidRPr="00C4514D">
              <w:rPr>
                <w:rFonts w:ascii="Calibri" w:eastAsia="Times New Roman" w:hAnsi="Calibri" w:cs="Calibri"/>
                <w:color w:val="000000"/>
                <w:sz w:val="18"/>
                <w:szCs w:val="18"/>
                <w:lang w:eastAsia="sk-SK"/>
              </w:rPr>
              <w:t xml:space="preserve">Záväzky so zostatkovou dobou splatnosti nad päť rokov </w:t>
            </w:r>
          </w:p>
        </w:tc>
        <w:tc>
          <w:tcPr>
            <w:tcW w:w="1180" w:type="pct"/>
            <w:tcBorders>
              <w:top w:val="nil"/>
              <w:left w:val="nil"/>
              <w:bottom w:val="nil"/>
              <w:right w:val="nil"/>
            </w:tcBorders>
            <w:shd w:val="clear" w:color="auto" w:fill="auto"/>
            <w:vAlign w:val="center"/>
            <w:hideMark/>
          </w:tcPr>
          <w:p w:rsidR="00C4514D" w:rsidRPr="00C4514D" w:rsidRDefault="00C4514D" w:rsidP="00C4514D">
            <w:pPr>
              <w:spacing w:after="0" w:line="240" w:lineRule="auto"/>
              <w:jc w:val="right"/>
              <w:rPr>
                <w:rFonts w:ascii="Calibri" w:eastAsia="Times New Roman" w:hAnsi="Calibri" w:cs="Calibri"/>
                <w:color w:val="000000"/>
                <w:sz w:val="18"/>
                <w:szCs w:val="18"/>
                <w:lang w:eastAsia="sk-SK"/>
              </w:rPr>
            </w:pPr>
            <w:r w:rsidRPr="00C4514D">
              <w:rPr>
                <w:rFonts w:ascii="Calibri" w:eastAsia="Times New Roman" w:hAnsi="Calibri" w:cs="Calibri"/>
                <w:color w:val="000000"/>
                <w:sz w:val="18"/>
                <w:szCs w:val="18"/>
                <w:lang w:eastAsia="sk-SK"/>
              </w:rPr>
              <w:t>0</w:t>
            </w:r>
          </w:p>
        </w:tc>
        <w:tc>
          <w:tcPr>
            <w:tcW w:w="839" w:type="pct"/>
            <w:tcBorders>
              <w:top w:val="nil"/>
              <w:left w:val="nil"/>
              <w:bottom w:val="nil"/>
              <w:right w:val="nil"/>
            </w:tcBorders>
            <w:shd w:val="clear" w:color="auto" w:fill="auto"/>
            <w:vAlign w:val="center"/>
            <w:hideMark/>
          </w:tcPr>
          <w:p w:rsidR="00C4514D" w:rsidRPr="00C4514D" w:rsidRDefault="00C4514D" w:rsidP="00C4514D">
            <w:pPr>
              <w:spacing w:after="0" w:line="240" w:lineRule="auto"/>
              <w:jc w:val="right"/>
              <w:rPr>
                <w:rFonts w:ascii="Calibri" w:eastAsia="Times New Roman" w:hAnsi="Calibri" w:cs="Calibri"/>
                <w:color w:val="000000"/>
                <w:sz w:val="18"/>
                <w:szCs w:val="18"/>
                <w:lang w:eastAsia="sk-SK"/>
              </w:rPr>
            </w:pPr>
            <w:r w:rsidRPr="00C4514D">
              <w:rPr>
                <w:rFonts w:ascii="Calibri" w:eastAsia="Times New Roman" w:hAnsi="Calibri" w:cs="Calibri"/>
                <w:color w:val="000000"/>
                <w:sz w:val="18"/>
                <w:szCs w:val="18"/>
                <w:lang w:eastAsia="sk-SK"/>
              </w:rPr>
              <w:t>0</w:t>
            </w:r>
          </w:p>
        </w:tc>
      </w:tr>
      <w:tr w:rsidR="00C4514D" w:rsidRPr="00C4514D" w:rsidTr="00C4514D">
        <w:trPr>
          <w:trHeight w:val="300"/>
        </w:trPr>
        <w:tc>
          <w:tcPr>
            <w:tcW w:w="2982" w:type="pct"/>
            <w:tcBorders>
              <w:top w:val="nil"/>
              <w:left w:val="nil"/>
              <w:bottom w:val="nil"/>
              <w:right w:val="nil"/>
            </w:tcBorders>
            <w:shd w:val="clear" w:color="auto" w:fill="auto"/>
            <w:vAlign w:val="center"/>
            <w:hideMark/>
          </w:tcPr>
          <w:p w:rsidR="00C4514D" w:rsidRPr="00C4514D" w:rsidRDefault="00C4514D" w:rsidP="00C4514D">
            <w:pPr>
              <w:spacing w:after="0" w:line="240" w:lineRule="auto"/>
              <w:rPr>
                <w:rFonts w:ascii="Times New Roman" w:eastAsia="Times New Roman" w:hAnsi="Times New Roman" w:cs="Times New Roman"/>
                <w:b/>
                <w:bCs/>
                <w:color w:val="000000"/>
                <w:sz w:val="18"/>
                <w:szCs w:val="18"/>
                <w:lang w:eastAsia="sk-SK"/>
              </w:rPr>
            </w:pPr>
            <w:r w:rsidRPr="00C4514D">
              <w:rPr>
                <w:rFonts w:ascii="Times New Roman" w:eastAsia="Times New Roman" w:hAnsi="Times New Roman" w:cs="Times New Roman"/>
                <w:b/>
                <w:bCs/>
                <w:color w:val="000000"/>
                <w:sz w:val="18"/>
                <w:szCs w:val="18"/>
                <w:lang w:eastAsia="sk-SK"/>
              </w:rPr>
              <w:t xml:space="preserve">Dlhodobé záväzky spolu </w:t>
            </w:r>
          </w:p>
        </w:tc>
        <w:tc>
          <w:tcPr>
            <w:tcW w:w="1180" w:type="pct"/>
            <w:tcBorders>
              <w:top w:val="nil"/>
              <w:left w:val="nil"/>
              <w:bottom w:val="nil"/>
              <w:right w:val="nil"/>
            </w:tcBorders>
            <w:shd w:val="clear" w:color="auto" w:fill="auto"/>
            <w:vAlign w:val="center"/>
            <w:hideMark/>
          </w:tcPr>
          <w:p w:rsidR="00C4514D" w:rsidRPr="00C4514D" w:rsidRDefault="00C4514D" w:rsidP="00C4514D">
            <w:pPr>
              <w:spacing w:after="0" w:line="240" w:lineRule="auto"/>
              <w:jc w:val="right"/>
              <w:rPr>
                <w:rFonts w:ascii="Times New Roman" w:eastAsia="Times New Roman" w:hAnsi="Times New Roman" w:cs="Times New Roman"/>
                <w:b/>
                <w:bCs/>
                <w:color w:val="000000"/>
                <w:sz w:val="18"/>
                <w:szCs w:val="18"/>
                <w:lang w:eastAsia="sk-SK"/>
              </w:rPr>
            </w:pPr>
            <w:r w:rsidRPr="00C4514D">
              <w:rPr>
                <w:rFonts w:ascii="Times New Roman" w:eastAsia="Times New Roman" w:hAnsi="Times New Roman" w:cs="Times New Roman"/>
                <w:b/>
                <w:bCs/>
                <w:color w:val="000000"/>
                <w:sz w:val="18"/>
                <w:szCs w:val="18"/>
                <w:lang w:eastAsia="sk-SK"/>
              </w:rPr>
              <w:t>0</w:t>
            </w:r>
          </w:p>
        </w:tc>
        <w:tc>
          <w:tcPr>
            <w:tcW w:w="839" w:type="pct"/>
            <w:tcBorders>
              <w:top w:val="nil"/>
              <w:left w:val="nil"/>
              <w:bottom w:val="nil"/>
              <w:right w:val="nil"/>
            </w:tcBorders>
            <w:shd w:val="clear" w:color="auto" w:fill="auto"/>
            <w:vAlign w:val="center"/>
            <w:hideMark/>
          </w:tcPr>
          <w:p w:rsidR="00C4514D" w:rsidRPr="00C4514D" w:rsidRDefault="0039756C" w:rsidP="00C4514D">
            <w:pPr>
              <w:spacing w:after="0" w:line="240" w:lineRule="auto"/>
              <w:jc w:val="right"/>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0</w:t>
            </w:r>
          </w:p>
        </w:tc>
      </w:tr>
    </w:tbl>
    <w:p w:rsidR="00C4514D" w:rsidRPr="00C4514D" w:rsidRDefault="00C4514D" w:rsidP="00C4514D">
      <w:pPr>
        <w:jc w:val="both"/>
        <w:rPr>
          <w:rFonts w:ascii="Times New Roman" w:hAnsi="Times New Roman" w:cs="Times New Roman"/>
          <w:b/>
          <w:bCs/>
          <w:sz w:val="20"/>
          <w:szCs w:val="20"/>
        </w:rPr>
      </w:pP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b/>
          <w:bCs/>
          <w:color w:val="000000"/>
          <w:sz w:val="20"/>
          <w:szCs w:val="20"/>
        </w:rPr>
        <w:t xml:space="preserve">Informácie o nákladoch a výnosoch, ktoré majú výnimočný rozsah alebo výskyt </w:t>
      </w: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color w:val="000000"/>
          <w:sz w:val="20"/>
          <w:szCs w:val="20"/>
        </w:rPr>
        <w:t>Počas roku 202</w:t>
      </w:r>
      <w:r w:rsidR="0039756C">
        <w:rPr>
          <w:rFonts w:ascii="Times New Roman" w:hAnsi="Times New Roman" w:cs="Times New Roman"/>
          <w:color w:val="000000"/>
          <w:sz w:val="20"/>
          <w:szCs w:val="20"/>
        </w:rPr>
        <w:t>4</w:t>
      </w:r>
      <w:r w:rsidRPr="00C4514D">
        <w:rPr>
          <w:rFonts w:ascii="Times New Roman" w:hAnsi="Times New Roman" w:cs="Times New Roman"/>
          <w:color w:val="000000"/>
          <w:sz w:val="20"/>
          <w:szCs w:val="20"/>
        </w:rPr>
        <w:t xml:space="preserve"> nevznikli žiadne náklady ani výnosy, ktoré by mali výnimočný rozsah alebo výskyt. </w:t>
      </w: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b/>
          <w:bCs/>
          <w:color w:val="000000"/>
          <w:sz w:val="20"/>
          <w:szCs w:val="20"/>
        </w:rPr>
        <w:t xml:space="preserve">F. INÉ AKTÍVA A PASÍVA </w:t>
      </w: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color w:val="000000"/>
          <w:sz w:val="20"/>
          <w:szCs w:val="20"/>
        </w:rPr>
        <w:t xml:space="preserve">Spoločnosť nemá prípadné ďalšie záväzky ani majetok, ktoré sa nesledujú v bežnom účtovníctve a neuvádzajú sa v súvahe. </w:t>
      </w: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color w:val="000000"/>
          <w:sz w:val="20"/>
          <w:szCs w:val="20"/>
        </w:rPr>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 </w:t>
      </w: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p>
    <w:p w:rsidR="00C4514D" w:rsidRPr="00C4514D" w:rsidRDefault="00C4514D" w:rsidP="00C4514D">
      <w:pPr>
        <w:autoSpaceDE w:val="0"/>
        <w:autoSpaceDN w:val="0"/>
        <w:adjustRightInd w:val="0"/>
        <w:spacing w:after="0" w:line="240" w:lineRule="auto"/>
        <w:jc w:val="both"/>
        <w:rPr>
          <w:rFonts w:ascii="Times New Roman" w:hAnsi="Times New Roman" w:cs="Times New Roman"/>
          <w:color w:val="000000"/>
          <w:sz w:val="20"/>
          <w:szCs w:val="20"/>
        </w:rPr>
      </w:pPr>
      <w:r w:rsidRPr="00C4514D">
        <w:rPr>
          <w:rFonts w:ascii="Times New Roman" w:hAnsi="Times New Roman" w:cs="Times New Roman"/>
          <w:b/>
          <w:bCs/>
          <w:color w:val="000000"/>
          <w:sz w:val="20"/>
          <w:szCs w:val="20"/>
        </w:rPr>
        <w:t xml:space="preserve">G. SKUTOČNOSTI, KTORÉ NASTALI PO DNI, KU KTORÉMU SA ZOSTAVUJE ÚČTOVNÁ ZÁVIERKA, DO DŇA JEJ ZOSTAVENIA </w:t>
      </w:r>
    </w:p>
    <w:p w:rsidR="00C4514D" w:rsidRPr="00C4514D" w:rsidRDefault="00C4514D" w:rsidP="00C4514D">
      <w:pPr>
        <w:jc w:val="both"/>
        <w:rPr>
          <w:rFonts w:ascii="Times New Roman" w:hAnsi="Times New Roman" w:cs="Times New Roman"/>
          <w:b/>
          <w:bCs/>
          <w:sz w:val="20"/>
          <w:szCs w:val="20"/>
        </w:rPr>
      </w:pPr>
      <w:r w:rsidRPr="00C4514D">
        <w:rPr>
          <w:rFonts w:ascii="Times New Roman" w:hAnsi="Times New Roman" w:cs="Times New Roman"/>
          <w:color w:val="000000"/>
          <w:sz w:val="20"/>
          <w:szCs w:val="20"/>
        </w:rPr>
        <w:t>Po 31. decembri 202</w:t>
      </w:r>
      <w:r w:rsidR="0039756C">
        <w:rPr>
          <w:rFonts w:ascii="Times New Roman" w:hAnsi="Times New Roman" w:cs="Times New Roman"/>
          <w:color w:val="000000"/>
          <w:sz w:val="20"/>
          <w:szCs w:val="20"/>
        </w:rPr>
        <w:t>4</w:t>
      </w:r>
      <w:r w:rsidRPr="00C4514D">
        <w:rPr>
          <w:rFonts w:ascii="Times New Roman" w:hAnsi="Times New Roman" w:cs="Times New Roman"/>
          <w:color w:val="000000"/>
          <w:sz w:val="20"/>
          <w:szCs w:val="20"/>
        </w:rPr>
        <w:t xml:space="preserve"> nenastali iné udalosti, ktoré by si vyžadovali zverejnenie alebo vykázanie v účtovnej závierke za rok 202</w:t>
      </w:r>
      <w:r w:rsidR="0039756C">
        <w:rPr>
          <w:rFonts w:ascii="Times New Roman" w:hAnsi="Times New Roman" w:cs="Times New Roman"/>
          <w:color w:val="000000"/>
          <w:sz w:val="20"/>
          <w:szCs w:val="20"/>
        </w:rPr>
        <w:t>4</w:t>
      </w:r>
      <w:r w:rsidRPr="00C4514D">
        <w:rPr>
          <w:rFonts w:ascii="Times New Roman" w:hAnsi="Times New Roman" w:cs="Times New Roman"/>
          <w:color w:val="000000"/>
          <w:sz w:val="20"/>
          <w:szCs w:val="20"/>
        </w:rPr>
        <w:t>.</w:t>
      </w:r>
    </w:p>
    <w:p w:rsidR="00C4514D" w:rsidRPr="00C4514D" w:rsidRDefault="00C4514D" w:rsidP="00C4514D">
      <w:pPr>
        <w:jc w:val="both"/>
        <w:rPr>
          <w:rFonts w:ascii="Times New Roman" w:hAnsi="Times New Roman" w:cs="Times New Roman"/>
        </w:rPr>
      </w:pPr>
    </w:p>
    <w:sectPr w:rsidR="00C4514D" w:rsidRPr="00C4514D">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78F6" w:rsidRDefault="002178F6" w:rsidP="007A314E">
      <w:pPr>
        <w:spacing w:after="0" w:line="240" w:lineRule="auto"/>
      </w:pPr>
      <w:r>
        <w:separator/>
      </w:r>
    </w:p>
  </w:endnote>
  <w:endnote w:type="continuationSeparator" w:id="0">
    <w:p w:rsidR="002178F6" w:rsidRDefault="002178F6" w:rsidP="007A31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6E4A" w:rsidRDefault="00F96E4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6E4A" w:rsidRDefault="00F96E4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6E4A" w:rsidRDefault="00F96E4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78F6" w:rsidRDefault="002178F6" w:rsidP="007A314E">
      <w:pPr>
        <w:spacing w:after="0" w:line="240" w:lineRule="auto"/>
      </w:pPr>
      <w:r>
        <w:separator/>
      </w:r>
    </w:p>
  </w:footnote>
  <w:footnote w:type="continuationSeparator" w:id="0">
    <w:p w:rsidR="002178F6" w:rsidRDefault="002178F6" w:rsidP="007A31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6E4A" w:rsidRDefault="00F96E4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314E" w:rsidRDefault="007A314E" w:rsidP="007A314E">
    <w:pPr>
      <w:pStyle w:val="Default"/>
    </w:pPr>
  </w:p>
  <w:p w:rsidR="007A314E" w:rsidRDefault="007A314E" w:rsidP="007A314E">
    <w:pPr>
      <w:pStyle w:val="Hlavika"/>
      <w:rPr>
        <w:sz w:val="20"/>
        <w:szCs w:val="20"/>
      </w:rPr>
    </w:pPr>
    <w:r>
      <w:rPr>
        <w:sz w:val="20"/>
        <w:szCs w:val="20"/>
      </w:rPr>
      <w:t xml:space="preserve">Poznámky </w:t>
    </w:r>
    <w:proofErr w:type="spellStart"/>
    <w:r>
      <w:rPr>
        <w:sz w:val="20"/>
        <w:szCs w:val="20"/>
      </w:rPr>
      <w:t>Úč</w:t>
    </w:r>
    <w:proofErr w:type="spellEnd"/>
    <w:r>
      <w:rPr>
        <w:sz w:val="20"/>
        <w:szCs w:val="20"/>
      </w:rPr>
      <w:t xml:space="preserve"> PODV 3-01 </w:t>
    </w:r>
    <w:r>
      <w:rPr>
        <w:sz w:val="20"/>
        <w:szCs w:val="20"/>
      </w:rPr>
      <w:tab/>
      <w:t xml:space="preserve">IČO: 35 790 474 </w:t>
    </w:r>
    <w:r>
      <w:rPr>
        <w:sz w:val="20"/>
        <w:szCs w:val="20"/>
      </w:rPr>
      <w:tab/>
      <w:t xml:space="preserve">DIČ: 2020234392 </w:t>
    </w:r>
  </w:p>
  <w:p w:rsidR="007A314E" w:rsidRDefault="007A314E" w:rsidP="007A314E">
    <w:pPr>
      <w:pStyle w:val="Hlavika"/>
    </w:pPr>
    <w:r>
      <w:rPr>
        <w:sz w:val="20"/>
        <w:szCs w:val="20"/>
      </w:rPr>
      <w:t xml:space="preserve">WOOD </w:t>
    </w:r>
    <w:proofErr w:type="spellStart"/>
    <w:r>
      <w:rPr>
        <w:sz w:val="20"/>
        <w:szCs w:val="20"/>
      </w:rPr>
      <w:t>Real</w:t>
    </w:r>
    <w:proofErr w:type="spellEnd"/>
    <w:r>
      <w:rPr>
        <w:sz w:val="20"/>
        <w:szCs w:val="20"/>
      </w:rPr>
      <w:t xml:space="preserve"> </w:t>
    </w:r>
    <w:proofErr w:type="spellStart"/>
    <w:r>
      <w:rPr>
        <w:sz w:val="20"/>
        <w:szCs w:val="20"/>
      </w:rPr>
      <w:t>Estate</w:t>
    </w:r>
    <w:proofErr w:type="spellEnd"/>
    <w:r>
      <w:rPr>
        <w:sz w:val="20"/>
        <w:szCs w:val="20"/>
      </w:rPr>
      <w:t xml:space="preserve"> Management, </w:t>
    </w:r>
    <w:proofErr w:type="spellStart"/>
    <w:r>
      <w:rPr>
        <w:sz w:val="20"/>
        <w:szCs w:val="20"/>
      </w:rPr>
      <w:t>s.r.o</w:t>
    </w:r>
    <w:proofErr w:type="spellEnd"/>
    <w:r>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6E4A" w:rsidRDefault="00F96E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0EA295C"/>
    <w:multiLevelType w:val="hybridMultilevel"/>
    <w:tmpl w:val="10D9D69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20EE114"/>
    <w:multiLevelType w:val="hybridMultilevel"/>
    <w:tmpl w:val="09DFE6D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35E3489"/>
    <w:multiLevelType w:val="hybridMultilevel"/>
    <w:tmpl w:val="734BE29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2AC28EA"/>
    <w:multiLevelType w:val="hybridMultilevel"/>
    <w:tmpl w:val="9B262E3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641E182"/>
    <w:multiLevelType w:val="hybridMultilevel"/>
    <w:tmpl w:val="F0AEAC3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6EE6DC7"/>
    <w:multiLevelType w:val="hybridMultilevel"/>
    <w:tmpl w:val="93F03A5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84769DE"/>
    <w:multiLevelType w:val="hybridMultilevel"/>
    <w:tmpl w:val="C364D7D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F922A82C"/>
    <w:multiLevelType w:val="hybridMultilevel"/>
    <w:tmpl w:val="E4F9076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FF59DFD9"/>
    <w:multiLevelType w:val="hybridMultilevel"/>
    <w:tmpl w:val="4B38EDA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2676948"/>
    <w:multiLevelType w:val="hybridMultilevel"/>
    <w:tmpl w:val="F93AE08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66D5EC7"/>
    <w:multiLevelType w:val="hybridMultilevel"/>
    <w:tmpl w:val="9E9E624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A415990"/>
    <w:multiLevelType w:val="hybridMultilevel"/>
    <w:tmpl w:val="44A34EE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879D280"/>
    <w:multiLevelType w:val="hybridMultilevel"/>
    <w:tmpl w:val="4C953EF2"/>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EF88CD5"/>
    <w:multiLevelType w:val="hybridMultilevel"/>
    <w:tmpl w:val="DF82C443"/>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6EC5C6C7"/>
    <w:multiLevelType w:val="hybridMultilevel"/>
    <w:tmpl w:val="7DE26D6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6F6AEAC2"/>
    <w:multiLevelType w:val="hybridMultilevel"/>
    <w:tmpl w:val="F4D640F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9"/>
  </w:num>
  <w:num w:numId="2">
    <w:abstractNumId w:val="4"/>
  </w:num>
  <w:num w:numId="3">
    <w:abstractNumId w:val="7"/>
  </w:num>
  <w:num w:numId="4">
    <w:abstractNumId w:val="8"/>
  </w:num>
  <w:num w:numId="5">
    <w:abstractNumId w:val="6"/>
  </w:num>
  <w:num w:numId="6">
    <w:abstractNumId w:val="13"/>
  </w:num>
  <w:num w:numId="7">
    <w:abstractNumId w:val="3"/>
  </w:num>
  <w:num w:numId="8">
    <w:abstractNumId w:val="11"/>
  </w:num>
  <w:num w:numId="9">
    <w:abstractNumId w:val="10"/>
  </w:num>
  <w:num w:numId="10">
    <w:abstractNumId w:val="0"/>
  </w:num>
  <w:num w:numId="11">
    <w:abstractNumId w:val="2"/>
  </w:num>
  <w:num w:numId="12">
    <w:abstractNumId w:val="12"/>
  </w:num>
  <w:num w:numId="13">
    <w:abstractNumId w:val="15"/>
  </w:num>
  <w:num w:numId="14">
    <w:abstractNumId w:val="5"/>
  </w:num>
  <w:num w:numId="15">
    <w:abstractNumId w:val="14"/>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14E"/>
    <w:rsid w:val="002178F6"/>
    <w:rsid w:val="002936F4"/>
    <w:rsid w:val="0039756C"/>
    <w:rsid w:val="00466519"/>
    <w:rsid w:val="0046673D"/>
    <w:rsid w:val="006663E3"/>
    <w:rsid w:val="0072171C"/>
    <w:rsid w:val="007A314E"/>
    <w:rsid w:val="008A2FA4"/>
    <w:rsid w:val="008B2C71"/>
    <w:rsid w:val="008C52ED"/>
    <w:rsid w:val="00A55260"/>
    <w:rsid w:val="00C4514D"/>
    <w:rsid w:val="00C556F4"/>
    <w:rsid w:val="00DB5418"/>
    <w:rsid w:val="00F96E4A"/>
    <w:rsid w:val="00FF06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0BC77"/>
  <w15:chartTrackingRefBased/>
  <w15:docId w15:val="{D1A561CF-3047-4C8B-A533-82D83ABF4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A314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A314E"/>
  </w:style>
  <w:style w:type="paragraph" w:styleId="Pta">
    <w:name w:val="footer"/>
    <w:basedOn w:val="Normlny"/>
    <w:link w:val="PtaChar"/>
    <w:uiPriority w:val="99"/>
    <w:unhideWhenUsed/>
    <w:rsid w:val="007A314E"/>
    <w:pPr>
      <w:tabs>
        <w:tab w:val="center" w:pos="4536"/>
        <w:tab w:val="right" w:pos="9072"/>
      </w:tabs>
      <w:spacing w:after="0" w:line="240" w:lineRule="auto"/>
    </w:pPr>
  </w:style>
  <w:style w:type="character" w:customStyle="1" w:styleId="PtaChar">
    <w:name w:val="Päta Char"/>
    <w:basedOn w:val="Predvolenpsmoodseku"/>
    <w:link w:val="Pta"/>
    <w:uiPriority w:val="99"/>
    <w:rsid w:val="007A314E"/>
  </w:style>
  <w:style w:type="paragraph" w:customStyle="1" w:styleId="Default">
    <w:name w:val="Default"/>
    <w:rsid w:val="007A314E"/>
    <w:pPr>
      <w:autoSpaceDE w:val="0"/>
      <w:autoSpaceDN w:val="0"/>
      <w:adjustRightInd w:val="0"/>
      <w:spacing w:after="0" w:line="240" w:lineRule="auto"/>
    </w:pPr>
    <w:rPr>
      <w:rFonts w:ascii="Arial" w:hAnsi="Arial" w:cs="Arial"/>
      <w:color w:val="000000"/>
      <w:sz w:val="24"/>
      <w:szCs w:val="24"/>
    </w:rPr>
  </w:style>
  <w:style w:type="paragraph" w:styleId="Odsekzoznamu">
    <w:name w:val="List Paragraph"/>
    <w:basedOn w:val="Normlny"/>
    <w:uiPriority w:val="34"/>
    <w:qFormat/>
    <w:rsid w:val="007A31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3299778">
      <w:bodyDiv w:val="1"/>
      <w:marLeft w:val="0"/>
      <w:marRight w:val="0"/>
      <w:marTop w:val="0"/>
      <w:marBottom w:val="0"/>
      <w:divBdr>
        <w:top w:val="none" w:sz="0" w:space="0" w:color="auto"/>
        <w:left w:val="none" w:sz="0" w:space="0" w:color="auto"/>
        <w:bottom w:val="none" w:sz="0" w:space="0" w:color="auto"/>
        <w:right w:val="none" w:sz="0" w:space="0" w:color="auto"/>
      </w:divBdr>
    </w:div>
    <w:div w:id="811213473">
      <w:bodyDiv w:val="1"/>
      <w:marLeft w:val="0"/>
      <w:marRight w:val="0"/>
      <w:marTop w:val="0"/>
      <w:marBottom w:val="0"/>
      <w:divBdr>
        <w:top w:val="none" w:sz="0" w:space="0" w:color="auto"/>
        <w:left w:val="none" w:sz="0" w:space="0" w:color="auto"/>
        <w:bottom w:val="none" w:sz="0" w:space="0" w:color="auto"/>
        <w:right w:val="none" w:sz="0" w:space="0" w:color="auto"/>
      </w:divBdr>
    </w:div>
    <w:div w:id="926616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5</Pages>
  <Words>1947</Words>
  <Characters>11101</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dsimova</dc:creator>
  <cp:keywords/>
  <dc:description/>
  <cp:lastModifiedBy>dsimova</cp:lastModifiedBy>
  <cp:revision>10</cp:revision>
  <dcterms:created xsi:type="dcterms:W3CDTF">2024-06-16T17:39:00Z</dcterms:created>
  <dcterms:modified xsi:type="dcterms:W3CDTF">2025-05-23T08:43:00Z</dcterms:modified>
</cp:coreProperties>
</file>