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75" w:type="dxa"/>
        <w:jc w:val="left"/>
        <w:tblInd w:w="-69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59"/>
        <w:gridCol w:w="2664"/>
        <w:gridCol w:w="341"/>
        <w:gridCol w:w="340"/>
        <w:gridCol w:w="340"/>
        <w:gridCol w:w="341"/>
        <w:gridCol w:w="340"/>
        <w:gridCol w:w="340"/>
        <w:gridCol w:w="340"/>
        <w:gridCol w:w="341"/>
        <w:gridCol w:w="566"/>
        <w:gridCol w:w="341"/>
        <w:gridCol w:w="340"/>
        <w:gridCol w:w="340"/>
        <w:gridCol w:w="342"/>
      </w:tblGrid>
      <w:tr>
        <w:trPr/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numPr>
                <w:ilvl w:val="0"/>
                <w:numId w:val="0"/>
              </w:numPr>
              <w:spacing w:before="0" w:after="120"/>
              <w:jc w:val="left"/>
              <w:outlineLvl w:val="2"/>
              <w:rPr/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4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numPr>
                <w:ilvl w:val="0"/>
                <w:numId w:val="0"/>
              </w:numPr>
              <w:spacing w:before="0" w:after="120"/>
              <w:jc w:val="right"/>
              <w:outlineLvl w:val="2"/>
              <w:rPr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numPr>
                <w:ilvl w:val="0"/>
                <w:numId w:val="0"/>
              </w:numPr>
              <w:spacing w:before="0" w:after="120"/>
              <w:outlineLvl w:val="2"/>
              <w:rPr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numPr>
                <w:ilvl w:val="0"/>
                <w:numId w:val="0"/>
              </w:numPr>
              <w:spacing w:before="0" w:after="120"/>
              <w:outlineLvl w:val="2"/>
              <w:rPr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numPr>
                <w:ilvl w:val="0"/>
                <w:numId w:val="0"/>
              </w:numPr>
              <w:spacing w:before="0" w:after="120"/>
              <w:outlineLvl w:val="2"/>
              <w:rPr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numPr>
                <w:ilvl w:val="0"/>
                <w:numId w:val="0"/>
              </w:numPr>
              <w:spacing w:before="0" w:after="120"/>
              <w:outlineLvl w:val="2"/>
              <w:rPr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numPr>
                <w:ilvl w:val="0"/>
                <w:numId w:val="0"/>
              </w:numPr>
              <w:spacing w:before="0" w:after="120"/>
              <w:outlineLvl w:val="2"/>
              <w:rPr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numPr>
                <w:ilvl w:val="0"/>
                <w:numId w:val="0"/>
              </w:numPr>
              <w:spacing w:before="0" w:after="120"/>
              <w:outlineLvl w:val="2"/>
              <w:rPr/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numPr>
                <w:ilvl w:val="0"/>
                <w:numId w:val="0"/>
              </w:numPr>
              <w:spacing w:before="0" w:after="120"/>
              <w:outlineLvl w:val="2"/>
              <w:rPr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numPr>
                <w:ilvl w:val="0"/>
                <w:numId w:val="0"/>
              </w:numPr>
              <w:spacing w:before="0" w:after="120"/>
              <w:outlineLvl w:val="2"/>
              <w:rPr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numPr>
                <w:ilvl w:val="0"/>
                <w:numId w:val="0"/>
              </w:numPr>
              <w:spacing w:before="0" w:after="120"/>
              <w:outlineLvl w:val="2"/>
              <w:rPr/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numPr>
                <w:ilvl w:val="0"/>
                <w:numId w:val="0"/>
              </w:numPr>
              <w:spacing w:before="0" w:after="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numPr>
                <w:ilvl w:val="0"/>
                <w:numId w:val="0"/>
              </w:numPr>
              <w:spacing w:before="0" w:after="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numPr>
                <w:ilvl w:val="0"/>
                <w:numId w:val="0"/>
              </w:numPr>
              <w:spacing w:before="0" w:after="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numPr>
                <w:ilvl w:val="0"/>
                <w:numId w:val="0"/>
              </w:numPr>
              <w:spacing w:before="0" w:after="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podnadpis"/>
        <w:keepNext w:val="true"/>
        <w:numPr>
          <w:ilvl w:val="0"/>
          <w:numId w:val="0"/>
        </w:numPr>
        <w:spacing w:before="0" w:after="120"/>
        <w:outlineLvl w:val="2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podnadpis"/>
        <w:keepNext w:val="true"/>
        <w:numPr>
          <w:ilvl w:val="0"/>
          <w:numId w:val="0"/>
        </w:numPr>
        <w:spacing w:before="0" w:after="120"/>
        <w:outlineLvl w:val="2"/>
        <w:rPr/>
      </w:pPr>
      <w:r>
        <w:rPr>
          <w:b/>
          <w:bCs/>
          <w:sz w:val="22"/>
          <w:szCs w:val="22"/>
        </w:rPr>
        <w:t>k 31 12 2024</w:t>
      </w:r>
    </w:p>
    <w:p>
      <w:pPr>
        <w:pStyle w:val="Normalpodnadpis"/>
        <w:keepNext w:val="true"/>
        <w:numPr>
          <w:ilvl w:val="0"/>
          <w:numId w:val="0"/>
        </w:numPr>
        <w:spacing w:before="0" w:after="120"/>
        <w:jc w:val="center"/>
        <w:outlineLvl w:val="2"/>
        <w:rPr/>
      </w:pPr>
      <w:r>
        <w:rPr>
          <w:b/>
          <w:bCs/>
          <w:sz w:val="22"/>
          <w:szCs w:val="22"/>
        </w:rPr>
        <w:t>Čl. I</w:t>
      </w:r>
    </w:p>
    <w:p>
      <w:pPr>
        <w:pStyle w:val="Normalpodnadpis"/>
        <w:keepNext w:val="true"/>
        <w:numPr>
          <w:ilvl w:val="0"/>
          <w:numId w:val="0"/>
        </w:numPr>
        <w:spacing w:before="0" w:after="120"/>
        <w:jc w:val="center"/>
        <w:outlineLvl w:val="1"/>
        <w:rPr/>
      </w:pPr>
      <w:r>
        <w:rPr>
          <w:b/>
          <w:bCs/>
          <w:sz w:val="22"/>
          <w:szCs w:val="22"/>
        </w:rPr>
        <w:t>Všeobecné údaje</w:t>
      </w:r>
    </w:p>
    <w:p>
      <w:pPr>
        <w:pStyle w:val="Normalpodnadpis"/>
        <w:keepNext w:val="true"/>
        <w:numPr>
          <w:ilvl w:val="0"/>
          <w:numId w:val="0"/>
        </w:numPr>
        <w:spacing w:before="0" w:after="120"/>
        <w:jc w:val="center"/>
        <w:outlineLvl w:val="1"/>
        <w:rPr/>
      </w:pPr>
      <w:r>
        <w:rPr>
          <w:b/>
          <w:bCs/>
          <w:sz w:val="22"/>
          <w:szCs w:val="22"/>
        </w:rPr>
        <w:t xml:space="preserve">neziskovej organizácie 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Mená zakladateľov: Ing. Viera Dujakovičová, Verona Miklošová, Jozef Mroč</w:t>
        <w:tab/>
        <w:tab/>
        <w:tab/>
        <w:tab/>
        <w:t xml:space="preserve">  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 xml:space="preserve">Dátum založenia:    1.4.2004          </w:t>
      </w:r>
    </w:p>
    <w:p>
      <w:pPr>
        <w:pStyle w:val="Normalpodnadpis"/>
        <w:spacing w:before="0" w:after="120"/>
        <w:rPr/>
      </w:pPr>
      <w:r>
        <w:rPr>
          <w:i/>
          <w:sz w:val="22"/>
          <w:szCs w:val="22"/>
        </w:rPr>
        <w:t xml:space="preserve">Dátum zriadenia:              </w:t>
      </w:r>
    </w:p>
    <w:p>
      <w:pPr>
        <w:pStyle w:val="Normalpodnadpis"/>
        <w:spacing w:before="0" w:after="120"/>
        <w:rPr/>
      </w:pPr>
      <w:r>
        <w:rPr>
          <w:i/>
          <w:sz w:val="22"/>
          <w:szCs w:val="22"/>
        </w:rPr>
        <w:t>(2) Informácie o členoch štatutárnych</w:t>
      </w:r>
      <w:r>
        <w:rPr>
          <w:sz w:val="22"/>
          <w:szCs w:val="22"/>
        </w:rPr>
        <w:t xml:space="preserve"> orgánov, dozorných orgánov  a iných orgánov účtovnej jednotky; uvádzajú sa mená a priezviská členov štatutárnych orgánov, dozorných orgánov a iných orgánov účtovnej jednotky.</w:t>
      </w:r>
    </w:p>
    <w:p>
      <w:pPr>
        <w:pStyle w:val="Normal"/>
        <w:rPr/>
      </w:pPr>
      <w:r>
        <w:rPr/>
      </w:r>
    </w:p>
    <w:tbl>
      <w:tblPr>
        <w:tblW w:w="10204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401"/>
        <w:gridCol w:w="3401"/>
        <w:gridCol w:w="3402"/>
      </w:tblGrid>
      <w:tr>
        <w:trPr/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sz w:val="22"/>
                <w:szCs w:val="22"/>
              </w:rPr>
              <w:t>Meno, priezvisko člena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sz w:val="22"/>
                <w:szCs w:val="22"/>
              </w:rPr>
              <w:t>Názov orgánu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sz w:val="22"/>
                <w:szCs w:val="22"/>
              </w:rPr>
              <w:t>Poznámka</w:t>
            </w:r>
          </w:p>
        </w:tc>
      </w:tr>
      <w:tr>
        <w:trPr/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color w:val="000000"/>
                <w:sz w:val="22"/>
                <w:szCs w:val="22"/>
              </w:rPr>
              <w:t>Akad.mal.Gabriela Paulinská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color w:val="000000"/>
                <w:sz w:val="22"/>
                <w:szCs w:val="22"/>
              </w:rPr>
              <w:t>Štatutárny orgán-riaditeľ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Od 15.06.2006 do 31. 01. 2024</w:t>
            </w:r>
          </w:p>
        </w:tc>
      </w:tr>
      <w:tr>
        <w:trPr/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color w:val="000000"/>
                <w:sz w:val="22"/>
                <w:szCs w:val="22"/>
              </w:rPr>
              <w:t>Gabriela Germeková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color w:val="000000"/>
                <w:sz w:val="22"/>
                <w:szCs w:val="22"/>
              </w:rPr>
              <w:t>Štatutárny orgán - riaditeľ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Od 01.02.2024</w:t>
            </w:r>
          </w:p>
        </w:tc>
      </w:tr>
      <w:tr>
        <w:trPr/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color w:val="000000"/>
                <w:sz w:val="22"/>
                <w:szCs w:val="22"/>
              </w:rPr>
              <w:t>Ing. Pavol Germek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color w:val="000000"/>
                <w:sz w:val="22"/>
                <w:szCs w:val="22"/>
              </w:rPr>
              <w:t>Predseda správnej rady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color w:val="000000"/>
                <w:sz w:val="22"/>
                <w:szCs w:val="22"/>
              </w:rPr>
              <w:t>Ing. Juraj Paulinský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color w:val="000000"/>
                <w:sz w:val="22"/>
                <w:szCs w:val="22"/>
              </w:rPr>
              <w:t>Člen správnej rady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 03/2024</w:t>
            </w:r>
          </w:p>
        </w:tc>
      </w:tr>
      <w:tr>
        <w:trPr/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sz w:val="22"/>
                <w:szCs w:val="22"/>
              </w:rPr>
              <w:t>Róbert Juraj Paulinský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sz w:val="22"/>
                <w:szCs w:val="22"/>
              </w:rPr>
              <w:t>Člen správnej rady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03/2024</w:t>
            </w:r>
          </w:p>
        </w:tc>
      </w:tr>
      <w:tr>
        <w:trPr/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podnadpis"/>
              <w:widowControl/>
              <w:bidi w:val="0"/>
              <w:spacing w:lineRule="auto" w:line="360"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Prof., Doc. MUDr.  Štefan Koval, PhD.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podnadpis"/>
              <w:widowControl/>
              <w:bidi w:val="0"/>
              <w:spacing w:lineRule="auto" w:line="360"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Člen správnej rady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widowControl/>
              <w:bidi w:val="0"/>
              <w:spacing w:lineRule="auto" w:line="360"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05/2024</w:t>
            </w:r>
          </w:p>
        </w:tc>
      </w:tr>
      <w:tr>
        <w:trPr/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podnadpis"/>
              <w:widowControl/>
              <w:bidi w:val="0"/>
              <w:spacing w:lineRule="auto" w:line="360"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JUDr. Adam Mahut, MBA, LLM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podnadpis"/>
              <w:widowControl/>
              <w:bidi w:val="0"/>
              <w:spacing w:lineRule="auto" w:line="360"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Člen správnej rady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widowControl/>
              <w:bidi w:val="0"/>
              <w:spacing w:lineRule="auto" w:line="360"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05/2024</w:t>
            </w:r>
          </w:p>
        </w:tc>
      </w:tr>
    </w:tbl>
    <w:p>
      <w:pPr>
        <w:pStyle w:val="Normal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Revízor Gabriela Germeková do 31.01.2024 , JUDr. Marcel Kožár, LlM od 05/2024</w:t>
      </w:r>
    </w:p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>
      <w:pPr>
        <w:pStyle w:val="Normalpodnadpis"/>
        <w:spacing w:before="0" w:after="120"/>
        <w:rPr/>
      </w:pPr>
      <w:r>
        <w:rPr>
          <w:szCs w:val="20"/>
        </w:rPr>
        <w:t>Nezisková organizácia bola založená   na  poskytovanie zdravotnej a sociálnej starostlivosti.</w:t>
      </w:r>
    </w:p>
    <w:p>
      <w:pPr>
        <w:pStyle w:val="Normalpodnadpis"/>
        <w:spacing w:before="0" w:after="120"/>
        <w:rPr>
          <w:color w:val="C00000"/>
        </w:rPr>
      </w:pPr>
      <w:r>
        <w:rPr>
          <w:szCs w:val="20"/>
        </w:rPr>
        <w:t xml:space="preserve">Naša nezisková </w:t>
      </w:r>
      <w:r>
        <w:rPr>
          <w:color w:val="auto"/>
          <w:szCs w:val="20"/>
        </w:rPr>
        <w:t>organizácia vykonáva podnikateľskú činnosť- prenájom vlastnej nehnuteľnosti</w:t>
      </w:r>
    </w:p>
    <w:p>
      <w:pPr>
        <w:pStyle w:val="Normalpodnadpis"/>
        <w:spacing w:before="0" w:after="120"/>
        <w:rPr>
          <w:szCs w:val="20"/>
        </w:rPr>
      </w:pPr>
      <w:r>
        <w:rPr>
          <w:szCs w:val="20"/>
        </w:rPr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tbl>
      <w:tblPr>
        <w:tblW w:w="9923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1"/>
        <w:gridCol w:w="2410"/>
        <w:gridCol w:w="2552"/>
      </w:tblGrid>
      <w:tr>
        <w:trPr/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hanging="0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hanging="0"/>
              <w:jc w:val="center"/>
              <w:rPr/>
            </w:pPr>
            <w:r>
              <w:rPr>
                <w:b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hanging="0"/>
              <w:jc w:val="center"/>
              <w:rPr/>
            </w:pPr>
            <w:r>
              <w:rPr>
                <w:b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hanging="0"/>
              <w:jc w:val="left"/>
              <w:rPr/>
            </w:pPr>
            <w:r>
              <w:rPr/>
              <w:t>151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hanging="0"/>
              <w:jc w:val="left"/>
              <w:rPr/>
            </w:pPr>
            <w:r>
              <w:rPr/>
              <w:t>121,5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numPr>
                <w:ilvl w:val="0"/>
                <w:numId w:val="1"/>
              </w:numPr>
              <w:spacing w:before="0" w:after="0"/>
              <w:ind w:left="0" w:hanging="0"/>
              <w:jc w:val="left"/>
              <w:rPr/>
            </w:pPr>
            <w:r>
              <w:rPr/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numPr>
                <w:ilvl w:val="0"/>
                <w:numId w:val="1"/>
              </w:numPr>
              <w:spacing w:before="0" w:after="0"/>
              <w:ind w:left="0" w:hanging="0"/>
              <w:jc w:val="left"/>
              <w:rPr/>
            </w:pPr>
            <w:r>
              <w:rPr/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numPr>
                <w:ilvl w:val="0"/>
                <w:numId w:val="1"/>
              </w:numPr>
              <w:spacing w:before="0" w:after="0"/>
              <w:ind w:left="0" w:hanging="0"/>
              <w:jc w:val="left"/>
              <w:rPr/>
            </w:pPr>
            <w:r>
              <w:rPr/>
              <w:t>3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numPr>
                <w:ilvl w:val="0"/>
                <w:numId w:val="1"/>
              </w:numPr>
              <w:spacing w:before="0" w:after="0"/>
              <w:ind w:left="0" w:hanging="0"/>
              <w:jc w:val="left"/>
              <w:rPr/>
            </w:pPr>
            <w:r>
              <w:rPr/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numPr>
                <w:ilvl w:val="0"/>
                <w:numId w:val="1"/>
              </w:numPr>
              <w:spacing w:before="0" w:after="0"/>
              <w:ind w:left="0" w:hanging="0"/>
              <w:jc w:val="left"/>
              <w:rPr/>
            </w:pPr>
            <w:r>
              <w:rPr/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numPr>
                <w:ilvl w:val="0"/>
                <w:numId w:val="1"/>
              </w:numPr>
              <w:spacing w:before="0" w:after="0"/>
              <w:ind w:left="0" w:hanging="0"/>
              <w:jc w:val="left"/>
              <w:rPr/>
            </w:pPr>
            <w:r>
              <w:rPr/>
              <w:t>0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numPr>
                <w:ilvl w:val="0"/>
                <w:numId w:val="1"/>
              </w:numPr>
              <w:spacing w:before="0" w:after="0"/>
              <w:ind w:left="0" w:hanging="0"/>
              <w:jc w:val="left"/>
              <w:rPr/>
            </w:pPr>
            <w:r>
              <w:rPr/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numPr>
                <w:ilvl w:val="0"/>
                <w:numId w:val="1"/>
              </w:numPr>
              <w:spacing w:before="0" w:after="0"/>
              <w:ind w:left="0" w:hanging="0"/>
              <w:jc w:val="left"/>
              <w:rPr/>
            </w:pPr>
            <w:r>
              <w:rPr/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extopatrenia"/>
              <w:numPr>
                <w:ilvl w:val="0"/>
                <w:numId w:val="1"/>
              </w:numPr>
              <w:spacing w:before="0" w:after="0"/>
              <w:ind w:left="0" w:hanging="0"/>
              <w:jc w:val="left"/>
              <w:rPr/>
            </w:pPr>
            <w:r>
              <w:rPr/>
              <w:t>0</w:t>
            </w:r>
          </w:p>
        </w:tc>
      </w:tr>
    </w:tbl>
    <w:p>
      <w:pPr>
        <w:pStyle w:val="Normalpodnadpis"/>
        <w:spacing w:before="0" w:after="120"/>
        <w:rPr/>
      </w:pPr>
      <w:r>
        <w:rPr>
          <w:sz w:val="22"/>
          <w:szCs w:val="22"/>
        </w:rPr>
        <w:t>.V priebehu roka došlo k nárastu novovzniknutých pracovných pomerov. Noví lekári boli prijatí na pľúcnu ambulanciu, na oddelenie dlhodobo chorých a tiež na znovuotvorenú neurologickú ambulanciu. Rovnako taktiež boli prijatí ďalší opatrovatelia do zariadenia sociálnych služieb a zariadenia opatrovateľských služieb. Práca námestníčky pre ošetrovateľstvo , mzdár/personalista/účtovník formou práce na dohodu a externých účtovníckych služieb  nahradila práca na pracovný pomer.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(5) Informácia o organizáciách v zriaďovateľskej pôsobnosti účtovnej jednotky. </w:t>
      </w:r>
      <w:r>
        <w:rPr>
          <w:szCs w:val="20"/>
        </w:rPr>
        <w:t>Nemá obsahovú náplň.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keepNext w:val="true"/>
        <w:numPr>
          <w:ilvl w:val="0"/>
          <w:numId w:val="0"/>
        </w:numPr>
        <w:spacing w:before="0" w:after="120"/>
        <w:jc w:val="center"/>
        <w:outlineLvl w:val="0"/>
        <w:rPr/>
      </w:pPr>
      <w:r>
        <w:rPr>
          <w:b/>
          <w:bCs/>
          <w:sz w:val="22"/>
          <w:szCs w:val="22"/>
        </w:rPr>
        <w:t>Čl. II</w:t>
      </w:r>
    </w:p>
    <w:p>
      <w:pPr>
        <w:pStyle w:val="Normalpodnadpis"/>
        <w:keepNext w:val="true"/>
        <w:numPr>
          <w:ilvl w:val="0"/>
          <w:numId w:val="0"/>
        </w:numPr>
        <w:spacing w:before="0" w:after="120"/>
        <w:jc w:val="center"/>
        <w:outlineLvl w:val="1"/>
        <w:rPr/>
      </w:pPr>
      <w:r>
        <w:rPr>
          <w:b/>
          <w:bCs/>
          <w:sz w:val="22"/>
          <w:szCs w:val="22"/>
        </w:rPr>
        <w:t>Informácie o účtovných zásadách a účtovných metódach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>
      <w:pPr>
        <w:pStyle w:val="Normalpodnadpis"/>
        <w:spacing w:before="0" w:after="120"/>
        <w:rPr/>
      </w:pPr>
      <w:r>
        <w:rPr>
          <w:szCs w:val="20"/>
        </w:rPr>
        <w:t>Účtovná jednotka bude nepretržite pokračovať vo svojej činnosti.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pStyle w:val="Normalpodnadpis"/>
        <w:widowControl w:val="false"/>
        <w:tabs>
          <w:tab w:val="clear" w:pos="709"/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</w:tabs>
        <w:spacing w:before="120" w:after="0"/>
        <w:rPr/>
      </w:pPr>
      <w:r>
        <w:rPr>
          <w:color w:val="000000"/>
          <w:szCs w:val="20"/>
        </w:rPr>
        <w:t>Táto účtovná závierka je riadna účtovná závierka zostavená za obdobie od 1.1.2024 do 31.12.2024 podľa slovenských právnych predpisov, a to zákona č.431/2002 Zb. o účtovníctve v znení neskorších predpisov a postupov účtovania a účtovnej osnovy pre účtovné jednotky, ktoré nie sú založené alebo zriadené za účelom podnikania. Účtovníctvo sa vedie na základe dodržania časovej a vecnej súvislosti nákladov a výnosov. Za základ sa berú všetky náklady a výnosy, ktoré sa vzťahujú na účtovné obdobie bez ohľadu na dátum ich platenia.</w:t>
      </w:r>
    </w:p>
    <w:p>
      <w:pPr>
        <w:pStyle w:val="Normalpodnadpis"/>
        <w:rPr/>
      </w:pPr>
      <w:r>
        <w:rPr>
          <w:sz w:val="22"/>
          <w:szCs w:val="22"/>
        </w:rPr>
        <w:t>(3) Spôsob oceňovania jednotlivých položiek majetku a záväzkov v členení na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 xml:space="preserve">a) dlhodobý nehmotný majetok obstaraný kúpou,    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b) dlhodobý nehmotný majetok obstaraný vlastnou činnosťou,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 xml:space="preserve">c) dlhodobý nehmotný majetok obstaraný iným spôsobom, 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d) dlhodobý hmotný majetok obstaraný kúpou – obstarávacou hodnotou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e) dlhodobý hmotný majetok obstaraný vlastnou činnosťou,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f) dlhodobý hmotný majetok obstaraný iným spôsobom,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g) dlhodobý finančný majetok,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h) zásoby,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i) zásoby vytvorené vlastnou činnosťou,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j) zásoby obstarané iným spôsobom,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k) pohľadávky – nominálnou hodnotou</w:t>
      </w:r>
    </w:p>
    <w:p>
      <w:pPr>
        <w:pStyle w:val="Normalpodnadpis"/>
        <w:spacing w:before="0" w:after="120"/>
        <w:rPr/>
      </w:pPr>
      <w:r>
        <w:rPr>
          <w:szCs w:val="20"/>
        </w:rPr>
        <w:t>Účtovná jednotka nemá náplň pre položky a) až c ) a  e) až j)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l) krátkodobý finančný majetok,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m) časové rozlíšenie na strane aktív,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n) záväzky vrátane rezerv, dlhopisov, pôžičiek a úverov,</w:t>
      </w:r>
    </w:p>
    <w:p>
      <w:pPr>
        <w:pStyle w:val="Normalpodnadpis"/>
        <w:widowControl w:val="false"/>
        <w:tabs>
          <w:tab w:val="clear" w:pos="709"/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</w:tabs>
        <w:spacing w:before="120" w:after="0"/>
        <w:rPr/>
      </w:pPr>
      <w:r>
        <w:rPr>
          <w:color w:val="000000"/>
          <w:szCs w:val="20"/>
        </w:rPr>
        <w:t>Záväzky vrátane rezerv, pôžičiek a úverov účtovná jednotka oceňovala ich menovitou hodnotou.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o) časové rozlíšenie na strane pasív,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p) deriváty,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r) majetok a záväzky zabezpečené derivátmi.</w:t>
      </w:r>
    </w:p>
    <w:p>
      <w:pPr>
        <w:pStyle w:val="Normalpodnadpis"/>
        <w:spacing w:before="0" w:after="120"/>
        <w:rPr/>
      </w:pPr>
      <w:r>
        <w:rPr>
          <w:szCs w:val="20"/>
        </w:rPr>
        <w:t>Účtovná jednotka nemá náplň pre položky p) a r).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(4) Spôsob zostavenia odpisového plánu pre jednotlivé druhy dlhodobého hmotného majetku  a dlhodobého nehmotného majetku, pričom sa uvádza doba odpisovania, použité sadzby odpisov a odpisové metódy pri určení odpisov. </w:t>
      </w:r>
    </w:p>
    <w:p>
      <w:pPr>
        <w:pStyle w:val="Normalpodnadpis"/>
        <w:spacing w:before="0" w:after="120"/>
        <w:rPr>
          <w:color w:val="C00000"/>
        </w:rPr>
      </w:pPr>
      <w:r>
        <w:rPr>
          <w:sz w:val="22"/>
          <w:szCs w:val="22"/>
        </w:rPr>
        <w:t xml:space="preserve">Odpisovanie technického zhodnotenia prenajatej budovy počas doby prenájmu. Stroje, prístroje 6 rokov, </w:t>
      </w:r>
      <w:r>
        <w:rPr>
          <w:color w:val="auto"/>
          <w:sz w:val="22"/>
          <w:szCs w:val="22"/>
        </w:rPr>
        <w:t>vlastné budovy na 40 rokov.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(5) Zásady pre zohľadnenie zníženia hodnoty majetku. Uvádza sa, či účtovná jednotka uplatňuje opravné položky a rezervy. -</w:t>
      </w:r>
    </w:p>
    <w:p>
      <w:pPr>
        <w:pStyle w:val="Normalpodnadpis"/>
        <w:spacing w:before="0" w:after="120"/>
        <w:rPr/>
      </w:pPr>
      <w:r>
        <w:rPr>
          <w:szCs w:val="20"/>
        </w:rPr>
        <w:t>Účtovná jednotka tvorila rezervu na nevyčerpané dovolenky zamestnancov.</w:t>
      </w:r>
    </w:p>
    <w:p>
      <w:pPr>
        <w:pStyle w:val="Normalpodnadpis"/>
        <w:spacing w:before="0" w:after="120"/>
        <w:rPr>
          <w:szCs w:val="20"/>
        </w:rPr>
      </w:pPr>
      <w:r>
        <w:rPr>
          <w:szCs w:val="20"/>
        </w:rPr>
      </w:r>
    </w:p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keepNext w:val="true"/>
        <w:numPr>
          <w:ilvl w:val="0"/>
          <w:numId w:val="0"/>
        </w:numPr>
        <w:spacing w:before="0" w:after="120"/>
        <w:jc w:val="center"/>
        <w:outlineLvl w:val="0"/>
        <w:rPr/>
      </w:pPr>
      <w:r>
        <w:rPr>
          <w:b/>
          <w:bCs/>
          <w:sz w:val="22"/>
          <w:szCs w:val="22"/>
        </w:rPr>
        <w:t>Čl. III</w:t>
      </w:r>
    </w:p>
    <w:p>
      <w:pPr>
        <w:pStyle w:val="Normalpodnadpis"/>
        <w:keepNext w:val="true"/>
        <w:numPr>
          <w:ilvl w:val="0"/>
          <w:numId w:val="0"/>
        </w:numPr>
        <w:spacing w:before="0" w:after="120"/>
        <w:jc w:val="center"/>
        <w:outlineLvl w:val="1"/>
        <w:rPr/>
      </w:pPr>
      <w:r>
        <w:rPr>
          <w:b/>
          <w:bCs/>
          <w:sz w:val="22"/>
          <w:szCs w:val="22"/>
        </w:rPr>
        <w:t>Informácie, ktoré dopĺňajú a vysvetľujú údaje v súvahe</w:t>
      </w:r>
    </w:p>
    <w:p>
      <w:pPr>
        <w:pStyle w:val="Normalpodnadpis"/>
        <w:numPr>
          <w:ilvl w:val="0"/>
          <w:numId w:val="2"/>
        </w:numPr>
        <w:spacing w:before="0" w:after="120"/>
        <w:ind w:lef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dlhodobom nehmotnom majetku a dlhodobom hmotnom majetku za bežné účtovné obdobie, a to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tbl>
      <w:tblPr>
        <w:tblW w:w="12818" w:type="dxa"/>
        <w:jc w:val="left"/>
        <w:tblInd w:w="-284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217"/>
        <w:gridCol w:w="108"/>
        <w:gridCol w:w="427"/>
        <w:gridCol w:w="464"/>
        <w:gridCol w:w="214"/>
        <w:gridCol w:w="13"/>
        <w:gridCol w:w="374"/>
        <w:gridCol w:w="282"/>
        <w:gridCol w:w="273"/>
        <w:gridCol w:w="845"/>
        <w:gridCol w:w="2"/>
        <w:gridCol w:w="133"/>
        <w:gridCol w:w="83"/>
        <w:gridCol w:w="684"/>
        <w:gridCol w:w="41"/>
        <w:gridCol w:w="197"/>
        <w:gridCol w:w="790"/>
        <w:gridCol w:w="188"/>
        <w:gridCol w:w="349"/>
        <w:gridCol w:w="28"/>
        <w:gridCol w:w="441"/>
        <w:gridCol w:w="416"/>
        <w:gridCol w:w="248"/>
        <w:gridCol w:w="1"/>
        <w:gridCol w:w="589"/>
        <w:gridCol w:w="196"/>
        <w:gridCol w:w="108"/>
        <w:gridCol w:w="2"/>
        <w:gridCol w:w="978"/>
        <w:gridCol w:w="1"/>
        <w:gridCol w:w="306"/>
        <w:gridCol w:w="660"/>
        <w:gridCol w:w="1"/>
        <w:gridCol w:w="1"/>
        <w:gridCol w:w="1083"/>
        <w:gridCol w:w="2"/>
        <w:gridCol w:w="1"/>
        <w:gridCol w:w="1"/>
        <w:gridCol w:w="1070"/>
      </w:tblGrid>
      <w:tr>
        <w:trPr>
          <w:trHeight w:val="492" w:hRule="atLeast"/>
        </w:trPr>
        <w:tc>
          <w:tcPr>
            <w:tcW w:w="2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b/>
                <w:b/>
                <w:szCs w:val="20"/>
              </w:rPr>
            </w:pPr>
            <w:r>
              <w:rPr>
                <w:b/>
                <w:szCs w:val="20"/>
              </w:rPr>
            </w:r>
          </w:p>
        </w:tc>
        <w:tc>
          <w:tcPr>
            <w:tcW w:w="2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Nehmotné výsledky z vývo-jovej a obdobnej činnosti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1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1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b/>
                <w:b/>
                <w:szCs w:val="20"/>
              </w:rPr>
            </w:pPr>
            <w:r>
              <w:rPr>
                <w:b/>
                <w:szCs w:val="20"/>
              </w:rPr>
            </w:r>
          </w:p>
        </w:tc>
      </w:tr>
      <w:tr>
        <w:trPr>
          <w:trHeight w:val="244" w:hRule="atLeast"/>
        </w:trPr>
        <w:tc>
          <w:tcPr>
            <w:tcW w:w="2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Cs w:val="20"/>
              </w:rPr>
              <w:t>Prvotné ocenenie</w:t>
            </w:r>
            <w:r>
              <w:rPr>
                <w:szCs w:val="20"/>
              </w:rPr>
              <w:t xml:space="preserve"> - </w:t>
            </w:r>
            <w:r>
              <w:rPr>
                <w:sz w:val="18"/>
                <w:szCs w:val="18"/>
              </w:rPr>
              <w:t>stav na za-čiatku bežného účtovného obdobia</w:t>
            </w:r>
          </w:p>
        </w:tc>
        <w:tc>
          <w:tcPr>
            <w:tcW w:w="2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Cs w:val="20"/>
              </w:rPr>
              <w:t>8232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Cs w:val="20"/>
              </w:rPr>
              <w:t>8232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</w:r>
          </w:p>
        </w:tc>
      </w:tr>
      <w:tr>
        <w:trPr>
          <w:trHeight w:val="224" w:hRule="atLeast"/>
        </w:trPr>
        <w:tc>
          <w:tcPr>
            <w:tcW w:w="2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2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</w:r>
          </w:p>
        </w:tc>
      </w:tr>
      <w:tr>
        <w:trPr>
          <w:trHeight w:val="224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52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</w:tr>
      <w:tr>
        <w:trPr>
          <w:trHeight w:val="224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Cs w:val="20"/>
              </w:rPr>
              <w:t>presuny</w:t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52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</w:tr>
      <w:tr>
        <w:trPr>
          <w:trHeight w:val="257" w:hRule="atLeast"/>
        </w:trPr>
        <w:tc>
          <w:tcPr>
            <w:tcW w:w="2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Cs w:val="20"/>
              </w:rPr>
              <w:t>Stav na konci bežného účtovného obdobia</w:t>
            </w:r>
          </w:p>
        </w:tc>
        <w:tc>
          <w:tcPr>
            <w:tcW w:w="2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0"/>
              </w:rPr>
              <w:t>8232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0"/>
              </w:rPr>
              <w:t>8232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</w:r>
          </w:p>
        </w:tc>
      </w:tr>
      <w:tr>
        <w:trPr>
          <w:trHeight w:val="257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szCs w:val="20"/>
              </w:rPr>
              <w:t xml:space="preserve">Oprávky – </w:t>
            </w:r>
            <w:r>
              <w:rPr>
                <w:szCs w:val="20"/>
              </w:rPr>
              <w:t>stav na začiatku bežného účtovného obdobia</w:t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0"/>
              </w:rPr>
              <w:t>0</w:t>
            </w:r>
          </w:p>
        </w:tc>
        <w:tc>
          <w:tcPr>
            <w:tcW w:w="1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52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0"/>
              </w:rPr>
              <w:t>0</w:t>
            </w:r>
          </w:p>
        </w:tc>
      </w:tr>
      <w:tr>
        <w:trPr>
          <w:trHeight w:val="224" w:hRule="atLeast"/>
        </w:trPr>
        <w:tc>
          <w:tcPr>
            <w:tcW w:w="2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2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0"/>
              </w:rPr>
              <w:t>0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0"/>
              </w:rPr>
              <w:t>0</w:t>
            </w:r>
          </w:p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</w:r>
          </w:p>
        </w:tc>
      </w:tr>
      <w:tr>
        <w:trPr>
          <w:trHeight w:val="224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52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</w:tr>
      <w:tr>
        <w:trPr>
          <w:trHeight w:val="250" w:hRule="atLeast"/>
        </w:trPr>
        <w:tc>
          <w:tcPr>
            <w:tcW w:w="2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Cs w:val="20"/>
              </w:rPr>
              <w:t>Stav na konci bežného účtovného obdobia</w:t>
            </w:r>
          </w:p>
        </w:tc>
        <w:tc>
          <w:tcPr>
            <w:tcW w:w="2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0"/>
              </w:rPr>
              <w:t>8232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0"/>
              </w:rPr>
              <w:t>8232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</w:r>
          </w:p>
        </w:tc>
      </w:tr>
      <w:tr>
        <w:trPr>
          <w:trHeight w:val="244" w:hRule="atLeast"/>
        </w:trPr>
        <w:tc>
          <w:tcPr>
            <w:tcW w:w="2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szCs w:val="20"/>
              </w:rPr>
              <w:t>Opravné položky</w:t>
            </w:r>
            <w:r>
              <w:rPr>
                <w:szCs w:val="20"/>
              </w:rPr>
              <w:t xml:space="preserve"> – </w:t>
            </w:r>
            <w:r>
              <w:rPr>
                <w:sz w:val="18"/>
                <w:szCs w:val="18"/>
              </w:rPr>
              <w:t>stav na za- čiatku bežného účtovného obdobia</w:t>
            </w:r>
          </w:p>
        </w:tc>
        <w:tc>
          <w:tcPr>
            <w:tcW w:w="2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</w:r>
          </w:p>
        </w:tc>
      </w:tr>
      <w:tr>
        <w:trPr>
          <w:trHeight w:val="172" w:hRule="atLeast"/>
        </w:trPr>
        <w:tc>
          <w:tcPr>
            <w:tcW w:w="2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2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</w:r>
          </w:p>
        </w:tc>
      </w:tr>
      <w:tr>
        <w:trPr>
          <w:trHeight w:val="188" w:hRule="atLeast"/>
        </w:trPr>
        <w:tc>
          <w:tcPr>
            <w:tcW w:w="2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20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7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</w:r>
          </w:p>
        </w:tc>
      </w:tr>
      <w:tr>
        <w:trPr>
          <w:trHeight w:val="188" w:hRule="atLeast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Cs w:val="20"/>
              </w:rPr>
              <w:t>Stav na konci bežného účtovného obdobia</w:t>
            </w:r>
          </w:p>
        </w:tc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0"/>
              </w:rPr>
              <w:t>0</w:t>
            </w:r>
          </w:p>
        </w:tc>
        <w:tc>
          <w:tcPr>
            <w:tcW w:w="1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524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0"/>
              </w:rPr>
              <w:t>0</w:t>
            </w:r>
          </w:p>
        </w:tc>
      </w:tr>
      <w:tr>
        <w:trPr>
          <w:trHeight w:val="351" w:hRule="atLeast"/>
        </w:trPr>
        <w:tc>
          <w:tcPr>
            <w:tcW w:w="11747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szCs w:val="20"/>
              </w:rPr>
              <w:t>Zostatková hodnota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/>
                <w:szCs w:val="20"/>
              </w:rPr>
            </w:pPr>
            <w:r>
              <w:rPr>
                <w:b/>
                <w:szCs w:val="20"/>
              </w:rPr>
            </w:r>
          </w:p>
        </w:tc>
      </w:tr>
      <w:tr>
        <w:trPr>
          <w:trHeight w:val="201" w:hRule="atLeast"/>
        </w:trPr>
        <w:tc>
          <w:tcPr>
            <w:tcW w:w="24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Cs w:val="20"/>
              </w:rPr>
              <w:t>Stav na začiatku bežného účtovného obdobia</w:t>
            </w:r>
          </w:p>
        </w:tc>
        <w:tc>
          <w:tcPr>
            <w:tcW w:w="1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0"/>
              </w:rPr>
              <w:t>0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22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5" w:hRule="atLeast"/>
        </w:trPr>
        <w:tc>
          <w:tcPr>
            <w:tcW w:w="24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Cs w:val="20"/>
              </w:rPr>
              <w:t>Stav na konci bežného účtovného obdobia</w:t>
            </w:r>
          </w:p>
        </w:tc>
        <w:tc>
          <w:tcPr>
            <w:tcW w:w="1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Cs w:val="20"/>
              </w:rPr>
              <w:t>0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22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64" w:hRule="atLeast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/>
                <w:szCs w:val="20"/>
              </w:rPr>
            </w:pPr>
            <w:r>
              <w:rPr>
                <w:b/>
                <w:szCs w:val="20"/>
              </w:rPr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Pozem-ky</w:t>
            </w:r>
          </w:p>
        </w:tc>
        <w:tc>
          <w:tcPr>
            <w:tcW w:w="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1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Samostatné hnuteľn</w:t>
            </w:r>
            <w:r>
              <w:rPr>
                <w:rFonts w:cs="Agency FB"/>
                <w:b/>
                <w:sz w:val="16"/>
                <w:szCs w:val="16"/>
              </w:rPr>
              <w:t>é</w:t>
            </w:r>
            <w:r>
              <w:rPr>
                <w:b/>
                <w:sz w:val="16"/>
                <w:szCs w:val="16"/>
              </w:rPr>
              <w:t xml:space="preserve"> veci a</w:t>
            </w:r>
            <w:r>
              <w:rPr>
                <w:rFonts w:cs="Agency FB"/>
                <w:b/>
                <w:sz w:val="16"/>
                <w:szCs w:val="16"/>
              </w:rPr>
              <w:t> </w:t>
            </w:r>
            <w:r>
              <w:rPr>
                <w:b/>
                <w:sz w:val="16"/>
                <w:szCs w:val="16"/>
              </w:rPr>
              <w:t>s</w:t>
            </w:r>
            <w:r>
              <w:rPr>
                <w:rFonts w:cs="Agency FB"/>
                <w:b/>
                <w:sz w:val="16"/>
                <w:szCs w:val="16"/>
              </w:rPr>
              <w:t>ú</w:t>
            </w:r>
            <w:r>
              <w:rPr>
                <w:b/>
                <w:sz w:val="16"/>
                <w:szCs w:val="16"/>
              </w:rPr>
              <w:t>bory hnuteľn</w:t>
            </w:r>
            <w:r>
              <w:rPr>
                <w:rFonts w:cs="Agency FB"/>
                <w:b/>
                <w:sz w:val="16"/>
                <w:szCs w:val="16"/>
              </w:rPr>
              <w:t>ý</w:t>
            </w:r>
            <w:r>
              <w:rPr>
                <w:b/>
                <w:sz w:val="16"/>
                <w:szCs w:val="16"/>
              </w:rPr>
              <w:t>ch vec</w:t>
            </w:r>
            <w:r>
              <w:rPr>
                <w:rFonts w:cs="Agency FB"/>
                <w:b/>
                <w:sz w:val="16"/>
                <w:szCs w:val="16"/>
              </w:rPr>
              <w:t>í</w:t>
            </w:r>
          </w:p>
        </w:tc>
        <w:tc>
          <w:tcPr>
            <w:tcW w:w="1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rPr/>
            </w:pPr>
            <w:r>
              <w:rPr>
                <w:b/>
                <w:sz w:val="16"/>
                <w:szCs w:val="16"/>
              </w:rPr>
              <w:t>Dopravné prostriedky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/>
            </w:pPr>
            <w:r>
              <w:rPr>
                <w:b/>
                <w:sz w:val="16"/>
                <w:szCs w:val="16"/>
              </w:rPr>
              <w:t>Pestovateľsk</w:t>
            </w:r>
            <w:r>
              <w:rPr>
                <w:rFonts w:cs="Agency FB"/>
                <w:b/>
                <w:sz w:val="16"/>
                <w:szCs w:val="16"/>
              </w:rPr>
              <w:t>é</w:t>
            </w:r>
            <w:r>
              <w:rPr>
                <w:b/>
                <w:sz w:val="16"/>
                <w:szCs w:val="16"/>
              </w:rPr>
              <w:t xml:space="preserve"> celky trval</w:t>
            </w:r>
            <w:r>
              <w:rPr>
                <w:rFonts w:cs="Agency FB"/>
                <w:b/>
                <w:sz w:val="16"/>
                <w:szCs w:val="16"/>
              </w:rPr>
              <w:t>ý</w:t>
            </w:r>
            <w:r>
              <w:rPr>
                <w:b/>
                <w:sz w:val="16"/>
                <w:szCs w:val="16"/>
              </w:rPr>
              <w:t>ch porastov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/>
            </w:pPr>
            <w:r>
              <w:rPr>
                <w:b/>
                <w:sz w:val="16"/>
                <w:szCs w:val="16"/>
              </w:rPr>
              <w:t>Základné stádo a ťa</w:t>
            </w:r>
            <w:r>
              <w:rPr>
                <w:rFonts w:cs="Agency FB"/>
                <w:b/>
                <w:sz w:val="16"/>
                <w:szCs w:val="16"/>
              </w:rPr>
              <w:t>ž</w:t>
            </w:r>
            <w:r>
              <w:rPr>
                <w:b/>
                <w:sz w:val="16"/>
                <w:szCs w:val="16"/>
              </w:rPr>
              <w:t>n</w:t>
            </w:r>
            <w:r>
              <w:rPr>
                <w:rFonts w:cs="Agency FB"/>
                <w:b/>
                <w:sz w:val="16"/>
                <w:szCs w:val="16"/>
              </w:rPr>
              <w:t>é</w:t>
            </w:r>
            <w:r>
              <w:rPr>
                <w:b/>
                <w:sz w:val="16"/>
                <w:szCs w:val="16"/>
              </w:rPr>
              <w:t xml:space="preserve"> zvierat</w:t>
            </w:r>
            <w:r>
              <w:rPr>
                <w:rFonts w:cs="Agency FB"/>
                <w:b/>
                <w:sz w:val="16"/>
                <w:szCs w:val="16"/>
              </w:rPr>
              <w:t>á</w:t>
            </w:r>
          </w:p>
        </w:tc>
        <w:tc>
          <w:tcPr>
            <w:tcW w:w="1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/>
            </w:pPr>
            <w:r>
              <w:rPr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/>
            </w:pPr>
            <w:r>
              <w:rPr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/>
            </w:pPr>
            <w:r>
              <w:rPr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jc w:val="center"/>
              <w:rPr/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>
        <w:trPr>
          <w:trHeight w:val="380" w:hRule="atLeast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6"/>
                <w:szCs w:val="16"/>
              </w:rPr>
              <w:t>Prvotné ocenenie</w:t>
            </w:r>
            <w:r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1515499,12</w:t>
            </w:r>
          </w:p>
        </w:tc>
        <w:tc>
          <w:tcPr>
            <w:tcW w:w="1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2752,67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732609,64</w:t>
            </w:r>
          </w:p>
        </w:tc>
        <w:tc>
          <w:tcPr>
            <w:tcW w:w="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2250861,43</w:t>
            </w:r>
          </w:p>
        </w:tc>
      </w:tr>
      <w:tr>
        <w:trPr>
          <w:trHeight w:val="168" w:hRule="atLeast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52176,03</w:t>
            </w:r>
          </w:p>
        </w:tc>
        <w:tc>
          <w:tcPr>
            <w:tcW w:w="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540826,63</w:t>
            </w:r>
          </w:p>
        </w:tc>
        <w:tc>
          <w:tcPr>
            <w:tcW w:w="1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4609,96</w:t>
            </w:r>
          </w:p>
        </w:tc>
        <w:tc>
          <w:tcPr>
            <w:tcW w:w="1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28626,00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681207,60</w:t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600000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2572202,60</w:t>
            </w:r>
          </w:p>
        </w:tc>
      </w:tr>
      <w:tr>
        <w:trPr>
          <w:trHeight w:val="176" w:hRule="atLeast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68300,01</w:t>
            </w:r>
          </w:p>
        </w:tc>
        <w:tc>
          <w:tcPr>
            <w:tcW w:w="1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2752,67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621628,86</w:t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1357437,72</w:t>
            </w:r>
          </w:p>
        </w:tc>
      </w:tr>
      <w:tr>
        <w:trPr>
          <w:trHeight w:val="176" w:hRule="atLeast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88" w:hRule="atLeast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52176,03</w:t>
            </w:r>
          </w:p>
        </w:tc>
        <w:tc>
          <w:tcPr>
            <w:tcW w:w="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540826,63</w:t>
            </w:r>
          </w:p>
        </w:tc>
        <w:tc>
          <w:tcPr>
            <w:tcW w:w="1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1451809,07</w:t>
            </w:r>
          </w:p>
        </w:tc>
        <w:tc>
          <w:tcPr>
            <w:tcW w:w="1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28626,00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732609,64</w:t>
            </w:r>
          </w:p>
        </w:tc>
        <w:tc>
          <w:tcPr>
            <w:tcW w:w="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59578,94</w:t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600000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3465626,31</w:t>
            </w:r>
          </w:p>
        </w:tc>
      </w:tr>
      <w:tr>
        <w:trPr>
          <w:trHeight w:val="289" w:hRule="atLeast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6"/>
                <w:szCs w:val="16"/>
              </w:rPr>
              <w:t xml:space="preserve">Oprávky – </w:t>
            </w:r>
            <w:r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1505607,76</w:t>
            </w:r>
          </w:p>
        </w:tc>
        <w:tc>
          <w:tcPr>
            <w:tcW w:w="1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2752,67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170047,44</w:t>
            </w:r>
          </w:p>
        </w:tc>
        <w:tc>
          <w:tcPr>
            <w:tcW w:w="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1678407,87</w:t>
            </w:r>
          </w:p>
        </w:tc>
      </w:tr>
      <w:tr>
        <w:trPr>
          <w:trHeight w:val="178" w:hRule="atLeast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3739,14</w:t>
            </w:r>
          </w:p>
        </w:tc>
        <w:tc>
          <w:tcPr>
            <w:tcW w:w="1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3562,14</w:t>
            </w:r>
          </w:p>
        </w:tc>
        <w:tc>
          <w:tcPr>
            <w:tcW w:w="1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3180,36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16996,56</w:t>
            </w:r>
          </w:p>
        </w:tc>
        <w:tc>
          <w:tcPr>
            <w:tcW w:w="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27478,20</w:t>
            </w:r>
          </w:p>
        </w:tc>
      </w:tr>
      <w:tr>
        <w:trPr>
          <w:trHeight w:val="183" w:hRule="atLeast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68300,01</w:t>
            </w:r>
          </w:p>
        </w:tc>
        <w:tc>
          <w:tcPr>
            <w:tcW w:w="1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2752,67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71052,68</w:t>
            </w:r>
          </w:p>
        </w:tc>
      </w:tr>
      <w:tr>
        <w:trPr>
          <w:trHeight w:val="193" w:hRule="atLeast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3739,14</w:t>
            </w:r>
          </w:p>
        </w:tc>
        <w:tc>
          <w:tcPr>
            <w:tcW w:w="1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1440869,89</w:t>
            </w:r>
          </w:p>
        </w:tc>
        <w:tc>
          <w:tcPr>
            <w:tcW w:w="1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3180,36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187044,00</w:t>
            </w:r>
          </w:p>
        </w:tc>
        <w:tc>
          <w:tcPr>
            <w:tcW w:w="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1634833,39</w:t>
            </w:r>
          </w:p>
        </w:tc>
      </w:tr>
      <w:tr>
        <w:trPr>
          <w:trHeight w:val="380" w:hRule="atLeast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6"/>
                <w:szCs w:val="16"/>
              </w:rPr>
              <w:t>Opravné položky</w:t>
            </w:r>
            <w:r>
              <w:rPr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29" w:hRule="atLeast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41" w:hRule="atLeast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41" w:hRule="atLeast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51" w:hRule="atLeast"/>
        </w:trPr>
        <w:tc>
          <w:tcPr>
            <w:tcW w:w="11747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6"/>
                <w:szCs w:val="16"/>
              </w:rPr>
              <w:t>Zostatková hodnota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151" w:hRule="atLeast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582392</w:t>
            </w:r>
          </w:p>
        </w:tc>
        <w:tc>
          <w:tcPr>
            <w:tcW w:w="1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562562</w:t>
            </w:r>
          </w:p>
        </w:tc>
        <w:tc>
          <w:tcPr>
            <w:tcW w:w="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sz w:val="18"/>
                <w:szCs w:val="18"/>
              </w:rPr>
              <w:t>572453</w:t>
            </w:r>
          </w:p>
        </w:tc>
      </w:tr>
      <w:tr>
        <w:trPr>
          <w:trHeight w:val="151" w:hRule="atLeast"/>
        </w:trPr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6"/>
                <w:szCs w:val="16"/>
              </w:rPr>
              <w:t>Stav na konci bežného účtovného obdobia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52176,03</w:t>
            </w:r>
          </w:p>
        </w:tc>
        <w:tc>
          <w:tcPr>
            <w:tcW w:w="11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537087,49</w:t>
            </w:r>
          </w:p>
        </w:tc>
        <w:tc>
          <w:tcPr>
            <w:tcW w:w="1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</w:rPr>
              <w:t>10939,18</w:t>
            </w:r>
          </w:p>
        </w:tc>
        <w:tc>
          <w:tcPr>
            <w:tcW w:w="1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24886,86</w:t>
            </w:r>
          </w:p>
        </w:tc>
        <w:tc>
          <w:tcPr>
            <w:tcW w:w="1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545565,64</w:t>
            </w:r>
          </w:p>
        </w:tc>
        <w:tc>
          <w:tcPr>
            <w:tcW w:w="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59578,94</w:t>
            </w:r>
          </w:p>
        </w:tc>
        <w:tc>
          <w:tcPr>
            <w:tcW w:w="1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600000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</w:rPr>
              <w:t>1830792,92</w:t>
            </w:r>
          </w:p>
        </w:tc>
      </w:tr>
    </w:tbl>
    <w:p>
      <w:pPr>
        <w:pStyle w:val="Normalpodnadpis"/>
        <w:spacing w:before="0" w:after="120"/>
        <w:rPr>
          <w:szCs w:val="20"/>
        </w:rPr>
      </w:pPr>
      <w:r>
        <w:rPr>
          <w:szCs w:val="20"/>
        </w:rPr>
      </w:r>
    </w:p>
    <w:p>
      <w:pPr>
        <w:pStyle w:val="Normalpodnadpis"/>
        <w:spacing w:before="0" w:after="120"/>
        <w:rPr>
          <w:szCs w:val="20"/>
        </w:rPr>
      </w:pPr>
      <w:r>
        <w:rPr>
          <w:szCs w:val="20"/>
        </w:rPr>
      </w:r>
    </w:p>
    <w:p>
      <w:pPr>
        <w:pStyle w:val="Normalpodnadpis"/>
        <w:spacing w:before="0" w:after="120"/>
        <w:rPr/>
      </w:pPr>
      <w:r>
        <w:rPr>
          <w:szCs w:val="20"/>
        </w:rPr>
        <w:t>Účtovná jednotka nemá náplň pre položky a</w:t>
      </w:r>
      <w:r>
        <w:rPr>
          <w:sz w:val="22"/>
          <w:szCs w:val="22"/>
        </w:rPr>
        <w:t>)</w:t>
      </w:r>
      <w:r>
        <w:rPr>
          <w:szCs w:val="20"/>
        </w:rPr>
        <w:t> až c</w:t>
      </w:r>
      <w:r>
        <w:rPr>
          <w:sz w:val="22"/>
          <w:szCs w:val="22"/>
        </w:rPr>
        <w:t>)</w:t>
      </w:r>
      <w:r>
        <w:rPr>
          <w:szCs w:val="20"/>
        </w:rPr>
        <w:t>.</w:t>
      </w:r>
    </w:p>
    <w:p>
      <w:pPr>
        <w:pStyle w:val="Normalpodnadpis"/>
        <w:numPr>
          <w:ilvl w:val="0"/>
          <w:numId w:val="2"/>
        </w:numPr>
        <w:spacing w:before="0" w:after="120"/>
        <w:ind w:lef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dlhodobého majetku, na ktorý je zriadené záložné právo a dlhodobého majetku, pri ktorom má účtovná jednotka obmedzené právo s ním nakladať.</w:t>
      </w:r>
    </w:p>
    <w:p>
      <w:pPr>
        <w:pStyle w:val="Normalpodnadpis"/>
        <w:spacing w:before="0" w:after="120"/>
        <w:rPr/>
      </w:pPr>
      <w:r>
        <w:rPr>
          <w:szCs w:val="20"/>
        </w:rPr>
        <w:t>Účtovná jednotka nemá náplň pre túto položku.</w:t>
      </w:r>
    </w:p>
    <w:p>
      <w:pPr>
        <w:pStyle w:val="Normalpodnadpis"/>
        <w:numPr>
          <w:ilvl w:val="0"/>
          <w:numId w:val="2"/>
        </w:numPr>
        <w:spacing w:before="0" w:after="120"/>
        <w:ind w:lef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spôsobe a výške poistenia dlhodobého nehmotného majetku a dlhodobého hmotného majetku.</w:t>
      </w:r>
    </w:p>
    <w:p>
      <w:pPr>
        <w:pStyle w:val="Normalpodnadpis"/>
        <w:numPr>
          <w:ilvl w:val="0"/>
          <w:numId w:val="2"/>
        </w:numPr>
        <w:spacing w:before="0" w:after="120"/>
        <w:ind w:left="0" w:hanging="0"/>
        <w:rPr/>
      </w:pPr>
      <w:r>
        <w:rPr>
          <w:sz w:val="22"/>
          <w:szCs w:val="22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709" w:type="dxa"/>
        <w:jc w:val="left"/>
        <w:tblInd w:w="-69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306"/>
        <w:gridCol w:w="1239"/>
        <w:gridCol w:w="1249"/>
        <w:gridCol w:w="1360"/>
        <w:gridCol w:w="1555"/>
        <w:gridCol w:w="1487"/>
        <w:gridCol w:w="1512"/>
      </w:tblGrid>
      <w:tr>
        <w:trPr>
          <w:trHeight w:val="399" w:hRule="atLeast"/>
        </w:trPr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>
        <w:trPr>
          <w:trHeight w:val="1073" w:hRule="atLeast"/>
        </w:trPr>
        <w:tc>
          <w:tcPr>
            <w:tcW w:w="13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2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>
        <w:trPr>
          <w:trHeight w:val="283" w:hRule="atLeast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spacing w:before="0" w:after="120"/>
        <w:rPr/>
      </w:pPr>
      <w:r>
        <w:rPr>
          <w:szCs w:val="20"/>
        </w:rPr>
        <w:t>Účtovná jednotka nemá náplň pre túto položku.</w:t>
      </w:r>
    </w:p>
    <w:p>
      <w:pPr>
        <w:pStyle w:val="Normalpodnadpis"/>
        <w:numPr>
          <w:ilvl w:val="0"/>
          <w:numId w:val="2"/>
        </w:numPr>
        <w:spacing w:before="0" w:after="120"/>
        <w:ind w:lef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tbl>
      <w:tblPr>
        <w:tblW w:w="9816" w:type="dxa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472"/>
        <w:gridCol w:w="1125"/>
        <w:gridCol w:w="1063"/>
        <w:gridCol w:w="909"/>
        <w:gridCol w:w="827"/>
        <w:gridCol w:w="841"/>
        <w:gridCol w:w="812"/>
        <w:gridCol w:w="985"/>
        <w:gridCol w:w="781"/>
      </w:tblGrid>
      <w:tr>
        <w:trPr>
          <w:trHeight w:val="1314" w:hRule="atLeast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Podielové cenné papiere a podiely v ovládanej obchodnej spoločnosti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rHeight w:val="263" w:hRule="atLeast"/>
        </w:trPr>
        <w:tc>
          <w:tcPr>
            <w:tcW w:w="98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>
        <w:trPr>
          <w:trHeight w:val="263" w:hRule="atLeast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w="98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>
        <w:trPr>
          <w:trHeight w:val="263" w:hRule="atLeast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63" w:hRule="atLeast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63" w:hRule="atLeast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63" w:hRule="atLeast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63" w:hRule="atLeast"/>
        </w:trPr>
        <w:tc>
          <w:tcPr>
            <w:tcW w:w="98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>
        <w:trPr>
          <w:trHeight w:val="263" w:hRule="atLeast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74" w:hRule="atLeast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spacing w:before="0" w:after="120"/>
        <w:rPr/>
      </w:pPr>
      <w:r>
        <w:rPr>
          <w:szCs w:val="20"/>
        </w:rPr>
        <w:t>Účtovná jednotka nemá náplň pre túto položku.</w:t>
      </w:r>
    </w:p>
    <w:p>
      <w:pPr>
        <w:pStyle w:val="Normalpodnadpis"/>
        <w:numPr>
          <w:ilvl w:val="0"/>
          <w:numId w:val="2"/>
        </w:numPr>
        <w:spacing w:before="0" w:after="120"/>
        <w:ind w:lef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W w:w="9709" w:type="dxa"/>
        <w:jc w:val="left"/>
        <w:tblInd w:w="-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507"/>
        <w:gridCol w:w="2130"/>
        <w:gridCol w:w="954"/>
        <w:gridCol w:w="849"/>
        <w:gridCol w:w="2269"/>
      </w:tblGrid>
      <w:tr>
        <w:trPr>
          <w:trHeight w:val="450" w:hRule="atLeast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>
        <w:trPr>
          <w:trHeight w:val="450" w:hRule="atLeast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18"/>
                <w:szCs w:val="18"/>
              </w:rPr>
              <w:t>Majetkové cenné papiere na obchodovanie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450" w:hRule="atLeast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469" w:hRule="atLeast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21" w:hRule="atLeast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71" w:hRule="atLeast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5" w:hRule="atLeast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</w:tbl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852" w:type="dxa"/>
        <w:jc w:val="left"/>
        <w:tblInd w:w="-69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756"/>
        <w:gridCol w:w="1843"/>
        <w:gridCol w:w="1987"/>
        <w:gridCol w:w="2265"/>
      </w:tblGrid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spacing w:before="0" w:after="120"/>
        <w:rPr/>
      </w:pPr>
      <w:r>
        <w:rPr>
          <w:szCs w:val="20"/>
        </w:rPr>
        <w:t>Účtovná jednotka nemá náplň pre túto položku.</w:t>
      </w:r>
    </w:p>
    <w:p>
      <w:pPr>
        <w:pStyle w:val="Normalpodnadpis"/>
        <w:numPr>
          <w:ilvl w:val="0"/>
          <w:numId w:val="2"/>
        </w:numPr>
        <w:spacing w:before="0" w:after="120"/>
        <w:ind w:lef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tbl>
      <w:tblPr>
        <w:tblW w:w="9993" w:type="dxa"/>
        <w:jc w:val="left"/>
        <w:tblInd w:w="-69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481"/>
        <w:gridCol w:w="1146"/>
        <w:gridCol w:w="1841"/>
        <w:gridCol w:w="1624"/>
        <w:gridCol w:w="1061"/>
        <w:gridCol w:w="1839"/>
      </w:tblGrid>
      <w:tr>
        <w:trPr>
          <w:trHeight w:val="492" w:hRule="atLeast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Druh zásob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>
        <w:trPr>
          <w:trHeight w:val="241" w:hRule="atLeast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Materiál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sz w:val="18"/>
                <w:szCs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79" w:hRule="atLeast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 xml:space="preserve">Výrobky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70" w:hRule="atLeast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Zvieratá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73" w:hRule="atLeast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Tovar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77" w:hRule="atLeast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Poskytnutý preddavok na zásoby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67" w:hRule="atLeast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spacing w:before="0" w:after="120"/>
        <w:rPr/>
      </w:pPr>
      <w:r>
        <w:rPr>
          <w:szCs w:val="20"/>
        </w:rPr>
        <w:t>Účtovná jednotka nemá náplň pre túto položku.</w:t>
      </w:r>
    </w:p>
    <w:p>
      <w:pPr>
        <w:pStyle w:val="Normalpodnadpis"/>
        <w:numPr>
          <w:ilvl w:val="0"/>
          <w:numId w:val="2"/>
        </w:numPr>
        <w:spacing w:before="0" w:after="120"/>
        <w:ind w:lef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Opis významných pohľadávok v nadväznosti na položky súvahy a v členení na pohľadávky za hlavnú nezdaňovanú  činnosť,  zdaňovanú činnosť a podnikateľskú činnosť.</w:t>
      </w:r>
    </w:p>
    <w:p>
      <w:pPr>
        <w:pStyle w:val="Normalpodnadpis"/>
        <w:spacing w:before="0" w:after="120"/>
        <w:rPr/>
      </w:pPr>
      <w:r>
        <w:rPr>
          <w:szCs w:val="20"/>
        </w:rPr>
        <w:t>Významné pohľadávky – zdravotné poisťovne v celkovej hodnote 322 360,73 €- pohľadávky sú z hlavnej činnosti</w:t>
      </w:r>
    </w:p>
    <w:p>
      <w:pPr>
        <w:pStyle w:val="Normalpodnadpis"/>
        <w:numPr>
          <w:ilvl w:val="0"/>
          <w:numId w:val="2"/>
        </w:numPr>
        <w:spacing w:before="0" w:after="120"/>
        <w:ind w:lef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tbl>
      <w:tblPr>
        <w:tblW w:w="9817" w:type="dxa"/>
        <w:jc w:val="left"/>
        <w:tblInd w:w="-69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12"/>
        <w:gridCol w:w="1701"/>
        <w:gridCol w:w="1559"/>
        <w:gridCol w:w="1418"/>
        <w:gridCol w:w="1370"/>
        <w:gridCol w:w="1856"/>
      </w:tblGrid>
      <w:tr>
        <w:trPr>
          <w:trHeight w:val="457" w:hRule="atLeast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numPr>
                <w:ilvl w:val="0"/>
                <w:numId w:val="2"/>
              </w:numPr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Druh pohľadávok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>
        <w:trPr>
          <w:trHeight w:val="447" w:hRule="atLeast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sz w:val="18"/>
                <w:szCs w:val="18"/>
              </w:rPr>
              <w:t>0</w:t>
            </w:r>
          </w:p>
        </w:tc>
      </w:tr>
      <w:tr>
        <w:trPr>
          <w:trHeight w:val="213" w:hRule="atLeast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Ostatné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450" w:hRule="atLeast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82" w:hRule="atLeast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73" w:hRule="atLeast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spacing w:before="0" w:after="120"/>
        <w:rPr/>
      </w:pPr>
      <w:r>
        <w:rPr>
          <w:szCs w:val="20"/>
        </w:rPr>
        <w:t>Účtovná jednotka nemá náplň pre túto položku.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(10) Prehľad  pohľadávok do lehoty splatnosti a po lehote splatnosti.</w:t>
      </w:r>
    </w:p>
    <w:tbl>
      <w:tblPr>
        <w:tblW w:w="9706" w:type="dxa"/>
        <w:jc w:val="left"/>
        <w:tblInd w:w="-69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342"/>
        <w:gridCol w:w="2963"/>
        <w:gridCol w:w="3401"/>
      </w:tblGrid>
      <w:tr>
        <w:trPr>
          <w:trHeight w:val="395" w:hRule="atLeast"/>
        </w:trPr>
        <w:tc>
          <w:tcPr>
            <w:tcW w:w="3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>
        <w:trPr>
          <w:trHeight w:val="143" w:hRule="atLeast"/>
        </w:trPr>
        <w:tc>
          <w:tcPr>
            <w:tcW w:w="33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>
        <w:trPr>
          <w:trHeight w:val="367" w:hRule="atLeast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22"/>
                <w:szCs w:val="22"/>
              </w:rPr>
              <w:t>476540,48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22"/>
                <w:szCs w:val="22"/>
              </w:rPr>
              <w:t>372 155</w:t>
            </w:r>
          </w:p>
        </w:tc>
      </w:tr>
      <w:tr>
        <w:trPr>
          <w:trHeight w:val="367" w:hRule="atLeast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78" w:hRule="atLeast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b/>
                <w:sz w:val="22"/>
                <w:szCs w:val="22"/>
              </w:rPr>
              <w:t>476540,48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b/>
                <w:sz w:val="22"/>
                <w:szCs w:val="22"/>
              </w:rPr>
              <w:t>372 155</w:t>
            </w:r>
          </w:p>
        </w:tc>
      </w:tr>
    </w:tbl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spacing w:before="0" w:after="120"/>
        <w:rPr/>
      </w:pPr>
      <w:r>
        <w:rPr>
          <w:szCs w:val="20"/>
        </w:rPr>
        <w:t>Účtovná jednotka nemá pohľadávky po lehote splatnosti.</w:t>
      </w:r>
    </w:p>
    <w:p>
      <w:pPr>
        <w:pStyle w:val="Normalpodnadpis"/>
        <w:numPr>
          <w:ilvl w:val="0"/>
          <w:numId w:val="2"/>
        </w:numPr>
        <w:spacing w:before="0" w:after="120"/>
        <w:ind w:lef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významných položiek časového rozlíšenia nákladov budúcich období a príjmov budúcich období.</w:t>
      </w:r>
    </w:p>
    <w:p>
      <w:pPr>
        <w:pStyle w:val="Normalpodnadpis"/>
        <w:spacing w:before="0" w:after="120"/>
        <w:rPr/>
      </w:pPr>
      <w:r>
        <w:rPr>
          <w:szCs w:val="20"/>
        </w:rPr>
        <w:t>účtovná jednotka nemá významné účty časového rozlíšenia nákladov budúcich období</w:t>
      </w:r>
    </w:p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numPr>
          <w:ilvl w:val="0"/>
          <w:numId w:val="2"/>
        </w:numPr>
        <w:spacing w:before="0" w:after="120"/>
        <w:ind w:lef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podnadpis"/>
        <w:rPr/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podnadpis"/>
        <w:spacing w:before="0" w:after="120"/>
        <w:ind w:left="142" w:hanging="142"/>
        <w:rPr/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podnadpis"/>
        <w:spacing w:before="0" w:after="120"/>
        <w:ind w:left="142" w:hanging="142"/>
        <w:rPr/>
      </w:pPr>
      <w:r>
        <w:rPr>
          <w:sz w:val="18"/>
          <w:szCs w:val="18"/>
        </w:rPr>
        <w:t>Zmeny v nevysporiadanom výsledku hospodárenia minulých rokov /úbytok/ tvoria opravy chýb minulých rokov a výdavky minulých období</w:t>
      </w:r>
    </w:p>
    <w:p>
      <w:pPr>
        <w:pStyle w:val="Normalpodnadpis"/>
        <w:spacing w:before="0" w:after="120"/>
        <w:ind w:left="142" w:hanging="142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podnadpis"/>
        <w:spacing w:before="0" w:after="12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</w:p>
    <w:tbl>
      <w:tblPr>
        <w:tblW w:w="10394" w:type="dxa"/>
        <w:jc w:val="left"/>
        <w:tblInd w:w="-69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340"/>
        <w:gridCol w:w="2024"/>
        <w:gridCol w:w="1290"/>
        <w:gridCol w:w="1394"/>
        <w:gridCol w:w="1256"/>
        <w:gridCol w:w="2089"/>
      </w:tblGrid>
      <w:tr>
        <w:trPr>
          <w:trHeight w:val="359" w:hRule="atLeas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Prírastky</w:t>
            </w:r>
          </w:p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Úbytky</w:t>
            </w:r>
          </w:p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Presuny</w:t>
            </w:r>
          </w:p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>
        <w:trPr>
          <w:trHeight w:val="277" w:hRule="atLeast"/>
        </w:trPr>
        <w:tc>
          <w:tcPr>
            <w:tcW w:w="103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</w:r>
          </w:p>
        </w:tc>
      </w:tr>
      <w:tr>
        <w:trPr>
          <w:trHeight w:val="277" w:hRule="atLeas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Vlastné zdroje krytia majetku spolu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sz w:val="18"/>
                <w:szCs w:val="18"/>
              </w:rPr>
              <w:t>584869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ind w:left="495" w:hang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ind w:left="360" w:hang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596810,87</w:t>
            </w:r>
          </w:p>
        </w:tc>
      </w:tr>
      <w:tr>
        <w:trPr>
          <w:trHeight w:val="351" w:hRule="atLeas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Imanie a fondy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sz w:val="18"/>
                <w:szCs w:val="18"/>
              </w:rPr>
              <w:t>17315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17314,66</w:t>
            </w:r>
          </w:p>
        </w:tc>
      </w:tr>
      <w:tr>
        <w:trPr>
          <w:trHeight w:val="277" w:hRule="atLeas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17315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color w:val="000000"/>
                <w:sz w:val="18"/>
                <w:szCs w:val="18"/>
              </w:rPr>
              <w:t>17314,66</w:t>
            </w:r>
          </w:p>
        </w:tc>
      </w:tr>
      <w:tr>
        <w:trPr>
          <w:trHeight w:val="277" w:hRule="atLeas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prioritný majetok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359" w:hRule="atLeas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77" w:hRule="atLeas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Fond reprodukcie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539" w:hRule="atLeas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539" w:hRule="atLeas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77" w:hRule="atLeast"/>
        </w:trPr>
        <w:tc>
          <w:tcPr>
            <w:tcW w:w="103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77" w:hRule="atLeas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Rezervný fond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77" w:hRule="atLeas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Fondy tvorené zo zisku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77" w:hRule="atLeas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Ostatné fondy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540" w:hRule="atLeas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sz w:val="18"/>
                <w:szCs w:val="18"/>
              </w:rPr>
              <w:t>249584,93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317969,37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-25990,37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541563,93</w:t>
            </w:r>
          </w:p>
        </w:tc>
      </w:tr>
      <w:tr>
        <w:trPr>
          <w:trHeight w:val="188" w:hRule="atLeast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317969,37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37932,28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ind w:left="360" w:hanging="0"/>
              <w:rPr/>
            </w:pPr>
            <w:r>
              <w:rPr>
                <w:color w:val="000000"/>
                <w:sz w:val="18"/>
                <w:szCs w:val="18"/>
              </w:rPr>
              <w:t>-317969,37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37932,28</w:t>
            </w:r>
          </w:p>
        </w:tc>
      </w:tr>
    </w:tbl>
    <w:p>
      <w:pPr>
        <w:pStyle w:val="Normalpodnadpis"/>
        <w:numPr>
          <w:ilvl w:val="0"/>
          <w:numId w:val="2"/>
        </w:numPr>
        <w:spacing w:before="0" w:after="120"/>
        <w:ind w:left="0" w:hanging="0"/>
        <w:rPr/>
      </w:pPr>
      <w:r>
        <w:rPr>
          <w:sz w:val="22"/>
          <w:szCs w:val="22"/>
        </w:rPr>
        <w:t>Informácia o rozdelení účtovného zisku alebo vysporiadaní účtovnej straty vykázanej v minulých účtovných obdobiach.</w:t>
      </w:r>
    </w:p>
    <w:tbl>
      <w:tblPr>
        <w:tblW w:w="8762" w:type="dxa"/>
        <w:jc w:val="left"/>
        <w:tblInd w:w="-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301"/>
        <w:gridCol w:w="3460"/>
      </w:tblGrid>
      <w:tr>
        <w:trPr>
          <w:trHeight w:val="586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pacing w:before="120" w:after="120"/>
              <w:jc w:val="center"/>
              <w:rPr>
                <w:b w:val="false"/>
                <w:b w:val="false"/>
              </w:rPr>
            </w:pPr>
            <w:r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pacing w:before="120" w:after="120"/>
              <w:jc w:val="center"/>
              <w:rPr>
                <w:b w:val="false"/>
                <w:b w:val="false"/>
              </w:rPr>
            </w:pPr>
            <w:r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color w:val="000000"/>
                <w:sz w:val="18"/>
                <w:szCs w:val="18"/>
              </w:rPr>
              <w:t>317969,37</w:t>
            </w:r>
          </w:p>
        </w:tc>
      </w:tr>
      <w:tr>
        <w:trPr>
          <w:trHeight w:val="253" w:hRule="atLeast"/>
        </w:trPr>
        <w:tc>
          <w:tcPr>
            <w:tcW w:w="8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Rozdelenie účtovného zisku</w:t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Prídel do f</w:t>
            </w:r>
            <w:r>
              <w:rPr>
                <w:sz w:val="18"/>
                <w:szCs w:val="18"/>
              </w:rPr>
              <w:t>ondu tvoreného podľa osobitného predpisu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74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Prevod  do n</w:t>
            </w:r>
            <w:r>
              <w:rPr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color w:val="000000"/>
                <w:sz w:val="18"/>
                <w:szCs w:val="18"/>
              </w:rPr>
              <w:t>317969,37</w:t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8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>Prevod do n</w:t>
            </w:r>
            <w:r>
              <w:rPr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</w:tbl>
    <w:p>
      <w:pPr>
        <w:pStyle w:val="Normalpodnadpis"/>
        <w:spacing w:before="0" w:after="120"/>
        <w:rPr>
          <w:szCs w:val="20"/>
        </w:rPr>
      </w:pPr>
      <w:r>
        <w:rPr>
          <w:szCs w:val="20"/>
        </w:rPr>
      </w:r>
    </w:p>
    <w:p>
      <w:pPr>
        <w:pStyle w:val="Normalpodnadpis"/>
        <w:numPr>
          <w:ilvl w:val="0"/>
          <w:numId w:val="2"/>
        </w:numPr>
        <w:spacing w:before="0" w:after="120"/>
        <w:ind w:lef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Opis a výška cudzích zdrojov, a to</w:t>
      </w:r>
    </w:p>
    <w:p>
      <w:pPr>
        <w:pStyle w:val="Normalpodnadpis"/>
        <w:rPr/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>
      <w:pPr>
        <w:pStyle w:val="Normalpodnadpis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240" w:type="dxa"/>
        <w:jc w:val="left"/>
        <w:tblInd w:w="72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481"/>
        <w:gridCol w:w="1538"/>
        <w:gridCol w:w="1422"/>
        <w:gridCol w:w="1338"/>
        <w:gridCol w:w="1533"/>
        <w:gridCol w:w="1927"/>
      </w:tblGrid>
      <w:tr>
        <w:trPr>
          <w:trHeight w:val="507" w:hRule="atLeast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>
        <w:trPr>
          <w:trHeight w:val="495" w:hRule="atLeast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Jednotlivé druhy krátkodobých zákonných rezerv:na overenie UZ</w:t>
            </w:r>
          </w:p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07" w:hRule="atLeast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495" w:hRule="atLeast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sz w:val="18"/>
                <w:szCs w:val="18"/>
              </w:rPr>
              <w:t>144946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sz w:val="18"/>
                <w:szCs w:val="18"/>
              </w:rPr>
              <w:t>142407,52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sz w:val="18"/>
                <w:szCs w:val="18"/>
              </w:rPr>
              <w:t>144946,13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/>
            </w:pPr>
            <w:r>
              <w:rPr>
                <w:sz w:val="18"/>
                <w:szCs w:val="18"/>
              </w:rPr>
              <w:t>142407,52</w:t>
            </w:r>
          </w:p>
        </w:tc>
      </w:tr>
      <w:tr>
        <w:trPr>
          <w:trHeight w:val="507" w:hRule="atLeast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53" w:hRule="atLeast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144946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142407,52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144946,13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142407,52</w:t>
            </w:r>
          </w:p>
        </w:tc>
      </w:tr>
    </w:tbl>
    <w:p>
      <w:pPr>
        <w:pStyle w:val="Normalpodnadpis"/>
        <w:ind w:left="240" w:hanging="24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ind w:left="240" w:hanging="240"/>
        <w:rPr/>
      </w:pPr>
      <w:r>
        <w:rPr>
          <w:sz w:val="22"/>
          <w:szCs w:val="22"/>
        </w:rPr>
        <w:t>b) údaje o významných položkách na účtoch záväzkov; uvádza sa začiatočný stav, prírastky, úbytky a konečný zostatok podľa jednotlivých druhov  záväzkov,</w:t>
      </w:r>
    </w:p>
    <w:p>
      <w:pPr>
        <w:pStyle w:val="Normalpodnadpis"/>
        <w:rPr/>
      </w:pPr>
      <w:r>
        <w:rPr>
          <w:sz w:val="22"/>
          <w:szCs w:val="22"/>
        </w:rPr>
        <w:t>c) prehľad  o výške záväzkov do lehoty splatnosti a po lehote splatnosti,</w:t>
      </w:r>
    </w:p>
    <w:p>
      <w:pPr>
        <w:pStyle w:val="Normalpodnadpis"/>
        <w:ind w:left="180" w:hanging="180"/>
        <w:rPr/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>
      <w:pPr>
        <w:pStyle w:val="Normalpodnadpis"/>
        <w:ind w:left="180" w:hanging="180"/>
        <w:rPr/>
      </w:pPr>
      <w:r>
        <w:rPr>
          <w:sz w:val="22"/>
          <w:szCs w:val="22"/>
        </w:rPr>
        <w:tab/>
        <w:t>1. do jedného roka vrátane,</w:t>
      </w:r>
    </w:p>
    <w:p>
      <w:pPr>
        <w:pStyle w:val="Normalpodnadpis"/>
        <w:ind w:left="180" w:hanging="180"/>
        <w:rPr/>
      </w:pPr>
      <w:r>
        <w:rPr>
          <w:sz w:val="22"/>
          <w:szCs w:val="22"/>
        </w:rPr>
        <w:tab/>
        <w:t>2. od jedného roka do piatich rokov vrátane,</w:t>
      </w:r>
    </w:p>
    <w:p>
      <w:pPr>
        <w:pStyle w:val="Normalpodnadpis"/>
        <w:ind w:left="180" w:hanging="180"/>
        <w:rPr/>
      </w:pPr>
      <w:r>
        <w:rPr>
          <w:sz w:val="22"/>
          <w:szCs w:val="22"/>
        </w:rPr>
        <w:tab/>
        <w:t>3. viac ako päť rokov,</w:t>
      </w:r>
    </w:p>
    <w:tbl>
      <w:tblPr>
        <w:tblW w:w="9556" w:type="dxa"/>
        <w:jc w:val="left"/>
        <w:tblInd w:w="72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045"/>
        <w:gridCol w:w="2579"/>
        <w:gridCol w:w="2932"/>
      </w:tblGrid>
      <w:tr>
        <w:trPr>
          <w:trHeight w:val="366" w:hRule="atLeast"/>
        </w:trPr>
        <w:tc>
          <w:tcPr>
            <w:tcW w:w="4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5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>
        <w:trPr>
          <w:trHeight w:val="133" w:hRule="atLeast"/>
        </w:trPr>
        <w:tc>
          <w:tcPr>
            <w:tcW w:w="40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Bezprostredne predchádzajúceho  účtovného obdobia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</w:tr>
      <w:tr>
        <w:trPr>
          <w:trHeight w:val="361" w:hRule="atLeast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</w:r>
          </w:p>
        </w:tc>
      </w:tr>
      <w:tr>
        <w:trPr>
          <w:trHeight w:val="361" w:hRule="atLeast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18"/>
                <w:szCs w:val="18"/>
                <w:lang w:eastAsia="sk-SK"/>
              </w:rPr>
              <w:t>282519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18"/>
                <w:szCs w:val="18"/>
                <w:lang w:eastAsia="sk-SK"/>
              </w:rPr>
              <w:t>382466,75</w:t>
            </w:r>
          </w:p>
        </w:tc>
      </w:tr>
      <w:tr>
        <w:trPr>
          <w:trHeight w:val="412" w:hRule="atLeast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282519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382466,755</w:t>
            </w:r>
          </w:p>
        </w:tc>
      </w:tr>
      <w:tr>
        <w:trPr>
          <w:trHeight w:val="457" w:hRule="atLeast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160448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176364,92</w:t>
            </w:r>
          </w:p>
        </w:tc>
      </w:tr>
      <w:tr>
        <w:trPr>
          <w:trHeight w:val="441" w:hRule="atLeast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77" w:hRule="atLeast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160448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176364,72</w:t>
            </w:r>
          </w:p>
        </w:tc>
      </w:tr>
      <w:tr>
        <w:trPr>
          <w:trHeight w:val="377" w:hRule="atLeast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sz w:val="18"/>
                <w:szCs w:val="18"/>
              </w:rPr>
              <w:t>442967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sz w:val="18"/>
                <w:szCs w:val="18"/>
              </w:rPr>
              <w:t>558831,67</w:t>
            </w:r>
          </w:p>
        </w:tc>
      </w:tr>
    </w:tbl>
    <w:p>
      <w:pPr>
        <w:pStyle w:val="Normalpodnadpis"/>
        <w:ind w:left="180" w:hanging="180"/>
        <w:rPr/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 – nemá obsahovú náplň</w:t>
      </w:r>
    </w:p>
    <w:tbl>
      <w:tblPr>
        <w:tblW w:w="9278" w:type="dxa"/>
        <w:jc w:val="left"/>
        <w:tblInd w:w="72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469"/>
        <w:gridCol w:w="2960"/>
        <w:gridCol w:w="2849"/>
      </w:tblGrid>
      <w:tr>
        <w:trPr>
          <w:trHeight w:val="469" w:hRule="atLeast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>
        <w:trPr>
          <w:trHeight w:val="279" w:hRule="atLeast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143910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127943</w:t>
            </w:r>
          </w:p>
        </w:tc>
      </w:tr>
      <w:tr>
        <w:trPr>
          <w:trHeight w:val="283" w:hRule="atLeast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20590,97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16098</w:t>
            </w:r>
          </w:p>
        </w:tc>
      </w:tr>
      <w:tr>
        <w:trPr>
          <w:trHeight w:val="258" w:hRule="atLeast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Tvorba zo zisku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77" w:hRule="atLeast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Čerpanie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</w:t>
            </w:r>
          </w:p>
        </w:tc>
      </w:tr>
      <w:tr>
        <w:trPr>
          <w:trHeight w:val="295" w:hRule="atLeast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164500,44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143910</w:t>
            </w:r>
          </w:p>
        </w:tc>
      </w:tr>
    </w:tbl>
    <w:p>
      <w:pPr>
        <w:pStyle w:val="Normalpodnadpis"/>
        <w:rPr/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10134" w:type="dxa"/>
        <w:jc w:val="left"/>
        <w:tblInd w:w="72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56"/>
        <w:gridCol w:w="708"/>
        <w:gridCol w:w="1276"/>
        <w:gridCol w:w="992"/>
        <w:gridCol w:w="1276"/>
        <w:gridCol w:w="1984"/>
        <w:gridCol w:w="1841"/>
      </w:tblGrid>
      <w:tr>
        <w:trPr>
          <w:trHeight w:val="749" w:hRule="atLeast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343" w:hRule="atLeast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</w:tr>
      <w:tr>
        <w:trPr>
          <w:trHeight w:val="263" w:hRule="atLeast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Pôžička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281" w:hRule="atLeast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</w:tr>
      <w:tr>
        <w:trPr>
          <w:trHeight w:val="287" w:hRule="atLeast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18"/>
                <w:szCs w:val="18"/>
              </w:rPr>
              <w:t>Dlhodobý bankový úver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3,1 %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20.09.2031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Pozemky a stavby LV 3777, Gelnica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600 000,00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rPr>
          <w:trHeight w:val="401" w:hRule="atLeast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b/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b/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b/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b/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>
      <w:pPr>
        <w:pStyle w:val="Normalpodnadpis"/>
        <w:spacing w:before="0" w:after="24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spacing w:before="0" w:after="240"/>
        <w:rPr/>
      </w:pPr>
      <w:r>
        <w:rPr>
          <w:sz w:val="22"/>
          <w:szCs w:val="22"/>
        </w:rPr>
        <w:t>g) prehľad o významných položkách časového rozlíšenia výdavkov budúcich období.</w:t>
      </w:r>
    </w:p>
    <w:p>
      <w:pPr>
        <w:pStyle w:val="Normalpodnadpis"/>
        <w:numPr>
          <w:ilvl w:val="0"/>
          <w:numId w:val="2"/>
        </w:numPr>
        <w:spacing w:before="0" w:after="120"/>
        <w:ind w:left="0" w:hanging="0"/>
        <w:rPr/>
      </w:pPr>
      <w:r>
        <w:rPr>
          <w:sz w:val="22"/>
          <w:szCs w:val="22"/>
        </w:rPr>
        <w:t>Prehľad o významných položkách výnosov budúcich období v členení najmä na</w:t>
      </w:r>
    </w:p>
    <w:p>
      <w:pPr>
        <w:pStyle w:val="Normalpodnadpis"/>
        <w:spacing w:before="0" w:after="0"/>
        <w:rPr/>
      </w:pPr>
      <w:r>
        <w:rPr>
          <w:sz w:val="22"/>
          <w:szCs w:val="22"/>
        </w:rPr>
        <w:t>a) zostatkovú hodnotu bezodplatne nadobudnutého dlhodobého majetku,</w:t>
      </w:r>
    </w:p>
    <w:p>
      <w:pPr>
        <w:pStyle w:val="Normalpodnadpis"/>
        <w:spacing w:before="0" w:after="0"/>
        <w:rPr/>
      </w:pPr>
      <w:r>
        <w:rPr>
          <w:sz w:val="22"/>
          <w:szCs w:val="22"/>
        </w:rPr>
        <w:t>b) zostatkovú hodnotu dlhodobého majetku obstaraného z dotácie,</w:t>
      </w:r>
    </w:p>
    <w:p>
      <w:pPr>
        <w:pStyle w:val="Normalpodnadpis"/>
        <w:spacing w:before="0" w:after="0"/>
        <w:rPr/>
      </w:pPr>
      <w:r>
        <w:rPr>
          <w:sz w:val="22"/>
          <w:szCs w:val="22"/>
        </w:rPr>
        <w:t xml:space="preserve">c) zostatok nepoužitej dotácie alebo grantu    </w:t>
      </w:r>
    </w:p>
    <w:p>
      <w:pPr>
        <w:pStyle w:val="Normalpodnadpis"/>
        <w:spacing w:before="0" w:after="0"/>
        <w:rPr/>
      </w:pPr>
      <w:r>
        <w:rPr>
          <w:sz w:val="22"/>
          <w:szCs w:val="22"/>
        </w:rPr>
        <w:t>d) zostatok nepoužitej časti podielu zaplatenej dane,</w:t>
      </w:r>
    </w:p>
    <w:p>
      <w:pPr>
        <w:pStyle w:val="Normalpodnadpis"/>
        <w:spacing w:before="0" w:after="0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>
      <w:pPr>
        <w:pStyle w:val="Normalpodnadpis"/>
        <w:spacing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spacing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spacing w:before="0" w:after="0"/>
        <w:rPr/>
      </w:pPr>
      <w:r>
        <w:rPr/>
      </w:r>
    </w:p>
    <w:tbl>
      <w:tblPr>
        <w:tblW w:w="10136" w:type="dxa"/>
        <w:jc w:val="left"/>
        <w:tblInd w:w="-69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469"/>
        <w:gridCol w:w="2268"/>
        <w:gridCol w:w="909"/>
        <w:gridCol w:w="1196"/>
        <w:gridCol w:w="2294"/>
      </w:tblGrid>
      <w:tr>
        <w:trPr>
          <w:trHeight w:val="459" w:hRule="atLeast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>
        <w:trPr>
          <w:trHeight w:val="251" w:hRule="atLeast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99" w:hRule="atLeast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sz w:val="18"/>
                <w:szCs w:val="18"/>
              </w:rPr>
              <w:t>580800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sz w:val="18"/>
                <w:szCs w:val="18"/>
              </w:rPr>
              <w:t>69291,30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sz w:val="18"/>
                <w:szCs w:val="18"/>
              </w:rPr>
              <w:t>511508,74</w:t>
            </w:r>
          </w:p>
        </w:tc>
      </w:tr>
      <w:tr>
        <w:trPr>
          <w:trHeight w:val="289" w:hRule="atLeast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47" w:hRule="atLeast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18"/>
                <w:szCs w:val="18"/>
              </w:rPr>
              <w:t>dotácie z rozpočtu obce alebo z rozpočtu VUC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72" w:hRule="atLeast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sz w:val="18"/>
                <w:szCs w:val="18"/>
              </w:rPr>
              <w:t>grantu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61" w:hRule="atLeast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sz w:val="18"/>
                <w:szCs w:val="18"/>
              </w:rPr>
              <w:t>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3" w:hRule="atLeast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podnadpis"/>
        <w:spacing w:before="120" w:after="240"/>
        <w:rPr>
          <w:szCs w:val="20"/>
        </w:rPr>
      </w:pPr>
      <w:r>
        <w:rPr>
          <w:szCs w:val="20"/>
        </w:rPr>
      </w:r>
    </w:p>
    <w:p>
      <w:pPr>
        <w:pStyle w:val="Normalpodnadpis"/>
        <w:numPr>
          <w:ilvl w:val="0"/>
          <w:numId w:val="2"/>
        </w:numPr>
        <w:spacing w:before="0" w:after="120"/>
        <w:ind w:lef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majetku prenajatom formou finančného prenájmu, a to</w:t>
      </w:r>
    </w:p>
    <w:p>
      <w:pPr>
        <w:pStyle w:val="Normalpodnadpis"/>
        <w:ind w:left="240" w:hanging="240"/>
        <w:rPr/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>
      <w:pPr>
        <w:pStyle w:val="Normalpodnadpis"/>
        <w:ind w:left="240" w:hanging="240"/>
        <w:rPr/>
      </w:pPr>
      <w:r>
        <w:rPr>
          <w:sz w:val="22"/>
          <w:szCs w:val="22"/>
        </w:rPr>
        <w:t xml:space="preserve">b) suma istiny a finančného nákladu podľa doby splatnosti </w:t>
      </w:r>
    </w:p>
    <w:p>
      <w:pPr>
        <w:pStyle w:val="Normalpodnadpis"/>
        <w:spacing w:before="0" w:after="0"/>
        <w:ind w:left="240" w:hanging="240"/>
        <w:rPr/>
      </w:pPr>
      <w:r>
        <w:rPr>
          <w:sz w:val="22"/>
          <w:szCs w:val="22"/>
        </w:rPr>
        <w:tab/>
        <w:t>1. do jedného roka vrátane,</w:t>
      </w:r>
    </w:p>
    <w:p>
      <w:pPr>
        <w:pStyle w:val="Normalpodnadpis"/>
        <w:spacing w:before="0" w:after="0"/>
        <w:ind w:left="240" w:hanging="240"/>
        <w:rPr/>
      </w:pPr>
      <w:r>
        <w:rPr>
          <w:sz w:val="22"/>
          <w:szCs w:val="22"/>
        </w:rPr>
        <w:tab/>
        <w:t>2. od jedného roka do piatich rokov vrátane,</w:t>
      </w:r>
    </w:p>
    <w:p>
      <w:pPr>
        <w:pStyle w:val="Normalpodnadpis"/>
        <w:spacing w:before="0" w:after="0"/>
        <w:rPr/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3. viac ako päť rokov.</w:t>
      </w:r>
    </w:p>
    <w:tbl>
      <w:tblPr>
        <w:tblW w:w="10382" w:type="dxa"/>
        <w:jc w:val="left"/>
        <w:tblInd w:w="-69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47"/>
        <w:gridCol w:w="2093"/>
        <w:gridCol w:w="1309"/>
        <w:gridCol w:w="1584"/>
        <w:gridCol w:w="2349"/>
      </w:tblGrid>
      <w:tr>
        <w:trPr>
          <w:trHeight w:val="834" w:hRule="atLeast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>
                <w:highlight w:val="red"/>
              </w:rPr>
            </w:pPr>
            <w:r>
              <w:rPr>
                <w:b/>
                <w:sz w:val="18"/>
                <w:szCs w:val="18"/>
              </w:rPr>
              <w:t>Záväzok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18"/>
                <w:szCs w:val="18"/>
              </w:rPr>
              <w:t>Istina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18"/>
                <w:szCs w:val="18"/>
              </w:rPr>
              <w:t>Finančný náklad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>
        <w:trPr>
          <w:trHeight w:val="233" w:hRule="atLeast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120"/>
              <w:rPr/>
            </w:pPr>
            <w:r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18586,12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podnadpis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18586,12</w:t>
            </w:r>
          </w:p>
        </w:tc>
      </w:tr>
      <w:tr>
        <w:trPr>
          <w:trHeight w:val="323" w:hRule="atLeast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6722,60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6722,60</w:t>
            </w:r>
          </w:p>
        </w:tc>
      </w:tr>
      <w:tr>
        <w:trPr>
          <w:trHeight w:val="399" w:hRule="atLeast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18"/>
                <w:szCs w:val="18"/>
              </w:rPr>
              <w:t>od jedného roka do piatich  rokov vrátane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11863,52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11863,52</w:t>
            </w:r>
          </w:p>
        </w:tc>
      </w:tr>
      <w:tr>
        <w:trPr>
          <w:trHeight w:val="362" w:hRule="atLeast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18"/>
                <w:szCs w:val="18"/>
              </w:rPr>
              <w:t>viac ako päť rokov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>
      <w:pPr>
        <w:pStyle w:val="Normalpodnadpis"/>
        <w:spacing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keepNext w:val="true"/>
        <w:numPr>
          <w:ilvl w:val="0"/>
          <w:numId w:val="0"/>
        </w:numPr>
        <w:spacing w:before="0" w:after="120"/>
        <w:jc w:val="center"/>
        <w:outlineLvl w:val="0"/>
        <w:rPr/>
      </w:pPr>
      <w:r>
        <w:rPr>
          <w:b/>
          <w:bCs/>
          <w:sz w:val="22"/>
          <w:szCs w:val="22"/>
        </w:rPr>
        <w:t>Čl. IV</w:t>
      </w:r>
    </w:p>
    <w:p>
      <w:pPr>
        <w:pStyle w:val="Normalpodnadpis"/>
        <w:keepNext w:val="true"/>
        <w:numPr>
          <w:ilvl w:val="0"/>
          <w:numId w:val="0"/>
        </w:numPr>
        <w:spacing w:before="0" w:after="120"/>
        <w:jc w:val="center"/>
        <w:outlineLvl w:val="1"/>
        <w:rPr/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>
      <w:pPr>
        <w:pStyle w:val="Normalpodnadpis"/>
        <w:numPr>
          <w:ilvl w:val="0"/>
          <w:numId w:val="3"/>
        </w:numPr>
        <w:spacing w:before="0" w:after="120"/>
        <w:ind w:left="0" w:hanging="0"/>
        <w:rPr/>
      </w:pPr>
      <w:r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>
      <w:pPr>
        <w:pStyle w:val="Normalpodnadpis"/>
        <w:spacing w:before="0" w:after="120"/>
        <w:rPr/>
      </w:pPr>
      <w:r>
        <w:rPr>
          <w:szCs w:val="20"/>
        </w:rPr>
        <w:t>Tržby za poskytovanie zdravotnej a sociálnej starostlivosti v sume 3247284,92 EUR.</w:t>
      </w:r>
    </w:p>
    <w:p>
      <w:pPr>
        <w:pStyle w:val="Normalpodnadpis"/>
        <w:numPr>
          <w:ilvl w:val="0"/>
          <w:numId w:val="3"/>
        </w:numPr>
        <w:spacing w:before="0" w:after="120"/>
        <w:ind w:left="0" w:hanging="0"/>
        <w:rPr/>
      </w:pPr>
      <w:r>
        <w:rPr>
          <w:sz w:val="22"/>
          <w:szCs w:val="22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10080" w:type="dxa"/>
        <w:jc w:val="left"/>
        <w:tblInd w:w="-14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250"/>
        <w:gridCol w:w="1985"/>
        <w:gridCol w:w="1845"/>
      </w:tblGrid>
      <w:tr>
        <w:trPr>
          <w:trHeight w:val="300" w:hRule="atLeast"/>
        </w:trPr>
        <w:tc>
          <w:tcPr>
            <w:tcW w:w="6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Položky výnosov</w:t>
            </w:r>
          </w:p>
        </w:tc>
        <w:tc>
          <w:tcPr>
            <w:tcW w:w="38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Suma</w:t>
            </w:r>
          </w:p>
        </w:tc>
      </w:tr>
      <w:tr>
        <w:trPr>
          <w:trHeight w:val="300" w:hRule="atLeast"/>
        </w:trPr>
        <w:tc>
          <w:tcPr>
            <w:tcW w:w="62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BO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PO</w:t>
            </w:r>
          </w:p>
        </w:tc>
      </w:tr>
      <w:tr>
        <w:trPr>
          <w:trHeight w:val="300" w:hRule="atLeast"/>
        </w:trPr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Prijaté dotácie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651422,74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713368</w:t>
            </w:r>
          </w:p>
        </w:tc>
      </w:tr>
      <w:tr>
        <w:trPr>
          <w:trHeight w:val="300" w:hRule="atLeast"/>
        </w:trPr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refakturácia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84285</w:t>
            </w:r>
          </w:p>
        </w:tc>
      </w:tr>
      <w:tr>
        <w:trPr>
          <w:trHeight w:val="300" w:hRule="atLeast"/>
        </w:trPr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Aktivácia vnútroorganizačných služieb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18926,40</w:t>
            </w:r>
          </w:p>
        </w:tc>
        <w:tc>
          <w:tcPr>
            <w:tcW w:w="184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23210</w:t>
            </w:r>
          </w:p>
        </w:tc>
      </w:tr>
    </w:tbl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numPr>
          <w:ilvl w:val="0"/>
          <w:numId w:val="3"/>
        </w:numPr>
        <w:spacing w:before="0" w:after="120"/>
        <w:rPr/>
      </w:pPr>
      <w:r>
        <w:rPr>
          <w:sz w:val="22"/>
          <w:szCs w:val="22"/>
        </w:rPr>
        <w:t xml:space="preserve">Prehľad  dotácií a grantov, ktoré účtovná jednotka prijala v priebehu bežného účtovného obdobia. </w:t>
      </w:r>
    </w:p>
    <w:p>
      <w:pPr>
        <w:pStyle w:val="Normalpodnadpis"/>
        <w:spacing w:before="0" w:after="120"/>
        <w:ind w:left="786" w:hanging="0"/>
        <w:rPr/>
      </w:pPr>
      <w:r>
        <w:rPr>
          <w:sz w:val="22"/>
          <w:szCs w:val="22"/>
        </w:rPr>
        <w:t>Dotácie na hlavnú činnosť 651422,74 EUR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(4)Opis a suma významných položiek finančných výnosov; uvádza sa aj celková suma kurzových ziskov, pričom  osobitne sa uvádza hodnota kurzových ziskov účtovaná ku dňu, ku ktorému sa zostavuje účtovná závierka.</w:t>
      </w:r>
    </w:p>
    <w:p>
      <w:pPr>
        <w:pStyle w:val="Normalpodnadpis"/>
        <w:spacing w:before="0" w:after="120"/>
        <w:rPr/>
      </w:pPr>
      <w:r>
        <w:rPr>
          <w:szCs w:val="20"/>
        </w:rPr>
        <w:t>Účtovná jednotka nemá náplň pre túto položku</w:t>
      </w:r>
    </w:p>
    <w:p>
      <w:pPr>
        <w:pStyle w:val="Normalpodnadpis"/>
        <w:spacing w:before="0" w:after="120"/>
        <w:rPr>
          <w:szCs w:val="20"/>
        </w:rPr>
      </w:pPr>
      <w:r>
        <w:rPr>
          <w:szCs w:val="20"/>
        </w:rPr>
      </w:r>
    </w:p>
    <w:p>
      <w:pPr>
        <w:pStyle w:val="Normalpodnadpis"/>
        <w:spacing w:before="0" w:after="120"/>
        <w:rPr>
          <w:szCs w:val="20"/>
        </w:rPr>
      </w:pPr>
      <w:r>
        <w:rPr>
          <w:szCs w:val="20"/>
        </w:rPr>
      </w:r>
    </w:p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numPr>
          <w:ilvl w:val="0"/>
          <w:numId w:val="3"/>
        </w:numPr>
        <w:spacing w:before="0" w:after="120"/>
        <w:rPr/>
      </w:pPr>
      <w:r>
        <w:rPr>
          <w:sz w:val="22"/>
          <w:szCs w:val="22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9920" w:type="dxa"/>
        <w:jc w:val="left"/>
        <w:tblInd w:w="-14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577"/>
        <w:gridCol w:w="1671"/>
        <w:gridCol w:w="1672"/>
      </w:tblGrid>
      <w:tr>
        <w:trPr>
          <w:trHeight w:val="330" w:hRule="atLeast"/>
        </w:trPr>
        <w:tc>
          <w:tcPr>
            <w:tcW w:w="6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>Položky nákladov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Suma</w:t>
            </w:r>
          </w:p>
        </w:tc>
      </w:tr>
      <w:tr>
        <w:trPr>
          <w:trHeight w:val="1028" w:hRule="atLeast"/>
        </w:trPr>
        <w:tc>
          <w:tcPr>
            <w:tcW w:w="65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rFonts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BO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PO</w:t>
            </w:r>
          </w:p>
        </w:tc>
      </w:tr>
      <w:tr>
        <w:trPr>
          <w:trHeight w:val="330" w:hRule="atLeast"/>
        </w:trPr>
        <w:tc>
          <w:tcPr>
            <w:tcW w:w="6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rPr/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Spotreba materiálu 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right"/>
              <w:rPr/>
            </w:pPr>
            <w:r>
              <w:rPr>
                <w:rFonts w:cs="Times New Roman" w:ascii="Calibri" w:hAnsi="Calibri"/>
                <w:sz w:val="22"/>
                <w:szCs w:val="22"/>
                <w:lang w:eastAsia="sk-SK"/>
              </w:rPr>
              <w:t>304411,18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righ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303216</w:t>
            </w:r>
          </w:p>
        </w:tc>
      </w:tr>
      <w:tr>
        <w:trPr>
          <w:trHeight w:val="300" w:hRule="atLeast"/>
        </w:trPr>
        <w:tc>
          <w:tcPr>
            <w:tcW w:w="6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Spotreba energií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righ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166777,78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righ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182466</w:t>
            </w:r>
          </w:p>
        </w:tc>
      </w:tr>
      <w:tr>
        <w:trPr>
          <w:trHeight w:val="300" w:hRule="atLeast"/>
        </w:trPr>
        <w:tc>
          <w:tcPr>
            <w:tcW w:w="6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Opravy a ostatné služby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249767,64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342260</w:t>
            </w:r>
          </w:p>
        </w:tc>
      </w:tr>
      <w:tr>
        <w:trPr>
          <w:trHeight w:val="300" w:hRule="atLeast"/>
        </w:trPr>
        <w:tc>
          <w:tcPr>
            <w:tcW w:w="6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Osobné náklady</w:t>
            </w:r>
          </w:p>
        </w:tc>
        <w:tc>
          <w:tcPr>
            <w:tcW w:w="1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righ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3113352,25</w:t>
            </w:r>
          </w:p>
        </w:tc>
        <w:tc>
          <w:tcPr>
            <w:tcW w:w="1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podnadpis"/>
              <w:spacing w:before="0" w:after="0"/>
              <w:jc w:val="right"/>
              <w:rPr/>
            </w:pPr>
            <w:r>
              <w:rPr>
                <w:rFonts w:cs="Times New Roman" w:ascii="Calibri" w:hAnsi="Calibri"/>
                <w:color w:val="000000"/>
                <w:sz w:val="22"/>
                <w:szCs w:val="22"/>
                <w:lang w:eastAsia="sk-SK"/>
              </w:rPr>
              <w:t>2718867</w:t>
            </w:r>
          </w:p>
        </w:tc>
      </w:tr>
    </w:tbl>
    <w:p>
      <w:pPr>
        <w:pStyle w:val="Normalpodnadpis"/>
        <w:spacing w:before="0" w:after="120"/>
        <w:rPr/>
      </w:pPr>
      <w:r>
        <w:rPr>
          <w:sz w:val="22"/>
          <w:szCs w:val="22"/>
        </w:rPr>
        <w:t xml:space="preserve"> </w:t>
      </w:r>
    </w:p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(6) Prehľad o účele a výške použitia podielu zaplatenej dane za bežné účtovné obdobie.</w:t>
      </w:r>
    </w:p>
    <w:tbl>
      <w:tblPr>
        <w:tblW w:w="10107" w:type="dxa"/>
        <w:jc w:val="left"/>
        <w:tblInd w:w="-69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03"/>
        <w:gridCol w:w="1837"/>
        <w:gridCol w:w="1"/>
        <w:gridCol w:w="3666"/>
      </w:tblGrid>
      <w:tr>
        <w:trPr>
          <w:trHeight w:val="428" w:hRule="atLeast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center"/>
              <w:rPr/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>
        <w:trPr>
          <w:trHeight w:val="335" w:hRule="atLeast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22"/>
                <w:szCs w:val="22"/>
              </w:rPr>
              <w:t>Prispevky z podielu zaplatenej dane- na hlavnú činnosť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sz w:val="22"/>
                <w:szCs w:val="22"/>
              </w:rPr>
              <w:t>1849,15</w:t>
            </w:r>
          </w:p>
        </w:tc>
      </w:tr>
      <w:tr>
        <w:trPr>
          <w:trHeight w:val="335" w:hRule="atLeast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5" w:hRule="atLeast"/>
        </w:trPr>
        <w:tc>
          <w:tcPr>
            <w:tcW w:w="6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/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Účtovná jednotka nemá náplň pre túto položku.</w:t>
      </w:r>
    </w:p>
    <w:p>
      <w:pPr>
        <w:pStyle w:val="Normalpodnadpis"/>
        <w:rPr/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a) overenie účtovnej závierky,</w:t>
      </w:r>
    </w:p>
    <w:p>
      <w:pPr>
        <w:pStyle w:val="Normalpodnadpis"/>
        <w:rPr/>
      </w:pPr>
      <w:r>
        <w:rPr>
          <w:sz w:val="22"/>
          <w:szCs w:val="22"/>
        </w:rPr>
        <w:t>b) uisťovacie audítorské služby okrem  overenia účtovnej závierky,</w:t>
      </w:r>
    </w:p>
    <w:p>
      <w:pPr>
        <w:pStyle w:val="Normalpodnadpis"/>
        <w:spacing w:before="120" w:after="0"/>
        <w:rPr/>
      </w:pPr>
      <w:r>
        <w:rPr>
          <w:sz w:val="22"/>
          <w:szCs w:val="22"/>
        </w:rPr>
        <w:t>c) súvisiace audítorské služby,</w:t>
      </w:r>
    </w:p>
    <w:p>
      <w:pPr>
        <w:pStyle w:val="Normalpodnadpis"/>
        <w:spacing w:before="120" w:after="0"/>
        <w:rPr/>
      </w:pPr>
      <w:r>
        <w:rPr>
          <w:sz w:val="22"/>
          <w:szCs w:val="22"/>
        </w:rPr>
        <w:t>d) daňové poradenstvo,</w:t>
      </w:r>
    </w:p>
    <w:p>
      <w:pPr>
        <w:pStyle w:val="Normalpodnadpis"/>
        <w:spacing w:before="0" w:after="0"/>
        <w:rPr/>
      </w:pPr>
      <w:r>
        <w:rPr>
          <w:sz w:val="22"/>
          <w:szCs w:val="22"/>
        </w:rPr>
        <w:t>e) ostatné neaudítorské služby</w:t>
      </w:r>
    </w:p>
    <w:tbl>
      <w:tblPr>
        <w:tblW w:w="9261" w:type="dxa"/>
        <w:jc w:val="left"/>
        <w:tblInd w:w="-69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291"/>
        <w:gridCol w:w="2969"/>
      </w:tblGrid>
      <w:tr>
        <w:trPr>
          <w:trHeight w:val="294" w:hRule="atLeast"/>
        </w:trPr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>
        <w:trPr>
          <w:trHeight w:val="257" w:hRule="atLeast"/>
        </w:trPr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3690</w:t>
            </w:r>
          </w:p>
        </w:tc>
      </w:tr>
      <w:tr>
        <w:trPr>
          <w:trHeight w:val="294" w:hRule="atLeast"/>
        </w:trPr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94" w:hRule="atLeast"/>
        </w:trPr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94" w:hRule="atLeast"/>
        </w:trPr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03" w:hRule="atLeast"/>
        </w:trPr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03" w:hRule="atLeast"/>
        </w:trPr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podnadpis"/>
              <w:spacing w:before="0" w:after="120"/>
              <w:jc w:val="left"/>
              <w:rPr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podnadpis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keepNext w:val="true"/>
        <w:numPr>
          <w:ilvl w:val="0"/>
          <w:numId w:val="0"/>
        </w:numPr>
        <w:spacing w:before="0" w:after="120"/>
        <w:jc w:val="center"/>
        <w:outlineLvl w:val="0"/>
        <w:rPr/>
      </w:pPr>
      <w:r>
        <w:rPr>
          <w:b/>
          <w:bCs/>
          <w:sz w:val="22"/>
          <w:szCs w:val="22"/>
        </w:rPr>
        <w:t>Čl. V</w:t>
      </w:r>
    </w:p>
    <w:p>
      <w:pPr>
        <w:pStyle w:val="Normalpodnadpis"/>
        <w:keepNext w:val="true"/>
        <w:numPr>
          <w:ilvl w:val="0"/>
          <w:numId w:val="0"/>
        </w:numPr>
        <w:spacing w:before="0" w:after="120"/>
        <w:jc w:val="center"/>
        <w:outlineLvl w:val="1"/>
        <w:rPr/>
      </w:pPr>
      <w:r>
        <w:rPr>
          <w:b/>
          <w:bCs/>
          <w:sz w:val="22"/>
          <w:szCs w:val="22"/>
        </w:rPr>
        <w:t>Opis údajov na podsúvahových účtoch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>
      <w:pPr>
        <w:pStyle w:val="Normalpodnadpis"/>
        <w:spacing w:before="0" w:after="120"/>
        <w:rPr/>
      </w:pPr>
      <w:r>
        <w:rPr>
          <w:szCs w:val="20"/>
        </w:rPr>
        <w:t>Nezisková organizácia má v prenájme od spoločnosti AVE+ prenajatý hnuteľný a nehnuteľný majetok pre výkon svojej hlavnej činnosti.</w:t>
      </w:r>
    </w:p>
    <w:p>
      <w:pPr>
        <w:pStyle w:val="Normalpodnadpis"/>
        <w:keepNext w:val="true"/>
        <w:numPr>
          <w:ilvl w:val="0"/>
          <w:numId w:val="0"/>
        </w:numPr>
        <w:spacing w:before="0" w:after="120"/>
        <w:jc w:val="center"/>
        <w:outlineLvl w:val="1"/>
        <w:rPr/>
      </w:pPr>
      <w:r>
        <w:rPr>
          <w:b/>
          <w:bCs/>
          <w:sz w:val="22"/>
          <w:szCs w:val="22"/>
        </w:rPr>
        <w:t>Čl. VI</w:t>
      </w:r>
    </w:p>
    <w:p>
      <w:pPr>
        <w:pStyle w:val="Normalpodnadpis"/>
        <w:keepNext w:val="true"/>
        <w:numPr>
          <w:ilvl w:val="0"/>
          <w:numId w:val="0"/>
        </w:numPr>
        <w:spacing w:before="0" w:after="120"/>
        <w:jc w:val="center"/>
        <w:outlineLvl w:val="1"/>
        <w:rPr/>
      </w:pPr>
      <w:r>
        <w:rPr>
          <w:b/>
          <w:bCs/>
          <w:sz w:val="22"/>
          <w:szCs w:val="22"/>
        </w:rPr>
        <w:t>Ďalšie informácie</w:t>
      </w:r>
    </w:p>
    <w:p>
      <w:pPr>
        <w:pStyle w:val="Textopatrenia"/>
        <w:numPr>
          <w:ilvl w:val="0"/>
          <w:numId w:val="1"/>
        </w:numPr>
        <w:ind w:left="0" w:hanging="0"/>
        <w:rPr/>
      </w:pPr>
      <w:r>
        <w:rPr/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numPr>
          <w:ilvl w:val="0"/>
          <w:numId w:val="1"/>
        </w:numPr>
        <w:ind w:left="0" w:hanging="0"/>
        <w:rPr/>
      </w:pPr>
      <w:r>
        <w:rPr>
          <w:sz w:val="20"/>
          <w:szCs w:val="20"/>
        </w:rPr>
        <w:t>Účtovná jednotka nemá náplň pre túto položku</w:t>
      </w:r>
    </w:p>
    <w:p>
      <w:pPr>
        <w:pStyle w:val="Textopatrenia"/>
        <w:numPr>
          <w:ilvl w:val="0"/>
          <w:numId w:val="1"/>
        </w:numPr>
        <w:ind w:left="0" w:hanging="0"/>
        <w:rPr/>
      </w:pPr>
      <w:r>
        <w:rPr/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"/>
        </w:numPr>
        <w:ind w:left="0" w:hanging="0"/>
        <w:rPr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"/>
        </w:numPr>
        <w:ind w:left="0" w:hanging="0"/>
        <w:rPr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numPr>
          <w:ilvl w:val="0"/>
          <w:numId w:val="1"/>
        </w:numPr>
        <w:ind w:left="0" w:hanging="0"/>
        <w:rPr/>
      </w:pPr>
      <w:r>
        <w:rPr>
          <w:sz w:val="20"/>
          <w:szCs w:val="20"/>
        </w:rPr>
        <w:t>Účtovná jednotka nemá náplň pre túto položku.</w:t>
      </w:r>
    </w:p>
    <w:p>
      <w:pPr>
        <w:pStyle w:val="Textopatrenia"/>
        <w:numPr>
          <w:ilvl w:val="0"/>
          <w:numId w:val="1"/>
        </w:numPr>
        <w:ind w:left="0" w:hanging="0"/>
        <w:rPr/>
      </w:pPr>
      <w:r>
        <w:rPr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"/>
        </w:numPr>
        <w:ind w:left="0" w:hanging="0"/>
        <w:rPr/>
      </w:pPr>
      <w:r>
        <w:rPr/>
        <w:t>a) povinnosť z devízových termínovaných obchodov a iných finančných derivátov,</w:t>
      </w:r>
    </w:p>
    <w:p>
      <w:pPr>
        <w:pStyle w:val="Textopatrenia"/>
        <w:numPr>
          <w:ilvl w:val="0"/>
          <w:numId w:val="1"/>
        </w:numPr>
        <w:ind w:left="0" w:hanging="0"/>
        <w:rPr/>
      </w:pPr>
      <w:r>
        <w:rPr/>
        <w:t>b) povinnosť z opčných obchodov,</w:t>
      </w:r>
    </w:p>
    <w:p>
      <w:pPr>
        <w:pStyle w:val="Textopatrenia"/>
        <w:numPr>
          <w:ilvl w:val="0"/>
          <w:numId w:val="1"/>
        </w:numPr>
        <w:ind w:left="0" w:hanging="0"/>
        <w:rPr/>
      </w:pPr>
      <w:r>
        <w:rPr/>
        <w:t>c) 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"/>
        </w:numPr>
        <w:ind w:left="0" w:hanging="0"/>
        <w:rPr/>
      </w:pPr>
      <w:r>
        <w:rPr/>
        <w:t>d) 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"/>
        </w:numPr>
        <w:ind w:left="0" w:hanging="0"/>
        <w:rPr/>
      </w:pPr>
      <w:r>
        <w:rPr/>
        <w:t xml:space="preserve">e) iné povinnosti. </w:t>
      </w:r>
    </w:p>
    <w:p>
      <w:pPr>
        <w:pStyle w:val="Normalpodnadpis"/>
        <w:spacing w:before="0" w:after="120"/>
        <w:rPr/>
      </w:pPr>
      <w:r>
        <w:rPr>
          <w:szCs w:val="20"/>
        </w:rPr>
        <w:t>Účtovná jednotka nemá náplň pre túto položku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>
      <w:pPr>
        <w:pStyle w:val="Normalpodnadpis"/>
        <w:spacing w:before="0" w:after="120"/>
        <w:rPr/>
      </w:pPr>
      <w:r>
        <w:rPr>
          <w:szCs w:val="20"/>
        </w:rPr>
        <w:t>Účtovná jednotka nemá náplň pre túto položku</w:t>
      </w:r>
    </w:p>
    <w:p>
      <w:pPr>
        <w:pStyle w:val="Normalpodnadpis"/>
        <w:spacing w:before="0" w:after="120"/>
        <w:rPr/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  <w:r>
        <w:rPr>
          <w:szCs w:val="20"/>
        </w:rPr>
        <w:t xml:space="preserve"> Účtovná jednotka nemá náplň pre túto položku</w:t>
      </w:r>
    </w:p>
    <w:p>
      <w:pPr>
        <w:sectPr>
          <w:footerReference w:type="default" r:id="rId2"/>
          <w:type w:val="nextPage"/>
          <w:pgSz w:w="11906" w:h="16838"/>
          <w:pgMar w:left="851" w:right="851" w:header="0" w:top="851" w:footer="709" w:bottom="851" w:gutter="0"/>
          <w:pgNumType w:start="1" w:fmt="decimal"/>
          <w:formProt w:val="false"/>
          <w:textDirection w:val="lrTb"/>
          <w:docGrid w:type="default" w:linePitch="100" w:charSpace="0"/>
        </w:sectPr>
        <w:pStyle w:val="Normalpodnadpis"/>
        <w:spacing w:before="0" w:after="120"/>
        <w:rPr/>
      </w:pPr>
      <w:r>
        <w:rPr/>
      </w:r>
    </w:p>
    <w:p>
      <w:pPr>
        <w:pStyle w:val="Normalpodnadpis"/>
        <w:spacing w:before="0" w:after="120"/>
        <w:rPr/>
      </w:pPr>
      <w:r>
        <w:rPr/>
      </w:r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orient="landscape" w:w="16838" w:h="11906"/>
      <w:pgMar w:left="851" w:right="851" w:header="709" w:top="851" w:footer="709" w:bottom="851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1"/>
      <w:spacing w:before="120" w:after="120"/>
      <w:jc w:val="right"/>
      <w:rPr/>
    </w:pPr>
    <w:r>
      <w:rPr/>
      <w:t xml:space="preserve">Strana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15</w:t>
    </w:r>
    <w:r>
      <w:rPr/>
      <w:fldChar w:fldCharType="end"/>
    </w:r>
  </w:p>
  <w:p>
    <w:pPr>
      <w:pStyle w:val="Pta1"/>
      <w:tabs>
        <w:tab w:val="clear" w:pos="4536"/>
        <w:tab w:val="clear" w:pos="9072"/>
        <w:tab w:val="center" w:pos="5102" w:leader="none"/>
        <w:tab w:val="right" w:pos="10204" w:leader="none"/>
      </w:tabs>
      <w:ind w:right="360" w:hanging="0"/>
      <w:rPr/>
    </w:pPr>
    <w:r>
      <w:rPr/>
    </w:r>
  </w:p>
  <w:p>
    <w:pPr>
      <w:pStyle w:val="Pta1"/>
      <w:tabs>
        <w:tab w:val="clear" w:pos="4536"/>
        <w:tab w:val="clear" w:pos="9072"/>
        <w:tab w:val="center" w:pos="5102" w:leader="none"/>
        <w:tab w:val="right" w:pos="10204" w:leader="none"/>
      </w:tabs>
      <w:spacing w:before="120" w:after="120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1"/>
      <w:spacing w:before="120" w:after="120"/>
      <w:jc w:val="right"/>
      <w:rPr/>
    </w:pPr>
    <w:r>
      <w:rPr/>
      <w:t xml:space="preserve">Strana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31</w:t>
    </w:r>
    <w:r>
      <w:rPr/>
      <w:fldChar w:fldCharType="end"/>
    </w:r>
  </w:p>
  <w:p>
    <w:pPr>
      <w:pStyle w:val="Pta1"/>
      <w:tabs>
        <w:tab w:val="clear" w:pos="4536"/>
        <w:tab w:val="clear" w:pos="9072"/>
        <w:tab w:val="center" w:pos="5102" w:leader="none"/>
        <w:tab w:val="right" w:pos="10204" w:leader="none"/>
      </w:tabs>
      <w:spacing w:before="120" w:after="120"/>
      <w:ind w:right="360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1"/>
      <w:spacing w:before="120" w:after="120"/>
      <w:jc w:val="right"/>
      <w:rPr/>
    </w:pPr>
    <w:r>
      <w:rPr/>
      <w:t xml:space="preserve">Strana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16</w:t>
    </w:r>
    <w:r>
      <w:rPr/>
      <w:fldChar w:fldCharType="end"/>
    </w:r>
  </w:p>
  <w:p>
    <w:pPr>
      <w:pStyle w:val="Pta1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1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1"/>
      <w:spacing w:before="120" w:after="120"/>
      <w:jc w:val="right"/>
      <w:rPr/>
    </w:pPr>
    <w:r>
      <w:rPr/>
    </w:r>
  </w:p>
  <w:p>
    <w:pPr>
      <w:pStyle w:val="Hlavika1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>
        <w:sz w:val="22"/>
        <w:b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(%1)"/>
      <w:lvlJc w:val="left"/>
      <w:pPr>
        <w:ind w:left="786" w:hanging="360"/>
      </w:pPr>
      <w:rPr>
        <w:sz w:val="22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55"/>
  <w:defaultTabStop w:val="709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sk-SK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53259"/>
    <w:pPr>
      <w:widowControl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sk-SK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Nadpisopatrenia1Char" w:customStyle="1">
    <w:name w:val="Nadpis 1 Char;Nadpis opatrenia  1 Char"/>
    <w:basedOn w:val="DefaultParagraphFont"/>
    <w:qFormat/>
    <w:rsid w:val="00153259"/>
    <w:rPr>
      <w:rFonts w:ascii="Cambria" w:hAnsi="Cambria" w:eastAsia="Times New Roman" w:cs="Cambria"/>
      <w:b/>
      <w:bCs/>
      <w:kern w:val="2"/>
      <w:sz w:val="32"/>
      <w:szCs w:val="32"/>
      <w:lang w:val="sk-SK" w:eastAsia="cs-CZ"/>
    </w:rPr>
  </w:style>
  <w:style w:type="character" w:styleId="Nadpis2Char" w:customStyle="1">
    <w:name w:val="Nadpis 2 Char"/>
    <w:basedOn w:val="DefaultParagraphFont"/>
    <w:qFormat/>
    <w:rsid w:val="00153259"/>
    <w:rPr>
      <w:rFonts w:ascii="Cambria" w:hAnsi="Cambria" w:eastAsia="Times New Roman" w:cs="Cambria"/>
      <w:b/>
      <w:bCs/>
      <w:i/>
      <w:iCs/>
      <w:sz w:val="28"/>
      <w:szCs w:val="28"/>
      <w:lang w:val="sk-SK" w:eastAsia="cs-CZ"/>
    </w:rPr>
  </w:style>
  <w:style w:type="character" w:styleId="TltlnzovChar115ptAntiqueOliveNiejeTun" w:customStyle="1">
    <w:name w:val="Štýl Štýl § názov Char + 115 pt + Antique Olive Nie je Tučné"/>
    <w:basedOn w:val="DefaultParagraphFont"/>
    <w:qFormat/>
    <w:rsid w:val="00153259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qFormat/>
    <w:rsid w:val="00153259"/>
    <w:rPr>
      <w:rFonts w:ascii="Arial" w:hAnsi="Arial" w:cs="Arial"/>
      <w:sz w:val="24"/>
      <w:szCs w:val="24"/>
      <w:lang w:val="sk-SK" w:eastAsia="cs-CZ"/>
    </w:rPr>
  </w:style>
  <w:style w:type="character" w:styleId="Pagenumber">
    <w:name w:val="page number"/>
    <w:basedOn w:val="DefaultParagraphFont"/>
    <w:qFormat/>
    <w:rsid w:val="00153259"/>
    <w:rPr>
      <w:rFonts w:cs="Times New Roman"/>
    </w:rPr>
  </w:style>
  <w:style w:type="character" w:styleId="Strong">
    <w:name w:val="Strong"/>
    <w:basedOn w:val="DefaultParagraphFont"/>
    <w:qFormat/>
    <w:rsid w:val="00153259"/>
    <w:rPr>
      <w:rFonts w:cs="Times New Roman"/>
      <w:b/>
      <w:bCs/>
    </w:rPr>
  </w:style>
  <w:style w:type="character" w:styleId="TextbublinyChar" w:customStyle="1">
    <w:name w:val="Text bubliny Char"/>
    <w:basedOn w:val="DefaultParagraphFont"/>
    <w:qFormat/>
    <w:rsid w:val="00153259"/>
    <w:rPr>
      <w:rFonts w:ascii="Tahoma" w:hAnsi="Tahoma" w:cs="Tahoma"/>
      <w:sz w:val="16"/>
      <w:szCs w:val="16"/>
      <w:lang w:val="sk-SK" w:eastAsia="cs-CZ"/>
    </w:rPr>
  </w:style>
  <w:style w:type="character" w:styleId="HlavikaChar" w:customStyle="1">
    <w:name w:val="Hlavička Char"/>
    <w:basedOn w:val="DefaultParagraphFont"/>
    <w:qFormat/>
    <w:rsid w:val="00153259"/>
    <w:rPr>
      <w:rFonts w:ascii="Arial Narrow" w:hAnsi="Arial Narrow" w:cs="Arial"/>
      <w:sz w:val="24"/>
      <w:szCs w:val="24"/>
      <w:lang w:val="sk-SK" w:eastAsia="cs-CZ"/>
    </w:rPr>
  </w:style>
  <w:style w:type="character" w:styleId="ListLabel1" w:customStyle="1">
    <w:name w:val="ListLabel 1"/>
    <w:qFormat/>
    <w:rsid w:val="00153259"/>
    <w:rPr>
      <w:rFonts w:cs="Arial"/>
    </w:rPr>
  </w:style>
  <w:style w:type="character" w:styleId="ListLabel2" w:customStyle="1">
    <w:name w:val="ListLabel 2"/>
    <w:qFormat/>
    <w:rsid w:val="00153259"/>
    <w:rPr>
      <w:rFonts w:cs="Times New Roman"/>
    </w:rPr>
  </w:style>
  <w:style w:type="character" w:styleId="ListLabel3" w:customStyle="1">
    <w:name w:val="ListLabel 3"/>
    <w:qFormat/>
    <w:rsid w:val="00153259"/>
    <w:rPr>
      <w:rFonts w:cs="Times New Roman"/>
    </w:rPr>
  </w:style>
  <w:style w:type="character" w:styleId="ListLabel4" w:customStyle="1">
    <w:name w:val="ListLabel 4"/>
    <w:qFormat/>
    <w:rsid w:val="00153259"/>
    <w:rPr>
      <w:rFonts w:cs="Times New Roman"/>
    </w:rPr>
  </w:style>
  <w:style w:type="character" w:styleId="ListLabel5" w:customStyle="1">
    <w:name w:val="ListLabel 5"/>
    <w:qFormat/>
    <w:rsid w:val="00153259"/>
    <w:rPr>
      <w:rFonts w:cs="Times New Roman"/>
    </w:rPr>
  </w:style>
  <w:style w:type="character" w:styleId="ListLabel6" w:customStyle="1">
    <w:name w:val="ListLabel 6"/>
    <w:qFormat/>
    <w:rsid w:val="00153259"/>
    <w:rPr>
      <w:rFonts w:cs="Times New Roman"/>
    </w:rPr>
  </w:style>
  <w:style w:type="character" w:styleId="ListLabel7" w:customStyle="1">
    <w:name w:val="ListLabel 7"/>
    <w:qFormat/>
    <w:rsid w:val="00153259"/>
    <w:rPr>
      <w:rFonts w:cs="Times New Roman"/>
    </w:rPr>
  </w:style>
  <w:style w:type="character" w:styleId="ListLabel8" w:customStyle="1">
    <w:name w:val="ListLabel 8"/>
    <w:qFormat/>
    <w:rsid w:val="00153259"/>
    <w:rPr>
      <w:rFonts w:cs="Times New Roman"/>
    </w:rPr>
  </w:style>
  <w:style w:type="character" w:styleId="ListLabel9" w:customStyle="1">
    <w:name w:val="ListLabel 9"/>
    <w:qFormat/>
    <w:rsid w:val="00153259"/>
    <w:rPr>
      <w:rFonts w:cs="Times New Roman"/>
    </w:rPr>
  </w:style>
  <w:style w:type="character" w:styleId="ListLabel10" w:customStyle="1">
    <w:name w:val="ListLabel 10"/>
    <w:qFormat/>
    <w:rsid w:val="00153259"/>
    <w:rPr>
      <w:rFonts w:cs="Arial"/>
    </w:rPr>
  </w:style>
  <w:style w:type="character" w:styleId="ListLabel11" w:customStyle="1">
    <w:name w:val="ListLabel 11"/>
    <w:qFormat/>
    <w:rsid w:val="00153259"/>
    <w:rPr>
      <w:rFonts w:cs="Times New Roman"/>
    </w:rPr>
  </w:style>
  <w:style w:type="character" w:styleId="ListLabel12" w:customStyle="1">
    <w:name w:val="ListLabel 12"/>
    <w:qFormat/>
    <w:rsid w:val="00153259"/>
    <w:rPr>
      <w:rFonts w:cs="Times New Roman"/>
    </w:rPr>
  </w:style>
  <w:style w:type="character" w:styleId="ListLabel13" w:customStyle="1">
    <w:name w:val="ListLabel 13"/>
    <w:qFormat/>
    <w:rsid w:val="00153259"/>
    <w:rPr>
      <w:rFonts w:cs="Times New Roman"/>
    </w:rPr>
  </w:style>
  <w:style w:type="character" w:styleId="ListLabel14" w:customStyle="1">
    <w:name w:val="ListLabel 14"/>
    <w:qFormat/>
    <w:rsid w:val="00153259"/>
    <w:rPr>
      <w:rFonts w:cs="Times New Roman"/>
    </w:rPr>
  </w:style>
  <w:style w:type="character" w:styleId="ListLabel15" w:customStyle="1">
    <w:name w:val="ListLabel 15"/>
    <w:qFormat/>
    <w:rsid w:val="00153259"/>
    <w:rPr>
      <w:rFonts w:cs="Times New Roman"/>
    </w:rPr>
  </w:style>
  <w:style w:type="character" w:styleId="ListLabel16" w:customStyle="1">
    <w:name w:val="ListLabel 16"/>
    <w:qFormat/>
    <w:rsid w:val="00153259"/>
    <w:rPr>
      <w:rFonts w:cs="Times New Roman"/>
    </w:rPr>
  </w:style>
  <w:style w:type="character" w:styleId="ListLabel17" w:customStyle="1">
    <w:name w:val="ListLabel 17"/>
    <w:qFormat/>
    <w:rsid w:val="00153259"/>
    <w:rPr>
      <w:rFonts w:cs="Times New Roman"/>
    </w:rPr>
  </w:style>
  <w:style w:type="character" w:styleId="ListLabel18" w:customStyle="1">
    <w:name w:val="ListLabel 18"/>
    <w:qFormat/>
    <w:rsid w:val="00153259"/>
    <w:rPr>
      <w:rFonts w:cs="Times New Roman"/>
    </w:rPr>
  </w:style>
  <w:style w:type="character" w:styleId="ListLabel19" w:customStyle="1">
    <w:name w:val="ListLabel 19"/>
    <w:qFormat/>
    <w:rsid w:val="00153259"/>
    <w:rPr>
      <w:rFonts w:cs="Times New Roman"/>
    </w:rPr>
  </w:style>
  <w:style w:type="character" w:styleId="ListLabel20" w:customStyle="1">
    <w:name w:val="ListLabel 20"/>
    <w:qFormat/>
    <w:rsid w:val="00153259"/>
    <w:rPr>
      <w:rFonts w:cs="Times New Roman"/>
    </w:rPr>
  </w:style>
  <w:style w:type="character" w:styleId="ListLabel21" w:customStyle="1">
    <w:name w:val="ListLabel 21"/>
    <w:qFormat/>
    <w:rsid w:val="00153259"/>
    <w:rPr>
      <w:rFonts w:cs="Times New Roman"/>
    </w:rPr>
  </w:style>
  <w:style w:type="character" w:styleId="ListLabel22" w:customStyle="1">
    <w:name w:val="ListLabel 22"/>
    <w:qFormat/>
    <w:rsid w:val="00153259"/>
    <w:rPr>
      <w:rFonts w:cs="Times New Roman"/>
    </w:rPr>
  </w:style>
  <w:style w:type="character" w:styleId="ListLabel23" w:customStyle="1">
    <w:name w:val="ListLabel 23"/>
    <w:qFormat/>
    <w:rsid w:val="00153259"/>
    <w:rPr>
      <w:rFonts w:cs="Times New Roman"/>
    </w:rPr>
  </w:style>
  <w:style w:type="character" w:styleId="ListLabel24" w:customStyle="1">
    <w:name w:val="ListLabel 24"/>
    <w:qFormat/>
    <w:rsid w:val="00153259"/>
    <w:rPr>
      <w:rFonts w:cs="Times New Roman"/>
    </w:rPr>
  </w:style>
  <w:style w:type="character" w:styleId="ListLabel25" w:customStyle="1">
    <w:name w:val="ListLabel 25"/>
    <w:qFormat/>
    <w:rsid w:val="00153259"/>
    <w:rPr>
      <w:rFonts w:cs="Times New Roman"/>
    </w:rPr>
  </w:style>
  <w:style w:type="character" w:styleId="ListLabel26" w:customStyle="1">
    <w:name w:val="ListLabel 26"/>
    <w:qFormat/>
    <w:rsid w:val="00153259"/>
    <w:rPr>
      <w:rFonts w:cs="Times New Roman"/>
    </w:rPr>
  </w:style>
  <w:style w:type="character" w:styleId="ListLabel27" w:customStyle="1">
    <w:name w:val="ListLabel 27"/>
    <w:qFormat/>
    <w:rsid w:val="00153259"/>
    <w:rPr>
      <w:rFonts w:cs="Times New Roman"/>
    </w:rPr>
  </w:style>
  <w:style w:type="character" w:styleId="ListLabel28" w:customStyle="1">
    <w:name w:val="ListLabel 28"/>
    <w:qFormat/>
    <w:rsid w:val="00153259"/>
    <w:rPr>
      <w:rFonts w:cs="Times New Roman"/>
    </w:rPr>
  </w:style>
  <w:style w:type="character" w:styleId="ListLabel29" w:customStyle="1">
    <w:name w:val="ListLabel 29"/>
    <w:qFormat/>
    <w:rsid w:val="00153259"/>
    <w:rPr>
      <w:rFonts w:cs="Times New Roman"/>
    </w:rPr>
  </w:style>
  <w:style w:type="character" w:styleId="ListLabel30" w:customStyle="1">
    <w:name w:val="ListLabel 30"/>
    <w:qFormat/>
    <w:rsid w:val="00153259"/>
    <w:rPr>
      <w:rFonts w:cs="Times New Roman"/>
    </w:rPr>
  </w:style>
  <w:style w:type="character" w:styleId="ListLabel31" w:customStyle="1">
    <w:name w:val="ListLabel 31"/>
    <w:qFormat/>
    <w:rsid w:val="00153259"/>
    <w:rPr>
      <w:rFonts w:cs="Times New Roman"/>
    </w:rPr>
  </w:style>
  <w:style w:type="character" w:styleId="ListLabel32" w:customStyle="1">
    <w:name w:val="ListLabel 32"/>
    <w:qFormat/>
    <w:rsid w:val="00153259"/>
    <w:rPr>
      <w:rFonts w:cs="Times New Roman"/>
    </w:rPr>
  </w:style>
  <w:style w:type="character" w:styleId="ListLabel33" w:customStyle="1">
    <w:name w:val="ListLabel 33"/>
    <w:qFormat/>
    <w:rsid w:val="00153259"/>
    <w:rPr>
      <w:rFonts w:cs="Times New Roman"/>
    </w:rPr>
  </w:style>
  <w:style w:type="character" w:styleId="ListLabel34" w:customStyle="1">
    <w:name w:val="ListLabel 34"/>
    <w:qFormat/>
    <w:rsid w:val="00153259"/>
    <w:rPr>
      <w:rFonts w:cs="Times New Roman"/>
    </w:rPr>
  </w:style>
  <w:style w:type="character" w:styleId="ListLabel35" w:customStyle="1">
    <w:name w:val="ListLabel 35"/>
    <w:qFormat/>
    <w:rsid w:val="00153259"/>
    <w:rPr>
      <w:rFonts w:cs="Times New Roman"/>
    </w:rPr>
  </w:style>
  <w:style w:type="character" w:styleId="ListLabel36" w:customStyle="1">
    <w:name w:val="ListLabel 36"/>
    <w:qFormat/>
    <w:rsid w:val="00153259"/>
    <w:rPr>
      <w:rFonts w:cs="Times New Roman"/>
    </w:rPr>
  </w:style>
  <w:style w:type="character" w:styleId="ListLabel37" w:customStyle="1">
    <w:name w:val="ListLabel 37"/>
    <w:qFormat/>
    <w:rsid w:val="00153259"/>
    <w:rPr>
      <w:rFonts w:cs="Times New Roman"/>
    </w:rPr>
  </w:style>
  <w:style w:type="character" w:styleId="ListLabel38" w:customStyle="1">
    <w:name w:val="ListLabel 38"/>
    <w:qFormat/>
    <w:rsid w:val="00153259"/>
    <w:rPr>
      <w:rFonts w:cs="Times New Roman"/>
    </w:rPr>
  </w:style>
  <w:style w:type="character" w:styleId="ListLabel39" w:customStyle="1">
    <w:name w:val="ListLabel 39"/>
    <w:qFormat/>
    <w:rsid w:val="00153259"/>
    <w:rPr>
      <w:rFonts w:cs="Times New Roman"/>
    </w:rPr>
  </w:style>
  <w:style w:type="character" w:styleId="ListLabel40" w:customStyle="1">
    <w:name w:val="ListLabel 40"/>
    <w:qFormat/>
    <w:rsid w:val="00153259"/>
    <w:rPr>
      <w:rFonts w:cs="Times New Roman"/>
    </w:rPr>
  </w:style>
  <w:style w:type="character" w:styleId="ListLabel41" w:customStyle="1">
    <w:name w:val="ListLabel 41"/>
    <w:qFormat/>
    <w:rsid w:val="00153259"/>
    <w:rPr>
      <w:rFonts w:cs="Times New Roman"/>
    </w:rPr>
  </w:style>
  <w:style w:type="character" w:styleId="ListLabel42" w:customStyle="1">
    <w:name w:val="ListLabel 42"/>
    <w:qFormat/>
    <w:rsid w:val="00153259"/>
    <w:rPr>
      <w:rFonts w:cs="Times New Roman"/>
    </w:rPr>
  </w:style>
  <w:style w:type="character" w:styleId="ListLabel43" w:customStyle="1">
    <w:name w:val="ListLabel 43"/>
    <w:qFormat/>
    <w:rsid w:val="00153259"/>
    <w:rPr>
      <w:rFonts w:cs="Times New Roman"/>
    </w:rPr>
  </w:style>
  <w:style w:type="character" w:styleId="ListLabel44" w:customStyle="1">
    <w:name w:val="ListLabel 44"/>
    <w:qFormat/>
    <w:rsid w:val="00153259"/>
    <w:rPr>
      <w:rFonts w:cs="Times New Roman"/>
    </w:rPr>
  </w:style>
  <w:style w:type="character" w:styleId="ListLabel45" w:customStyle="1">
    <w:name w:val="ListLabel 45"/>
    <w:qFormat/>
    <w:rsid w:val="00153259"/>
    <w:rPr>
      <w:rFonts w:cs="Times New Roman"/>
    </w:rPr>
  </w:style>
  <w:style w:type="character" w:styleId="ListLabel46" w:customStyle="1">
    <w:name w:val="ListLabel 46"/>
    <w:qFormat/>
    <w:rsid w:val="00153259"/>
    <w:rPr>
      <w:rFonts w:cs="Times New Roman"/>
    </w:rPr>
  </w:style>
  <w:style w:type="character" w:styleId="ListLabel47" w:customStyle="1">
    <w:name w:val="ListLabel 47"/>
    <w:qFormat/>
    <w:rsid w:val="00153259"/>
    <w:rPr>
      <w:rFonts w:cs="Times New Roman"/>
    </w:rPr>
  </w:style>
  <w:style w:type="character" w:styleId="ListLabel48" w:customStyle="1">
    <w:name w:val="ListLabel 48"/>
    <w:qFormat/>
    <w:rsid w:val="00153259"/>
    <w:rPr>
      <w:rFonts w:cs="Times New Roman"/>
    </w:rPr>
  </w:style>
  <w:style w:type="character" w:styleId="ListLabel49" w:customStyle="1">
    <w:name w:val="ListLabel 49"/>
    <w:qFormat/>
    <w:rsid w:val="00153259"/>
    <w:rPr>
      <w:rFonts w:cs="Times New Roman"/>
    </w:rPr>
  </w:style>
  <w:style w:type="character" w:styleId="ListLabel50" w:customStyle="1">
    <w:name w:val="ListLabel 50"/>
    <w:qFormat/>
    <w:rsid w:val="00153259"/>
    <w:rPr>
      <w:rFonts w:cs="Times New Roman"/>
    </w:rPr>
  </w:style>
  <w:style w:type="character" w:styleId="ListLabel51" w:customStyle="1">
    <w:name w:val="ListLabel 51"/>
    <w:qFormat/>
    <w:rsid w:val="00153259"/>
    <w:rPr>
      <w:rFonts w:cs="Times New Roman"/>
    </w:rPr>
  </w:style>
  <w:style w:type="character" w:styleId="ListLabel52" w:customStyle="1">
    <w:name w:val="ListLabel 52"/>
    <w:qFormat/>
    <w:rsid w:val="00153259"/>
    <w:rPr>
      <w:rFonts w:cs="Times New Roman"/>
    </w:rPr>
  </w:style>
  <w:style w:type="character" w:styleId="ListLabel53" w:customStyle="1">
    <w:name w:val="ListLabel 53"/>
    <w:qFormat/>
    <w:rsid w:val="00153259"/>
    <w:rPr>
      <w:rFonts w:cs="Times New Roman"/>
    </w:rPr>
  </w:style>
  <w:style w:type="character" w:styleId="ListLabel54" w:customStyle="1">
    <w:name w:val="ListLabel 54"/>
    <w:qFormat/>
    <w:rsid w:val="00153259"/>
    <w:rPr>
      <w:rFonts w:cs="Times New Roman"/>
    </w:rPr>
  </w:style>
  <w:style w:type="character" w:styleId="ListLabel55" w:customStyle="1">
    <w:name w:val="ListLabel 55"/>
    <w:qFormat/>
    <w:rsid w:val="00153259"/>
    <w:rPr>
      <w:rFonts w:cs="Times New Roman"/>
    </w:rPr>
  </w:style>
  <w:style w:type="character" w:styleId="ListLabel56" w:customStyle="1">
    <w:name w:val="ListLabel 56"/>
    <w:qFormat/>
    <w:rsid w:val="00153259"/>
    <w:rPr>
      <w:rFonts w:cs="Times New Roman"/>
    </w:rPr>
  </w:style>
  <w:style w:type="character" w:styleId="ListLabel57" w:customStyle="1">
    <w:name w:val="ListLabel 57"/>
    <w:qFormat/>
    <w:rsid w:val="00153259"/>
    <w:rPr>
      <w:rFonts w:cs="Times New Roman"/>
    </w:rPr>
  </w:style>
  <w:style w:type="character" w:styleId="ListLabel58" w:customStyle="1">
    <w:name w:val="ListLabel 58"/>
    <w:qFormat/>
    <w:rsid w:val="00153259"/>
    <w:rPr>
      <w:rFonts w:cs="Times New Roman"/>
    </w:rPr>
  </w:style>
  <w:style w:type="character" w:styleId="ListLabel59" w:customStyle="1">
    <w:name w:val="ListLabel 59"/>
    <w:qFormat/>
    <w:rsid w:val="00153259"/>
    <w:rPr>
      <w:rFonts w:cs="Times New Roman"/>
    </w:rPr>
  </w:style>
  <w:style w:type="character" w:styleId="ListLabel60" w:customStyle="1">
    <w:name w:val="ListLabel 60"/>
    <w:qFormat/>
    <w:rsid w:val="00153259"/>
    <w:rPr>
      <w:rFonts w:cs="Times New Roman"/>
    </w:rPr>
  </w:style>
  <w:style w:type="character" w:styleId="ListLabel61" w:customStyle="1">
    <w:name w:val="ListLabel 61"/>
    <w:qFormat/>
    <w:rsid w:val="00153259"/>
    <w:rPr>
      <w:rFonts w:cs="Times New Roman"/>
    </w:rPr>
  </w:style>
  <w:style w:type="character" w:styleId="ListLabel62" w:customStyle="1">
    <w:name w:val="ListLabel 62"/>
    <w:qFormat/>
    <w:rsid w:val="00153259"/>
    <w:rPr>
      <w:rFonts w:cs="Times New Roman"/>
    </w:rPr>
  </w:style>
  <w:style w:type="character" w:styleId="ListLabel63" w:customStyle="1">
    <w:name w:val="ListLabel 63"/>
    <w:qFormat/>
    <w:rsid w:val="00153259"/>
    <w:rPr>
      <w:rFonts w:cs="Times New Roman"/>
    </w:rPr>
  </w:style>
  <w:style w:type="character" w:styleId="ListLabel64" w:customStyle="1">
    <w:name w:val="ListLabel 64"/>
    <w:qFormat/>
    <w:rsid w:val="00153259"/>
    <w:rPr>
      <w:rFonts w:cs="Times New Roman"/>
    </w:rPr>
  </w:style>
  <w:style w:type="character" w:styleId="ListLabel65" w:customStyle="1">
    <w:name w:val="ListLabel 65"/>
    <w:qFormat/>
    <w:rsid w:val="00153259"/>
    <w:rPr>
      <w:rFonts w:cs="Times New Roman"/>
    </w:rPr>
  </w:style>
  <w:style w:type="character" w:styleId="ListLabel66" w:customStyle="1">
    <w:name w:val="ListLabel 66"/>
    <w:qFormat/>
    <w:rsid w:val="00153259"/>
    <w:rPr>
      <w:rFonts w:cs="Times New Roman"/>
    </w:rPr>
  </w:style>
  <w:style w:type="character" w:styleId="ListLabel67" w:customStyle="1">
    <w:name w:val="ListLabel 67"/>
    <w:qFormat/>
    <w:rsid w:val="00153259"/>
    <w:rPr>
      <w:rFonts w:cs="Times New Roman"/>
    </w:rPr>
  </w:style>
  <w:style w:type="character" w:styleId="ListLabel68" w:customStyle="1">
    <w:name w:val="ListLabel 68"/>
    <w:qFormat/>
    <w:rsid w:val="00153259"/>
    <w:rPr>
      <w:rFonts w:cs="Times New Roman"/>
    </w:rPr>
  </w:style>
  <w:style w:type="character" w:styleId="ListLabel69" w:customStyle="1">
    <w:name w:val="ListLabel 69"/>
    <w:qFormat/>
    <w:rsid w:val="00153259"/>
    <w:rPr>
      <w:rFonts w:cs="Times New Roman"/>
    </w:rPr>
  </w:style>
  <w:style w:type="character" w:styleId="ListLabel70" w:customStyle="1">
    <w:name w:val="ListLabel 70"/>
    <w:qFormat/>
    <w:rsid w:val="00153259"/>
    <w:rPr>
      <w:rFonts w:cs="Times New Roman"/>
    </w:rPr>
  </w:style>
  <w:style w:type="character" w:styleId="ListLabel71" w:customStyle="1">
    <w:name w:val="ListLabel 71"/>
    <w:qFormat/>
    <w:rsid w:val="00153259"/>
    <w:rPr>
      <w:rFonts w:cs="Times New Roman"/>
    </w:rPr>
  </w:style>
  <w:style w:type="character" w:styleId="ListLabel72" w:customStyle="1">
    <w:name w:val="ListLabel 72"/>
    <w:qFormat/>
    <w:rsid w:val="00153259"/>
    <w:rPr>
      <w:rFonts w:cs="Times New Roman"/>
    </w:rPr>
  </w:style>
  <w:style w:type="character" w:styleId="ListLabel73" w:customStyle="1">
    <w:name w:val="ListLabel 73"/>
    <w:qFormat/>
    <w:rsid w:val="00153259"/>
    <w:rPr>
      <w:rFonts w:cs="Times New Roman"/>
    </w:rPr>
  </w:style>
  <w:style w:type="character" w:styleId="ListLabel74" w:customStyle="1">
    <w:name w:val="ListLabel 74"/>
    <w:qFormat/>
    <w:rsid w:val="00153259"/>
    <w:rPr>
      <w:rFonts w:cs="Times New Roman"/>
    </w:rPr>
  </w:style>
  <w:style w:type="character" w:styleId="ListLabel75" w:customStyle="1">
    <w:name w:val="ListLabel 75"/>
    <w:qFormat/>
    <w:rsid w:val="00153259"/>
    <w:rPr>
      <w:rFonts w:cs="Times New Roman"/>
    </w:rPr>
  </w:style>
  <w:style w:type="character" w:styleId="ListLabel76" w:customStyle="1">
    <w:name w:val="ListLabel 76"/>
    <w:qFormat/>
    <w:rsid w:val="00153259"/>
    <w:rPr>
      <w:rFonts w:cs="Times New Roman"/>
    </w:rPr>
  </w:style>
  <w:style w:type="character" w:styleId="ListLabel77" w:customStyle="1">
    <w:name w:val="ListLabel 77"/>
    <w:qFormat/>
    <w:rsid w:val="00153259"/>
    <w:rPr>
      <w:rFonts w:cs="Times New Roman"/>
    </w:rPr>
  </w:style>
  <w:style w:type="character" w:styleId="ListLabel78" w:customStyle="1">
    <w:name w:val="ListLabel 78"/>
    <w:qFormat/>
    <w:rsid w:val="00153259"/>
    <w:rPr>
      <w:rFonts w:cs="Times New Roman"/>
    </w:rPr>
  </w:style>
  <w:style w:type="character" w:styleId="ListLabel79" w:customStyle="1">
    <w:name w:val="ListLabel 79"/>
    <w:qFormat/>
    <w:rsid w:val="00153259"/>
    <w:rPr>
      <w:rFonts w:cs="Times New Roman"/>
    </w:rPr>
  </w:style>
  <w:style w:type="character" w:styleId="ListLabel80" w:customStyle="1">
    <w:name w:val="ListLabel 80"/>
    <w:qFormat/>
    <w:rsid w:val="00153259"/>
    <w:rPr>
      <w:rFonts w:cs="Times New Roman"/>
    </w:rPr>
  </w:style>
  <w:style w:type="character" w:styleId="ListLabel81" w:customStyle="1">
    <w:name w:val="ListLabel 81"/>
    <w:qFormat/>
    <w:rsid w:val="00153259"/>
    <w:rPr>
      <w:rFonts w:cs="Times New Roman"/>
    </w:rPr>
  </w:style>
  <w:style w:type="character" w:styleId="ListLabel82" w:customStyle="1">
    <w:name w:val="ListLabel 82"/>
    <w:qFormat/>
    <w:rsid w:val="00153259"/>
    <w:rPr>
      <w:rFonts w:cs="Times New Roman"/>
    </w:rPr>
  </w:style>
  <w:style w:type="character" w:styleId="ListLabel83" w:customStyle="1">
    <w:name w:val="ListLabel 83"/>
    <w:qFormat/>
    <w:rsid w:val="00153259"/>
    <w:rPr>
      <w:rFonts w:cs="Times New Roman"/>
    </w:rPr>
  </w:style>
  <w:style w:type="character" w:styleId="ListLabel84" w:customStyle="1">
    <w:name w:val="ListLabel 84"/>
    <w:qFormat/>
    <w:rsid w:val="00153259"/>
    <w:rPr>
      <w:rFonts w:cs="Times New Roman"/>
    </w:rPr>
  </w:style>
  <w:style w:type="character" w:styleId="ListLabel85" w:customStyle="1">
    <w:name w:val="ListLabel 85"/>
    <w:qFormat/>
    <w:rsid w:val="00153259"/>
    <w:rPr>
      <w:rFonts w:cs="Times New Roman"/>
    </w:rPr>
  </w:style>
  <w:style w:type="character" w:styleId="ListLabel86" w:customStyle="1">
    <w:name w:val="ListLabel 86"/>
    <w:qFormat/>
    <w:rsid w:val="00153259"/>
    <w:rPr>
      <w:rFonts w:cs="Times New Roman"/>
    </w:rPr>
  </w:style>
  <w:style w:type="character" w:styleId="ListLabel87" w:customStyle="1">
    <w:name w:val="ListLabel 87"/>
    <w:qFormat/>
    <w:rsid w:val="00153259"/>
    <w:rPr>
      <w:rFonts w:cs="Times New Roman"/>
    </w:rPr>
  </w:style>
  <w:style w:type="character" w:styleId="ListLabel88" w:customStyle="1">
    <w:name w:val="ListLabel 88"/>
    <w:qFormat/>
    <w:rsid w:val="00153259"/>
    <w:rPr>
      <w:rFonts w:cs="Times New Roman"/>
    </w:rPr>
  </w:style>
  <w:style w:type="character" w:styleId="ListLabel89" w:customStyle="1">
    <w:name w:val="ListLabel 89"/>
    <w:qFormat/>
    <w:rsid w:val="00153259"/>
    <w:rPr>
      <w:rFonts w:cs="Times New Roman"/>
    </w:rPr>
  </w:style>
  <w:style w:type="character" w:styleId="ListLabel90" w:customStyle="1">
    <w:name w:val="ListLabel 90"/>
    <w:qFormat/>
    <w:rsid w:val="00153259"/>
    <w:rPr>
      <w:rFonts w:cs="Times New Roman"/>
    </w:rPr>
  </w:style>
  <w:style w:type="character" w:styleId="ListLabel91" w:customStyle="1">
    <w:name w:val="ListLabel 91"/>
    <w:qFormat/>
    <w:rsid w:val="00153259"/>
    <w:rPr>
      <w:rFonts w:cs="Times New Roman"/>
      <w:b/>
      <w:sz w:val="22"/>
    </w:rPr>
  </w:style>
  <w:style w:type="character" w:styleId="ListLabel92" w:customStyle="1">
    <w:name w:val="ListLabel 92"/>
    <w:qFormat/>
    <w:rsid w:val="00153259"/>
    <w:rPr>
      <w:rFonts w:cs="Times New Roman"/>
    </w:rPr>
  </w:style>
  <w:style w:type="character" w:styleId="ListLabel93" w:customStyle="1">
    <w:name w:val="ListLabel 93"/>
    <w:qFormat/>
    <w:rsid w:val="00153259"/>
    <w:rPr>
      <w:rFonts w:cs="Times New Roman"/>
    </w:rPr>
  </w:style>
  <w:style w:type="character" w:styleId="ListLabel94" w:customStyle="1">
    <w:name w:val="ListLabel 94"/>
    <w:qFormat/>
    <w:rsid w:val="00153259"/>
    <w:rPr>
      <w:rFonts w:cs="Times New Roman"/>
    </w:rPr>
  </w:style>
  <w:style w:type="character" w:styleId="ListLabel95" w:customStyle="1">
    <w:name w:val="ListLabel 95"/>
    <w:qFormat/>
    <w:rsid w:val="00153259"/>
    <w:rPr>
      <w:rFonts w:cs="Times New Roman"/>
    </w:rPr>
  </w:style>
  <w:style w:type="character" w:styleId="ListLabel96" w:customStyle="1">
    <w:name w:val="ListLabel 96"/>
    <w:qFormat/>
    <w:rsid w:val="00153259"/>
    <w:rPr>
      <w:rFonts w:cs="Times New Roman"/>
    </w:rPr>
  </w:style>
  <w:style w:type="character" w:styleId="ListLabel97" w:customStyle="1">
    <w:name w:val="ListLabel 97"/>
    <w:qFormat/>
    <w:rsid w:val="00153259"/>
    <w:rPr>
      <w:rFonts w:cs="Times New Roman"/>
    </w:rPr>
  </w:style>
  <w:style w:type="character" w:styleId="ListLabel98" w:customStyle="1">
    <w:name w:val="ListLabel 98"/>
    <w:qFormat/>
    <w:rsid w:val="00153259"/>
    <w:rPr>
      <w:rFonts w:cs="Times New Roman"/>
    </w:rPr>
  </w:style>
  <w:style w:type="character" w:styleId="ListLabel99" w:customStyle="1">
    <w:name w:val="ListLabel 99"/>
    <w:qFormat/>
    <w:rsid w:val="00153259"/>
    <w:rPr>
      <w:rFonts w:cs="Times New Roman"/>
    </w:rPr>
  </w:style>
  <w:style w:type="character" w:styleId="ListLabel100" w:customStyle="1">
    <w:name w:val="ListLabel 100"/>
    <w:qFormat/>
    <w:rsid w:val="00153259"/>
    <w:rPr>
      <w:rFonts w:cs="Times New Roman"/>
    </w:rPr>
  </w:style>
  <w:style w:type="character" w:styleId="ListLabel101" w:customStyle="1">
    <w:name w:val="ListLabel 101"/>
    <w:qFormat/>
    <w:rsid w:val="00153259"/>
    <w:rPr>
      <w:rFonts w:cs="Times New Roman"/>
    </w:rPr>
  </w:style>
  <w:style w:type="character" w:styleId="ListLabel102" w:customStyle="1">
    <w:name w:val="ListLabel 102"/>
    <w:qFormat/>
    <w:rsid w:val="00153259"/>
    <w:rPr>
      <w:rFonts w:cs="Times New Roman"/>
    </w:rPr>
  </w:style>
  <w:style w:type="character" w:styleId="ListLabel103" w:customStyle="1">
    <w:name w:val="ListLabel 103"/>
    <w:qFormat/>
    <w:rsid w:val="00153259"/>
    <w:rPr>
      <w:rFonts w:cs="Times New Roman"/>
    </w:rPr>
  </w:style>
  <w:style w:type="character" w:styleId="ListLabel104" w:customStyle="1">
    <w:name w:val="ListLabel 104"/>
    <w:qFormat/>
    <w:rsid w:val="00153259"/>
    <w:rPr>
      <w:rFonts w:cs="Times New Roman"/>
    </w:rPr>
  </w:style>
  <w:style w:type="character" w:styleId="ListLabel105" w:customStyle="1">
    <w:name w:val="ListLabel 105"/>
    <w:qFormat/>
    <w:rsid w:val="00153259"/>
    <w:rPr>
      <w:rFonts w:cs="Times New Roman"/>
    </w:rPr>
  </w:style>
  <w:style w:type="character" w:styleId="ListLabel106" w:customStyle="1">
    <w:name w:val="ListLabel 106"/>
    <w:qFormat/>
    <w:rsid w:val="00153259"/>
    <w:rPr>
      <w:rFonts w:cs="Times New Roman"/>
    </w:rPr>
  </w:style>
  <w:style w:type="character" w:styleId="ListLabel107" w:customStyle="1">
    <w:name w:val="ListLabel 107"/>
    <w:qFormat/>
    <w:rsid w:val="00153259"/>
    <w:rPr>
      <w:rFonts w:cs="Times New Roman"/>
    </w:rPr>
  </w:style>
  <w:style w:type="character" w:styleId="ListLabel108" w:customStyle="1">
    <w:name w:val="ListLabel 108"/>
    <w:qFormat/>
    <w:rsid w:val="00153259"/>
    <w:rPr>
      <w:rFonts w:cs="Times New Roman"/>
    </w:rPr>
  </w:style>
  <w:style w:type="character" w:styleId="ListLabel109" w:customStyle="1">
    <w:name w:val="ListLabel 109"/>
    <w:qFormat/>
    <w:rsid w:val="00153259"/>
    <w:rPr>
      <w:rFonts w:cs="Times New Roman"/>
    </w:rPr>
  </w:style>
  <w:style w:type="character" w:styleId="ListLabel110" w:customStyle="1">
    <w:name w:val="ListLabel 110"/>
    <w:qFormat/>
    <w:rsid w:val="00153259"/>
    <w:rPr>
      <w:rFonts w:cs="Times New Roman"/>
    </w:rPr>
  </w:style>
  <w:style w:type="character" w:styleId="ListLabel111" w:customStyle="1">
    <w:name w:val="ListLabel 111"/>
    <w:qFormat/>
    <w:rsid w:val="00153259"/>
    <w:rPr>
      <w:rFonts w:cs="Times New Roman"/>
    </w:rPr>
  </w:style>
  <w:style w:type="character" w:styleId="ListLabel112" w:customStyle="1">
    <w:name w:val="ListLabel 112"/>
    <w:qFormat/>
    <w:rsid w:val="00153259"/>
    <w:rPr>
      <w:rFonts w:cs="Times New Roman"/>
    </w:rPr>
  </w:style>
  <w:style w:type="character" w:styleId="ListLabel113" w:customStyle="1">
    <w:name w:val="ListLabel 113"/>
    <w:qFormat/>
    <w:rsid w:val="00153259"/>
    <w:rPr>
      <w:rFonts w:cs="Times New Roman"/>
    </w:rPr>
  </w:style>
  <w:style w:type="character" w:styleId="ListLabel114" w:customStyle="1">
    <w:name w:val="ListLabel 114"/>
    <w:qFormat/>
    <w:rsid w:val="00153259"/>
    <w:rPr>
      <w:rFonts w:cs="Times New Roman"/>
    </w:rPr>
  </w:style>
  <w:style w:type="character" w:styleId="ListLabel115" w:customStyle="1">
    <w:name w:val="ListLabel 115"/>
    <w:qFormat/>
    <w:rsid w:val="00153259"/>
    <w:rPr>
      <w:rFonts w:cs="Times New Roman"/>
    </w:rPr>
  </w:style>
  <w:style w:type="character" w:styleId="ListLabel116" w:customStyle="1">
    <w:name w:val="ListLabel 116"/>
    <w:qFormat/>
    <w:rsid w:val="00153259"/>
    <w:rPr>
      <w:rFonts w:cs="Times New Roman"/>
    </w:rPr>
  </w:style>
  <w:style w:type="character" w:styleId="ListLabel117" w:customStyle="1">
    <w:name w:val="ListLabel 117"/>
    <w:qFormat/>
    <w:rsid w:val="00153259"/>
    <w:rPr>
      <w:rFonts w:cs="Times New Roman"/>
    </w:rPr>
  </w:style>
  <w:style w:type="character" w:styleId="ListLabel118" w:customStyle="1">
    <w:name w:val="ListLabel 118"/>
    <w:qFormat/>
    <w:rsid w:val="00153259"/>
    <w:rPr>
      <w:rFonts w:cs="Times New Roman"/>
      <w:sz w:val="22"/>
    </w:rPr>
  </w:style>
  <w:style w:type="character" w:styleId="ListLabel119" w:customStyle="1">
    <w:name w:val="ListLabel 119"/>
    <w:qFormat/>
    <w:rsid w:val="00153259"/>
    <w:rPr>
      <w:rFonts w:cs="Times New Roman"/>
    </w:rPr>
  </w:style>
  <w:style w:type="character" w:styleId="ListLabel120" w:customStyle="1">
    <w:name w:val="ListLabel 120"/>
    <w:qFormat/>
    <w:rsid w:val="00153259"/>
    <w:rPr>
      <w:rFonts w:cs="Times New Roman"/>
    </w:rPr>
  </w:style>
  <w:style w:type="character" w:styleId="ListLabel121" w:customStyle="1">
    <w:name w:val="ListLabel 121"/>
    <w:qFormat/>
    <w:rsid w:val="00153259"/>
    <w:rPr>
      <w:rFonts w:cs="Times New Roman"/>
    </w:rPr>
  </w:style>
  <w:style w:type="character" w:styleId="ListLabel122" w:customStyle="1">
    <w:name w:val="ListLabel 122"/>
    <w:qFormat/>
    <w:rsid w:val="00153259"/>
    <w:rPr>
      <w:rFonts w:cs="Times New Roman"/>
    </w:rPr>
  </w:style>
  <w:style w:type="character" w:styleId="ListLabel123" w:customStyle="1">
    <w:name w:val="ListLabel 123"/>
    <w:qFormat/>
    <w:rsid w:val="00153259"/>
    <w:rPr>
      <w:rFonts w:cs="Times New Roman"/>
    </w:rPr>
  </w:style>
  <w:style w:type="character" w:styleId="ListLabel124" w:customStyle="1">
    <w:name w:val="ListLabel 124"/>
    <w:qFormat/>
    <w:rsid w:val="00153259"/>
    <w:rPr>
      <w:rFonts w:cs="Times New Roman"/>
    </w:rPr>
  </w:style>
  <w:style w:type="character" w:styleId="ListLabel125" w:customStyle="1">
    <w:name w:val="ListLabel 125"/>
    <w:qFormat/>
    <w:rsid w:val="00153259"/>
    <w:rPr>
      <w:rFonts w:cs="Times New Roman"/>
    </w:rPr>
  </w:style>
  <w:style w:type="character" w:styleId="ListLabel126" w:customStyle="1">
    <w:name w:val="ListLabel 126"/>
    <w:qFormat/>
    <w:rsid w:val="00153259"/>
    <w:rPr>
      <w:rFonts w:cs="Times New Roman"/>
    </w:rPr>
  </w:style>
  <w:style w:type="character" w:styleId="ListLabel127" w:customStyle="1">
    <w:name w:val="ListLabel 127"/>
    <w:qFormat/>
    <w:rsid w:val="00153259"/>
    <w:rPr>
      <w:rFonts w:eastAsia="Times New Roman" w:cs="Arial Narrow"/>
    </w:rPr>
  </w:style>
  <w:style w:type="character" w:styleId="ListLabel128" w:customStyle="1">
    <w:name w:val="ListLabel 128"/>
    <w:qFormat/>
    <w:rsid w:val="00153259"/>
    <w:rPr>
      <w:rFonts w:eastAsia="Times New Roman" w:cs="Arial Narrow"/>
    </w:rPr>
  </w:style>
  <w:style w:type="character" w:styleId="ListLabel129" w:customStyle="1">
    <w:name w:val="ListLabel 129"/>
    <w:qFormat/>
    <w:rsid w:val="00153259"/>
    <w:rPr>
      <w:rFonts w:eastAsia="Times New Roman" w:cs="Arial Narrow"/>
    </w:rPr>
  </w:style>
  <w:style w:type="character" w:styleId="ListLabel130" w:customStyle="1">
    <w:name w:val="ListLabel 130"/>
    <w:qFormat/>
    <w:rsid w:val="00153259"/>
    <w:rPr>
      <w:rFonts w:eastAsia="Times New Roman" w:cs="Arial Narrow"/>
    </w:rPr>
  </w:style>
  <w:style w:type="character" w:styleId="ListLabel131" w:customStyle="1">
    <w:name w:val="ListLabel 131"/>
    <w:qFormat/>
    <w:rsid w:val="00153259"/>
    <w:rPr>
      <w:rFonts w:cs="Times New Roman"/>
    </w:rPr>
  </w:style>
  <w:style w:type="character" w:styleId="ListLabel132" w:customStyle="1">
    <w:name w:val="ListLabel 132"/>
    <w:qFormat/>
    <w:rsid w:val="00153259"/>
    <w:rPr>
      <w:rFonts w:cs="Times New Roman"/>
    </w:rPr>
  </w:style>
  <w:style w:type="character" w:styleId="ListLabel133" w:customStyle="1">
    <w:name w:val="ListLabel 133"/>
    <w:qFormat/>
    <w:rsid w:val="00153259"/>
    <w:rPr>
      <w:rFonts w:cs="Times New Roman"/>
    </w:rPr>
  </w:style>
  <w:style w:type="character" w:styleId="ListLabel134" w:customStyle="1">
    <w:name w:val="ListLabel 134"/>
    <w:qFormat/>
    <w:rsid w:val="00153259"/>
    <w:rPr>
      <w:rFonts w:cs="Times New Roman"/>
    </w:rPr>
  </w:style>
  <w:style w:type="character" w:styleId="ListLabel135" w:customStyle="1">
    <w:name w:val="ListLabel 135"/>
    <w:qFormat/>
    <w:rsid w:val="00153259"/>
    <w:rPr>
      <w:rFonts w:cs="Times New Roman"/>
    </w:rPr>
  </w:style>
  <w:style w:type="character" w:styleId="ListLabel136" w:customStyle="1">
    <w:name w:val="ListLabel 136"/>
    <w:qFormat/>
    <w:rsid w:val="00153259"/>
    <w:rPr>
      <w:rFonts w:cs="Times New Roman"/>
    </w:rPr>
  </w:style>
  <w:style w:type="character" w:styleId="ListLabel137" w:customStyle="1">
    <w:name w:val="ListLabel 137"/>
    <w:qFormat/>
    <w:rsid w:val="00153259"/>
    <w:rPr>
      <w:rFonts w:cs="Times New Roman"/>
    </w:rPr>
  </w:style>
  <w:style w:type="character" w:styleId="ListLabel138" w:customStyle="1">
    <w:name w:val="ListLabel 138"/>
    <w:qFormat/>
    <w:rsid w:val="00153259"/>
    <w:rPr>
      <w:rFonts w:cs="Times New Roman"/>
    </w:rPr>
  </w:style>
  <w:style w:type="character" w:styleId="ListLabel139" w:customStyle="1">
    <w:name w:val="ListLabel 139"/>
    <w:qFormat/>
    <w:rsid w:val="00153259"/>
    <w:rPr>
      <w:rFonts w:cs="Times New Roman"/>
    </w:rPr>
  </w:style>
  <w:style w:type="character" w:styleId="ListLabel140" w:customStyle="1">
    <w:name w:val="ListLabel 140"/>
    <w:qFormat/>
    <w:rsid w:val="00153259"/>
    <w:rPr>
      <w:rFonts w:eastAsia="Times New Roman" w:cs="Arial Narrow"/>
    </w:rPr>
  </w:style>
  <w:style w:type="character" w:styleId="ListLabel141" w:customStyle="1">
    <w:name w:val="ListLabel 141"/>
    <w:qFormat/>
    <w:rsid w:val="00153259"/>
    <w:rPr>
      <w:rFonts w:cs="Times New Roman"/>
    </w:rPr>
  </w:style>
  <w:style w:type="character" w:styleId="ListLabel142" w:customStyle="1">
    <w:name w:val="ListLabel 142"/>
    <w:qFormat/>
    <w:rsid w:val="00153259"/>
    <w:rPr>
      <w:rFonts w:cs="Times New Roman"/>
    </w:rPr>
  </w:style>
  <w:style w:type="character" w:styleId="ListLabel143" w:customStyle="1">
    <w:name w:val="ListLabel 143"/>
    <w:qFormat/>
    <w:rsid w:val="00153259"/>
    <w:rPr>
      <w:rFonts w:cs="Times New Roman"/>
    </w:rPr>
  </w:style>
  <w:style w:type="character" w:styleId="ListLabel144" w:customStyle="1">
    <w:name w:val="ListLabel 144"/>
    <w:qFormat/>
    <w:rsid w:val="00153259"/>
    <w:rPr>
      <w:rFonts w:cs="Times New Roman"/>
    </w:rPr>
  </w:style>
  <w:style w:type="character" w:styleId="ListLabel145" w:customStyle="1">
    <w:name w:val="ListLabel 145"/>
    <w:qFormat/>
    <w:rsid w:val="00153259"/>
    <w:rPr>
      <w:rFonts w:cs="Times New Roman"/>
    </w:rPr>
  </w:style>
  <w:style w:type="character" w:styleId="ListLabel146" w:customStyle="1">
    <w:name w:val="ListLabel 146"/>
    <w:qFormat/>
    <w:rsid w:val="00153259"/>
    <w:rPr>
      <w:rFonts w:cs="Times New Roman"/>
    </w:rPr>
  </w:style>
  <w:style w:type="character" w:styleId="ListLabel147" w:customStyle="1">
    <w:name w:val="ListLabel 147"/>
    <w:qFormat/>
    <w:rsid w:val="00153259"/>
    <w:rPr>
      <w:rFonts w:cs="Times New Roman"/>
    </w:rPr>
  </w:style>
  <w:style w:type="character" w:styleId="ListLabel148" w:customStyle="1">
    <w:name w:val="ListLabel 148"/>
    <w:qFormat/>
    <w:rsid w:val="00153259"/>
    <w:rPr>
      <w:rFonts w:cs="Times New Roman"/>
    </w:rPr>
  </w:style>
  <w:style w:type="character" w:styleId="ListLabel149" w:customStyle="1">
    <w:name w:val="ListLabel 149"/>
    <w:qFormat/>
    <w:rsid w:val="00153259"/>
    <w:rPr>
      <w:rFonts w:cs="Times New Roman"/>
    </w:rPr>
  </w:style>
  <w:style w:type="character" w:styleId="ListLabel150" w:customStyle="1">
    <w:name w:val="ListLabel 150"/>
    <w:qFormat/>
    <w:rsid w:val="00153259"/>
    <w:rPr>
      <w:rFonts w:cs="Times New Roman"/>
    </w:rPr>
  </w:style>
  <w:style w:type="character" w:styleId="ListLabel151" w:customStyle="1">
    <w:name w:val="ListLabel 151"/>
    <w:qFormat/>
    <w:rsid w:val="00153259"/>
    <w:rPr>
      <w:rFonts w:cs="Times New Roman"/>
    </w:rPr>
  </w:style>
  <w:style w:type="character" w:styleId="ListLabel152" w:customStyle="1">
    <w:name w:val="ListLabel 152"/>
    <w:qFormat/>
    <w:rsid w:val="00153259"/>
    <w:rPr>
      <w:rFonts w:cs="Times New Roman"/>
    </w:rPr>
  </w:style>
  <w:style w:type="character" w:styleId="ListLabel153" w:customStyle="1">
    <w:name w:val="ListLabel 153"/>
    <w:qFormat/>
    <w:rsid w:val="00153259"/>
    <w:rPr>
      <w:rFonts w:cs="Times New Roman"/>
    </w:rPr>
  </w:style>
  <w:style w:type="character" w:styleId="ListLabel154" w:customStyle="1">
    <w:name w:val="ListLabel 154"/>
    <w:qFormat/>
    <w:rsid w:val="00153259"/>
    <w:rPr>
      <w:rFonts w:cs="Times New Roman"/>
    </w:rPr>
  </w:style>
  <w:style w:type="character" w:styleId="ListLabel155" w:customStyle="1">
    <w:name w:val="ListLabel 155"/>
    <w:qFormat/>
    <w:rsid w:val="00153259"/>
    <w:rPr>
      <w:rFonts w:cs="Times New Roman"/>
    </w:rPr>
  </w:style>
  <w:style w:type="character" w:styleId="ListLabel156" w:customStyle="1">
    <w:name w:val="ListLabel 156"/>
    <w:qFormat/>
    <w:rsid w:val="00153259"/>
    <w:rPr>
      <w:rFonts w:cs="Times New Roman"/>
    </w:rPr>
  </w:style>
  <w:style w:type="character" w:styleId="ListLabel157" w:customStyle="1">
    <w:name w:val="ListLabel 157"/>
    <w:qFormat/>
    <w:rsid w:val="00153259"/>
    <w:rPr>
      <w:rFonts w:cs="Times New Roman"/>
    </w:rPr>
  </w:style>
  <w:style w:type="character" w:styleId="ListLabel158" w:customStyle="1">
    <w:name w:val="ListLabel 158"/>
    <w:qFormat/>
    <w:rsid w:val="00153259"/>
    <w:rPr>
      <w:rFonts w:cs="Times New Roman"/>
    </w:rPr>
  </w:style>
  <w:style w:type="character" w:styleId="ListLabel159" w:customStyle="1">
    <w:name w:val="ListLabel 159"/>
    <w:qFormat/>
    <w:rsid w:val="00153259"/>
    <w:rPr>
      <w:rFonts w:cs="Times New Roman"/>
    </w:rPr>
  </w:style>
  <w:style w:type="character" w:styleId="ListLabel160" w:customStyle="1">
    <w:name w:val="ListLabel 160"/>
    <w:qFormat/>
    <w:rsid w:val="00153259"/>
    <w:rPr>
      <w:rFonts w:cs="Times New Roman"/>
    </w:rPr>
  </w:style>
  <w:style w:type="character" w:styleId="ListLabel161" w:customStyle="1">
    <w:name w:val="ListLabel 161"/>
    <w:qFormat/>
    <w:rsid w:val="00153259"/>
    <w:rPr>
      <w:rFonts w:cs="Times New Roman"/>
    </w:rPr>
  </w:style>
  <w:style w:type="character" w:styleId="ListLabel162" w:customStyle="1">
    <w:name w:val="ListLabel 162"/>
    <w:qFormat/>
    <w:rsid w:val="00153259"/>
    <w:rPr>
      <w:rFonts w:cs="Times New Roman"/>
    </w:rPr>
  </w:style>
  <w:style w:type="character" w:styleId="ListLabel163" w:customStyle="1">
    <w:name w:val="ListLabel 163"/>
    <w:qFormat/>
    <w:rsid w:val="00153259"/>
    <w:rPr>
      <w:rFonts w:cs="Times New Roman"/>
    </w:rPr>
  </w:style>
  <w:style w:type="character" w:styleId="ListLabel164" w:customStyle="1">
    <w:name w:val="ListLabel 164"/>
    <w:qFormat/>
    <w:rsid w:val="00153259"/>
    <w:rPr>
      <w:rFonts w:cs="Times New Roman"/>
    </w:rPr>
  </w:style>
  <w:style w:type="character" w:styleId="ListLabel165" w:customStyle="1">
    <w:name w:val="ListLabel 165"/>
    <w:qFormat/>
    <w:rsid w:val="00153259"/>
    <w:rPr>
      <w:rFonts w:cs="Times New Roman"/>
    </w:rPr>
  </w:style>
  <w:style w:type="character" w:styleId="ListLabel166" w:customStyle="1">
    <w:name w:val="ListLabel 166"/>
    <w:qFormat/>
    <w:rsid w:val="00153259"/>
    <w:rPr>
      <w:rFonts w:cs="Times New Roman"/>
    </w:rPr>
  </w:style>
  <w:style w:type="character" w:styleId="ListLabel167" w:customStyle="1">
    <w:name w:val="ListLabel 167"/>
    <w:qFormat/>
    <w:rsid w:val="00153259"/>
    <w:rPr>
      <w:rFonts w:cs="Times New Roman"/>
    </w:rPr>
  </w:style>
  <w:style w:type="character" w:styleId="ListLabel168" w:customStyle="1">
    <w:name w:val="ListLabel 168"/>
    <w:qFormat/>
    <w:rsid w:val="00153259"/>
    <w:rPr>
      <w:rFonts w:cs="Times New Roman"/>
      <w:b/>
      <w:sz w:val="22"/>
    </w:rPr>
  </w:style>
  <w:style w:type="character" w:styleId="ListLabel169" w:customStyle="1">
    <w:name w:val="ListLabel 169"/>
    <w:qFormat/>
    <w:rsid w:val="00153259"/>
    <w:rPr>
      <w:rFonts w:cs="Times New Roman"/>
    </w:rPr>
  </w:style>
  <w:style w:type="character" w:styleId="ListLabel170" w:customStyle="1">
    <w:name w:val="ListLabel 170"/>
    <w:qFormat/>
    <w:rsid w:val="00153259"/>
    <w:rPr>
      <w:rFonts w:cs="Times New Roman"/>
    </w:rPr>
  </w:style>
  <w:style w:type="character" w:styleId="ListLabel171" w:customStyle="1">
    <w:name w:val="ListLabel 171"/>
    <w:qFormat/>
    <w:rsid w:val="00153259"/>
    <w:rPr>
      <w:rFonts w:cs="Times New Roman"/>
    </w:rPr>
  </w:style>
  <w:style w:type="character" w:styleId="ListLabel172" w:customStyle="1">
    <w:name w:val="ListLabel 172"/>
    <w:qFormat/>
    <w:rsid w:val="00153259"/>
    <w:rPr>
      <w:rFonts w:cs="Times New Roman"/>
    </w:rPr>
  </w:style>
  <w:style w:type="character" w:styleId="ListLabel173" w:customStyle="1">
    <w:name w:val="ListLabel 173"/>
    <w:qFormat/>
    <w:rsid w:val="00153259"/>
    <w:rPr>
      <w:rFonts w:cs="Times New Roman"/>
    </w:rPr>
  </w:style>
  <w:style w:type="character" w:styleId="ListLabel174" w:customStyle="1">
    <w:name w:val="ListLabel 174"/>
    <w:qFormat/>
    <w:rsid w:val="00153259"/>
    <w:rPr>
      <w:rFonts w:cs="Times New Roman"/>
    </w:rPr>
  </w:style>
  <w:style w:type="character" w:styleId="ListLabel175" w:customStyle="1">
    <w:name w:val="ListLabel 175"/>
    <w:qFormat/>
    <w:rsid w:val="00153259"/>
    <w:rPr>
      <w:rFonts w:cs="Times New Roman"/>
    </w:rPr>
  </w:style>
  <w:style w:type="character" w:styleId="ListLabel176" w:customStyle="1">
    <w:name w:val="ListLabel 176"/>
    <w:qFormat/>
    <w:rsid w:val="00153259"/>
    <w:rPr>
      <w:rFonts w:cs="Times New Roman"/>
    </w:rPr>
  </w:style>
  <w:style w:type="character" w:styleId="ListLabel177" w:customStyle="1">
    <w:name w:val="ListLabel 177"/>
    <w:qFormat/>
    <w:rsid w:val="00153259"/>
    <w:rPr>
      <w:rFonts w:cs="Times New Roman"/>
      <w:sz w:val="22"/>
    </w:rPr>
  </w:style>
  <w:style w:type="character" w:styleId="ListLabel178" w:customStyle="1">
    <w:name w:val="ListLabel 178"/>
    <w:qFormat/>
    <w:rsid w:val="00153259"/>
    <w:rPr>
      <w:rFonts w:cs="Times New Roman"/>
    </w:rPr>
  </w:style>
  <w:style w:type="character" w:styleId="ListLabel179" w:customStyle="1">
    <w:name w:val="ListLabel 179"/>
    <w:qFormat/>
    <w:rsid w:val="00153259"/>
    <w:rPr>
      <w:rFonts w:cs="Times New Roman"/>
    </w:rPr>
  </w:style>
  <w:style w:type="character" w:styleId="ListLabel180" w:customStyle="1">
    <w:name w:val="ListLabel 180"/>
    <w:qFormat/>
    <w:rsid w:val="00153259"/>
    <w:rPr>
      <w:rFonts w:cs="Times New Roman"/>
    </w:rPr>
  </w:style>
  <w:style w:type="character" w:styleId="ListLabel181" w:customStyle="1">
    <w:name w:val="ListLabel 181"/>
    <w:qFormat/>
    <w:rsid w:val="00153259"/>
    <w:rPr>
      <w:rFonts w:cs="Times New Roman"/>
    </w:rPr>
  </w:style>
  <w:style w:type="character" w:styleId="ListLabel182" w:customStyle="1">
    <w:name w:val="ListLabel 182"/>
    <w:qFormat/>
    <w:rsid w:val="00153259"/>
    <w:rPr>
      <w:rFonts w:cs="Times New Roman"/>
    </w:rPr>
  </w:style>
  <w:style w:type="character" w:styleId="ListLabel183" w:customStyle="1">
    <w:name w:val="ListLabel 183"/>
    <w:qFormat/>
    <w:rsid w:val="00153259"/>
    <w:rPr>
      <w:rFonts w:cs="Times New Roman"/>
    </w:rPr>
  </w:style>
  <w:style w:type="character" w:styleId="ListLabel184" w:customStyle="1">
    <w:name w:val="ListLabel 184"/>
    <w:qFormat/>
    <w:rsid w:val="00153259"/>
    <w:rPr>
      <w:rFonts w:cs="Times New Roman"/>
    </w:rPr>
  </w:style>
  <w:style w:type="character" w:styleId="ListLabel185" w:customStyle="1">
    <w:name w:val="ListLabel 185"/>
    <w:qFormat/>
    <w:rsid w:val="00153259"/>
    <w:rPr>
      <w:rFonts w:cs="Times New Roman"/>
    </w:rPr>
  </w:style>
  <w:style w:type="character" w:styleId="HlavikaChar1" w:customStyle="1">
    <w:name w:val="Hlavička Char1"/>
    <w:basedOn w:val="DefaultParagraphFont"/>
    <w:link w:val="Hlavika"/>
    <w:uiPriority w:val="99"/>
    <w:qFormat/>
    <w:rsid w:val="000076fe"/>
    <w:rPr>
      <w:rFonts w:cs="Mangal"/>
      <w:sz w:val="24"/>
      <w:szCs w:val="21"/>
    </w:rPr>
  </w:style>
  <w:style w:type="character" w:styleId="PtaChar1" w:customStyle="1">
    <w:name w:val="Päta Char1"/>
    <w:basedOn w:val="DefaultParagraphFont"/>
    <w:link w:val="Pta"/>
    <w:uiPriority w:val="99"/>
    <w:qFormat/>
    <w:rsid w:val="000076fe"/>
    <w:rPr>
      <w:rFonts w:cs="Mangal"/>
      <w:sz w:val="24"/>
      <w:szCs w:val="21"/>
    </w:rPr>
  </w:style>
  <w:style w:type="character" w:styleId="ListLabel186">
    <w:name w:val="ListLabel 186"/>
    <w:qFormat/>
    <w:rPr>
      <w:rFonts w:cs="Times New Roman"/>
    </w:rPr>
  </w:style>
  <w:style w:type="character" w:styleId="ListLabel187">
    <w:name w:val="ListLabel 187"/>
    <w:qFormat/>
    <w:rPr>
      <w:rFonts w:cs="Times New Roman"/>
    </w:rPr>
  </w:style>
  <w:style w:type="character" w:styleId="ListLabel188">
    <w:name w:val="ListLabel 188"/>
    <w:qFormat/>
    <w:rPr>
      <w:rFonts w:cs="Times New Roman"/>
    </w:rPr>
  </w:style>
  <w:style w:type="character" w:styleId="ListLabel189">
    <w:name w:val="ListLabel 189"/>
    <w:qFormat/>
    <w:rPr>
      <w:rFonts w:cs="Times New Roman"/>
    </w:rPr>
  </w:style>
  <w:style w:type="character" w:styleId="ListLabel190">
    <w:name w:val="ListLabel 190"/>
    <w:qFormat/>
    <w:rPr>
      <w:rFonts w:cs="Times New Roman"/>
    </w:rPr>
  </w:style>
  <w:style w:type="character" w:styleId="ListLabel191">
    <w:name w:val="ListLabel 191"/>
    <w:qFormat/>
    <w:rPr>
      <w:rFonts w:cs="Times New Roman"/>
    </w:rPr>
  </w:style>
  <w:style w:type="character" w:styleId="ListLabel192">
    <w:name w:val="ListLabel 192"/>
    <w:qFormat/>
    <w:rPr>
      <w:rFonts w:cs="Times New Roman"/>
    </w:rPr>
  </w:style>
  <w:style w:type="character" w:styleId="ListLabel193">
    <w:name w:val="ListLabel 193"/>
    <w:qFormat/>
    <w:rPr>
      <w:rFonts w:cs="Times New Roman"/>
    </w:rPr>
  </w:style>
  <w:style w:type="character" w:styleId="ListLabel194">
    <w:name w:val="ListLabel 194"/>
    <w:qFormat/>
    <w:rPr>
      <w:rFonts w:cs="Times New Roman"/>
    </w:rPr>
  </w:style>
  <w:style w:type="character" w:styleId="ListLabel195">
    <w:name w:val="ListLabel 195"/>
    <w:qFormat/>
    <w:rPr>
      <w:rFonts w:cs="Times New Roman"/>
      <w:b/>
      <w:sz w:val="22"/>
    </w:rPr>
  </w:style>
  <w:style w:type="character" w:styleId="ListLabel196">
    <w:name w:val="ListLabel 196"/>
    <w:qFormat/>
    <w:rPr>
      <w:rFonts w:cs="Times New Roman"/>
    </w:rPr>
  </w:style>
  <w:style w:type="character" w:styleId="ListLabel197">
    <w:name w:val="ListLabel 197"/>
    <w:qFormat/>
    <w:rPr>
      <w:rFonts w:cs="Times New Roman"/>
    </w:rPr>
  </w:style>
  <w:style w:type="character" w:styleId="ListLabel198">
    <w:name w:val="ListLabel 198"/>
    <w:qFormat/>
    <w:rPr>
      <w:rFonts w:cs="Times New Roman"/>
    </w:rPr>
  </w:style>
  <w:style w:type="character" w:styleId="ListLabel199">
    <w:name w:val="ListLabel 199"/>
    <w:qFormat/>
    <w:rPr>
      <w:rFonts w:cs="Times New Roman"/>
    </w:rPr>
  </w:style>
  <w:style w:type="character" w:styleId="ListLabel200">
    <w:name w:val="ListLabel 200"/>
    <w:qFormat/>
    <w:rPr>
      <w:rFonts w:cs="Times New Roman"/>
    </w:rPr>
  </w:style>
  <w:style w:type="character" w:styleId="ListLabel201">
    <w:name w:val="ListLabel 201"/>
    <w:qFormat/>
    <w:rPr>
      <w:rFonts w:cs="Times New Roman"/>
    </w:rPr>
  </w:style>
  <w:style w:type="character" w:styleId="ListLabel202">
    <w:name w:val="ListLabel 202"/>
    <w:qFormat/>
    <w:rPr>
      <w:rFonts w:cs="Times New Roman"/>
    </w:rPr>
  </w:style>
  <w:style w:type="character" w:styleId="ListLabel203">
    <w:name w:val="ListLabel 203"/>
    <w:qFormat/>
    <w:rPr>
      <w:rFonts w:cs="Times New Roman"/>
    </w:rPr>
  </w:style>
  <w:style w:type="character" w:styleId="ListLabel204">
    <w:name w:val="ListLabel 204"/>
    <w:qFormat/>
    <w:rPr>
      <w:rFonts w:cs="Times New Roman"/>
      <w:sz w:val="22"/>
    </w:rPr>
  </w:style>
  <w:style w:type="character" w:styleId="ListLabel205">
    <w:name w:val="ListLabel 205"/>
    <w:qFormat/>
    <w:rPr>
      <w:rFonts w:cs="Times New Roman"/>
    </w:rPr>
  </w:style>
  <w:style w:type="character" w:styleId="ListLabel206">
    <w:name w:val="ListLabel 206"/>
    <w:qFormat/>
    <w:rPr>
      <w:rFonts w:cs="Times New Roman"/>
    </w:rPr>
  </w:style>
  <w:style w:type="character" w:styleId="ListLabel207">
    <w:name w:val="ListLabel 207"/>
    <w:qFormat/>
    <w:rPr>
      <w:rFonts w:cs="Times New Roman"/>
    </w:rPr>
  </w:style>
  <w:style w:type="character" w:styleId="ListLabel208">
    <w:name w:val="ListLabel 208"/>
    <w:qFormat/>
    <w:rPr>
      <w:rFonts w:cs="Times New Roman"/>
    </w:rPr>
  </w:style>
  <w:style w:type="character" w:styleId="ListLabel209">
    <w:name w:val="ListLabel 209"/>
    <w:qFormat/>
    <w:rPr>
      <w:rFonts w:cs="Times New Roman"/>
    </w:rPr>
  </w:style>
  <w:style w:type="character" w:styleId="ListLabel210">
    <w:name w:val="ListLabel 210"/>
    <w:qFormat/>
    <w:rPr>
      <w:rFonts w:cs="Times New Roman"/>
    </w:rPr>
  </w:style>
  <w:style w:type="character" w:styleId="ListLabel211">
    <w:name w:val="ListLabel 211"/>
    <w:qFormat/>
    <w:rPr>
      <w:rFonts w:cs="Times New Roman"/>
    </w:rPr>
  </w:style>
  <w:style w:type="character" w:styleId="ListLabel212">
    <w:name w:val="ListLabel 212"/>
    <w:qFormat/>
    <w:rPr>
      <w:rFonts w:cs="Times New Roman"/>
    </w:rPr>
  </w:style>
  <w:style w:type="paragraph" w:styleId="Nadpis" w:customStyle="1">
    <w:name w:val="Nadpis"/>
    <w:basedOn w:val="Normal"/>
    <w:next w:val="Telotextu"/>
    <w:qFormat/>
    <w:rsid w:val="00153259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lotextu">
    <w:name w:val="Body Text"/>
    <w:basedOn w:val="Normal"/>
    <w:rsid w:val="00153259"/>
    <w:pPr>
      <w:spacing w:lineRule="auto" w:line="276" w:before="0" w:after="140"/>
    </w:pPr>
    <w:rPr/>
  </w:style>
  <w:style w:type="paragraph" w:styleId="Zoznam">
    <w:name w:val="List"/>
    <w:basedOn w:val="Telotextu"/>
    <w:rsid w:val="00153259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153259"/>
    <w:pPr>
      <w:suppressLineNumbers/>
    </w:pPr>
    <w:rPr/>
  </w:style>
  <w:style w:type="paragraph" w:styleId="Nadpis21" w:customStyle="1">
    <w:name w:val="Nadpis 21"/>
    <w:qFormat/>
    <w:rsid w:val="00153259"/>
    <w:pPr>
      <w:keepNext w:val="true"/>
      <w:widowControl/>
      <w:bidi w:val="0"/>
      <w:spacing w:lineRule="auto" w:line="360" w:before="240" w:after="60"/>
      <w:jc w:val="both"/>
      <w:outlineLvl w:val="1"/>
    </w:pPr>
    <w:rPr>
      <w:rFonts w:ascii="Arial Narrow" w:hAnsi="Arial Narrow" w:eastAsia="NSimSun" w:cs="Arial"/>
      <w:b/>
      <w:bCs/>
      <w:i/>
      <w:iCs/>
      <w:color w:val="auto"/>
      <w:kern w:val="2"/>
      <w:sz w:val="28"/>
      <w:szCs w:val="28"/>
      <w:lang w:eastAsia="cs-CZ" w:bidi="ar-SA" w:val="sk-SK"/>
    </w:rPr>
  </w:style>
  <w:style w:type="paragraph" w:styleId="Popis1" w:customStyle="1">
    <w:name w:val="Popis1"/>
    <w:basedOn w:val="Normal"/>
    <w:qFormat/>
    <w:rsid w:val="00153259"/>
    <w:pPr>
      <w:suppressLineNumbers/>
      <w:spacing w:before="120" w:after="120"/>
    </w:pPr>
    <w:rPr>
      <w:i/>
      <w:iCs/>
    </w:rPr>
  </w:style>
  <w:style w:type="paragraph" w:styleId="Normalpodnadpis" w:customStyle="1">
    <w:name w:val="Normal;podnadpis"/>
    <w:qFormat/>
    <w:rsid w:val="00153259"/>
    <w:pPr>
      <w:widowControl/>
      <w:bidi w:val="0"/>
      <w:spacing w:lineRule="auto" w:line="360" w:before="120" w:after="120"/>
      <w:jc w:val="both"/>
    </w:pPr>
    <w:rPr>
      <w:rFonts w:ascii="Arial Narrow" w:hAnsi="Arial Narrow" w:eastAsia="Courier New" w:cs="Arial"/>
      <w:color w:val="auto"/>
      <w:kern w:val="2"/>
      <w:sz w:val="24"/>
      <w:szCs w:val="24"/>
      <w:lang w:eastAsia="cs-CZ" w:bidi="ar-SA" w:val="sk-SK"/>
    </w:rPr>
  </w:style>
  <w:style w:type="paragraph" w:styleId="Heading1Nadpisopatrenia1" w:customStyle="1">
    <w:name w:val="heading 1;Nadpis opatrenia  1"/>
    <w:basedOn w:val="Normalpodnadpis"/>
    <w:qFormat/>
    <w:rsid w:val="00153259"/>
    <w:pPr>
      <w:keepNext w:val="true"/>
      <w:jc w:val="center"/>
      <w:outlineLvl w:val="0"/>
    </w:pPr>
    <w:rPr>
      <w:b/>
      <w:bCs/>
      <w:lang w:eastAsia="sk-SK"/>
    </w:rPr>
  </w:style>
  <w:style w:type="paragraph" w:styleId="DocumentMap" w:customStyle="1">
    <w:name w:val="DocumentMap"/>
    <w:qFormat/>
    <w:rsid w:val="00153259"/>
    <w:pPr>
      <w:widowControl/>
      <w:bidi w:val="0"/>
      <w:jc w:val="left"/>
    </w:pPr>
    <w:rPr>
      <w:rFonts w:ascii="Times New Roman" w:hAnsi="Times New Roman" w:eastAsia="Courier New" w:cs="Times New Roman"/>
      <w:color w:val="auto"/>
      <w:kern w:val="2"/>
      <w:sz w:val="24"/>
      <w:szCs w:val="20"/>
      <w:lang w:eastAsia="sk-SK" w:bidi="ar-SA" w:val="sk-SK"/>
    </w:rPr>
  </w:style>
  <w:style w:type="paragraph" w:styleId="Tl11ptTuniernaPodaokrajaVavo019cmRiadkova" w:customStyle="1">
    <w:name w:val="Štýl 11 pt Tučné Čierna Podľa okraja Vľavo:  019 cm Riadkova..."/>
    <w:qFormat/>
    <w:rsid w:val="00153259"/>
    <w:pPr>
      <w:widowControl/>
      <w:bidi w:val="0"/>
      <w:spacing w:lineRule="auto" w:line="360"/>
      <w:jc w:val="both"/>
    </w:pPr>
    <w:rPr>
      <w:rFonts w:ascii="Arial" w:hAnsi="Arial" w:eastAsia="Courier New" w:cs="Arial"/>
      <w:color w:val="000000"/>
      <w:kern w:val="2"/>
      <w:sz w:val="24"/>
      <w:szCs w:val="24"/>
      <w:lang w:eastAsia="cs-CZ" w:bidi="ar-SA" w:val="sk-SK"/>
    </w:rPr>
  </w:style>
  <w:style w:type="paragraph" w:styleId="TlPodaokrajaVavo019cmRiadkovanie15riadka" w:customStyle="1">
    <w:name w:val="Štýl Podľa okraja Vľavo:  019 cm Riadkovanie:  15 riadka"/>
    <w:basedOn w:val="Normalpodnadpis"/>
    <w:autoRedefine/>
    <w:qFormat/>
    <w:rsid w:val="00153259"/>
    <w:pPr>
      <w:ind w:left="108" w:hanging="0"/>
    </w:pPr>
    <w:rPr/>
  </w:style>
  <w:style w:type="paragraph" w:styleId="Bododvodnenie" w:customStyle="1">
    <w:name w:val="Bod odôvodnenie"/>
    <w:qFormat/>
    <w:rsid w:val="00153259"/>
    <w:pPr>
      <w:widowControl/>
      <w:tabs>
        <w:tab w:val="clear" w:pos="709"/>
        <w:tab w:val="left" w:pos="0" w:leader="none"/>
      </w:tabs>
      <w:bidi w:val="0"/>
      <w:spacing w:before="120" w:after="120"/>
      <w:jc w:val="left"/>
    </w:pPr>
    <w:rPr>
      <w:rFonts w:ascii="Arial" w:hAnsi="Arial" w:eastAsia="Courier New" w:cs="Arial"/>
      <w:b/>
      <w:bCs/>
      <w:color w:val="auto"/>
      <w:kern w:val="2"/>
      <w:sz w:val="24"/>
      <w:szCs w:val="24"/>
      <w:lang w:eastAsia="cs-CZ" w:bidi="ar-SA" w:val="sk-SK"/>
    </w:rPr>
  </w:style>
  <w:style w:type="paragraph" w:styleId="TlArialPodaokraja" w:customStyle="1">
    <w:name w:val="Štýl Arial Podľa okraja"/>
    <w:autoRedefine/>
    <w:qFormat/>
    <w:rsid w:val="00153259"/>
    <w:pPr>
      <w:widowControl/>
      <w:bidi w:val="0"/>
      <w:jc w:val="both"/>
    </w:pPr>
    <w:rPr>
      <w:rFonts w:ascii="Arial" w:hAnsi="Arial" w:eastAsia="Courier New" w:cs="Arial"/>
      <w:color w:val="auto"/>
      <w:kern w:val="2"/>
      <w:sz w:val="16"/>
      <w:szCs w:val="16"/>
      <w:lang w:eastAsia="cs-CZ" w:bidi="ar-SA" w:val="sk-SK"/>
    </w:rPr>
  </w:style>
  <w:style w:type="paragraph" w:styleId="Textpoznmky" w:customStyle="1">
    <w:name w:val="Text poznámky"/>
    <w:basedOn w:val="Normalpodnadpis"/>
    <w:autoRedefine/>
    <w:qFormat/>
    <w:rsid w:val="00153259"/>
    <w:pPr>
      <w:tabs>
        <w:tab w:val="clear" w:pos="709"/>
        <w:tab w:val="left" w:pos="0" w:leader="none"/>
      </w:tabs>
    </w:pPr>
    <w:rPr/>
  </w:style>
  <w:style w:type="paragraph" w:styleId="Mriekatabuky1" w:customStyle="1">
    <w:name w:val="Mriežka tabuľky1"/>
    <w:basedOn w:val="DocumentMap"/>
    <w:qFormat/>
    <w:rsid w:val="00153259"/>
    <w:pPr/>
    <w:rPr>
      <w:rFonts w:ascii="Arial" w:hAnsi="Arial" w:cs="Arial"/>
    </w:rPr>
  </w:style>
  <w:style w:type="paragraph" w:styleId="Pta1" w:customStyle="1">
    <w:name w:val="Päta1"/>
    <w:basedOn w:val="Normalpodnadpis"/>
    <w:qFormat/>
    <w:rsid w:val="00153259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Normlny1" w:customStyle="1">
    <w:name w:val="Normálny1"/>
    <w:qFormat/>
    <w:rsid w:val="00153259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Courier New" w:cs="Arial"/>
      <w:color w:val="auto"/>
      <w:kern w:val="2"/>
      <w:sz w:val="24"/>
      <w:szCs w:val="24"/>
      <w:lang w:eastAsia="cs-CZ" w:bidi="ar-SA" w:val="sk-SK"/>
    </w:rPr>
  </w:style>
  <w:style w:type="paragraph" w:styleId="Textopatrenia" w:customStyle="1">
    <w:name w:val="Text opatrenia"/>
    <w:qFormat/>
    <w:rsid w:val="00153259"/>
    <w:pPr>
      <w:widowControl/>
      <w:tabs>
        <w:tab w:val="clear" w:pos="709"/>
        <w:tab w:val="left" w:pos="1440" w:leader="none"/>
      </w:tabs>
      <w:bidi w:val="0"/>
      <w:spacing w:before="120" w:after="120"/>
      <w:ind w:left="1440" w:hanging="360"/>
      <w:jc w:val="both"/>
    </w:pPr>
    <w:rPr>
      <w:rFonts w:ascii="Arial Narrow" w:hAnsi="Arial Narrow" w:eastAsia="Courier New" w:cs="Arial"/>
      <w:color w:val="auto"/>
      <w:kern w:val="2"/>
      <w:sz w:val="22"/>
      <w:szCs w:val="22"/>
      <w:lang w:eastAsia="cs-CZ" w:bidi="ar-SA" w:val="sk-SK"/>
    </w:rPr>
  </w:style>
  <w:style w:type="paragraph" w:styleId="TopHeader" w:customStyle="1">
    <w:name w:val="Top Header"/>
    <w:basedOn w:val="Normalpodnadpis"/>
    <w:qFormat/>
    <w:rsid w:val="00153259"/>
    <w:pPr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podnadpis"/>
    <w:qFormat/>
    <w:rsid w:val="00153259"/>
    <w:pPr/>
    <w:rPr>
      <w:rFonts w:ascii="Tahoma" w:hAnsi="Tahoma" w:cs="Tahoma"/>
      <w:sz w:val="16"/>
      <w:szCs w:val="16"/>
    </w:rPr>
  </w:style>
  <w:style w:type="paragraph" w:styleId="Hlavika1" w:customStyle="1">
    <w:name w:val="Hlavička1"/>
    <w:basedOn w:val="Normalpodnadpis"/>
    <w:qFormat/>
    <w:rsid w:val="00153259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NoSpacing">
    <w:name w:val="No Spacing"/>
    <w:qFormat/>
    <w:rsid w:val="00153259"/>
    <w:pPr>
      <w:widowControl/>
      <w:bidi w:val="0"/>
      <w:jc w:val="both"/>
    </w:pPr>
    <w:rPr>
      <w:rFonts w:ascii="Arial Narrow" w:hAnsi="Arial Narrow" w:eastAsia="Courier New" w:cs="Arial"/>
      <w:color w:val="auto"/>
      <w:kern w:val="2"/>
      <w:sz w:val="24"/>
      <w:szCs w:val="24"/>
      <w:lang w:eastAsia="cs-CZ" w:bidi="ar-SA" w:val="sk-SK"/>
    </w:rPr>
  </w:style>
  <w:style w:type="paragraph" w:styleId="Obsahtabuky" w:customStyle="1">
    <w:name w:val="Obsah tabuľky"/>
    <w:basedOn w:val="Normal"/>
    <w:qFormat/>
    <w:rsid w:val="00153259"/>
    <w:pPr>
      <w:suppressLineNumbers/>
    </w:pPr>
    <w:rPr/>
  </w:style>
  <w:style w:type="paragraph" w:styleId="Nadpistabuky" w:customStyle="1">
    <w:name w:val="Nadpis tabuľky"/>
    <w:basedOn w:val="Obsahtabuky"/>
    <w:qFormat/>
    <w:rsid w:val="00153259"/>
    <w:pPr>
      <w:jc w:val="center"/>
    </w:pPr>
    <w:rPr>
      <w:b/>
      <w:bCs/>
    </w:rPr>
  </w:style>
  <w:style w:type="paragraph" w:styleId="Hlavika">
    <w:name w:val="Header"/>
    <w:basedOn w:val="Normal"/>
    <w:link w:val="HlavikaChar1"/>
    <w:uiPriority w:val="99"/>
    <w:unhideWhenUsed/>
    <w:rsid w:val="000076fe"/>
    <w:pPr>
      <w:tabs>
        <w:tab w:val="clear" w:pos="709"/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Pta">
    <w:name w:val="Footer"/>
    <w:basedOn w:val="Normal"/>
    <w:link w:val="PtaChar1"/>
    <w:uiPriority w:val="99"/>
    <w:unhideWhenUsed/>
    <w:rsid w:val="000076fe"/>
    <w:pPr>
      <w:tabs>
        <w:tab w:val="clear" w:pos="709"/>
        <w:tab w:val="center" w:pos="4536" w:leader="none"/>
        <w:tab w:val="right" w:pos="9072" w:leader="none"/>
      </w:tabs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Application>LibreOffice/6.2.1.2$Windows_X86_64 LibreOffice_project/7bcb35dc3024a62dea0caee87020152d1ee96e71</Application>
  <Pages>16</Pages>
  <Words>3507</Words>
  <Characters>21819</Characters>
  <CharactersWithSpaces>24825</CharactersWithSpaces>
  <Paragraphs>635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2024-07-01T14:03:00Z</dcterms:created>
  <dc:creator>jvrskova</dc:creator>
  <dc:description/>
  <dc:language>sk-SK</dc:language>
  <cp:lastModifiedBy/>
  <cp:lastPrinted>2025-07-14T13:59:00Z</cp:lastPrinted>
  <dcterms:modified xsi:type="dcterms:W3CDTF">2025-07-15T20:36:25Z</dcterms:modified>
  <cp:revision>39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Operator">
    <vt:lpwstr>leuschel</vt:lpwstr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