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footer3.xml" ContentType="application/vnd.openxmlformats-officedocument.wordprocessingml.footer+xml"/>
  <Override PartName="/word/header2.xml" ContentType="application/vnd.openxmlformats-officedocument.wordprocessingml.header+xml"/>
  <Override PartName="/word/numbering.xml" ContentType="application/vnd.openxmlformats-officedocument.wordprocessingml.numbering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_rels/document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tbl>
      <w:tblPr>
        <w:tblW w:w="10375" w:type="dxa"/>
        <w:jc w:val="left"/>
        <w:tblInd w:w="-69" w:type="dxa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3059"/>
        <w:gridCol w:w="2664"/>
        <w:gridCol w:w="341"/>
        <w:gridCol w:w="340"/>
        <w:gridCol w:w="340"/>
        <w:gridCol w:w="341"/>
        <w:gridCol w:w="340"/>
        <w:gridCol w:w="340"/>
        <w:gridCol w:w="340"/>
        <w:gridCol w:w="341"/>
        <w:gridCol w:w="566"/>
        <w:gridCol w:w="341"/>
        <w:gridCol w:w="340"/>
        <w:gridCol w:w="340"/>
        <w:gridCol w:w="342"/>
      </w:tblGrid>
      <w:tr>
        <w:trPr/>
        <w:tc>
          <w:tcPr>
            <w:tcW w:w="30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podnadpis"/>
              <w:numPr>
                <w:ilvl w:val="0"/>
                <w:numId w:val="0"/>
              </w:numPr>
              <w:spacing w:before="0" w:after="120"/>
              <w:jc w:val="left"/>
              <w:outlineLvl w:val="2"/>
              <w:rPr/>
            </w:pPr>
            <w:r>
              <w:rPr>
                <w:sz w:val="22"/>
                <w:szCs w:val="22"/>
                <w:lang w:eastAsia="sk-SK"/>
              </w:rPr>
              <w:t>Poznámky (Úč  NUJ 3 – 01)</w:t>
            </w:r>
          </w:p>
        </w:tc>
        <w:tc>
          <w:tcPr>
            <w:tcW w:w="2664" w:type="dxa"/>
            <w:tcBorders>
              <w:left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podnadpis"/>
              <w:numPr>
                <w:ilvl w:val="0"/>
                <w:numId w:val="0"/>
              </w:numPr>
              <w:spacing w:before="0" w:after="120"/>
              <w:jc w:val="right"/>
              <w:outlineLvl w:val="2"/>
              <w:rPr/>
            </w:pPr>
            <w:r>
              <w:rPr>
                <w:b/>
                <w:bCs/>
                <w:sz w:val="22"/>
                <w:szCs w:val="22"/>
              </w:rPr>
              <w:t xml:space="preserve">IČO </w:t>
            </w:r>
          </w:p>
        </w:tc>
        <w:tc>
          <w:tcPr>
            <w:tcW w:w="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podnadpis"/>
              <w:numPr>
                <w:ilvl w:val="0"/>
                <w:numId w:val="0"/>
              </w:numPr>
              <w:spacing w:before="0" w:after="120"/>
              <w:outlineLvl w:val="2"/>
              <w:rPr/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podnadpis"/>
              <w:numPr>
                <w:ilvl w:val="0"/>
                <w:numId w:val="0"/>
              </w:numPr>
              <w:spacing w:before="0" w:after="120"/>
              <w:outlineLvl w:val="2"/>
              <w:rPr/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podnadpis"/>
              <w:numPr>
                <w:ilvl w:val="0"/>
                <w:numId w:val="0"/>
              </w:numPr>
              <w:spacing w:before="0" w:after="120"/>
              <w:outlineLvl w:val="2"/>
              <w:rPr/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podnadpis"/>
              <w:numPr>
                <w:ilvl w:val="0"/>
                <w:numId w:val="0"/>
              </w:numPr>
              <w:spacing w:before="0" w:after="120"/>
              <w:outlineLvl w:val="2"/>
              <w:rPr/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podnadpis"/>
              <w:numPr>
                <w:ilvl w:val="0"/>
                <w:numId w:val="0"/>
              </w:numPr>
              <w:spacing w:before="0" w:after="120"/>
              <w:outlineLvl w:val="2"/>
              <w:rPr/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podnadpis"/>
              <w:numPr>
                <w:ilvl w:val="0"/>
                <w:numId w:val="0"/>
              </w:numPr>
              <w:spacing w:before="0" w:after="120"/>
              <w:outlineLvl w:val="2"/>
              <w:rPr/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podnadpis"/>
              <w:numPr>
                <w:ilvl w:val="0"/>
                <w:numId w:val="0"/>
              </w:numPr>
              <w:spacing w:before="0" w:after="120"/>
              <w:outlineLvl w:val="2"/>
              <w:rPr/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podnadpis"/>
              <w:numPr>
                <w:ilvl w:val="0"/>
                <w:numId w:val="0"/>
              </w:numPr>
              <w:spacing w:before="0" w:after="120"/>
              <w:outlineLvl w:val="2"/>
              <w:rPr/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566" w:type="dxa"/>
            <w:tcBorders>
              <w:left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podnadpis"/>
              <w:numPr>
                <w:ilvl w:val="0"/>
                <w:numId w:val="0"/>
              </w:numPr>
              <w:spacing w:before="0" w:after="120"/>
              <w:outlineLvl w:val="2"/>
              <w:rPr/>
            </w:pPr>
            <w:r>
              <w:rPr>
                <w:b/>
                <w:bCs/>
                <w:sz w:val="22"/>
                <w:szCs w:val="22"/>
              </w:rPr>
              <w:t>/SID</w:t>
            </w:r>
          </w:p>
        </w:tc>
        <w:tc>
          <w:tcPr>
            <w:tcW w:w="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podnadpis"/>
              <w:numPr>
                <w:ilvl w:val="0"/>
                <w:numId w:val="0"/>
              </w:numPr>
              <w:spacing w:before="0" w:after="0"/>
              <w:outlineLvl w:val="2"/>
              <w:rPr>
                <w:b/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</w:r>
          </w:p>
        </w:tc>
        <w:tc>
          <w:tcPr>
            <w:tcW w:w="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podnadpis"/>
              <w:numPr>
                <w:ilvl w:val="0"/>
                <w:numId w:val="0"/>
              </w:numPr>
              <w:spacing w:before="0" w:after="0"/>
              <w:outlineLvl w:val="2"/>
              <w:rPr>
                <w:b/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</w:r>
          </w:p>
        </w:tc>
        <w:tc>
          <w:tcPr>
            <w:tcW w:w="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podnadpis"/>
              <w:numPr>
                <w:ilvl w:val="0"/>
                <w:numId w:val="0"/>
              </w:numPr>
              <w:spacing w:before="0" w:after="0"/>
              <w:outlineLvl w:val="2"/>
              <w:rPr>
                <w:b/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</w:r>
          </w:p>
        </w:tc>
        <w:tc>
          <w:tcPr>
            <w:tcW w:w="3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podnadpis"/>
              <w:numPr>
                <w:ilvl w:val="0"/>
                <w:numId w:val="0"/>
              </w:numPr>
              <w:spacing w:before="0" w:after="0"/>
              <w:outlineLvl w:val="2"/>
              <w:rPr>
                <w:b/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</w:r>
          </w:p>
        </w:tc>
      </w:tr>
    </w:tbl>
    <w:p>
      <w:pPr>
        <w:pStyle w:val="Normalpodnadpis"/>
        <w:keepNext w:val="true"/>
        <w:numPr>
          <w:ilvl w:val="0"/>
          <w:numId w:val="0"/>
        </w:numPr>
        <w:spacing w:before="0" w:after="120"/>
        <w:outlineLvl w:val="2"/>
        <w:rPr>
          <w:b/>
          <w:b/>
          <w:bCs/>
          <w:sz w:val="22"/>
          <w:szCs w:val="22"/>
        </w:rPr>
      </w:pPr>
      <w:r>
        <w:rPr>
          <w:b/>
          <w:bCs/>
          <w:sz w:val="22"/>
          <w:szCs w:val="22"/>
        </w:rPr>
      </w:r>
    </w:p>
    <w:p>
      <w:pPr>
        <w:pStyle w:val="Normalpodnadpis"/>
        <w:keepNext w:val="true"/>
        <w:numPr>
          <w:ilvl w:val="0"/>
          <w:numId w:val="0"/>
        </w:numPr>
        <w:spacing w:before="0" w:after="120"/>
        <w:outlineLvl w:val="2"/>
        <w:rPr/>
      </w:pPr>
      <w:r>
        <w:rPr>
          <w:b/>
          <w:bCs/>
          <w:sz w:val="22"/>
          <w:szCs w:val="22"/>
        </w:rPr>
        <w:t>k 31 12 2024</w:t>
      </w:r>
    </w:p>
    <w:p>
      <w:pPr>
        <w:pStyle w:val="Normalpodnadpis"/>
        <w:keepNext w:val="true"/>
        <w:numPr>
          <w:ilvl w:val="0"/>
          <w:numId w:val="0"/>
        </w:numPr>
        <w:spacing w:before="0" w:after="120"/>
        <w:jc w:val="center"/>
        <w:outlineLvl w:val="2"/>
        <w:rPr/>
      </w:pPr>
      <w:r>
        <w:rPr>
          <w:b/>
          <w:bCs/>
          <w:sz w:val="22"/>
          <w:szCs w:val="22"/>
        </w:rPr>
        <w:t>Čl. I</w:t>
      </w:r>
    </w:p>
    <w:p>
      <w:pPr>
        <w:pStyle w:val="Normalpodnadpis"/>
        <w:keepNext w:val="true"/>
        <w:numPr>
          <w:ilvl w:val="0"/>
          <w:numId w:val="0"/>
        </w:numPr>
        <w:spacing w:before="0" w:after="120"/>
        <w:jc w:val="center"/>
        <w:outlineLvl w:val="1"/>
        <w:rPr/>
      </w:pPr>
      <w:r>
        <w:rPr>
          <w:b/>
          <w:bCs/>
          <w:sz w:val="22"/>
          <w:szCs w:val="22"/>
        </w:rPr>
        <w:t>Všeobecné údaje</w:t>
      </w:r>
    </w:p>
    <w:p>
      <w:pPr>
        <w:pStyle w:val="Normalpodnadpis"/>
        <w:keepNext w:val="true"/>
        <w:numPr>
          <w:ilvl w:val="0"/>
          <w:numId w:val="0"/>
        </w:numPr>
        <w:spacing w:before="0" w:after="120"/>
        <w:jc w:val="center"/>
        <w:outlineLvl w:val="1"/>
        <w:rPr/>
      </w:pPr>
      <w:r>
        <w:rPr>
          <w:b/>
          <w:bCs/>
          <w:sz w:val="22"/>
          <w:szCs w:val="22"/>
        </w:rPr>
        <w:t xml:space="preserve">neziskovej organizácie </w:t>
      </w:r>
    </w:p>
    <w:p>
      <w:pPr>
        <w:pStyle w:val="Normalpodnadpis"/>
        <w:spacing w:before="0" w:after="120"/>
        <w:rPr/>
      </w:pPr>
      <w:r>
        <w:rPr>
          <w:sz w:val="22"/>
          <w:szCs w:val="22"/>
        </w:rPr>
        <w:t>(1) Meno a priezvisko fyzickej osoby alebo názov právnickej osoby, ktorá je zakladateľom alebo zriaďovateľom účtovnej jednotky, dátum založenia alebo zriadenia účtovnej jednotky.</w:t>
      </w:r>
    </w:p>
    <w:p>
      <w:pPr>
        <w:pStyle w:val="Normalpodnadpis"/>
        <w:spacing w:before="0" w:after="120"/>
        <w:rPr/>
      </w:pPr>
      <w:r>
        <w:rPr>
          <w:sz w:val="22"/>
          <w:szCs w:val="22"/>
        </w:rPr>
        <w:t>Mená zakladateľov: Ing. Viera Dujakovičová, Verona Miklošová, Jozef Mroč</w:t>
        <w:tab/>
        <w:tab/>
        <w:tab/>
        <w:tab/>
        <w:t xml:space="preserve">  </w:t>
      </w:r>
    </w:p>
    <w:p>
      <w:pPr>
        <w:pStyle w:val="Normalpodnadpis"/>
        <w:spacing w:before="0" w:after="120"/>
        <w:rPr/>
      </w:pPr>
      <w:r>
        <w:rPr>
          <w:sz w:val="22"/>
          <w:szCs w:val="22"/>
        </w:rPr>
        <w:t xml:space="preserve">Dátum založenia:    1.4.2004          </w:t>
      </w:r>
    </w:p>
    <w:p>
      <w:pPr>
        <w:pStyle w:val="Normalpodnadpis"/>
        <w:spacing w:before="0" w:after="120"/>
        <w:rPr/>
      </w:pPr>
      <w:r>
        <w:rPr>
          <w:i/>
          <w:sz w:val="22"/>
          <w:szCs w:val="22"/>
        </w:rPr>
        <w:t xml:space="preserve">Dátum zriadenia:              </w:t>
      </w:r>
    </w:p>
    <w:p>
      <w:pPr>
        <w:pStyle w:val="Normalpodnadpis"/>
        <w:spacing w:before="0" w:after="120"/>
        <w:rPr/>
      </w:pPr>
      <w:r>
        <w:rPr>
          <w:i/>
          <w:sz w:val="22"/>
          <w:szCs w:val="22"/>
        </w:rPr>
        <w:t>(2) Informácie o členoch štatutárnych</w:t>
      </w:r>
      <w:r>
        <w:rPr>
          <w:sz w:val="22"/>
          <w:szCs w:val="22"/>
        </w:rPr>
        <w:t xml:space="preserve"> orgánov, dozorných orgánov  a iných orgánov účtovnej jednotky; uvádzajú sa mená a priezviská členov štatutárnych orgánov, dozorných orgánov a iných orgánov účtovnej jednotky.</w:t>
      </w:r>
    </w:p>
    <w:p>
      <w:pPr>
        <w:pStyle w:val="Normal"/>
        <w:rPr/>
      </w:pPr>
      <w:r>
        <w:rPr/>
      </w:r>
    </w:p>
    <w:tbl>
      <w:tblPr>
        <w:tblW w:w="10204" w:type="dxa"/>
        <w:jc w:val="left"/>
        <w:tblInd w:w="0" w:type="dxa"/>
        <w:tblCellMar>
          <w:top w:w="55" w:type="dxa"/>
          <w:left w:w="55" w:type="dxa"/>
          <w:bottom w:w="55" w:type="dxa"/>
          <w:right w:w="55" w:type="dxa"/>
        </w:tblCellMar>
        <w:tblLook w:firstRow="0" w:noVBand="0" w:lastRow="0" w:firstColumn="0" w:lastColumn="0" w:noHBand="0" w:val="0000"/>
      </w:tblPr>
      <w:tblGrid>
        <w:gridCol w:w="3401"/>
        <w:gridCol w:w="3401"/>
        <w:gridCol w:w="3402"/>
      </w:tblGrid>
      <w:tr>
        <w:trPr/>
        <w:tc>
          <w:tcPr>
            <w:tcW w:w="3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podnadpis"/>
              <w:spacing w:before="0" w:after="120"/>
              <w:rPr/>
            </w:pPr>
            <w:r>
              <w:rPr>
                <w:sz w:val="22"/>
                <w:szCs w:val="22"/>
              </w:rPr>
              <w:t>Meno, priezvisko člena</w:t>
            </w:r>
          </w:p>
        </w:tc>
        <w:tc>
          <w:tcPr>
            <w:tcW w:w="3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podnadpis"/>
              <w:spacing w:before="0" w:after="120"/>
              <w:rPr/>
            </w:pPr>
            <w:r>
              <w:rPr>
                <w:sz w:val="22"/>
                <w:szCs w:val="22"/>
              </w:rPr>
              <w:t>Názov orgánu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podnadpis"/>
              <w:spacing w:before="0" w:after="120"/>
              <w:rPr/>
            </w:pPr>
            <w:r>
              <w:rPr>
                <w:sz w:val="22"/>
                <w:szCs w:val="22"/>
              </w:rPr>
              <w:t>Poznámka</w:t>
            </w:r>
          </w:p>
        </w:tc>
      </w:tr>
      <w:tr>
        <w:trPr/>
        <w:tc>
          <w:tcPr>
            <w:tcW w:w="3401" w:type="dxa"/>
            <w:tcBorders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podnadpis"/>
              <w:spacing w:before="0" w:after="120"/>
              <w:rPr/>
            </w:pPr>
            <w:r>
              <w:rPr>
                <w:color w:val="000000"/>
                <w:sz w:val="22"/>
                <w:szCs w:val="22"/>
              </w:rPr>
              <w:t>Akad.mal.Gabriela Paulinská</w:t>
            </w:r>
          </w:p>
        </w:tc>
        <w:tc>
          <w:tcPr>
            <w:tcW w:w="3401" w:type="dxa"/>
            <w:tcBorders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podnadpis"/>
              <w:spacing w:before="0" w:after="120"/>
              <w:rPr/>
            </w:pPr>
            <w:r>
              <w:rPr>
                <w:color w:val="000000"/>
                <w:sz w:val="22"/>
                <w:szCs w:val="22"/>
              </w:rPr>
              <w:t>Štatutárny orgán-riaditeľ</w:t>
            </w:r>
          </w:p>
        </w:tc>
        <w:tc>
          <w:tcPr>
            <w:tcW w:w="340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rPr/>
            </w:pPr>
            <w:r>
              <w:rPr>
                <w:color w:val="000000"/>
                <w:sz w:val="22"/>
                <w:szCs w:val="22"/>
              </w:rPr>
              <w:t>Od 15.06.2006 do 31. 01. 2024</w:t>
            </w:r>
          </w:p>
        </w:tc>
      </w:tr>
      <w:tr>
        <w:trPr/>
        <w:tc>
          <w:tcPr>
            <w:tcW w:w="3401" w:type="dxa"/>
            <w:tcBorders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podnadpis"/>
              <w:spacing w:before="0" w:after="120"/>
              <w:rPr/>
            </w:pPr>
            <w:r>
              <w:rPr>
                <w:color w:val="000000"/>
                <w:sz w:val="22"/>
                <w:szCs w:val="22"/>
              </w:rPr>
              <w:t>Gabriela Germeková</w:t>
            </w:r>
          </w:p>
        </w:tc>
        <w:tc>
          <w:tcPr>
            <w:tcW w:w="3401" w:type="dxa"/>
            <w:tcBorders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podnadpis"/>
              <w:spacing w:before="0" w:after="120"/>
              <w:rPr/>
            </w:pPr>
            <w:r>
              <w:rPr>
                <w:color w:val="000000"/>
                <w:sz w:val="22"/>
                <w:szCs w:val="22"/>
              </w:rPr>
              <w:t>Štatutárny orgán - riaditeľ</w:t>
            </w:r>
          </w:p>
        </w:tc>
        <w:tc>
          <w:tcPr>
            <w:tcW w:w="340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rPr/>
            </w:pPr>
            <w:r>
              <w:rPr>
                <w:color w:val="000000"/>
                <w:sz w:val="22"/>
                <w:szCs w:val="22"/>
              </w:rPr>
              <w:t>Od 01.02.2024</w:t>
            </w:r>
          </w:p>
        </w:tc>
      </w:tr>
      <w:tr>
        <w:trPr/>
        <w:tc>
          <w:tcPr>
            <w:tcW w:w="3401" w:type="dxa"/>
            <w:tcBorders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podnadpis"/>
              <w:spacing w:before="0" w:after="120"/>
              <w:rPr/>
            </w:pPr>
            <w:r>
              <w:rPr>
                <w:color w:val="000000"/>
                <w:sz w:val="22"/>
                <w:szCs w:val="22"/>
              </w:rPr>
              <w:t>Ing. Pavol Germek</w:t>
            </w:r>
          </w:p>
        </w:tc>
        <w:tc>
          <w:tcPr>
            <w:tcW w:w="3401" w:type="dxa"/>
            <w:tcBorders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podnadpis"/>
              <w:spacing w:before="0" w:after="120"/>
              <w:rPr/>
            </w:pPr>
            <w:r>
              <w:rPr>
                <w:color w:val="000000"/>
                <w:sz w:val="22"/>
                <w:szCs w:val="22"/>
              </w:rPr>
              <w:t>Predseda správnej rady</w:t>
            </w:r>
          </w:p>
        </w:tc>
        <w:tc>
          <w:tcPr>
            <w:tcW w:w="340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podnadpis"/>
              <w:spacing w:before="0" w:after="0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</w:r>
          </w:p>
        </w:tc>
      </w:tr>
      <w:tr>
        <w:trPr/>
        <w:tc>
          <w:tcPr>
            <w:tcW w:w="3401" w:type="dxa"/>
            <w:tcBorders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podnadpis"/>
              <w:spacing w:before="0" w:after="120"/>
              <w:rPr/>
            </w:pPr>
            <w:r>
              <w:rPr>
                <w:color w:val="000000"/>
                <w:sz w:val="22"/>
                <w:szCs w:val="22"/>
              </w:rPr>
              <w:t>Ing. Juraj Paulinský</w:t>
            </w:r>
          </w:p>
        </w:tc>
        <w:tc>
          <w:tcPr>
            <w:tcW w:w="3401" w:type="dxa"/>
            <w:tcBorders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podnadpis"/>
              <w:spacing w:before="0" w:after="120"/>
              <w:rPr/>
            </w:pPr>
            <w:r>
              <w:rPr>
                <w:color w:val="000000"/>
                <w:sz w:val="22"/>
                <w:szCs w:val="22"/>
              </w:rPr>
              <w:t>Člen správnej rady</w:t>
            </w:r>
          </w:p>
        </w:tc>
        <w:tc>
          <w:tcPr>
            <w:tcW w:w="340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podnadpis"/>
              <w:spacing w:before="0" w:after="0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Do 03/2024</w:t>
            </w:r>
          </w:p>
        </w:tc>
      </w:tr>
      <w:tr>
        <w:trPr/>
        <w:tc>
          <w:tcPr>
            <w:tcW w:w="3401" w:type="dxa"/>
            <w:tcBorders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podnadpis"/>
              <w:spacing w:before="0" w:after="120"/>
              <w:rPr/>
            </w:pPr>
            <w:r>
              <w:rPr>
                <w:sz w:val="22"/>
                <w:szCs w:val="22"/>
              </w:rPr>
              <w:t>Róbert Juraj Paulinský</w:t>
            </w:r>
          </w:p>
        </w:tc>
        <w:tc>
          <w:tcPr>
            <w:tcW w:w="3401" w:type="dxa"/>
            <w:tcBorders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podnadpis"/>
              <w:spacing w:before="0" w:after="120"/>
              <w:rPr/>
            </w:pPr>
            <w:r>
              <w:rPr>
                <w:sz w:val="22"/>
                <w:szCs w:val="22"/>
              </w:rPr>
              <w:t>Člen správnej rady</w:t>
            </w:r>
          </w:p>
        </w:tc>
        <w:tc>
          <w:tcPr>
            <w:tcW w:w="340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podnadpis"/>
              <w:spacing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Do 03/2024</w:t>
            </w:r>
          </w:p>
        </w:tc>
      </w:tr>
      <w:tr>
        <w:trPr/>
        <w:tc>
          <w:tcPr>
            <w:tcW w:w="3401" w:type="dxa"/>
            <w:tcBorders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podnadpis"/>
              <w:widowControl/>
              <w:bidi w:val="0"/>
              <w:spacing w:lineRule="auto" w:line="360" w:before="120" w:after="12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Prof., Doc. MUDr.  Štefan Koval, PhD.</w:t>
            </w:r>
          </w:p>
        </w:tc>
        <w:tc>
          <w:tcPr>
            <w:tcW w:w="3401" w:type="dxa"/>
            <w:tcBorders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podnadpis"/>
              <w:widowControl/>
              <w:bidi w:val="0"/>
              <w:spacing w:lineRule="auto" w:line="360" w:before="120" w:after="12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Člen správnej rady</w:t>
            </w:r>
          </w:p>
        </w:tc>
        <w:tc>
          <w:tcPr>
            <w:tcW w:w="340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podnadpis"/>
              <w:widowControl/>
              <w:bidi w:val="0"/>
              <w:spacing w:lineRule="auto" w:line="360" w:before="120" w:after="12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Od 05/2024</w:t>
            </w:r>
          </w:p>
        </w:tc>
      </w:tr>
      <w:tr>
        <w:trPr/>
        <w:tc>
          <w:tcPr>
            <w:tcW w:w="3401" w:type="dxa"/>
            <w:tcBorders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podnadpis"/>
              <w:widowControl/>
              <w:bidi w:val="0"/>
              <w:spacing w:lineRule="auto" w:line="360" w:before="120" w:after="12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JUDr. Adam Mahut, MBA, LLM</w:t>
            </w:r>
          </w:p>
        </w:tc>
        <w:tc>
          <w:tcPr>
            <w:tcW w:w="3401" w:type="dxa"/>
            <w:tcBorders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podnadpis"/>
              <w:widowControl/>
              <w:bidi w:val="0"/>
              <w:spacing w:lineRule="auto" w:line="360" w:before="120" w:after="12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Člen správnej rady</w:t>
            </w:r>
          </w:p>
        </w:tc>
        <w:tc>
          <w:tcPr>
            <w:tcW w:w="340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podnadpis"/>
              <w:widowControl/>
              <w:bidi w:val="0"/>
              <w:spacing w:lineRule="auto" w:line="360" w:before="120" w:after="12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Od 05/2024</w:t>
            </w:r>
          </w:p>
        </w:tc>
      </w:tr>
    </w:tbl>
    <w:p>
      <w:pPr>
        <w:pStyle w:val="Normal"/>
        <w:spacing w:before="0" w:after="120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Normalpodnadpis"/>
        <w:spacing w:before="0" w:after="120"/>
        <w:rPr/>
      </w:pPr>
      <w:r>
        <w:rPr>
          <w:sz w:val="22"/>
          <w:szCs w:val="22"/>
        </w:rPr>
        <w:t>Revízor Gabriela Germeková do 31.01.2024 , JUDr. Marcel Kožár, LlM od 05/2024</w:t>
      </w:r>
    </w:p>
    <w:p>
      <w:pPr>
        <w:pStyle w:val="Normalpodnadpis"/>
        <w:spacing w:before="0" w:after="120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Normalpodnadpis"/>
        <w:spacing w:before="0" w:after="120"/>
        <w:rPr/>
      </w:pPr>
      <w:r>
        <w:rPr>
          <w:sz w:val="22"/>
          <w:szCs w:val="22"/>
        </w:rPr>
        <w:t>(3)  Opis činnosti, na účel ktorej bola účtovná jednotka zriadená a opis druhu podnikateľskej činnosti, ak ju účtovná jednotka vykonáva.</w:t>
      </w:r>
    </w:p>
    <w:p>
      <w:pPr>
        <w:pStyle w:val="Normalpodnadpis"/>
        <w:spacing w:before="0" w:after="120"/>
        <w:rPr/>
      </w:pPr>
      <w:r>
        <w:rPr>
          <w:szCs w:val="20"/>
        </w:rPr>
        <w:t>Nezisková organizácia bola založená   na  poskytovanie zdravotnej a sociálnej starostlivosti.</w:t>
      </w:r>
    </w:p>
    <w:p>
      <w:pPr>
        <w:pStyle w:val="Normalpodnadpis"/>
        <w:spacing w:before="0" w:after="120"/>
        <w:rPr>
          <w:color w:val="C00000"/>
        </w:rPr>
      </w:pPr>
      <w:r>
        <w:rPr>
          <w:szCs w:val="20"/>
        </w:rPr>
        <w:t xml:space="preserve">Naša nezisková </w:t>
      </w:r>
      <w:r>
        <w:rPr>
          <w:color w:val="auto"/>
          <w:szCs w:val="20"/>
        </w:rPr>
        <w:t>organizácia vykonáva podnikateľskú činnosť- prenájom vlastnej nehnuteľnosti</w:t>
      </w:r>
    </w:p>
    <w:p>
      <w:pPr>
        <w:pStyle w:val="Normalpodnadpis"/>
        <w:spacing w:before="0" w:after="120"/>
        <w:rPr>
          <w:szCs w:val="20"/>
        </w:rPr>
      </w:pPr>
      <w:r>
        <w:rPr>
          <w:szCs w:val="20"/>
        </w:rPr>
      </w:r>
    </w:p>
    <w:p>
      <w:pPr>
        <w:pStyle w:val="Normalpodnadpis"/>
        <w:spacing w:before="0" w:after="120"/>
        <w:rPr/>
      </w:pPr>
      <w:r>
        <w:rPr>
          <w:sz w:val="22"/>
          <w:szCs w:val="22"/>
        </w:rPr>
        <w:t xml:space="preserve">(4) Priemerný prepočítaný počet zamestnancov, a z toho počet vedúcich zamestnancov účtovnej jednotky za účtovné obdobie, za ktoré sa zostavuje účtovná závierka (ďalej len „bežné účtovné obdobie“) a za bezprostredne predchádzajúce účtovné obdobie. Počet dobrovoľníkov vyslaných účtovnou jednotkou a počet dobrovoľníkov, ktorí vykonávali dobrovoľnícku činnosť pre účtovnú jednotku počas bežného účtovného obdobia a bezprostredne predchádzajúceho účtovného obdobia. </w:t>
      </w:r>
    </w:p>
    <w:tbl>
      <w:tblPr>
        <w:tblW w:w="9923" w:type="dxa"/>
        <w:jc w:val="left"/>
        <w:tblInd w:w="142" w:type="dxa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961"/>
        <w:gridCol w:w="2410"/>
        <w:gridCol w:w="2552"/>
      </w:tblGrid>
      <w:tr>
        <w:trPr/>
        <w:tc>
          <w:tcPr>
            <w:tcW w:w="4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opatrenia"/>
              <w:numPr>
                <w:ilvl w:val="0"/>
                <w:numId w:val="1"/>
              </w:numPr>
              <w:tabs>
                <w:tab w:val="clear" w:pos="1440"/>
              </w:tabs>
              <w:spacing w:before="0" w:after="0"/>
              <w:ind w:left="0" w:hanging="0"/>
              <w:rPr/>
            </w:pPr>
            <w:r>
              <w:rPr/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extopatrenia"/>
              <w:numPr>
                <w:ilvl w:val="0"/>
                <w:numId w:val="1"/>
              </w:numPr>
              <w:tabs>
                <w:tab w:val="clear" w:pos="1440"/>
              </w:tabs>
              <w:spacing w:before="0" w:after="0"/>
              <w:ind w:left="0" w:hanging="0"/>
              <w:jc w:val="center"/>
              <w:rPr/>
            </w:pPr>
            <w:r>
              <w:rPr>
                <w:b/>
                <w:lang w:eastAsia="sk-SK"/>
              </w:rPr>
              <w:t>Bežné  účtovné obdobie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extopatrenia"/>
              <w:numPr>
                <w:ilvl w:val="0"/>
                <w:numId w:val="1"/>
              </w:numPr>
              <w:tabs>
                <w:tab w:val="clear" w:pos="1440"/>
              </w:tabs>
              <w:spacing w:before="0" w:after="0"/>
              <w:ind w:left="0" w:hanging="0"/>
              <w:jc w:val="center"/>
              <w:rPr/>
            </w:pPr>
            <w:r>
              <w:rPr>
                <w:b/>
                <w:lang w:eastAsia="sk-SK"/>
              </w:rPr>
              <w:t>Bezprostredne predchádzajúce účtovné obdobie</w:t>
            </w:r>
          </w:p>
        </w:tc>
      </w:tr>
      <w:tr>
        <w:trPr>
          <w:trHeight w:val="391" w:hRule="atLeast"/>
        </w:trPr>
        <w:tc>
          <w:tcPr>
            <w:tcW w:w="4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extopatrenia"/>
              <w:numPr>
                <w:ilvl w:val="0"/>
                <w:numId w:val="1"/>
              </w:numPr>
              <w:tabs>
                <w:tab w:val="clear" w:pos="1440"/>
              </w:tabs>
              <w:spacing w:before="0" w:after="0"/>
              <w:ind w:left="0" w:hanging="0"/>
              <w:jc w:val="left"/>
              <w:rPr/>
            </w:pPr>
            <w:r>
              <w:rPr/>
              <w:t>Priemerný prepočítaný počet zamestnancov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extopatrenia"/>
              <w:numPr>
                <w:ilvl w:val="0"/>
                <w:numId w:val="1"/>
              </w:numPr>
              <w:tabs>
                <w:tab w:val="clear" w:pos="1440"/>
              </w:tabs>
              <w:spacing w:before="0" w:after="0"/>
              <w:ind w:left="0" w:hanging="0"/>
              <w:jc w:val="left"/>
              <w:rPr/>
            </w:pPr>
            <w:r>
              <w:rPr/>
              <w:t>151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extopatrenia"/>
              <w:numPr>
                <w:ilvl w:val="0"/>
                <w:numId w:val="1"/>
              </w:numPr>
              <w:tabs>
                <w:tab w:val="clear" w:pos="1440"/>
              </w:tabs>
              <w:spacing w:before="0" w:after="0"/>
              <w:ind w:left="0" w:hanging="0"/>
              <w:jc w:val="left"/>
              <w:rPr/>
            </w:pPr>
            <w:r>
              <w:rPr/>
              <w:t>121,5</w:t>
            </w:r>
          </w:p>
        </w:tc>
      </w:tr>
      <w:tr>
        <w:trPr>
          <w:trHeight w:val="391" w:hRule="atLeast"/>
        </w:trPr>
        <w:tc>
          <w:tcPr>
            <w:tcW w:w="4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extopatrenia"/>
              <w:numPr>
                <w:ilvl w:val="0"/>
                <w:numId w:val="1"/>
              </w:numPr>
              <w:spacing w:before="0" w:after="0"/>
              <w:ind w:left="0" w:hanging="0"/>
              <w:jc w:val="left"/>
              <w:rPr/>
            </w:pPr>
            <w:r>
              <w:rPr/>
              <w:t>z toho  počet vedúcich zamestnancov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extopatrenia"/>
              <w:numPr>
                <w:ilvl w:val="0"/>
                <w:numId w:val="1"/>
              </w:numPr>
              <w:spacing w:before="0" w:after="0"/>
              <w:ind w:left="0" w:hanging="0"/>
              <w:jc w:val="left"/>
              <w:rPr/>
            </w:pPr>
            <w:r>
              <w:rPr/>
              <w:t>4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extopatrenia"/>
              <w:numPr>
                <w:ilvl w:val="0"/>
                <w:numId w:val="1"/>
              </w:numPr>
              <w:spacing w:before="0" w:after="0"/>
              <w:ind w:left="0" w:hanging="0"/>
              <w:jc w:val="left"/>
              <w:rPr/>
            </w:pPr>
            <w:r>
              <w:rPr/>
              <w:t>3</w:t>
            </w:r>
          </w:p>
        </w:tc>
      </w:tr>
      <w:tr>
        <w:trPr>
          <w:trHeight w:val="391" w:hRule="atLeast"/>
        </w:trPr>
        <w:tc>
          <w:tcPr>
            <w:tcW w:w="4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extopatrenia"/>
              <w:numPr>
                <w:ilvl w:val="0"/>
                <w:numId w:val="1"/>
              </w:numPr>
              <w:spacing w:before="0" w:after="0"/>
              <w:ind w:left="0" w:hanging="0"/>
              <w:jc w:val="left"/>
              <w:rPr/>
            </w:pPr>
            <w:r>
              <w:rPr/>
              <w:t xml:space="preserve">Počet dobrovoľníkov vyslaných účtovnou jednotkou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extopatrenia"/>
              <w:numPr>
                <w:ilvl w:val="0"/>
                <w:numId w:val="1"/>
              </w:numPr>
              <w:spacing w:before="0" w:after="0"/>
              <w:ind w:left="0" w:hanging="0"/>
              <w:jc w:val="left"/>
              <w:rPr/>
            </w:pPr>
            <w:r>
              <w:rPr/>
              <w:t>0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extopatrenia"/>
              <w:numPr>
                <w:ilvl w:val="0"/>
                <w:numId w:val="1"/>
              </w:numPr>
              <w:spacing w:before="0" w:after="0"/>
              <w:ind w:left="0" w:hanging="0"/>
              <w:jc w:val="left"/>
              <w:rPr/>
            </w:pPr>
            <w:r>
              <w:rPr/>
              <w:t>0</w:t>
            </w:r>
          </w:p>
        </w:tc>
      </w:tr>
      <w:tr>
        <w:trPr>
          <w:trHeight w:val="391" w:hRule="atLeast"/>
        </w:trPr>
        <w:tc>
          <w:tcPr>
            <w:tcW w:w="4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extopatrenia"/>
              <w:numPr>
                <w:ilvl w:val="0"/>
                <w:numId w:val="1"/>
              </w:numPr>
              <w:spacing w:before="0" w:after="0"/>
              <w:ind w:left="0" w:hanging="0"/>
              <w:jc w:val="left"/>
              <w:rPr/>
            </w:pPr>
            <w:r>
              <w:rPr/>
              <w:t>Počet dobrovoľníkov, ktorí vykonávali dobrovoľnícku činnosť pre účtovnú jednotku počas účtovného obdobia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extopatrenia"/>
              <w:numPr>
                <w:ilvl w:val="0"/>
                <w:numId w:val="1"/>
              </w:numPr>
              <w:spacing w:before="0" w:after="0"/>
              <w:ind w:left="0" w:hanging="0"/>
              <w:jc w:val="left"/>
              <w:rPr/>
            </w:pPr>
            <w:r>
              <w:rPr/>
              <w:t>0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extopatrenia"/>
              <w:numPr>
                <w:ilvl w:val="0"/>
                <w:numId w:val="1"/>
              </w:numPr>
              <w:spacing w:before="0" w:after="0"/>
              <w:ind w:left="0" w:hanging="0"/>
              <w:jc w:val="left"/>
              <w:rPr/>
            </w:pPr>
            <w:r>
              <w:rPr/>
              <w:t>0</w:t>
            </w:r>
          </w:p>
        </w:tc>
      </w:tr>
    </w:tbl>
    <w:p>
      <w:pPr>
        <w:pStyle w:val="Normalpodnadpis"/>
        <w:spacing w:before="0" w:after="120"/>
        <w:rPr/>
      </w:pPr>
      <w:r>
        <w:rPr>
          <w:sz w:val="22"/>
          <w:szCs w:val="22"/>
        </w:rPr>
        <w:t>.V priebehu roka došlo k nárastu novovzniknutých pracovných pomerov. Noví lekári boli prijatí na pľúcnu ambulanciu, na oddelenie dlhodobo chorých a tiež na znovuotvorenú neurologickú ambulanciu. Rovnako taktiež boli prijatí ďalší opatrovatelia do zariadenia sociálnych služieb a zariadenia opatrovateľských služieb. Práca námestníčky pre ošetrovateľstvo , mzdár/personalista/účtovník formou práce na dohodu a externých účtovníckych služieb  nahradila práca na pracovný pomer.</w:t>
      </w:r>
    </w:p>
    <w:p>
      <w:pPr>
        <w:pStyle w:val="Normalpodnadpis"/>
        <w:spacing w:before="0" w:after="120"/>
        <w:rPr/>
      </w:pPr>
      <w:r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(5) Informácia o organizáciách v zriaďovateľskej pôsobnosti účtovnej jednotky. </w:t>
      </w:r>
      <w:r>
        <w:rPr>
          <w:szCs w:val="20"/>
        </w:rPr>
        <w:t>Nemá obsahovú náplň.</w:t>
      </w:r>
    </w:p>
    <w:p>
      <w:pPr>
        <w:pStyle w:val="Normalpodnadpis"/>
        <w:spacing w:before="0" w:after="120"/>
        <w:rPr/>
      </w:pPr>
      <w:r>
        <w:rPr>
          <w:sz w:val="22"/>
          <w:szCs w:val="22"/>
        </w:rPr>
        <w:t xml:space="preserve">(6) Údaje podľa odseku  4 a čl. III a IV  sa uvádzajú v textovej podobe a tabuľkovej podobe. </w:t>
      </w:r>
    </w:p>
    <w:p>
      <w:pPr>
        <w:pStyle w:val="Normalpodnadpis"/>
        <w:spacing w:before="0" w:after="120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Normalpodnadpis"/>
        <w:spacing w:before="0" w:after="120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Normalpodnadpis"/>
        <w:spacing w:before="0" w:after="120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Normalpodnadpis"/>
        <w:keepNext w:val="true"/>
        <w:numPr>
          <w:ilvl w:val="0"/>
          <w:numId w:val="0"/>
        </w:numPr>
        <w:spacing w:before="0" w:after="120"/>
        <w:jc w:val="center"/>
        <w:outlineLvl w:val="0"/>
        <w:rPr/>
      </w:pPr>
      <w:r>
        <w:rPr>
          <w:b/>
          <w:bCs/>
          <w:sz w:val="22"/>
          <w:szCs w:val="22"/>
        </w:rPr>
        <w:t>Čl. II</w:t>
      </w:r>
    </w:p>
    <w:p>
      <w:pPr>
        <w:pStyle w:val="Normalpodnadpis"/>
        <w:keepNext w:val="true"/>
        <w:numPr>
          <w:ilvl w:val="0"/>
          <w:numId w:val="0"/>
        </w:numPr>
        <w:spacing w:before="0" w:after="120"/>
        <w:jc w:val="center"/>
        <w:outlineLvl w:val="1"/>
        <w:rPr/>
      </w:pPr>
      <w:r>
        <w:rPr>
          <w:b/>
          <w:bCs/>
          <w:sz w:val="22"/>
          <w:szCs w:val="22"/>
        </w:rPr>
        <w:t>Informácie o účtovných zásadách a účtovných metódach</w:t>
      </w:r>
    </w:p>
    <w:p>
      <w:pPr>
        <w:pStyle w:val="Normalpodnadpis"/>
        <w:spacing w:before="0" w:after="120"/>
        <w:rPr/>
      </w:pPr>
      <w:r>
        <w:rPr>
          <w:sz w:val="22"/>
          <w:szCs w:val="22"/>
        </w:rPr>
        <w:t xml:space="preserve">(1) Informácia, či je účtovná závierka zostavená za splnenia predpokladu, že účtovná jednotka bude nepretržite pokračovať vo svojej činnosti. </w:t>
      </w:r>
    </w:p>
    <w:p>
      <w:pPr>
        <w:pStyle w:val="Normalpodnadpis"/>
        <w:spacing w:before="0" w:after="120"/>
        <w:rPr/>
      </w:pPr>
      <w:r>
        <w:rPr>
          <w:szCs w:val="20"/>
        </w:rPr>
        <w:t>Účtovná jednotka bude nepretržite pokračovať vo svojej činnosti.</w:t>
      </w:r>
    </w:p>
    <w:p>
      <w:pPr>
        <w:pStyle w:val="Normalpodnadpis"/>
        <w:spacing w:before="0" w:after="120"/>
        <w:rPr/>
      </w:pPr>
      <w:r>
        <w:rPr>
          <w:sz w:val="22"/>
          <w:szCs w:val="22"/>
        </w:rPr>
        <w:t>(2) Zmeny účtovných zásad a zmeny účtovných metód s uvedením dôvodu týchto zmien a vyčíslením ich vplyvu na finančnú hodnotu majetku, záväzkov, základného imania a výsledku hospodárenia účtovnej jednotky.</w:t>
      </w:r>
    </w:p>
    <w:p>
      <w:pPr>
        <w:pStyle w:val="Normalpodnadpis"/>
        <w:widowControl w:val="false"/>
        <w:tabs>
          <w:tab w:val="clear" w:pos="709"/>
          <w:tab w:val="left" w:pos="360" w:leader="none"/>
          <w:tab w:val="left" w:pos="720" w:leader="none"/>
          <w:tab w:val="left" w:pos="1080" w:leader="none"/>
          <w:tab w:val="left" w:pos="1440" w:leader="none"/>
          <w:tab w:val="left" w:pos="1800" w:leader="none"/>
          <w:tab w:val="left" w:pos="2160" w:leader="none"/>
          <w:tab w:val="left" w:pos="2520" w:leader="none"/>
          <w:tab w:val="left" w:pos="2880" w:leader="none"/>
          <w:tab w:val="left" w:pos="3240" w:leader="none"/>
          <w:tab w:val="left" w:pos="3600" w:leader="none"/>
          <w:tab w:val="left" w:pos="3960" w:leader="none"/>
          <w:tab w:val="left" w:pos="4320" w:leader="none"/>
          <w:tab w:val="left" w:pos="4680" w:leader="none"/>
          <w:tab w:val="left" w:pos="5040" w:leader="none"/>
          <w:tab w:val="left" w:pos="5400" w:leader="none"/>
          <w:tab w:val="left" w:pos="5760" w:leader="none"/>
          <w:tab w:val="left" w:pos="6120" w:leader="none"/>
          <w:tab w:val="left" w:pos="6480" w:leader="none"/>
          <w:tab w:val="left" w:pos="6840" w:leader="none"/>
          <w:tab w:val="left" w:pos="7200" w:leader="none"/>
          <w:tab w:val="left" w:pos="7560" w:leader="none"/>
          <w:tab w:val="left" w:pos="7920" w:leader="none"/>
          <w:tab w:val="left" w:pos="8280" w:leader="none"/>
          <w:tab w:val="left" w:pos="8640" w:leader="none"/>
          <w:tab w:val="left" w:pos="9000" w:leader="none"/>
          <w:tab w:val="left" w:pos="9360" w:leader="none"/>
        </w:tabs>
        <w:spacing w:before="120" w:after="0"/>
        <w:rPr/>
      </w:pPr>
      <w:r>
        <w:rPr>
          <w:color w:val="000000"/>
          <w:szCs w:val="20"/>
        </w:rPr>
        <w:t>Táto účtovná závierka je riadna účtovná závierka zostavená za obdobie od 1.1.2024 do 31.12.2024 podľa slovenských právnych predpisov, a to zákona č.431/2002 Zb. o účtovníctve v znení neskorších predpisov a postupov účtovania a účtovnej osnovy pre účtovné jednotky, ktoré nie sú založené alebo zriadené za účelom podnikania. Účtovníctvo sa vedie na základe dodržania časovej a vecnej súvislosti nákladov a výnosov. Za základ sa berú všetky náklady a výnosy, ktoré sa vzťahujú na účtovné obdobie bez ohľadu na dátum ich platenia.</w:t>
      </w:r>
    </w:p>
    <w:p>
      <w:pPr>
        <w:pStyle w:val="Normalpodnadpis"/>
        <w:rPr/>
      </w:pPr>
      <w:r>
        <w:rPr>
          <w:sz w:val="22"/>
          <w:szCs w:val="22"/>
        </w:rPr>
        <w:t>(3) Spôsob oceňovania jednotlivých položiek majetku a záväzkov v členení na</w:t>
      </w:r>
    </w:p>
    <w:p>
      <w:pPr>
        <w:pStyle w:val="Normalpodnadpis"/>
        <w:spacing w:before="0" w:after="120"/>
        <w:rPr/>
      </w:pPr>
      <w:r>
        <w:rPr>
          <w:sz w:val="22"/>
          <w:szCs w:val="22"/>
        </w:rPr>
        <w:t xml:space="preserve">a) dlhodobý nehmotný majetok obstaraný kúpou,    </w:t>
      </w:r>
    </w:p>
    <w:p>
      <w:pPr>
        <w:pStyle w:val="Normalpodnadpis"/>
        <w:spacing w:before="0" w:after="120"/>
        <w:rPr/>
      </w:pPr>
      <w:r>
        <w:rPr>
          <w:sz w:val="22"/>
          <w:szCs w:val="22"/>
        </w:rPr>
        <w:t>b) dlhodobý nehmotný majetok obstaraný vlastnou činnosťou,</w:t>
      </w:r>
    </w:p>
    <w:p>
      <w:pPr>
        <w:pStyle w:val="Normalpodnadpis"/>
        <w:spacing w:before="0" w:after="120"/>
        <w:rPr/>
      </w:pPr>
      <w:r>
        <w:rPr>
          <w:sz w:val="22"/>
          <w:szCs w:val="22"/>
        </w:rPr>
        <w:t xml:space="preserve">c) dlhodobý nehmotný majetok obstaraný iným spôsobom, </w:t>
      </w:r>
    </w:p>
    <w:p>
      <w:pPr>
        <w:pStyle w:val="Normalpodnadpis"/>
        <w:spacing w:before="0" w:after="120"/>
        <w:rPr/>
      </w:pPr>
      <w:r>
        <w:rPr>
          <w:sz w:val="22"/>
          <w:szCs w:val="22"/>
        </w:rPr>
        <w:t>d) dlhodobý hmotný majetok obstaraný kúpou – obstarávacou hodnotou</w:t>
      </w:r>
    </w:p>
    <w:p>
      <w:pPr>
        <w:pStyle w:val="Normalpodnadpis"/>
        <w:spacing w:before="0" w:after="120"/>
        <w:rPr/>
      </w:pPr>
      <w:r>
        <w:rPr>
          <w:sz w:val="22"/>
          <w:szCs w:val="22"/>
        </w:rPr>
        <w:t>e) dlhodobý hmotný majetok obstaraný vlastnou činnosťou,</w:t>
      </w:r>
    </w:p>
    <w:p>
      <w:pPr>
        <w:pStyle w:val="Normalpodnadpis"/>
        <w:spacing w:before="0" w:after="120"/>
        <w:rPr/>
      </w:pPr>
      <w:r>
        <w:rPr>
          <w:sz w:val="22"/>
          <w:szCs w:val="22"/>
        </w:rPr>
        <w:t>f) dlhodobý hmotný majetok obstaraný iným spôsobom,</w:t>
      </w:r>
    </w:p>
    <w:p>
      <w:pPr>
        <w:pStyle w:val="Normalpodnadpis"/>
        <w:spacing w:before="0" w:after="120"/>
        <w:rPr/>
      </w:pPr>
      <w:r>
        <w:rPr>
          <w:sz w:val="22"/>
          <w:szCs w:val="22"/>
        </w:rPr>
        <w:t>g) dlhodobý finančný majetok,</w:t>
      </w:r>
    </w:p>
    <w:p>
      <w:pPr>
        <w:pStyle w:val="Normalpodnadpis"/>
        <w:spacing w:before="0" w:after="120"/>
        <w:rPr/>
      </w:pPr>
      <w:r>
        <w:rPr>
          <w:sz w:val="22"/>
          <w:szCs w:val="22"/>
        </w:rPr>
        <w:t>h) zásoby,</w:t>
      </w:r>
    </w:p>
    <w:p>
      <w:pPr>
        <w:pStyle w:val="Normalpodnadpis"/>
        <w:spacing w:before="0" w:after="120"/>
        <w:rPr/>
      </w:pPr>
      <w:r>
        <w:rPr>
          <w:sz w:val="22"/>
          <w:szCs w:val="22"/>
        </w:rPr>
        <w:t>i) zásoby vytvorené vlastnou činnosťou,</w:t>
      </w:r>
    </w:p>
    <w:p>
      <w:pPr>
        <w:pStyle w:val="Normalpodnadpis"/>
        <w:spacing w:before="0" w:after="120"/>
        <w:rPr/>
      </w:pPr>
      <w:r>
        <w:rPr>
          <w:sz w:val="22"/>
          <w:szCs w:val="22"/>
        </w:rPr>
        <w:t>j) zásoby obstarané iným spôsobom,</w:t>
      </w:r>
    </w:p>
    <w:p>
      <w:pPr>
        <w:pStyle w:val="Normalpodnadpis"/>
        <w:spacing w:before="0" w:after="120"/>
        <w:rPr/>
      </w:pPr>
      <w:r>
        <w:rPr>
          <w:sz w:val="22"/>
          <w:szCs w:val="22"/>
        </w:rPr>
        <w:t>k) pohľadávky – nominálnou hodnotou</w:t>
      </w:r>
    </w:p>
    <w:p>
      <w:pPr>
        <w:pStyle w:val="Normalpodnadpis"/>
        <w:spacing w:before="0" w:after="120"/>
        <w:rPr/>
      </w:pPr>
      <w:r>
        <w:rPr>
          <w:szCs w:val="20"/>
        </w:rPr>
        <w:t>Účtovná jednotka nemá náplň pre položky a) až c ) a  e) až j)</w:t>
      </w:r>
    </w:p>
    <w:p>
      <w:pPr>
        <w:pStyle w:val="Normalpodnadpis"/>
        <w:spacing w:before="0" w:after="120"/>
        <w:rPr/>
      </w:pPr>
      <w:r>
        <w:rPr>
          <w:sz w:val="22"/>
          <w:szCs w:val="22"/>
        </w:rPr>
        <w:t>l) krátkodobý finančný majetok,</w:t>
      </w:r>
    </w:p>
    <w:p>
      <w:pPr>
        <w:pStyle w:val="Normalpodnadpis"/>
        <w:spacing w:before="0" w:after="120"/>
        <w:rPr/>
      </w:pPr>
      <w:r>
        <w:rPr>
          <w:sz w:val="22"/>
          <w:szCs w:val="22"/>
        </w:rPr>
        <w:t>m) časové rozlíšenie na strane aktív,</w:t>
      </w:r>
    </w:p>
    <w:p>
      <w:pPr>
        <w:pStyle w:val="Normalpodnadpis"/>
        <w:spacing w:before="0" w:after="120"/>
        <w:rPr/>
      </w:pPr>
      <w:r>
        <w:rPr>
          <w:sz w:val="22"/>
          <w:szCs w:val="22"/>
        </w:rPr>
        <w:t>n) záväzky vrátane rezerv, dlhopisov, pôžičiek a úverov,</w:t>
      </w:r>
    </w:p>
    <w:p>
      <w:pPr>
        <w:pStyle w:val="Normalpodnadpis"/>
        <w:widowControl w:val="false"/>
        <w:tabs>
          <w:tab w:val="clear" w:pos="709"/>
          <w:tab w:val="left" w:pos="360" w:leader="none"/>
          <w:tab w:val="left" w:pos="720" w:leader="none"/>
          <w:tab w:val="left" w:pos="1080" w:leader="none"/>
          <w:tab w:val="left" w:pos="1440" w:leader="none"/>
          <w:tab w:val="left" w:pos="1800" w:leader="none"/>
          <w:tab w:val="left" w:pos="2160" w:leader="none"/>
          <w:tab w:val="left" w:pos="2520" w:leader="none"/>
          <w:tab w:val="left" w:pos="2880" w:leader="none"/>
          <w:tab w:val="left" w:pos="3240" w:leader="none"/>
          <w:tab w:val="left" w:pos="3600" w:leader="none"/>
          <w:tab w:val="left" w:pos="3960" w:leader="none"/>
          <w:tab w:val="left" w:pos="4320" w:leader="none"/>
          <w:tab w:val="left" w:pos="4680" w:leader="none"/>
          <w:tab w:val="left" w:pos="5040" w:leader="none"/>
          <w:tab w:val="left" w:pos="5400" w:leader="none"/>
          <w:tab w:val="left" w:pos="5760" w:leader="none"/>
          <w:tab w:val="left" w:pos="6120" w:leader="none"/>
          <w:tab w:val="left" w:pos="6480" w:leader="none"/>
          <w:tab w:val="left" w:pos="6840" w:leader="none"/>
          <w:tab w:val="left" w:pos="7200" w:leader="none"/>
          <w:tab w:val="left" w:pos="7560" w:leader="none"/>
          <w:tab w:val="left" w:pos="7920" w:leader="none"/>
          <w:tab w:val="left" w:pos="8280" w:leader="none"/>
          <w:tab w:val="left" w:pos="8640" w:leader="none"/>
          <w:tab w:val="left" w:pos="9000" w:leader="none"/>
          <w:tab w:val="left" w:pos="9360" w:leader="none"/>
          <w:tab w:val="left" w:pos="9720" w:leader="none"/>
        </w:tabs>
        <w:spacing w:before="120" w:after="0"/>
        <w:rPr/>
      </w:pPr>
      <w:r>
        <w:rPr>
          <w:color w:val="000000"/>
          <w:szCs w:val="20"/>
        </w:rPr>
        <w:t>Záväzky vrátane rezerv, pôžičiek a úverov účtovná jednotka oceňovala ich menovitou hodnotou.</w:t>
      </w:r>
    </w:p>
    <w:p>
      <w:pPr>
        <w:pStyle w:val="Normalpodnadpis"/>
        <w:spacing w:before="0" w:after="120"/>
        <w:rPr/>
      </w:pPr>
      <w:r>
        <w:rPr>
          <w:sz w:val="22"/>
          <w:szCs w:val="22"/>
        </w:rPr>
        <w:t>o) časové rozlíšenie na strane pasív,</w:t>
      </w:r>
    </w:p>
    <w:p>
      <w:pPr>
        <w:pStyle w:val="Normalpodnadpis"/>
        <w:spacing w:before="0" w:after="120"/>
        <w:rPr/>
      </w:pPr>
      <w:r>
        <w:rPr>
          <w:sz w:val="22"/>
          <w:szCs w:val="22"/>
        </w:rPr>
        <w:t>p) deriváty,</w:t>
      </w:r>
    </w:p>
    <w:p>
      <w:pPr>
        <w:pStyle w:val="Normalpodnadpis"/>
        <w:spacing w:before="0" w:after="120"/>
        <w:rPr/>
      </w:pPr>
      <w:r>
        <w:rPr>
          <w:sz w:val="22"/>
          <w:szCs w:val="22"/>
        </w:rPr>
        <w:t>r) majetok a záväzky zabezpečené derivátmi.</w:t>
      </w:r>
    </w:p>
    <w:p>
      <w:pPr>
        <w:pStyle w:val="Normalpodnadpis"/>
        <w:spacing w:before="0" w:after="120"/>
        <w:rPr/>
      </w:pPr>
      <w:r>
        <w:rPr>
          <w:szCs w:val="20"/>
        </w:rPr>
        <w:t>Účtovná jednotka nemá náplň pre položky p) a r).</w:t>
      </w:r>
    </w:p>
    <w:p>
      <w:pPr>
        <w:pStyle w:val="Normalpodnadpis"/>
        <w:spacing w:before="0" w:after="120"/>
        <w:rPr/>
      </w:pPr>
      <w:r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(4) Spôsob zostavenia odpisového plánu pre jednotlivé druhy dlhodobého hmotného majetku  a dlhodobého nehmotného majetku, pričom sa uvádza doba odpisovania, použité sadzby odpisov a odpisové metódy pri určení odpisov. </w:t>
      </w:r>
    </w:p>
    <w:p>
      <w:pPr>
        <w:pStyle w:val="Normalpodnadpis"/>
        <w:spacing w:before="0" w:after="120"/>
        <w:rPr>
          <w:color w:val="C00000"/>
        </w:rPr>
      </w:pPr>
      <w:r>
        <w:rPr>
          <w:sz w:val="22"/>
          <w:szCs w:val="22"/>
        </w:rPr>
        <w:t xml:space="preserve">Odpisovanie technického zhodnotenia prenajatej budovy počas doby prenájmu. Stroje, prístroje 6 rokov, </w:t>
      </w:r>
      <w:r>
        <w:rPr>
          <w:color w:val="auto"/>
          <w:sz w:val="22"/>
          <w:szCs w:val="22"/>
        </w:rPr>
        <w:t>vlastné budovy na 40 rokov.</w:t>
      </w:r>
    </w:p>
    <w:p>
      <w:pPr>
        <w:pStyle w:val="Normalpodnadpis"/>
        <w:spacing w:before="0" w:after="120"/>
        <w:rPr/>
      </w:pPr>
      <w:r>
        <w:rPr>
          <w:sz w:val="22"/>
          <w:szCs w:val="22"/>
        </w:rPr>
        <w:t xml:space="preserve"> </w:t>
      </w:r>
      <w:r>
        <w:rPr>
          <w:sz w:val="22"/>
          <w:szCs w:val="22"/>
        </w:rPr>
        <w:t>(5) Zásady pre zohľadnenie zníženia hodnoty majetku. Uvádza sa, či účtovná jednotka uplatňuje opravné položky a rezervy. -</w:t>
      </w:r>
    </w:p>
    <w:p>
      <w:pPr>
        <w:pStyle w:val="Normalpodnadpis"/>
        <w:spacing w:before="0" w:after="120"/>
        <w:rPr/>
      </w:pPr>
      <w:r>
        <w:rPr>
          <w:szCs w:val="20"/>
        </w:rPr>
        <w:t>Účtovná jednotka tvorila rezervu na nevyčerpané dovolenky zamestnancov.</w:t>
      </w:r>
    </w:p>
    <w:p>
      <w:pPr>
        <w:pStyle w:val="Normalpodnadpis"/>
        <w:spacing w:before="0" w:after="120"/>
        <w:rPr>
          <w:szCs w:val="20"/>
        </w:rPr>
      </w:pPr>
      <w:r>
        <w:rPr>
          <w:szCs w:val="20"/>
        </w:rPr>
      </w:r>
    </w:p>
    <w:p>
      <w:pPr>
        <w:pStyle w:val="Normalpodnadpis"/>
        <w:spacing w:before="0" w:after="120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Normalpodnadpis"/>
        <w:keepNext w:val="true"/>
        <w:numPr>
          <w:ilvl w:val="0"/>
          <w:numId w:val="0"/>
        </w:numPr>
        <w:spacing w:before="0" w:after="120"/>
        <w:jc w:val="center"/>
        <w:outlineLvl w:val="0"/>
        <w:rPr/>
      </w:pPr>
      <w:r>
        <w:rPr>
          <w:b/>
          <w:bCs/>
          <w:sz w:val="22"/>
          <w:szCs w:val="22"/>
        </w:rPr>
        <w:t>Čl. III</w:t>
      </w:r>
    </w:p>
    <w:p>
      <w:pPr>
        <w:pStyle w:val="Normalpodnadpis"/>
        <w:keepNext w:val="true"/>
        <w:numPr>
          <w:ilvl w:val="0"/>
          <w:numId w:val="0"/>
        </w:numPr>
        <w:spacing w:before="0" w:after="120"/>
        <w:jc w:val="center"/>
        <w:outlineLvl w:val="1"/>
        <w:rPr/>
      </w:pPr>
      <w:r>
        <w:rPr>
          <w:b/>
          <w:bCs/>
          <w:sz w:val="22"/>
          <w:szCs w:val="22"/>
        </w:rPr>
        <w:t>Informácie, ktoré dopĺňajú a vysvetľujú údaje v súvahe</w:t>
      </w:r>
    </w:p>
    <w:p>
      <w:pPr>
        <w:pStyle w:val="Normalpodnadpis"/>
        <w:numPr>
          <w:ilvl w:val="0"/>
          <w:numId w:val="2"/>
        </w:numPr>
        <w:spacing w:before="0" w:after="120"/>
        <w:ind w:left="0" w:hanging="0"/>
        <w:rPr/>
      </w:pPr>
      <w:r>
        <w:rPr>
          <w:sz w:val="22"/>
          <w:szCs w:val="22"/>
        </w:rPr>
        <w:t xml:space="preserve"> </w:t>
      </w:r>
      <w:r>
        <w:rPr>
          <w:sz w:val="22"/>
          <w:szCs w:val="22"/>
        </w:rPr>
        <w:t>Údaje o dlhodobom nehmotnom majetku a dlhodobom hmotnom majetku za bežné účtovné obdobie, a to</w:t>
      </w:r>
    </w:p>
    <w:p>
      <w:pPr>
        <w:pStyle w:val="Normalpodnadpis"/>
        <w:spacing w:before="0" w:after="120"/>
        <w:rPr/>
      </w:pPr>
      <w:r>
        <w:rPr>
          <w:sz w:val="22"/>
          <w:szCs w:val="22"/>
        </w:rPr>
        <w:t>a) prehľad o dlhodobom majetku podľa položiek tohto majetku v členení podľa položiek súvahy; uvádza sa stav dlhodobého majetku v prvotnom ocenení na začiatku bežného účtovného obdobia, prírastky, úbytky a presuny tohto majetku a zostatok na konci bežného účtovného obdobia,</w:t>
      </w:r>
    </w:p>
    <w:p>
      <w:pPr>
        <w:pStyle w:val="Normalpodnadpis"/>
        <w:spacing w:before="0" w:after="120"/>
        <w:rPr/>
      </w:pPr>
      <w:r>
        <w:rPr>
          <w:sz w:val="22"/>
          <w:szCs w:val="22"/>
        </w:rPr>
        <w:t>b) prehľad oprávok a opravných položiek k dlhodobému majetku podľa jednotlivých položiek tohto majetku v členení podľa položiek súvahy; uvádza sa stav oprávok a opravných položiek k dlhodobému majetku na začiatku bežného účtovného obdobia, ich prírastky a úbytky počas bežného účtovného obdobia a zostatok na konci bežného účtovného obdobia,</w:t>
      </w:r>
    </w:p>
    <w:p>
      <w:pPr>
        <w:pStyle w:val="Normalpodnadpis"/>
        <w:spacing w:before="0" w:after="120"/>
        <w:rPr/>
      </w:pPr>
      <w:r>
        <w:rPr>
          <w:sz w:val="22"/>
          <w:szCs w:val="22"/>
        </w:rPr>
        <w:t>c) prehľad o zostatkových cenách dlhodobého majetku na začiatku bežného účtovného obdobia a na konci bežného účtovného obdobia.</w:t>
      </w:r>
    </w:p>
    <w:tbl>
      <w:tblPr>
        <w:tblW w:w="12818" w:type="dxa"/>
        <w:jc w:val="left"/>
        <w:tblInd w:w="-284" w:type="dxa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1217"/>
        <w:gridCol w:w="108"/>
        <w:gridCol w:w="427"/>
        <w:gridCol w:w="464"/>
        <w:gridCol w:w="214"/>
        <w:gridCol w:w="13"/>
        <w:gridCol w:w="374"/>
        <w:gridCol w:w="282"/>
        <w:gridCol w:w="273"/>
        <w:gridCol w:w="845"/>
        <w:gridCol w:w="2"/>
        <w:gridCol w:w="133"/>
        <w:gridCol w:w="83"/>
        <w:gridCol w:w="684"/>
        <w:gridCol w:w="41"/>
        <w:gridCol w:w="197"/>
        <w:gridCol w:w="790"/>
        <w:gridCol w:w="188"/>
        <w:gridCol w:w="349"/>
        <w:gridCol w:w="28"/>
        <w:gridCol w:w="441"/>
        <w:gridCol w:w="416"/>
        <w:gridCol w:w="248"/>
        <w:gridCol w:w="1"/>
        <w:gridCol w:w="589"/>
        <w:gridCol w:w="196"/>
        <w:gridCol w:w="108"/>
        <w:gridCol w:w="2"/>
        <w:gridCol w:w="978"/>
        <w:gridCol w:w="1"/>
        <w:gridCol w:w="306"/>
        <w:gridCol w:w="660"/>
        <w:gridCol w:w="1"/>
        <w:gridCol w:w="1"/>
        <w:gridCol w:w="1083"/>
        <w:gridCol w:w="2"/>
        <w:gridCol w:w="1"/>
        <w:gridCol w:w="1"/>
        <w:gridCol w:w="1070"/>
      </w:tblGrid>
      <w:tr>
        <w:trPr>
          <w:trHeight w:val="492" w:hRule="atLeast"/>
        </w:trPr>
        <w:tc>
          <w:tcPr>
            <w:tcW w:w="2430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podnadpis"/>
              <w:spacing w:before="0" w:after="0"/>
              <w:jc w:val="left"/>
              <w:rPr>
                <w:b/>
                <w:b/>
                <w:szCs w:val="20"/>
              </w:rPr>
            </w:pPr>
            <w:r>
              <w:rPr>
                <w:b/>
                <w:szCs w:val="20"/>
              </w:rPr>
            </w:r>
          </w:p>
        </w:tc>
        <w:tc>
          <w:tcPr>
            <w:tcW w:w="2005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podnadpis"/>
              <w:spacing w:before="0" w:after="0"/>
              <w:jc w:val="center"/>
              <w:rPr/>
            </w:pPr>
            <w:r>
              <w:rPr>
                <w:b/>
                <w:sz w:val="18"/>
                <w:szCs w:val="18"/>
              </w:rPr>
              <w:t>Nehmotné výsledky z vývo-jovej a obdobnej činnosti</w:t>
            </w:r>
          </w:p>
        </w:tc>
        <w:tc>
          <w:tcPr>
            <w:tcW w:w="72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podnadpis"/>
              <w:spacing w:before="0" w:after="0"/>
              <w:jc w:val="center"/>
              <w:rPr/>
            </w:pPr>
            <w:r>
              <w:rPr>
                <w:b/>
                <w:sz w:val="18"/>
                <w:szCs w:val="18"/>
              </w:rPr>
              <w:t>Softvér</w:t>
            </w:r>
          </w:p>
        </w:tc>
        <w:tc>
          <w:tcPr>
            <w:tcW w:w="98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podnadpis"/>
              <w:spacing w:before="0" w:after="0"/>
              <w:jc w:val="center"/>
              <w:rPr/>
            </w:pPr>
            <w:r>
              <w:rPr>
                <w:b/>
                <w:sz w:val="18"/>
                <w:szCs w:val="18"/>
              </w:rPr>
              <w:t>Oceniteľné práva</w:t>
            </w:r>
          </w:p>
        </w:tc>
        <w:tc>
          <w:tcPr>
            <w:tcW w:w="1006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podnadpis"/>
              <w:spacing w:before="0" w:after="0"/>
              <w:jc w:val="center"/>
              <w:rPr/>
            </w:pPr>
            <w:r>
              <w:rPr>
                <w:b/>
                <w:sz w:val="18"/>
                <w:szCs w:val="18"/>
              </w:rPr>
              <w:t>Ostatný dlhodobý nehmotný majetok</w:t>
            </w:r>
          </w:p>
        </w:tc>
        <w:tc>
          <w:tcPr>
            <w:tcW w:w="1560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podnadpis"/>
              <w:spacing w:before="0" w:after="0"/>
              <w:jc w:val="center"/>
              <w:rPr/>
            </w:pPr>
            <w:r>
              <w:rPr>
                <w:b/>
                <w:sz w:val="18"/>
                <w:szCs w:val="18"/>
              </w:rPr>
              <w:t>Obstaranie dlhodobého nehmotného majetku</w:t>
            </w:r>
          </w:p>
        </w:tc>
        <w:tc>
          <w:tcPr>
            <w:tcW w:w="128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podnadpis"/>
              <w:spacing w:before="0" w:after="0"/>
              <w:jc w:val="center"/>
              <w:rPr/>
            </w:pPr>
            <w:r>
              <w:rPr>
                <w:b/>
                <w:sz w:val="18"/>
                <w:szCs w:val="18"/>
              </w:rPr>
              <w:t>Poskytnuté preddavky na dlhodobý nehmotný majetok</w:t>
            </w:r>
          </w:p>
        </w:tc>
        <w:tc>
          <w:tcPr>
            <w:tcW w:w="1748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podnadpis"/>
              <w:spacing w:before="0" w:after="0"/>
              <w:jc w:val="center"/>
              <w:rPr/>
            </w:pPr>
            <w:r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107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podnadpis"/>
              <w:spacing w:before="0" w:after="0"/>
              <w:jc w:val="left"/>
              <w:rPr>
                <w:b/>
                <w:b/>
                <w:szCs w:val="20"/>
              </w:rPr>
            </w:pPr>
            <w:r>
              <w:rPr>
                <w:b/>
                <w:szCs w:val="20"/>
              </w:rPr>
            </w:r>
          </w:p>
        </w:tc>
      </w:tr>
      <w:tr>
        <w:trPr>
          <w:trHeight w:val="244" w:hRule="atLeast"/>
        </w:trPr>
        <w:tc>
          <w:tcPr>
            <w:tcW w:w="2430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podnadpis"/>
              <w:spacing w:before="0" w:after="0"/>
              <w:jc w:val="left"/>
              <w:rPr/>
            </w:pPr>
            <w:r>
              <w:rPr>
                <w:b/>
                <w:szCs w:val="20"/>
              </w:rPr>
              <w:t>Prvotné ocenenie</w:t>
            </w:r>
            <w:r>
              <w:rPr>
                <w:szCs w:val="20"/>
              </w:rPr>
              <w:t xml:space="preserve"> - </w:t>
            </w:r>
            <w:r>
              <w:rPr>
                <w:sz w:val="18"/>
                <w:szCs w:val="18"/>
              </w:rPr>
              <w:t>stav na za-čiatku bežného účtovného obdobia</w:t>
            </w:r>
          </w:p>
        </w:tc>
        <w:tc>
          <w:tcPr>
            <w:tcW w:w="2005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podnadpis"/>
              <w:spacing w:before="0" w:after="0"/>
              <w:jc w:val="center"/>
              <w:rPr>
                <w:szCs w:val="20"/>
              </w:rPr>
            </w:pPr>
            <w:r>
              <w:rPr>
                <w:szCs w:val="20"/>
              </w:rPr>
            </w:r>
          </w:p>
        </w:tc>
        <w:tc>
          <w:tcPr>
            <w:tcW w:w="72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podnadpis"/>
              <w:spacing w:before="0" w:after="0"/>
              <w:jc w:val="center"/>
              <w:rPr/>
            </w:pPr>
            <w:r>
              <w:rPr>
                <w:szCs w:val="20"/>
              </w:rPr>
              <w:t>8232</w:t>
            </w:r>
          </w:p>
        </w:tc>
        <w:tc>
          <w:tcPr>
            <w:tcW w:w="98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podnadpis"/>
              <w:spacing w:before="0" w:after="0"/>
              <w:jc w:val="center"/>
              <w:rPr>
                <w:szCs w:val="20"/>
              </w:rPr>
            </w:pPr>
            <w:r>
              <w:rPr>
                <w:szCs w:val="20"/>
              </w:rPr>
            </w:r>
          </w:p>
        </w:tc>
        <w:tc>
          <w:tcPr>
            <w:tcW w:w="1006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podnadpis"/>
              <w:spacing w:before="0" w:after="0"/>
              <w:jc w:val="center"/>
              <w:rPr>
                <w:szCs w:val="20"/>
              </w:rPr>
            </w:pPr>
            <w:r>
              <w:rPr>
                <w:szCs w:val="20"/>
              </w:rPr>
            </w:r>
          </w:p>
        </w:tc>
        <w:tc>
          <w:tcPr>
            <w:tcW w:w="1560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podnadpis"/>
              <w:spacing w:before="0" w:after="0"/>
              <w:jc w:val="center"/>
              <w:rPr>
                <w:szCs w:val="20"/>
              </w:rPr>
            </w:pPr>
            <w:r>
              <w:rPr>
                <w:szCs w:val="20"/>
              </w:rPr>
            </w:r>
          </w:p>
        </w:tc>
        <w:tc>
          <w:tcPr>
            <w:tcW w:w="128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podnadpis"/>
              <w:spacing w:before="0" w:after="0"/>
              <w:jc w:val="center"/>
              <w:rPr>
                <w:szCs w:val="20"/>
              </w:rPr>
            </w:pPr>
            <w:r>
              <w:rPr>
                <w:szCs w:val="20"/>
              </w:rPr>
            </w:r>
          </w:p>
        </w:tc>
        <w:tc>
          <w:tcPr>
            <w:tcW w:w="1748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podnadpis"/>
              <w:spacing w:before="0" w:after="0"/>
              <w:jc w:val="center"/>
              <w:rPr/>
            </w:pPr>
            <w:r>
              <w:rPr>
                <w:szCs w:val="20"/>
              </w:rPr>
              <w:t>8232</w:t>
            </w:r>
          </w:p>
        </w:tc>
        <w:tc>
          <w:tcPr>
            <w:tcW w:w="107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podnadpis"/>
              <w:spacing w:before="0" w:after="0"/>
              <w:jc w:val="left"/>
              <w:rPr>
                <w:szCs w:val="20"/>
              </w:rPr>
            </w:pPr>
            <w:r>
              <w:rPr>
                <w:szCs w:val="20"/>
              </w:rPr>
            </w:r>
          </w:p>
        </w:tc>
      </w:tr>
      <w:tr>
        <w:trPr>
          <w:trHeight w:val="224" w:hRule="atLeast"/>
        </w:trPr>
        <w:tc>
          <w:tcPr>
            <w:tcW w:w="2430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podnadpis"/>
              <w:spacing w:before="0" w:after="0"/>
              <w:jc w:val="left"/>
              <w:rPr/>
            </w:pPr>
            <w:r>
              <w:rPr>
                <w:szCs w:val="20"/>
              </w:rPr>
              <w:t xml:space="preserve">prírastky  </w:t>
            </w:r>
          </w:p>
        </w:tc>
        <w:tc>
          <w:tcPr>
            <w:tcW w:w="2005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podnadpis"/>
              <w:spacing w:before="0" w:after="0"/>
              <w:jc w:val="center"/>
              <w:rPr>
                <w:szCs w:val="20"/>
              </w:rPr>
            </w:pPr>
            <w:r>
              <w:rPr>
                <w:szCs w:val="20"/>
              </w:rPr>
            </w:r>
          </w:p>
        </w:tc>
        <w:tc>
          <w:tcPr>
            <w:tcW w:w="72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podnadpis"/>
              <w:spacing w:before="0" w:after="0"/>
              <w:jc w:val="center"/>
              <w:rPr>
                <w:szCs w:val="20"/>
              </w:rPr>
            </w:pPr>
            <w:r>
              <w:rPr>
                <w:szCs w:val="20"/>
              </w:rPr>
            </w:r>
          </w:p>
        </w:tc>
        <w:tc>
          <w:tcPr>
            <w:tcW w:w="98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podnadpis"/>
              <w:spacing w:before="0" w:after="0"/>
              <w:jc w:val="center"/>
              <w:rPr>
                <w:szCs w:val="20"/>
              </w:rPr>
            </w:pPr>
            <w:r>
              <w:rPr>
                <w:szCs w:val="20"/>
              </w:rPr>
            </w:r>
          </w:p>
        </w:tc>
        <w:tc>
          <w:tcPr>
            <w:tcW w:w="1006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podnadpis"/>
              <w:spacing w:before="0" w:after="0"/>
              <w:jc w:val="center"/>
              <w:rPr>
                <w:szCs w:val="20"/>
              </w:rPr>
            </w:pPr>
            <w:r>
              <w:rPr>
                <w:szCs w:val="20"/>
              </w:rPr>
            </w:r>
          </w:p>
        </w:tc>
        <w:tc>
          <w:tcPr>
            <w:tcW w:w="1560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podnadpis"/>
              <w:spacing w:before="0" w:after="0"/>
              <w:jc w:val="center"/>
              <w:rPr>
                <w:szCs w:val="20"/>
              </w:rPr>
            </w:pPr>
            <w:r>
              <w:rPr>
                <w:szCs w:val="20"/>
              </w:rPr>
            </w:r>
          </w:p>
        </w:tc>
        <w:tc>
          <w:tcPr>
            <w:tcW w:w="128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podnadpis"/>
              <w:spacing w:before="0" w:after="0"/>
              <w:jc w:val="center"/>
              <w:rPr>
                <w:szCs w:val="20"/>
              </w:rPr>
            </w:pPr>
            <w:r>
              <w:rPr>
                <w:szCs w:val="20"/>
              </w:rPr>
            </w:r>
          </w:p>
        </w:tc>
        <w:tc>
          <w:tcPr>
            <w:tcW w:w="1748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podnadpis"/>
              <w:spacing w:before="0" w:after="0"/>
              <w:jc w:val="center"/>
              <w:rPr>
                <w:szCs w:val="20"/>
              </w:rPr>
            </w:pPr>
            <w:r>
              <w:rPr>
                <w:szCs w:val="20"/>
              </w:rPr>
            </w:r>
          </w:p>
        </w:tc>
        <w:tc>
          <w:tcPr>
            <w:tcW w:w="107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podnadpis"/>
              <w:spacing w:before="0" w:after="0"/>
              <w:jc w:val="left"/>
              <w:rPr>
                <w:szCs w:val="20"/>
              </w:rPr>
            </w:pPr>
            <w:r>
              <w:rPr>
                <w:szCs w:val="20"/>
              </w:rPr>
            </w:r>
          </w:p>
        </w:tc>
      </w:tr>
      <w:tr>
        <w:trPr>
          <w:trHeight w:val="224" w:hRule="atLeast"/>
        </w:trPr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rPr/>
            </w:pPr>
            <w:r>
              <w:rPr>
                <w:szCs w:val="20"/>
              </w:rPr>
              <w:t xml:space="preserve">úbytky </w:t>
            </w:r>
          </w:p>
        </w:tc>
        <w:tc>
          <w:tcPr>
            <w:tcW w:w="53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>
                <w:szCs w:val="20"/>
              </w:rPr>
            </w:pPr>
            <w:r>
              <w:rPr>
                <w:szCs w:val="20"/>
              </w:rPr>
            </w:r>
          </w:p>
        </w:tc>
        <w:tc>
          <w:tcPr>
            <w:tcW w:w="1065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jc w:val="center"/>
              <w:rPr>
                <w:szCs w:val="20"/>
              </w:rPr>
            </w:pPr>
            <w:r>
              <w:rPr>
                <w:szCs w:val="20"/>
              </w:rPr>
            </w:r>
          </w:p>
        </w:tc>
        <w:tc>
          <w:tcPr>
            <w:tcW w:w="1402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>
                <w:szCs w:val="20"/>
              </w:rPr>
            </w:pPr>
            <w:r>
              <w:rPr>
                <w:szCs w:val="20"/>
              </w:rPr>
            </w:r>
          </w:p>
        </w:tc>
        <w:tc>
          <w:tcPr>
            <w:tcW w:w="90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>
                <w:szCs w:val="20"/>
              </w:rPr>
            </w:pPr>
            <w:r>
              <w:rPr>
                <w:szCs w:val="20"/>
              </w:rPr>
            </w:r>
          </w:p>
        </w:tc>
        <w:tc>
          <w:tcPr>
            <w:tcW w:w="1216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>
                <w:szCs w:val="20"/>
              </w:rPr>
            </w:pPr>
            <w:r>
              <w:rPr>
                <w:szCs w:val="20"/>
              </w:rPr>
            </w:r>
          </w:p>
        </w:tc>
        <w:tc>
          <w:tcPr>
            <w:tcW w:w="123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>
                <w:szCs w:val="20"/>
              </w:rPr>
            </w:pPr>
            <w:r>
              <w:rPr>
                <w:szCs w:val="20"/>
              </w:rPr>
            </w:r>
          </w:p>
        </w:tc>
        <w:tc>
          <w:tcPr>
            <w:tcW w:w="5248" w:type="dxa"/>
            <w:gridSpan w:val="1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>
                <w:szCs w:val="20"/>
              </w:rPr>
            </w:pPr>
            <w:r>
              <w:rPr>
                <w:szCs w:val="20"/>
              </w:rPr>
            </w:r>
          </w:p>
        </w:tc>
      </w:tr>
      <w:tr>
        <w:trPr>
          <w:trHeight w:val="224" w:hRule="atLeast"/>
        </w:trPr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rPr/>
            </w:pPr>
            <w:r>
              <w:rPr>
                <w:szCs w:val="20"/>
              </w:rPr>
              <w:t>presuny</w:t>
            </w:r>
          </w:p>
        </w:tc>
        <w:tc>
          <w:tcPr>
            <w:tcW w:w="53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>
                <w:szCs w:val="20"/>
              </w:rPr>
            </w:pPr>
            <w:r>
              <w:rPr>
                <w:szCs w:val="20"/>
              </w:rPr>
            </w:r>
          </w:p>
        </w:tc>
        <w:tc>
          <w:tcPr>
            <w:tcW w:w="1065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jc w:val="center"/>
              <w:rPr>
                <w:szCs w:val="20"/>
              </w:rPr>
            </w:pPr>
            <w:r>
              <w:rPr>
                <w:szCs w:val="20"/>
              </w:rPr>
            </w:r>
          </w:p>
        </w:tc>
        <w:tc>
          <w:tcPr>
            <w:tcW w:w="1402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>
                <w:szCs w:val="20"/>
              </w:rPr>
            </w:pPr>
            <w:r>
              <w:rPr>
                <w:szCs w:val="20"/>
              </w:rPr>
            </w:r>
          </w:p>
        </w:tc>
        <w:tc>
          <w:tcPr>
            <w:tcW w:w="90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>
                <w:szCs w:val="20"/>
              </w:rPr>
            </w:pPr>
            <w:r>
              <w:rPr>
                <w:szCs w:val="20"/>
              </w:rPr>
            </w:r>
          </w:p>
        </w:tc>
        <w:tc>
          <w:tcPr>
            <w:tcW w:w="1216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>
                <w:szCs w:val="20"/>
              </w:rPr>
            </w:pPr>
            <w:r>
              <w:rPr>
                <w:szCs w:val="20"/>
              </w:rPr>
            </w:r>
          </w:p>
        </w:tc>
        <w:tc>
          <w:tcPr>
            <w:tcW w:w="123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>
                <w:szCs w:val="20"/>
              </w:rPr>
            </w:pPr>
            <w:r>
              <w:rPr>
                <w:szCs w:val="20"/>
              </w:rPr>
            </w:r>
          </w:p>
        </w:tc>
        <w:tc>
          <w:tcPr>
            <w:tcW w:w="5248" w:type="dxa"/>
            <w:gridSpan w:val="1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>
                <w:szCs w:val="20"/>
              </w:rPr>
            </w:pPr>
            <w:r>
              <w:rPr>
                <w:szCs w:val="20"/>
              </w:rPr>
            </w:r>
          </w:p>
        </w:tc>
      </w:tr>
      <w:tr>
        <w:trPr>
          <w:trHeight w:val="257" w:hRule="atLeast"/>
        </w:trPr>
        <w:tc>
          <w:tcPr>
            <w:tcW w:w="2430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rPr/>
            </w:pPr>
            <w:r>
              <w:rPr>
                <w:szCs w:val="20"/>
              </w:rPr>
              <w:t>Stav na konci bežného účtovného obdobia</w:t>
            </w:r>
          </w:p>
        </w:tc>
        <w:tc>
          <w:tcPr>
            <w:tcW w:w="2005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>
                <w:szCs w:val="20"/>
              </w:rPr>
            </w:pPr>
            <w:r>
              <w:rPr>
                <w:szCs w:val="20"/>
              </w:rPr>
            </w:r>
          </w:p>
        </w:tc>
        <w:tc>
          <w:tcPr>
            <w:tcW w:w="72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szCs w:val="20"/>
              </w:rPr>
              <w:t>8232</w:t>
            </w:r>
          </w:p>
        </w:tc>
        <w:tc>
          <w:tcPr>
            <w:tcW w:w="98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>
                <w:szCs w:val="20"/>
              </w:rPr>
            </w:pPr>
            <w:r>
              <w:rPr>
                <w:szCs w:val="20"/>
              </w:rPr>
            </w:r>
          </w:p>
        </w:tc>
        <w:tc>
          <w:tcPr>
            <w:tcW w:w="1006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>
                <w:szCs w:val="20"/>
              </w:rPr>
            </w:pPr>
            <w:r>
              <w:rPr>
                <w:szCs w:val="20"/>
              </w:rPr>
            </w:r>
          </w:p>
        </w:tc>
        <w:tc>
          <w:tcPr>
            <w:tcW w:w="1560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>
                <w:szCs w:val="20"/>
              </w:rPr>
            </w:pPr>
            <w:r>
              <w:rPr>
                <w:szCs w:val="20"/>
              </w:rPr>
            </w:r>
          </w:p>
        </w:tc>
        <w:tc>
          <w:tcPr>
            <w:tcW w:w="128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>
                <w:szCs w:val="20"/>
              </w:rPr>
            </w:pPr>
            <w:r>
              <w:rPr>
                <w:szCs w:val="20"/>
              </w:rPr>
            </w:r>
          </w:p>
        </w:tc>
        <w:tc>
          <w:tcPr>
            <w:tcW w:w="1748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szCs w:val="20"/>
              </w:rPr>
              <w:t>8232</w:t>
            </w:r>
          </w:p>
        </w:tc>
        <w:tc>
          <w:tcPr>
            <w:tcW w:w="107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rPr>
                <w:szCs w:val="20"/>
              </w:rPr>
            </w:pPr>
            <w:r>
              <w:rPr>
                <w:szCs w:val="20"/>
              </w:rPr>
            </w:r>
          </w:p>
        </w:tc>
      </w:tr>
      <w:tr>
        <w:trPr>
          <w:trHeight w:val="257" w:hRule="atLeast"/>
        </w:trPr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rPr/>
            </w:pPr>
            <w:r>
              <w:rPr>
                <w:b/>
                <w:szCs w:val="20"/>
              </w:rPr>
              <w:t xml:space="preserve">Oprávky – </w:t>
            </w:r>
            <w:r>
              <w:rPr>
                <w:szCs w:val="20"/>
              </w:rPr>
              <w:t>stav na začiatku bežného účtovného obdobia</w:t>
            </w:r>
          </w:p>
        </w:tc>
        <w:tc>
          <w:tcPr>
            <w:tcW w:w="53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>
                <w:szCs w:val="20"/>
              </w:rPr>
            </w:pPr>
            <w:r>
              <w:rPr>
                <w:szCs w:val="20"/>
              </w:rPr>
            </w:r>
          </w:p>
        </w:tc>
        <w:tc>
          <w:tcPr>
            <w:tcW w:w="1065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szCs w:val="20"/>
              </w:rPr>
              <w:t>0</w:t>
            </w:r>
          </w:p>
        </w:tc>
        <w:tc>
          <w:tcPr>
            <w:tcW w:w="1402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>
                <w:szCs w:val="20"/>
              </w:rPr>
            </w:pPr>
            <w:r>
              <w:rPr>
                <w:szCs w:val="20"/>
              </w:rPr>
            </w:r>
          </w:p>
        </w:tc>
        <w:tc>
          <w:tcPr>
            <w:tcW w:w="90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>
                <w:szCs w:val="20"/>
              </w:rPr>
            </w:pPr>
            <w:r>
              <w:rPr>
                <w:szCs w:val="20"/>
              </w:rPr>
            </w:r>
          </w:p>
        </w:tc>
        <w:tc>
          <w:tcPr>
            <w:tcW w:w="1216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>
                <w:szCs w:val="20"/>
              </w:rPr>
            </w:pPr>
            <w:r>
              <w:rPr>
                <w:szCs w:val="20"/>
              </w:rPr>
            </w:r>
          </w:p>
        </w:tc>
        <w:tc>
          <w:tcPr>
            <w:tcW w:w="123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>
                <w:szCs w:val="20"/>
              </w:rPr>
            </w:pPr>
            <w:r>
              <w:rPr>
                <w:szCs w:val="20"/>
              </w:rPr>
            </w:r>
          </w:p>
        </w:tc>
        <w:tc>
          <w:tcPr>
            <w:tcW w:w="5248" w:type="dxa"/>
            <w:gridSpan w:val="1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szCs w:val="20"/>
              </w:rPr>
              <w:t>0</w:t>
            </w:r>
          </w:p>
        </w:tc>
      </w:tr>
      <w:tr>
        <w:trPr>
          <w:trHeight w:val="224" w:hRule="atLeast"/>
        </w:trPr>
        <w:tc>
          <w:tcPr>
            <w:tcW w:w="2430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rPr/>
            </w:pPr>
            <w:r>
              <w:rPr>
                <w:szCs w:val="20"/>
              </w:rPr>
              <w:t xml:space="preserve">prírastky  </w:t>
            </w:r>
          </w:p>
        </w:tc>
        <w:tc>
          <w:tcPr>
            <w:tcW w:w="2005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>
                <w:szCs w:val="20"/>
              </w:rPr>
            </w:pPr>
            <w:r>
              <w:rPr>
                <w:szCs w:val="20"/>
              </w:rPr>
            </w:r>
          </w:p>
        </w:tc>
        <w:tc>
          <w:tcPr>
            <w:tcW w:w="72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szCs w:val="20"/>
              </w:rPr>
              <w:t>0</w:t>
            </w:r>
          </w:p>
        </w:tc>
        <w:tc>
          <w:tcPr>
            <w:tcW w:w="98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>
                <w:szCs w:val="20"/>
              </w:rPr>
            </w:pPr>
            <w:r>
              <w:rPr>
                <w:szCs w:val="20"/>
              </w:rPr>
            </w:r>
          </w:p>
        </w:tc>
        <w:tc>
          <w:tcPr>
            <w:tcW w:w="1006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>
                <w:szCs w:val="20"/>
              </w:rPr>
            </w:pPr>
            <w:r>
              <w:rPr>
                <w:szCs w:val="20"/>
              </w:rPr>
            </w:r>
          </w:p>
        </w:tc>
        <w:tc>
          <w:tcPr>
            <w:tcW w:w="1560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>
                <w:szCs w:val="20"/>
              </w:rPr>
            </w:pPr>
            <w:r>
              <w:rPr>
                <w:szCs w:val="20"/>
              </w:rPr>
            </w:r>
          </w:p>
        </w:tc>
        <w:tc>
          <w:tcPr>
            <w:tcW w:w="128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>
                <w:szCs w:val="20"/>
              </w:rPr>
            </w:pPr>
            <w:r>
              <w:rPr>
                <w:szCs w:val="20"/>
              </w:rPr>
            </w:r>
          </w:p>
        </w:tc>
        <w:tc>
          <w:tcPr>
            <w:tcW w:w="1748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szCs w:val="20"/>
              </w:rPr>
              <w:t>0</w:t>
            </w:r>
          </w:p>
          <w:p>
            <w:pPr>
              <w:pStyle w:val="Normal"/>
              <w:jc w:val="center"/>
              <w:rPr>
                <w:szCs w:val="20"/>
              </w:rPr>
            </w:pPr>
            <w:r>
              <w:rPr>
                <w:szCs w:val="20"/>
              </w:rPr>
            </w:r>
          </w:p>
        </w:tc>
        <w:tc>
          <w:tcPr>
            <w:tcW w:w="107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rPr>
                <w:szCs w:val="20"/>
              </w:rPr>
            </w:pPr>
            <w:r>
              <w:rPr>
                <w:szCs w:val="20"/>
              </w:rPr>
            </w:r>
          </w:p>
        </w:tc>
      </w:tr>
      <w:tr>
        <w:trPr>
          <w:trHeight w:val="224" w:hRule="atLeast"/>
        </w:trPr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rPr/>
            </w:pPr>
            <w:r>
              <w:rPr>
                <w:szCs w:val="20"/>
              </w:rPr>
              <w:t xml:space="preserve">úbytky </w:t>
            </w:r>
          </w:p>
        </w:tc>
        <w:tc>
          <w:tcPr>
            <w:tcW w:w="53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>
                <w:szCs w:val="20"/>
              </w:rPr>
            </w:pPr>
            <w:r>
              <w:rPr>
                <w:szCs w:val="20"/>
              </w:rPr>
            </w:r>
          </w:p>
        </w:tc>
        <w:tc>
          <w:tcPr>
            <w:tcW w:w="1065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>
                <w:szCs w:val="20"/>
              </w:rPr>
            </w:pPr>
            <w:r>
              <w:rPr>
                <w:szCs w:val="20"/>
              </w:rPr>
            </w:r>
          </w:p>
        </w:tc>
        <w:tc>
          <w:tcPr>
            <w:tcW w:w="1402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>
                <w:szCs w:val="20"/>
              </w:rPr>
            </w:pPr>
            <w:r>
              <w:rPr>
                <w:szCs w:val="20"/>
              </w:rPr>
            </w:r>
          </w:p>
        </w:tc>
        <w:tc>
          <w:tcPr>
            <w:tcW w:w="90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>
                <w:szCs w:val="20"/>
              </w:rPr>
            </w:pPr>
            <w:r>
              <w:rPr>
                <w:szCs w:val="20"/>
              </w:rPr>
            </w:r>
          </w:p>
        </w:tc>
        <w:tc>
          <w:tcPr>
            <w:tcW w:w="1216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>
                <w:szCs w:val="20"/>
              </w:rPr>
            </w:pPr>
            <w:r>
              <w:rPr>
                <w:szCs w:val="20"/>
              </w:rPr>
            </w:r>
          </w:p>
        </w:tc>
        <w:tc>
          <w:tcPr>
            <w:tcW w:w="123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>
                <w:szCs w:val="20"/>
              </w:rPr>
            </w:pPr>
            <w:r>
              <w:rPr>
                <w:szCs w:val="20"/>
              </w:rPr>
            </w:r>
          </w:p>
        </w:tc>
        <w:tc>
          <w:tcPr>
            <w:tcW w:w="5248" w:type="dxa"/>
            <w:gridSpan w:val="1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>
                <w:szCs w:val="20"/>
              </w:rPr>
            </w:pPr>
            <w:r>
              <w:rPr>
                <w:szCs w:val="20"/>
              </w:rPr>
            </w:r>
          </w:p>
        </w:tc>
      </w:tr>
      <w:tr>
        <w:trPr>
          <w:trHeight w:val="250" w:hRule="atLeast"/>
        </w:trPr>
        <w:tc>
          <w:tcPr>
            <w:tcW w:w="2430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rPr/>
            </w:pPr>
            <w:r>
              <w:rPr>
                <w:szCs w:val="20"/>
              </w:rPr>
              <w:t>Stav na konci bežného účtovného obdobia</w:t>
            </w:r>
          </w:p>
        </w:tc>
        <w:tc>
          <w:tcPr>
            <w:tcW w:w="2005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>
                <w:szCs w:val="20"/>
              </w:rPr>
            </w:pPr>
            <w:r>
              <w:rPr>
                <w:szCs w:val="20"/>
              </w:rPr>
            </w:r>
          </w:p>
        </w:tc>
        <w:tc>
          <w:tcPr>
            <w:tcW w:w="72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szCs w:val="20"/>
              </w:rPr>
              <w:t>8232</w:t>
            </w:r>
          </w:p>
        </w:tc>
        <w:tc>
          <w:tcPr>
            <w:tcW w:w="98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>
                <w:szCs w:val="20"/>
              </w:rPr>
            </w:pPr>
            <w:r>
              <w:rPr>
                <w:szCs w:val="20"/>
              </w:rPr>
            </w:r>
          </w:p>
        </w:tc>
        <w:tc>
          <w:tcPr>
            <w:tcW w:w="1006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>
                <w:szCs w:val="20"/>
              </w:rPr>
            </w:pPr>
            <w:r>
              <w:rPr>
                <w:szCs w:val="20"/>
              </w:rPr>
            </w:r>
          </w:p>
        </w:tc>
        <w:tc>
          <w:tcPr>
            <w:tcW w:w="1560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>
                <w:szCs w:val="20"/>
              </w:rPr>
            </w:pPr>
            <w:r>
              <w:rPr>
                <w:szCs w:val="20"/>
              </w:rPr>
            </w:r>
          </w:p>
        </w:tc>
        <w:tc>
          <w:tcPr>
            <w:tcW w:w="128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>
                <w:szCs w:val="20"/>
              </w:rPr>
            </w:pPr>
            <w:r>
              <w:rPr>
                <w:szCs w:val="20"/>
              </w:rPr>
            </w:r>
          </w:p>
        </w:tc>
        <w:tc>
          <w:tcPr>
            <w:tcW w:w="1748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szCs w:val="20"/>
              </w:rPr>
              <w:t>8232</w:t>
            </w:r>
          </w:p>
        </w:tc>
        <w:tc>
          <w:tcPr>
            <w:tcW w:w="107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rPr>
                <w:szCs w:val="20"/>
              </w:rPr>
            </w:pPr>
            <w:r>
              <w:rPr>
                <w:szCs w:val="20"/>
              </w:rPr>
            </w:r>
          </w:p>
        </w:tc>
      </w:tr>
      <w:tr>
        <w:trPr>
          <w:trHeight w:val="244" w:hRule="atLeast"/>
        </w:trPr>
        <w:tc>
          <w:tcPr>
            <w:tcW w:w="2430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rPr/>
            </w:pPr>
            <w:r>
              <w:rPr>
                <w:b/>
                <w:szCs w:val="20"/>
              </w:rPr>
              <w:t>Opravné položky</w:t>
            </w:r>
            <w:r>
              <w:rPr>
                <w:szCs w:val="20"/>
              </w:rPr>
              <w:t xml:space="preserve"> – </w:t>
            </w:r>
            <w:r>
              <w:rPr>
                <w:sz w:val="18"/>
                <w:szCs w:val="18"/>
              </w:rPr>
              <w:t>stav na za- čiatku bežného účtovného obdobia</w:t>
            </w:r>
          </w:p>
        </w:tc>
        <w:tc>
          <w:tcPr>
            <w:tcW w:w="2005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>
                <w:szCs w:val="20"/>
              </w:rPr>
            </w:pPr>
            <w:r>
              <w:rPr>
                <w:szCs w:val="20"/>
              </w:rPr>
            </w:r>
          </w:p>
        </w:tc>
        <w:tc>
          <w:tcPr>
            <w:tcW w:w="72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>
                <w:szCs w:val="20"/>
              </w:rPr>
            </w:pPr>
            <w:r>
              <w:rPr>
                <w:szCs w:val="20"/>
              </w:rPr>
            </w:r>
          </w:p>
        </w:tc>
        <w:tc>
          <w:tcPr>
            <w:tcW w:w="98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>
                <w:szCs w:val="20"/>
              </w:rPr>
            </w:pPr>
            <w:r>
              <w:rPr>
                <w:szCs w:val="20"/>
              </w:rPr>
            </w:r>
          </w:p>
        </w:tc>
        <w:tc>
          <w:tcPr>
            <w:tcW w:w="1006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>
                <w:szCs w:val="20"/>
              </w:rPr>
            </w:pPr>
            <w:r>
              <w:rPr>
                <w:szCs w:val="20"/>
              </w:rPr>
            </w:r>
          </w:p>
        </w:tc>
        <w:tc>
          <w:tcPr>
            <w:tcW w:w="1560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>
                <w:szCs w:val="20"/>
              </w:rPr>
            </w:pPr>
            <w:r>
              <w:rPr>
                <w:szCs w:val="20"/>
              </w:rPr>
            </w:r>
          </w:p>
        </w:tc>
        <w:tc>
          <w:tcPr>
            <w:tcW w:w="128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>
                <w:szCs w:val="20"/>
              </w:rPr>
            </w:pPr>
            <w:r>
              <w:rPr>
                <w:szCs w:val="20"/>
              </w:rPr>
            </w:r>
          </w:p>
        </w:tc>
        <w:tc>
          <w:tcPr>
            <w:tcW w:w="1748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>
                <w:szCs w:val="20"/>
              </w:rPr>
            </w:pPr>
            <w:r>
              <w:rPr>
                <w:szCs w:val="20"/>
              </w:rPr>
            </w:r>
          </w:p>
        </w:tc>
        <w:tc>
          <w:tcPr>
            <w:tcW w:w="107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rPr>
                <w:szCs w:val="20"/>
              </w:rPr>
            </w:pPr>
            <w:r>
              <w:rPr>
                <w:szCs w:val="20"/>
              </w:rPr>
            </w:r>
          </w:p>
        </w:tc>
      </w:tr>
      <w:tr>
        <w:trPr>
          <w:trHeight w:val="172" w:hRule="atLeast"/>
        </w:trPr>
        <w:tc>
          <w:tcPr>
            <w:tcW w:w="2430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rPr/>
            </w:pPr>
            <w:r>
              <w:rPr>
                <w:szCs w:val="20"/>
              </w:rPr>
              <w:t xml:space="preserve">prírastky  </w:t>
            </w:r>
          </w:p>
        </w:tc>
        <w:tc>
          <w:tcPr>
            <w:tcW w:w="2005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>
                <w:szCs w:val="20"/>
              </w:rPr>
            </w:pPr>
            <w:r>
              <w:rPr>
                <w:szCs w:val="20"/>
              </w:rPr>
            </w:r>
          </w:p>
        </w:tc>
        <w:tc>
          <w:tcPr>
            <w:tcW w:w="72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>
                <w:szCs w:val="20"/>
              </w:rPr>
            </w:pPr>
            <w:r>
              <w:rPr>
                <w:szCs w:val="20"/>
              </w:rPr>
            </w:r>
          </w:p>
        </w:tc>
        <w:tc>
          <w:tcPr>
            <w:tcW w:w="98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>
                <w:szCs w:val="20"/>
              </w:rPr>
            </w:pPr>
            <w:r>
              <w:rPr>
                <w:szCs w:val="20"/>
              </w:rPr>
            </w:r>
          </w:p>
        </w:tc>
        <w:tc>
          <w:tcPr>
            <w:tcW w:w="1006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>
                <w:szCs w:val="20"/>
              </w:rPr>
            </w:pPr>
            <w:r>
              <w:rPr>
                <w:szCs w:val="20"/>
              </w:rPr>
            </w:r>
          </w:p>
        </w:tc>
        <w:tc>
          <w:tcPr>
            <w:tcW w:w="1560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>
                <w:szCs w:val="20"/>
              </w:rPr>
            </w:pPr>
            <w:r>
              <w:rPr>
                <w:szCs w:val="20"/>
              </w:rPr>
            </w:r>
          </w:p>
        </w:tc>
        <w:tc>
          <w:tcPr>
            <w:tcW w:w="128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>
                <w:szCs w:val="20"/>
              </w:rPr>
            </w:pPr>
            <w:r>
              <w:rPr>
                <w:szCs w:val="20"/>
              </w:rPr>
            </w:r>
          </w:p>
        </w:tc>
        <w:tc>
          <w:tcPr>
            <w:tcW w:w="1748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>
                <w:szCs w:val="20"/>
              </w:rPr>
            </w:pPr>
            <w:r>
              <w:rPr>
                <w:szCs w:val="20"/>
              </w:rPr>
            </w:r>
          </w:p>
        </w:tc>
        <w:tc>
          <w:tcPr>
            <w:tcW w:w="107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rPr>
                <w:szCs w:val="20"/>
              </w:rPr>
            </w:pPr>
            <w:r>
              <w:rPr>
                <w:szCs w:val="20"/>
              </w:rPr>
            </w:r>
          </w:p>
        </w:tc>
      </w:tr>
      <w:tr>
        <w:trPr>
          <w:trHeight w:val="188" w:hRule="atLeast"/>
        </w:trPr>
        <w:tc>
          <w:tcPr>
            <w:tcW w:w="2430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rPr/>
            </w:pPr>
            <w:r>
              <w:rPr>
                <w:szCs w:val="20"/>
              </w:rPr>
              <w:t xml:space="preserve">úbytky </w:t>
            </w:r>
          </w:p>
        </w:tc>
        <w:tc>
          <w:tcPr>
            <w:tcW w:w="2005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>
                <w:szCs w:val="20"/>
              </w:rPr>
            </w:pPr>
            <w:r>
              <w:rPr>
                <w:szCs w:val="20"/>
              </w:rPr>
            </w:r>
          </w:p>
        </w:tc>
        <w:tc>
          <w:tcPr>
            <w:tcW w:w="72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>
                <w:szCs w:val="20"/>
              </w:rPr>
            </w:pPr>
            <w:r>
              <w:rPr>
                <w:szCs w:val="20"/>
              </w:rPr>
            </w:r>
          </w:p>
        </w:tc>
        <w:tc>
          <w:tcPr>
            <w:tcW w:w="98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>
                <w:szCs w:val="20"/>
              </w:rPr>
            </w:pPr>
            <w:r>
              <w:rPr>
                <w:szCs w:val="20"/>
              </w:rPr>
            </w:r>
          </w:p>
        </w:tc>
        <w:tc>
          <w:tcPr>
            <w:tcW w:w="1006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>
                <w:szCs w:val="20"/>
              </w:rPr>
            </w:pPr>
            <w:r>
              <w:rPr>
                <w:szCs w:val="20"/>
              </w:rPr>
            </w:r>
          </w:p>
        </w:tc>
        <w:tc>
          <w:tcPr>
            <w:tcW w:w="1560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>
                <w:szCs w:val="20"/>
              </w:rPr>
            </w:pPr>
            <w:r>
              <w:rPr>
                <w:szCs w:val="20"/>
              </w:rPr>
            </w:r>
          </w:p>
        </w:tc>
        <w:tc>
          <w:tcPr>
            <w:tcW w:w="128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>
                <w:szCs w:val="20"/>
              </w:rPr>
            </w:pPr>
            <w:r>
              <w:rPr>
                <w:szCs w:val="20"/>
              </w:rPr>
            </w:r>
          </w:p>
        </w:tc>
        <w:tc>
          <w:tcPr>
            <w:tcW w:w="1748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>
                <w:szCs w:val="20"/>
              </w:rPr>
            </w:pPr>
            <w:r>
              <w:rPr>
                <w:szCs w:val="20"/>
              </w:rPr>
            </w:r>
          </w:p>
        </w:tc>
        <w:tc>
          <w:tcPr>
            <w:tcW w:w="107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rPr>
                <w:szCs w:val="20"/>
              </w:rPr>
            </w:pPr>
            <w:r>
              <w:rPr>
                <w:szCs w:val="20"/>
              </w:rPr>
            </w:r>
          </w:p>
        </w:tc>
      </w:tr>
      <w:tr>
        <w:trPr>
          <w:trHeight w:val="188" w:hRule="atLeast"/>
        </w:trPr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rPr/>
            </w:pPr>
            <w:r>
              <w:rPr>
                <w:szCs w:val="20"/>
              </w:rPr>
              <w:t>Stav na konci bežného účtovného obdobia</w:t>
            </w:r>
          </w:p>
        </w:tc>
        <w:tc>
          <w:tcPr>
            <w:tcW w:w="53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>
                <w:szCs w:val="20"/>
              </w:rPr>
            </w:pPr>
            <w:r>
              <w:rPr>
                <w:szCs w:val="20"/>
              </w:rPr>
            </w:r>
          </w:p>
        </w:tc>
        <w:tc>
          <w:tcPr>
            <w:tcW w:w="1065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szCs w:val="20"/>
              </w:rPr>
              <w:t>0</w:t>
            </w:r>
          </w:p>
        </w:tc>
        <w:tc>
          <w:tcPr>
            <w:tcW w:w="1402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>
                <w:szCs w:val="20"/>
              </w:rPr>
            </w:pPr>
            <w:r>
              <w:rPr>
                <w:szCs w:val="20"/>
              </w:rPr>
            </w:r>
          </w:p>
        </w:tc>
        <w:tc>
          <w:tcPr>
            <w:tcW w:w="90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>
                <w:szCs w:val="20"/>
              </w:rPr>
            </w:pPr>
            <w:r>
              <w:rPr>
                <w:szCs w:val="20"/>
              </w:rPr>
            </w:r>
          </w:p>
        </w:tc>
        <w:tc>
          <w:tcPr>
            <w:tcW w:w="1216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>
                <w:szCs w:val="20"/>
              </w:rPr>
            </w:pPr>
            <w:r>
              <w:rPr>
                <w:szCs w:val="20"/>
              </w:rPr>
            </w:r>
          </w:p>
        </w:tc>
        <w:tc>
          <w:tcPr>
            <w:tcW w:w="123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>
                <w:szCs w:val="20"/>
              </w:rPr>
            </w:pPr>
            <w:r>
              <w:rPr>
                <w:szCs w:val="20"/>
              </w:rPr>
            </w:r>
          </w:p>
        </w:tc>
        <w:tc>
          <w:tcPr>
            <w:tcW w:w="5248" w:type="dxa"/>
            <w:gridSpan w:val="1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szCs w:val="20"/>
              </w:rPr>
              <w:t>0</w:t>
            </w:r>
          </w:p>
        </w:tc>
      </w:tr>
      <w:tr>
        <w:trPr>
          <w:trHeight w:val="351" w:hRule="atLeast"/>
        </w:trPr>
        <w:tc>
          <w:tcPr>
            <w:tcW w:w="11747" w:type="dxa"/>
            <w:gridSpan w:val="3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rPr/>
            </w:pPr>
            <w:r>
              <w:rPr>
                <w:b/>
                <w:szCs w:val="20"/>
              </w:rPr>
              <w:t>Zostatková hodnota</w:t>
            </w:r>
          </w:p>
        </w:tc>
        <w:tc>
          <w:tcPr>
            <w:tcW w:w="1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rPr>
                <w:b/>
                <w:b/>
                <w:szCs w:val="20"/>
              </w:rPr>
            </w:pPr>
            <w:r>
              <w:rPr>
                <w:b/>
                <w:szCs w:val="20"/>
              </w:rPr>
            </w:r>
          </w:p>
        </w:tc>
      </w:tr>
      <w:tr>
        <w:trPr>
          <w:trHeight w:val="201" w:hRule="atLeast"/>
        </w:trPr>
        <w:tc>
          <w:tcPr>
            <w:tcW w:w="2443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rPr/>
            </w:pPr>
            <w:r>
              <w:rPr>
                <w:szCs w:val="20"/>
              </w:rPr>
              <w:t>Stav na začiatku bežného účtovného obdobia</w:t>
            </w:r>
          </w:p>
        </w:tc>
        <w:tc>
          <w:tcPr>
            <w:tcW w:w="1992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>
                <w:szCs w:val="20"/>
              </w:rPr>
            </w:pPr>
            <w:r>
              <w:rPr>
                <w:szCs w:val="20"/>
              </w:rPr>
            </w:r>
          </w:p>
        </w:tc>
        <w:tc>
          <w:tcPr>
            <w:tcW w:w="72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szCs w:val="20"/>
              </w:rPr>
              <w:t>0</w:t>
            </w:r>
          </w:p>
        </w:tc>
        <w:tc>
          <w:tcPr>
            <w:tcW w:w="98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>
                <w:szCs w:val="20"/>
              </w:rPr>
            </w:pPr>
            <w:r>
              <w:rPr>
                <w:szCs w:val="20"/>
              </w:rPr>
            </w:r>
          </w:p>
        </w:tc>
        <w:tc>
          <w:tcPr>
            <w:tcW w:w="1006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>
                <w:szCs w:val="20"/>
              </w:rPr>
            </w:pPr>
            <w:r>
              <w:rPr>
                <w:szCs w:val="20"/>
              </w:rPr>
            </w:r>
          </w:p>
        </w:tc>
        <w:tc>
          <w:tcPr>
            <w:tcW w:w="125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>
                <w:szCs w:val="20"/>
              </w:rPr>
            </w:pPr>
            <w:r>
              <w:rPr>
                <w:szCs w:val="20"/>
              </w:rPr>
            </w:r>
          </w:p>
        </w:tc>
        <w:tc>
          <w:tcPr>
            <w:tcW w:w="2253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>
                <w:szCs w:val="20"/>
              </w:rPr>
            </w:pPr>
            <w:r>
              <w:rPr>
                <w:szCs w:val="20"/>
              </w:rPr>
            </w:r>
          </w:p>
        </w:tc>
        <w:tc>
          <w:tcPr>
            <w:tcW w:w="108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07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>
          <w:trHeight w:val="405" w:hRule="atLeast"/>
        </w:trPr>
        <w:tc>
          <w:tcPr>
            <w:tcW w:w="2443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rPr/>
            </w:pPr>
            <w:r>
              <w:rPr>
                <w:szCs w:val="20"/>
              </w:rPr>
              <w:t>Stav na konci bežného účtovného obdobia</w:t>
            </w:r>
          </w:p>
        </w:tc>
        <w:tc>
          <w:tcPr>
            <w:tcW w:w="1992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>
                <w:szCs w:val="20"/>
              </w:rPr>
            </w:pPr>
            <w:r>
              <w:rPr>
                <w:szCs w:val="20"/>
              </w:rPr>
            </w:r>
          </w:p>
        </w:tc>
        <w:tc>
          <w:tcPr>
            <w:tcW w:w="72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szCs w:val="20"/>
              </w:rPr>
              <w:t>0</w:t>
            </w:r>
          </w:p>
        </w:tc>
        <w:tc>
          <w:tcPr>
            <w:tcW w:w="98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>
                <w:szCs w:val="20"/>
              </w:rPr>
            </w:pPr>
            <w:r>
              <w:rPr>
                <w:szCs w:val="20"/>
              </w:rPr>
            </w:r>
          </w:p>
        </w:tc>
        <w:tc>
          <w:tcPr>
            <w:tcW w:w="1006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>
                <w:szCs w:val="20"/>
              </w:rPr>
            </w:pPr>
            <w:r>
              <w:rPr>
                <w:szCs w:val="20"/>
              </w:rPr>
            </w:r>
          </w:p>
        </w:tc>
        <w:tc>
          <w:tcPr>
            <w:tcW w:w="125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>
                <w:szCs w:val="20"/>
              </w:rPr>
            </w:pPr>
            <w:r>
              <w:rPr>
                <w:szCs w:val="20"/>
              </w:rPr>
            </w:r>
          </w:p>
        </w:tc>
        <w:tc>
          <w:tcPr>
            <w:tcW w:w="2253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>
                <w:szCs w:val="20"/>
              </w:rPr>
            </w:pPr>
            <w:r>
              <w:rPr>
                <w:szCs w:val="20"/>
              </w:rPr>
            </w:r>
          </w:p>
        </w:tc>
        <w:tc>
          <w:tcPr>
            <w:tcW w:w="108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07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>
          <w:trHeight w:val="864" w:hRule="atLeast"/>
        </w:trPr>
        <w:tc>
          <w:tcPr>
            <w:tcW w:w="132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rPr>
                <w:b/>
                <w:b/>
                <w:szCs w:val="20"/>
              </w:rPr>
            </w:pPr>
            <w:r>
              <w:rPr>
                <w:b/>
                <w:szCs w:val="20"/>
              </w:rPr>
            </w:r>
          </w:p>
        </w:tc>
        <w:tc>
          <w:tcPr>
            <w:tcW w:w="89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jc w:val="center"/>
              <w:rPr/>
            </w:pPr>
            <w:r>
              <w:rPr>
                <w:b/>
                <w:sz w:val="16"/>
                <w:szCs w:val="16"/>
              </w:rPr>
              <w:t>Pozem-ky</w:t>
            </w:r>
          </w:p>
        </w:tc>
        <w:tc>
          <w:tcPr>
            <w:tcW w:w="883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jc w:val="center"/>
              <w:rPr/>
            </w:pPr>
            <w:r>
              <w:rPr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11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jc w:val="center"/>
              <w:rPr/>
            </w:pPr>
            <w:r>
              <w:rPr>
                <w:b/>
                <w:sz w:val="16"/>
                <w:szCs w:val="16"/>
              </w:rPr>
              <w:t>Stavby</w:t>
            </w:r>
          </w:p>
        </w:tc>
        <w:tc>
          <w:tcPr>
            <w:tcW w:w="1140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jc w:val="center"/>
              <w:rPr/>
            </w:pPr>
            <w:r>
              <w:rPr>
                <w:b/>
                <w:sz w:val="16"/>
                <w:szCs w:val="16"/>
              </w:rPr>
              <w:t>Samostatné hnuteľn</w:t>
            </w:r>
            <w:r>
              <w:rPr>
                <w:rFonts w:cs="Agency FB"/>
                <w:b/>
                <w:sz w:val="16"/>
                <w:szCs w:val="16"/>
              </w:rPr>
              <w:t>é</w:t>
            </w:r>
            <w:r>
              <w:rPr>
                <w:b/>
                <w:sz w:val="16"/>
                <w:szCs w:val="16"/>
              </w:rPr>
              <w:t xml:space="preserve"> veci a</w:t>
            </w:r>
            <w:r>
              <w:rPr>
                <w:rFonts w:cs="Agency FB"/>
                <w:b/>
                <w:sz w:val="16"/>
                <w:szCs w:val="16"/>
              </w:rPr>
              <w:t> </w:t>
            </w:r>
            <w:r>
              <w:rPr>
                <w:b/>
                <w:sz w:val="16"/>
                <w:szCs w:val="16"/>
              </w:rPr>
              <w:t>s</w:t>
            </w:r>
            <w:r>
              <w:rPr>
                <w:rFonts w:cs="Agency FB"/>
                <w:b/>
                <w:sz w:val="16"/>
                <w:szCs w:val="16"/>
              </w:rPr>
              <w:t>ú</w:t>
            </w:r>
            <w:r>
              <w:rPr>
                <w:b/>
                <w:sz w:val="16"/>
                <w:szCs w:val="16"/>
              </w:rPr>
              <w:t>bory hnuteľn</w:t>
            </w:r>
            <w:r>
              <w:rPr>
                <w:rFonts w:cs="Agency FB"/>
                <w:b/>
                <w:sz w:val="16"/>
                <w:szCs w:val="16"/>
              </w:rPr>
              <w:t>ý</w:t>
            </w:r>
            <w:r>
              <w:rPr>
                <w:b/>
                <w:sz w:val="16"/>
                <w:szCs w:val="16"/>
              </w:rPr>
              <w:t>ch vec</w:t>
            </w:r>
            <w:r>
              <w:rPr>
                <w:rFonts w:cs="Agency FB"/>
                <w:b/>
                <w:sz w:val="16"/>
                <w:szCs w:val="16"/>
              </w:rPr>
              <w:t>í</w:t>
            </w:r>
          </w:p>
        </w:tc>
        <w:tc>
          <w:tcPr>
            <w:tcW w:w="1355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Spacing"/>
              <w:rPr/>
            </w:pPr>
            <w:r>
              <w:rPr>
                <w:b/>
                <w:sz w:val="16"/>
                <w:szCs w:val="16"/>
              </w:rPr>
              <w:t>Dopravné prostriedky</w:t>
            </w:r>
          </w:p>
        </w:tc>
        <w:tc>
          <w:tcPr>
            <w:tcW w:w="1106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Spacing"/>
              <w:jc w:val="center"/>
              <w:rPr/>
            </w:pPr>
            <w:r>
              <w:rPr>
                <w:b/>
                <w:sz w:val="16"/>
                <w:szCs w:val="16"/>
              </w:rPr>
              <w:t>Pestovateľsk</w:t>
            </w:r>
            <w:r>
              <w:rPr>
                <w:rFonts w:cs="Agency FB"/>
                <w:b/>
                <w:sz w:val="16"/>
                <w:szCs w:val="16"/>
              </w:rPr>
              <w:t>é</w:t>
            </w:r>
            <w:r>
              <w:rPr>
                <w:b/>
                <w:sz w:val="16"/>
                <w:szCs w:val="16"/>
              </w:rPr>
              <w:t xml:space="preserve"> celky trval</w:t>
            </w:r>
            <w:r>
              <w:rPr>
                <w:rFonts w:cs="Agency FB"/>
                <w:b/>
                <w:sz w:val="16"/>
                <w:szCs w:val="16"/>
              </w:rPr>
              <w:t>ý</w:t>
            </w:r>
            <w:r>
              <w:rPr>
                <w:b/>
                <w:sz w:val="16"/>
                <w:szCs w:val="16"/>
              </w:rPr>
              <w:t>ch porastov</w:t>
            </w:r>
          </w:p>
        </w:tc>
        <w:tc>
          <w:tcPr>
            <w:tcW w:w="7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Spacing"/>
              <w:jc w:val="center"/>
              <w:rPr/>
            </w:pPr>
            <w:r>
              <w:rPr>
                <w:b/>
                <w:sz w:val="16"/>
                <w:szCs w:val="16"/>
              </w:rPr>
              <w:t>Základné stádo a ťa</w:t>
            </w:r>
            <w:r>
              <w:rPr>
                <w:rFonts w:cs="Agency FB"/>
                <w:b/>
                <w:sz w:val="16"/>
                <w:szCs w:val="16"/>
              </w:rPr>
              <w:t>ž</w:t>
            </w:r>
            <w:r>
              <w:rPr>
                <w:b/>
                <w:sz w:val="16"/>
                <w:szCs w:val="16"/>
              </w:rPr>
              <w:t>n</w:t>
            </w:r>
            <w:r>
              <w:rPr>
                <w:rFonts w:cs="Agency FB"/>
                <w:b/>
                <w:sz w:val="16"/>
                <w:szCs w:val="16"/>
              </w:rPr>
              <w:t>é</w:t>
            </w:r>
            <w:r>
              <w:rPr>
                <w:b/>
                <w:sz w:val="16"/>
                <w:szCs w:val="16"/>
              </w:rPr>
              <w:t xml:space="preserve"> zvierat</w:t>
            </w:r>
            <w:r>
              <w:rPr>
                <w:rFonts w:cs="Agency FB"/>
                <w:b/>
                <w:sz w:val="16"/>
                <w:szCs w:val="16"/>
              </w:rPr>
              <w:t>á</w:t>
            </w:r>
          </w:p>
        </w:tc>
        <w:tc>
          <w:tcPr>
            <w:tcW w:w="1089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Spacing"/>
              <w:jc w:val="center"/>
              <w:rPr/>
            </w:pPr>
            <w:r>
              <w:rPr>
                <w:b/>
                <w:sz w:val="16"/>
                <w:szCs w:val="16"/>
              </w:rPr>
              <w:t>Drobný a ostatný dlhodobý hmotný majetok</w:t>
            </w:r>
          </w:p>
        </w:tc>
        <w:tc>
          <w:tcPr>
            <w:tcW w:w="96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Spacing"/>
              <w:jc w:val="center"/>
              <w:rPr/>
            </w:pPr>
            <w:r>
              <w:rPr>
                <w:b/>
                <w:sz w:val="16"/>
                <w:szCs w:val="16"/>
              </w:rPr>
              <w:t>Obstaranie dlhodobého hmotného majetku</w:t>
            </w:r>
          </w:p>
        </w:tc>
        <w:tc>
          <w:tcPr>
            <w:tcW w:w="108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Spacing"/>
              <w:jc w:val="center"/>
              <w:rPr/>
            </w:pPr>
            <w:r>
              <w:rPr>
                <w:b/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107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Spacing"/>
              <w:jc w:val="center"/>
              <w:rPr/>
            </w:pPr>
            <w:r>
              <w:rPr>
                <w:b/>
                <w:sz w:val="16"/>
                <w:szCs w:val="16"/>
              </w:rPr>
              <w:t>Spolu</w:t>
            </w:r>
          </w:p>
        </w:tc>
      </w:tr>
      <w:tr>
        <w:trPr>
          <w:trHeight w:val="380" w:hRule="atLeast"/>
        </w:trPr>
        <w:tc>
          <w:tcPr>
            <w:tcW w:w="132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podnadpis"/>
              <w:spacing w:before="0" w:after="0"/>
              <w:jc w:val="left"/>
              <w:rPr/>
            </w:pPr>
            <w:r>
              <w:rPr>
                <w:b/>
                <w:sz w:val="16"/>
                <w:szCs w:val="16"/>
              </w:rPr>
              <w:t>Prvotné ocenenie</w:t>
            </w:r>
            <w:r>
              <w:rPr>
                <w:sz w:val="16"/>
                <w:szCs w:val="16"/>
              </w:rPr>
              <w:t xml:space="preserve"> - stav na začiatku bežného účtovného obdobia</w:t>
            </w:r>
          </w:p>
        </w:tc>
        <w:tc>
          <w:tcPr>
            <w:tcW w:w="89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podnadpis"/>
              <w:spacing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83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podnadpis"/>
              <w:spacing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11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podnadpis"/>
              <w:spacing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140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podnadpis"/>
              <w:spacing w:before="0" w:after="0"/>
              <w:jc w:val="center"/>
              <w:rPr/>
            </w:pPr>
            <w:r>
              <w:rPr>
                <w:sz w:val="18"/>
                <w:szCs w:val="18"/>
              </w:rPr>
              <w:t>1515499,12</w:t>
            </w:r>
          </w:p>
        </w:tc>
        <w:tc>
          <w:tcPr>
            <w:tcW w:w="1355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podnadpis"/>
              <w:spacing w:before="0" w:after="0"/>
              <w:jc w:val="center"/>
              <w:rPr/>
            </w:pPr>
            <w:r>
              <w:rPr>
                <w:sz w:val="18"/>
                <w:szCs w:val="18"/>
              </w:rPr>
              <w:t>2752,67</w:t>
            </w:r>
          </w:p>
        </w:tc>
        <w:tc>
          <w:tcPr>
            <w:tcW w:w="1106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podnadpis"/>
              <w:spacing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podnadpis"/>
              <w:spacing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089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podnadpis"/>
              <w:spacing w:before="0" w:after="0"/>
              <w:jc w:val="center"/>
              <w:rPr/>
            </w:pPr>
            <w:r>
              <w:rPr>
                <w:sz w:val="18"/>
                <w:szCs w:val="18"/>
              </w:rPr>
              <w:t>732609,64</w:t>
            </w:r>
          </w:p>
        </w:tc>
        <w:tc>
          <w:tcPr>
            <w:tcW w:w="96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podnadpis"/>
              <w:spacing w:before="0" w:after="0"/>
              <w:jc w:val="center"/>
              <w:rPr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08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podnadpis"/>
              <w:spacing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07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podnadpis"/>
              <w:spacing w:before="0" w:after="0"/>
              <w:jc w:val="center"/>
              <w:rPr/>
            </w:pPr>
            <w:r>
              <w:rPr>
                <w:sz w:val="18"/>
                <w:szCs w:val="18"/>
              </w:rPr>
              <w:t>2250861,43</w:t>
            </w:r>
          </w:p>
        </w:tc>
      </w:tr>
      <w:tr>
        <w:trPr>
          <w:trHeight w:val="168" w:hRule="atLeast"/>
        </w:trPr>
        <w:tc>
          <w:tcPr>
            <w:tcW w:w="132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podnadpis"/>
              <w:spacing w:before="0" w:after="0"/>
              <w:jc w:val="left"/>
              <w:rPr/>
            </w:pPr>
            <w:r>
              <w:rPr>
                <w:sz w:val="16"/>
                <w:szCs w:val="16"/>
              </w:rPr>
              <w:t xml:space="preserve">prírastky  </w:t>
            </w:r>
          </w:p>
        </w:tc>
        <w:tc>
          <w:tcPr>
            <w:tcW w:w="89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podnadpis"/>
              <w:spacing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52176,03</w:t>
            </w:r>
          </w:p>
        </w:tc>
        <w:tc>
          <w:tcPr>
            <w:tcW w:w="883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podnadpis"/>
              <w:spacing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11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podnadpis"/>
              <w:spacing w:before="0" w:after="0"/>
              <w:rPr/>
            </w:pPr>
            <w:r>
              <w:rPr>
                <w:sz w:val="18"/>
                <w:szCs w:val="18"/>
              </w:rPr>
              <w:t xml:space="preserve">   </w:t>
            </w:r>
            <w:r>
              <w:rPr>
                <w:sz w:val="18"/>
                <w:szCs w:val="18"/>
              </w:rPr>
              <w:t>540826,63</w:t>
            </w:r>
          </w:p>
        </w:tc>
        <w:tc>
          <w:tcPr>
            <w:tcW w:w="1140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podnadpis"/>
              <w:spacing w:before="0" w:after="0"/>
              <w:jc w:val="center"/>
              <w:rPr/>
            </w:pPr>
            <w:r>
              <w:rPr>
                <w:sz w:val="18"/>
                <w:szCs w:val="18"/>
              </w:rPr>
              <w:t>4609,96</w:t>
            </w:r>
          </w:p>
        </w:tc>
        <w:tc>
          <w:tcPr>
            <w:tcW w:w="1355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podnadpis"/>
              <w:spacing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28626,00</w:t>
            </w:r>
          </w:p>
        </w:tc>
        <w:tc>
          <w:tcPr>
            <w:tcW w:w="1106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podnadpis"/>
              <w:spacing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podnadpis"/>
              <w:spacing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089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podnadpis"/>
              <w:spacing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6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podnadpis"/>
              <w:spacing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681207,60</w:t>
            </w:r>
          </w:p>
        </w:tc>
        <w:tc>
          <w:tcPr>
            <w:tcW w:w="108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podnadpis"/>
              <w:spacing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600000</w:t>
            </w:r>
          </w:p>
        </w:tc>
        <w:tc>
          <w:tcPr>
            <w:tcW w:w="107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podnadpis"/>
              <w:spacing w:before="0" w:after="0"/>
              <w:jc w:val="center"/>
              <w:rPr/>
            </w:pPr>
            <w:r>
              <w:rPr>
                <w:sz w:val="18"/>
                <w:szCs w:val="18"/>
              </w:rPr>
              <w:t>2572202,60</w:t>
            </w:r>
          </w:p>
        </w:tc>
      </w:tr>
      <w:tr>
        <w:trPr>
          <w:trHeight w:val="176" w:hRule="atLeast"/>
        </w:trPr>
        <w:tc>
          <w:tcPr>
            <w:tcW w:w="132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podnadpis"/>
              <w:spacing w:before="0" w:after="0"/>
              <w:jc w:val="left"/>
              <w:rPr/>
            </w:pPr>
            <w:r>
              <w:rPr>
                <w:sz w:val="16"/>
                <w:szCs w:val="16"/>
              </w:rPr>
              <w:t xml:space="preserve">úbytky </w:t>
            </w:r>
          </w:p>
        </w:tc>
        <w:tc>
          <w:tcPr>
            <w:tcW w:w="89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podnadpis"/>
              <w:spacing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3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podnadpis"/>
              <w:spacing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11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podnadpis"/>
              <w:spacing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140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podnadpis"/>
              <w:spacing w:before="0" w:after="0"/>
              <w:jc w:val="center"/>
              <w:rPr/>
            </w:pPr>
            <w:r>
              <w:rPr>
                <w:sz w:val="18"/>
                <w:szCs w:val="18"/>
              </w:rPr>
              <w:t>68300,01</w:t>
            </w:r>
          </w:p>
        </w:tc>
        <w:tc>
          <w:tcPr>
            <w:tcW w:w="1355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podnadpis"/>
              <w:spacing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2752,67</w:t>
            </w:r>
          </w:p>
        </w:tc>
        <w:tc>
          <w:tcPr>
            <w:tcW w:w="1106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podnadpis"/>
              <w:spacing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podnadpis"/>
              <w:spacing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089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podnadpis"/>
              <w:spacing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6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podnadpis"/>
              <w:spacing w:before="0" w:after="0"/>
              <w:jc w:val="center"/>
              <w:rPr/>
            </w:pPr>
            <w:r>
              <w:rPr>
                <w:sz w:val="18"/>
                <w:szCs w:val="18"/>
              </w:rPr>
              <w:t>621628,86</w:t>
            </w:r>
          </w:p>
        </w:tc>
        <w:tc>
          <w:tcPr>
            <w:tcW w:w="108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podnadpis"/>
              <w:spacing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07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podnadpis"/>
              <w:spacing w:before="0" w:after="0"/>
              <w:jc w:val="center"/>
              <w:rPr/>
            </w:pPr>
            <w:r>
              <w:rPr>
                <w:sz w:val="18"/>
                <w:szCs w:val="18"/>
              </w:rPr>
              <w:t>1357437,72</w:t>
            </w:r>
          </w:p>
        </w:tc>
      </w:tr>
      <w:tr>
        <w:trPr>
          <w:trHeight w:val="176" w:hRule="atLeast"/>
        </w:trPr>
        <w:tc>
          <w:tcPr>
            <w:tcW w:w="132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podnadpis"/>
              <w:spacing w:before="0" w:after="0"/>
              <w:jc w:val="left"/>
              <w:rPr/>
            </w:pPr>
            <w:r>
              <w:rPr>
                <w:sz w:val="16"/>
                <w:szCs w:val="16"/>
              </w:rPr>
              <w:t>presuny</w:t>
            </w:r>
          </w:p>
        </w:tc>
        <w:tc>
          <w:tcPr>
            <w:tcW w:w="89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83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11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140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55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106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089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96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08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07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188" w:hRule="atLeast"/>
        </w:trPr>
        <w:tc>
          <w:tcPr>
            <w:tcW w:w="132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podnadpis"/>
              <w:spacing w:before="0" w:after="0"/>
              <w:jc w:val="left"/>
              <w:rPr/>
            </w:pPr>
            <w:r>
              <w:rPr>
                <w:sz w:val="16"/>
                <w:szCs w:val="16"/>
              </w:rPr>
              <w:t>Stav na konci bežného účtovného obdobia</w:t>
            </w:r>
          </w:p>
        </w:tc>
        <w:tc>
          <w:tcPr>
            <w:tcW w:w="89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podnadpis"/>
              <w:spacing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52176,03</w:t>
            </w:r>
          </w:p>
        </w:tc>
        <w:tc>
          <w:tcPr>
            <w:tcW w:w="883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podnadpis"/>
              <w:spacing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11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podnadpis"/>
              <w:spacing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540826,63</w:t>
            </w:r>
          </w:p>
        </w:tc>
        <w:tc>
          <w:tcPr>
            <w:tcW w:w="1140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podnadpis"/>
              <w:spacing w:before="0" w:after="0"/>
              <w:jc w:val="center"/>
              <w:rPr/>
            </w:pPr>
            <w:r>
              <w:rPr>
                <w:sz w:val="18"/>
                <w:szCs w:val="18"/>
              </w:rPr>
              <w:t>1451809,07</w:t>
            </w:r>
          </w:p>
        </w:tc>
        <w:tc>
          <w:tcPr>
            <w:tcW w:w="1355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podnadpis"/>
              <w:spacing w:before="0" w:after="0"/>
              <w:jc w:val="center"/>
              <w:rPr/>
            </w:pPr>
            <w:r>
              <w:rPr>
                <w:sz w:val="18"/>
                <w:szCs w:val="18"/>
              </w:rPr>
              <w:t>28626,00</w:t>
            </w:r>
          </w:p>
        </w:tc>
        <w:tc>
          <w:tcPr>
            <w:tcW w:w="1106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podnadpis"/>
              <w:spacing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podnadpis"/>
              <w:spacing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089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podnadpis"/>
              <w:spacing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732609,64</w:t>
            </w:r>
          </w:p>
        </w:tc>
        <w:tc>
          <w:tcPr>
            <w:tcW w:w="96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podnadpis"/>
              <w:spacing w:before="0" w:after="0"/>
              <w:jc w:val="center"/>
              <w:rPr/>
            </w:pPr>
            <w:r>
              <w:rPr>
                <w:sz w:val="18"/>
                <w:szCs w:val="18"/>
              </w:rPr>
              <w:t>59578,94</w:t>
            </w:r>
          </w:p>
        </w:tc>
        <w:tc>
          <w:tcPr>
            <w:tcW w:w="108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podnadpis"/>
              <w:spacing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600000</w:t>
            </w:r>
          </w:p>
        </w:tc>
        <w:tc>
          <w:tcPr>
            <w:tcW w:w="107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podnadpis"/>
              <w:spacing w:before="0" w:after="0"/>
              <w:jc w:val="center"/>
              <w:rPr/>
            </w:pPr>
            <w:r>
              <w:rPr>
                <w:sz w:val="18"/>
                <w:szCs w:val="18"/>
              </w:rPr>
              <w:t>3465626,31</w:t>
            </w:r>
          </w:p>
        </w:tc>
      </w:tr>
      <w:tr>
        <w:trPr>
          <w:trHeight w:val="289" w:hRule="atLeast"/>
        </w:trPr>
        <w:tc>
          <w:tcPr>
            <w:tcW w:w="132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podnadpis"/>
              <w:spacing w:before="0" w:after="0"/>
              <w:jc w:val="left"/>
              <w:rPr/>
            </w:pPr>
            <w:r>
              <w:rPr>
                <w:b/>
                <w:sz w:val="16"/>
                <w:szCs w:val="16"/>
              </w:rPr>
              <w:t xml:space="preserve">Oprávky – </w:t>
            </w:r>
            <w:r>
              <w:rPr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89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podnadpis"/>
              <w:spacing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83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podnadpis"/>
              <w:spacing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11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podnadpis"/>
              <w:spacing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140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podnadpis"/>
              <w:spacing w:before="0" w:after="0"/>
              <w:jc w:val="center"/>
              <w:rPr/>
            </w:pPr>
            <w:r>
              <w:rPr>
                <w:sz w:val="18"/>
                <w:szCs w:val="18"/>
              </w:rPr>
              <w:t>1505607,76</w:t>
            </w:r>
          </w:p>
        </w:tc>
        <w:tc>
          <w:tcPr>
            <w:tcW w:w="1355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podnadpis"/>
              <w:spacing w:before="0" w:after="0"/>
              <w:jc w:val="center"/>
              <w:rPr/>
            </w:pPr>
            <w:r>
              <w:rPr>
                <w:sz w:val="18"/>
                <w:szCs w:val="18"/>
              </w:rPr>
              <w:t>2752,67</w:t>
            </w:r>
          </w:p>
        </w:tc>
        <w:tc>
          <w:tcPr>
            <w:tcW w:w="1106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podnadpis"/>
              <w:spacing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podnadpis"/>
              <w:spacing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089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podnadpis"/>
              <w:spacing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170047,44</w:t>
            </w:r>
          </w:p>
        </w:tc>
        <w:tc>
          <w:tcPr>
            <w:tcW w:w="96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podnadpis"/>
              <w:spacing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08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podnadpis"/>
              <w:spacing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07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podnadpis"/>
              <w:spacing w:before="0" w:after="0"/>
              <w:jc w:val="center"/>
              <w:rPr/>
            </w:pPr>
            <w:r>
              <w:rPr>
                <w:sz w:val="18"/>
                <w:szCs w:val="18"/>
              </w:rPr>
              <w:t>1678407,87</w:t>
            </w:r>
          </w:p>
        </w:tc>
      </w:tr>
      <w:tr>
        <w:trPr>
          <w:trHeight w:val="178" w:hRule="atLeast"/>
        </w:trPr>
        <w:tc>
          <w:tcPr>
            <w:tcW w:w="132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podnadpis"/>
              <w:spacing w:before="0" w:after="0"/>
              <w:jc w:val="left"/>
              <w:rPr/>
            </w:pPr>
            <w:r>
              <w:rPr>
                <w:sz w:val="16"/>
                <w:szCs w:val="16"/>
              </w:rPr>
              <w:t xml:space="preserve">prírastky  </w:t>
            </w:r>
          </w:p>
        </w:tc>
        <w:tc>
          <w:tcPr>
            <w:tcW w:w="89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podnadpis"/>
              <w:spacing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83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podnadpis"/>
              <w:spacing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11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podnadpis"/>
              <w:spacing w:before="0" w:after="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3739,14</w:t>
            </w:r>
          </w:p>
        </w:tc>
        <w:tc>
          <w:tcPr>
            <w:tcW w:w="1140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podnadpis"/>
              <w:spacing w:before="0" w:after="0"/>
              <w:jc w:val="center"/>
              <w:rPr/>
            </w:pPr>
            <w:r>
              <w:rPr>
                <w:sz w:val="18"/>
                <w:szCs w:val="18"/>
              </w:rPr>
              <w:t>3562,14</w:t>
            </w:r>
          </w:p>
        </w:tc>
        <w:tc>
          <w:tcPr>
            <w:tcW w:w="1355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podnadpis"/>
              <w:spacing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3180,36</w:t>
            </w:r>
          </w:p>
        </w:tc>
        <w:tc>
          <w:tcPr>
            <w:tcW w:w="1106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podnadpis"/>
              <w:spacing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podnadpis"/>
              <w:spacing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089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podnadpis"/>
              <w:spacing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16996,56</w:t>
            </w:r>
          </w:p>
        </w:tc>
        <w:tc>
          <w:tcPr>
            <w:tcW w:w="96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podnadpis"/>
              <w:spacing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08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podnadpis"/>
              <w:spacing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07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podnadpis"/>
              <w:spacing w:before="0" w:after="0"/>
              <w:jc w:val="center"/>
              <w:rPr/>
            </w:pPr>
            <w:r>
              <w:rPr>
                <w:sz w:val="18"/>
                <w:szCs w:val="18"/>
              </w:rPr>
              <w:t>27478,20</w:t>
            </w:r>
          </w:p>
        </w:tc>
      </w:tr>
      <w:tr>
        <w:trPr>
          <w:trHeight w:val="183" w:hRule="atLeast"/>
        </w:trPr>
        <w:tc>
          <w:tcPr>
            <w:tcW w:w="132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podnadpis"/>
              <w:spacing w:before="0" w:after="0"/>
              <w:jc w:val="left"/>
              <w:rPr/>
            </w:pPr>
            <w:r>
              <w:rPr>
                <w:sz w:val="16"/>
                <w:szCs w:val="16"/>
              </w:rPr>
              <w:t xml:space="preserve">úbytky </w:t>
            </w:r>
          </w:p>
        </w:tc>
        <w:tc>
          <w:tcPr>
            <w:tcW w:w="89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podnadpis"/>
              <w:spacing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83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podnadpis"/>
              <w:spacing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11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podnadpis"/>
              <w:spacing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140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podnadpis"/>
              <w:spacing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68300,01</w:t>
            </w:r>
          </w:p>
        </w:tc>
        <w:tc>
          <w:tcPr>
            <w:tcW w:w="1355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podnadpis"/>
              <w:spacing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2752,67</w:t>
            </w:r>
          </w:p>
        </w:tc>
        <w:tc>
          <w:tcPr>
            <w:tcW w:w="1106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podnadpis"/>
              <w:spacing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podnadpis"/>
              <w:spacing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089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podnadpis"/>
              <w:spacing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6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podnadpis"/>
              <w:spacing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08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podnadpis"/>
              <w:spacing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07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podnadpis"/>
              <w:spacing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71052,68</w:t>
            </w:r>
          </w:p>
        </w:tc>
      </w:tr>
      <w:tr>
        <w:trPr>
          <w:trHeight w:val="193" w:hRule="atLeast"/>
        </w:trPr>
        <w:tc>
          <w:tcPr>
            <w:tcW w:w="132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podnadpis"/>
              <w:spacing w:before="0" w:after="0"/>
              <w:jc w:val="left"/>
              <w:rPr/>
            </w:pPr>
            <w:r>
              <w:rPr>
                <w:sz w:val="16"/>
                <w:szCs w:val="16"/>
              </w:rPr>
              <w:t>Stav na konci bežného účtovného obdobia</w:t>
            </w:r>
          </w:p>
        </w:tc>
        <w:tc>
          <w:tcPr>
            <w:tcW w:w="89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podnadpis"/>
              <w:spacing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83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podnadpis"/>
              <w:spacing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11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podnadpis"/>
              <w:spacing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3739,14</w:t>
            </w:r>
          </w:p>
        </w:tc>
        <w:tc>
          <w:tcPr>
            <w:tcW w:w="1140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podnadpis"/>
              <w:spacing w:before="0" w:after="0"/>
              <w:jc w:val="center"/>
              <w:rPr/>
            </w:pPr>
            <w:r>
              <w:rPr>
                <w:sz w:val="18"/>
                <w:szCs w:val="18"/>
              </w:rPr>
              <w:t>1440869,89</w:t>
            </w:r>
          </w:p>
        </w:tc>
        <w:tc>
          <w:tcPr>
            <w:tcW w:w="1355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podnadpis"/>
              <w:spacing w:before="0" w:after="0"/>
              <w:jc w:val="center"/>
              <w:rPr/>
            </w:pPr>
            <w:r>
              <w:rPr>
                <w:sz w:val="18"/>
                <w:szCs w:val="18"/>
              </w:rPr>
              <w:t>3180,36</w:t>
            </w:r>
          </w:p>
        </w:tc>
        <w:tc>
          <w:tcPr>
            <w:tcW w:w="1106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podnadpis"/>
              <w:spacing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podnadpis"/>
              <w:spacing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089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podnadpis"/>
              <w:spacing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187044,00</w:t>
            </w:r>
          </w:p>
        </w:tc>
        <w:tc>
          <w:tcPr>
            <w:tcW w:w="96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podnadpis"/>
              <w:spacing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08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podnadpis"/>
              <w:spacing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07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podnadpis"/>
              <w:spacing w:before="0" w:after="0"/>
              <w:jc w:val="center"/>
              <w:rPr/>
            </w:pPr>
            <w:r>
              <w:rPr>
                <w:sz w:val="18"/>
                <w:szCs w:val="18"/>
              </w:rPr>
              <w:t>1634833,39</w:t>
            </w:r>
          </w:p>
        </w:tc>
      </w:tr>
      <w:tr>
        <w:trPr>
          <w:trHeight w:val="380" w:hRule="atLeast"/>
        </w:trPr>
        <w:tc>
          <w:tcPr>
            <w:tcW w:w="132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podnadpis"/>
              <w:spacing w:before="0" w:after="0"/>
              <w:jc w:val="left"/>
              <w:rPr/>
            </w:pPr>
            <w:r>
              <w:rPr>
                <w:b/>
                <w:sz w:val="16"/>
                <w:szCs w:val="16"/>
              </w:rPr>
              <w:t>Opravné položky</w:t>
            </w:r>
            <w:r>
              <w:rPr>
                <w:sz w:val="16"/>
                <w:szCs w:val="16"/>
              </w:rPr>
              <w:t xml:space="preserve"> – stav na začiatku bežného účtovného obdobia</w:t>
            </w:r>
          </w:p>
        </w:tc>
        <w:tc>
          <w:tcPr>
            <w:tcW w:w="89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podnadpis"/>
              <w:spacing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83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podnadpis"/>
              <w:spacing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11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podnadpis"/>
              <w:spacing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140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podnadpis"/>
              <w:spacing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55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podnadpis"/>
              <w:spacing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106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podnadpis"/>
              <w:spacing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podnadpis"/>
              <w:spacing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089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podnadpis"/>
              <w:spacing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96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podnadpis"/>
              <w:spacing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08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podnadpis"/>
              <w:spacing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07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podnadpis"/>
              <w:spacing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129" w:hRule="atLeast"/>
        </w:trPr>
        <w:tc>
          <w:tcPr>
            <w:tcW w:w="132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podnadpis"/>
              <w:spacing w:before="0" w:after="0"/>
              <w:jc w:val="left"/>
              <w:rPr/>
            </w:pPr>
            <w:r>
              <w:rPr>
                <w:sz w:val="16"/>
                <w:szCs w:val="16"/>
              </w:rPr>
              <w:t xml:space="preserve">prírastky  </w:t>
            </w:r>
          </w:p>
        </w:tc>
        <w:tc>
          <w:tcPr>
            <w:tcW w:w="89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podnadpis"/>
              <w:spacing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83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podnadpis"/>
              <w:spacing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11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podnadpis"/>
              <w:spacing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140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podnadpis"/>
              <w:spacing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55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podnadpis"/>
              <w:spacing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106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podnadpis"/>
              <w:spacing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podnadpis"/>
              <w:spacing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089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podnadpis"/>
              <w:spacing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96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podnadpis"/>
              <w:spacing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08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podnadpis"/>
              <w:spacing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07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podnadpis"/>
              <w:spacing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141" w:hRule="atLeast"/>
        </w:trPr>
        <w:tc>
          <w:tcPr>
            <w:tcW w:w="132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podnadpis"/>
              <w:spacing w:before="0" w:after="0"/>
              <w:jc w:val="left"/>
              <w:rPr/>
            </w:pPr>
            <w:r>
              <w:rPr>
                <w:sz w:val="16"/>
                <w:szCs w:val="16"/>
              </w:rPr>
              <w:t xml:space="preserve">úbytky </w:t>
            </w:r>
          </w:p>
        </w:tc>
        <w:tc>
          <w:tcPr>
            <w:tcW w:w="89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podnadpis"/>
              <w:spacing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83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podnadpis"/>
              <w:spacing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11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podnadpis"/>
              <w:spacing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140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podnadpis"/>
              <w:spacing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55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podnadpis"/>
              <w:spacing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106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podnadpis"/>
              <w:spacing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podnadpis"/>
              <w:spacing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089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podnadpis"/>
              <w:spacing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96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podnadpis"/>
              <w:spacing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08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podnadpis"/>
              <w:spacing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07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podnadpis"/>
              <w:spacing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141" w:hRule="atLeast"/>
        </w:trPr>
        <w:tc>
          <w:tcPr>
            <w:tcW w:w="132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podnadpis"/>
              <w:spacing w:before="0" w:after="0"/>
              <w:jc w:val="left"/>
              <w:rPr/>
            </w:pPr>
            <w:r>
              <w:rPr>
                <w:sz w:val="16"/>
                <w:szCs w:val="16"/>
              </w:rPr>
              <w:t>Stav na konci bežného účtovného obdobia</w:t>
            </w:r>
          </w:p>
        </w:tc>
        <w:tc>
          <w:tcPr>
            <w:tcW w:w="89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83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11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140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55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106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089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96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08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07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151" w:hRule="atLeast"/>
        </w:trPr>
        <w:tc>
          <w:tcPr>
            <w:tcW w:w="11747" w:type="dxa"/>
            <w:gridSpan w:val="3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podnadpis"/>
              <w:spacing w:before="0" w:after="0"/>
              <w:jc w:val="left"/>
              <w:rPr/>
            </w:pPr>
            <w:r>
              <w:rPr>
                <w:b/>
                <w:sz w:val="16"/>
                <w:szCs w:val="16"/>
              </w:rPr>
              <w:t>Zostatková hodnota</w:t>
            </w:r>
          </w:p>
        </w:tc>
        <w:tc>
          <w:tcPr>
            <w:tcW w:w="1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podnadpis"/>
              <w:spacing w:before="0" w:after="0"/>
              <w:jc w:val="left"/>
              <w:rPr>
                <w:b/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</w:r>
          </w:p>
        </w:tc>
      </w:tr>
      <w:tr>
        <w:trPr>
          <w:trHeight w:val="151" w:hRule="atLeast"/>
        </w:trPr>
        <w:tc>
          <w:tcPr>
            <w:tcW w:w="132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podnadpis"/>
              <w:spacing w:before="0" w:after="0"/>
              <w:jc w:val="left"/>
              <w:rPr/>
            </w:pPr>
            <w:r>
              <w:rPr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89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podnadpis"/>
              <w:spacing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156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podnadpis"/>
              <w:spacing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98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podnadpis"/>
              <w:spacing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005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podnadpis"/>
              <w:spacing w:before="0" w:after="0"/>
              <w:jc w:val="center"/>
              <w:rPr/>
            </w:pPr>
            <w:r>
              <w:rPr>
                <w:sz w:val="18"/>
                <w:szCs w:val="18"/>
              </w:rPr>
              <w:t>582392</w:t>
            </w:r>
          </w:p>
        </w:tc>
        <w:tc>
          <w:tcPr>
            <w:tcW w:w="132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podnadpis"/>
              <w:spacing w:before="0" w:after="0"/>
              <w:jc w:val="center"/>
              <w:rPr/>
            </w:pPr>
            <w:r>
              <w:rPr>
                <w:sz w:val="18"/>
                <w:szCs w:val="18"/>
              </w:rPr>
              <w:t>00</w:t>
            </w:r>
          </w:p>
        </w:tc>
        <w:tc>
          <w:tcPr>
            <w:tcW w:w="1133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podnadpis"/>
              <w:spacing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9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podnadpis"/>
              <w:spacing w:before="0" w:after="0"/>
              <w:jc w:val="center"/>
              <w:rPr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8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podnadpis"/>
              <w:spacing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562562</w:t>
            </w:r>
          </w:p>
        </w:tc>
        <w:tc>
          <w:tcPr>
            <w:tcW w:w="96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podnadpis"/>
              <w:spacing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08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podnadpis"/>
              <w:spacing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07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podnadpis"/>
              <w:spacing w:before="0" w:after="0"/>
              <w:jc w:val="center"/>
              <w:rPr/>
            </w:pPr>
            <w:r>
              <w:rPr>
                <w:sz w:val="18"/>
                <w:szCs w:val="18"/>
              </w:rPr>
              <w:t>572453</w:t>
            </w:r>
          </w:p>
        </w:tc>
      </w:tr>
      <w:tr>
        <w:trPr>
          <w:trHeight w:val="151" w:hRule="atLeast"/>
        </w:trPr>
        <w:tc>
          <w:tcPr>
            <w:tcW w:w="132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podnadpis"/>
              <w:spacing w:before="0" w:after="0"/>
              <w:jc w:val="left"/>
              <w:rPr/>
            </w:pPr>
            <w:r>
              <w:rPr>
                <w:sz w:val="16"/>
                <w:szCs w:val="16"/>
              </w:rPr>
              <w:t>Stav na konci bežného účtovného obdobia</w:t>
            </w:r>
          </w:p>
        </w:tc>
        <w:tc>
          <w:tcPr>
            <w:tcW w:w="89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52176,03</w:t>
            </w:r>
          </w:p>
        </w:tc>
        <w:tc>
          <w:tcPr>
            <w:tcW w:w="1156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98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537087,49</w:t>
            </w:r>
          </w:p>
        </w:tc>
        <w:tc>
          <w:tcPr>
            <w:tcW w:w="1005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sz w:val="18"/>
                <w:szCs w:val="18"/>
              </w:rPr>
              <w:t>10939,18</w:t>
            </w:r>
          </w:p>
        </w:tc>
        <w:tc>
          <w:tcPr>
            <w:tcW w:w="132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24886,86</w:t>
            </w:r>
          </w:p>
        </w:tc>
        <w:tc>
          <w:tcPr>
            <w:tcW w:w="1133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9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8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545565,64</w:t>
            </w:r>
          </w:p>
        </w:tc>
        <w:tc>
          <w:tcPr>
            <w:tcW w:w="96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59578,94</w:t>
            </w:r>
          </w:p>
        </w:tc>
        <w:tc>
          <w:tcPr>
            <w:tcW w:w="108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600000</w:t>
            </w:r>
          </w:p>
        </w:tc>
        <w:tc>
          <w:tcPr>
            <w:tcW w:w="107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sz w:val="18"/>
                <w:szCs w:val="18"/>
              </w:rPr>
              <w:t>1830792,92</w:t>
            </w:r>
          </w:p>
        </w:tc>
      </w:tr>
    </w:tbl>
    <w:p>
      <w:pPr>
        <w:pStyle w:val="Normalpodnadpis"/>
        <w:spacing w:before="0" w:after="120"/>
        <w:rPr>
          <w:szCs w:val="20"/>
        </w:rPr>
      </w:pPr>
      <w:r>
        <w:rPr>
          <w:szCs w:val="20"/>
        </w:rPr>
      </w:r>
    </w:p>
    <w:p>
      <w:pPr>
        <w:pStyle w:val="Normalpodnadpis"/>
        <w:spacing w:before="0" w:after="120"/>
        <w:rPr>
          <w:szCs w:val="20"/>
        </w:rPr>
      </w:pPr>
      <w:r>
        <w:rPr>
          <w:szCs w:val="20"/>
        </w:rPr>
      </w:r>
    </w:p>
    <w:p>
      <w:pPr>
        <w:pStyle w:val="Normalpodnadpis"/>
        <w:spacing w:before="0" w:after="120"/>
        <w:rPr/>
      </w:pPr>
      <w:r>
        <w:rPr>
          <w:szCs w:val="20"/>
        </w:rPr>
        <w:t>Účtovná jednotka nemá náplň pre položky a</w:t>
      </w:r>
      <w:r>
        <w:rPr>
          <w:sz w:val="22"/>
          <w:szCs w:val="22"/>
        </w:rPr>
        <w:t>)</w:t>
      </w:r>
      <w:r>
        <w:rPr>
          <w:szCs w:val="20"/>
        </w:rPr>
        <w:t> až c</w:t>
      </w:r>
      <w:r>
        <w:rPr>
          <w:sz w:val="22"/>
          <w:szCs w:val="22"/>
        </w:rPr>
        <w:t>)</w:t>
      </w:r>
      <w:r>
        <w:rPr>
          <w:szCs w:val="20"/>
        </w:rPr>
        <w:t>.</w:t>
      </w:r>
    </w:p>
    <w:p>
      <w:pPr>
        <w:pStyle w:val="Normalpodnadpis"/>
        <w:numPr>
          <w:ilvl w:val="0"/>
          <w:numId w:val="2"/>
        </w:numPr>
        <w:spacing w:before="0" w:after="120"/>
        <w:ind w:left="0" w:hanging="0"/>
        <w:rPr/>
      </w:pPr>
      <w:r>
        <w:rPr>
          <w:sz w:val="22"/>
          <w:szCs w:val="22"/>
        </w:rPr>
        <w:t xml:space="preserve"> </w:t>
      </w:r>
      <w:r>
        <w:rPr>
          <w:sz w:val="22"/>
          <w:szCs w:val="22"/>
        </w:rPr>
        <w:t>Prehľad dlhodobého majetku, na ktorý je zriadené záložné právo a dlhodobého majetku, pri ktorom má účtovná jednotka obmedzené právo s ním nakladať.</w:t>
      </w:r>
    </w:p>
    <w:p>
      <w:pPr>
        <w:pStyle w:val="Normalpodnadpis"/>
        <w:spacing w:before="0" w:after="120"/>
        <w:rPr/>
      </w:pPr>
      <w:r>
        <w:rPr>
          <w:szCs w:val="20"/>
        </w:rPr>
        <w:t>Účtovná jednotka nemá náplň pre túto položku.</w:t>
      </w:r>
    </w:p>
    <w:p>
      <w:pPr>
        <w:pStyle w:val="Normalpodnadpis"/>
        <w:numPr>
          <w:ilvl w:val="0"/>
          <w:numId w:val="2"/>
        </w:numPr>
        <w:spacing w:before="0" w:after="120"/>
        <w:ind w:left="0" w:hanging="0"/>
        <w:rPr/>
      </w:pPr>
      <w:r>
        <w:rPr>
          <w:sz w:val="22"/>
          <w:szCs w:val="22"/>
        </w:rPr>
        <w:t xml:space="preserve"> </w:t>
      </w:r>
      <w:r>
        <w:rPr>
          <w:sz w:val="22"/>
          <w:szCs w:val="22"/>
        </w:rPr>
        <w:t>Údaje o spôsobe a výške poistenia dlhodobého nehmotného majetku a dlhodobého hmotného majetku.</w:t>
      </w:r>
    </w:p>
    <w:p>
      <w:pPr>
        <w:pStyle w:val="Normalpodnadpis"/>
        <w:numPr>
          <w:ilvl w:val="0"/>
          <w:numId w:val="2"/>
        </w:numPr>
        <w:spacing w:before="0" w:after="120"/>
        <w:ind w:left="0" w:hanging="0"/>
        <w:rPr/>
      </w:pPr>
      <w:r>
        <w:rPr>
          <w:sz w:val="22"/>
          <w:szCs w:val="22"/>
        </w:rPr>
        <w:t>Údaje o štruktúre dlhodobého finančného majetku za bežné účtovné obdobie a jeho umiestnenie v členení podľa položiek súvahy a o zmenách, ktoré sa uskutočnili v priebehu bežného účtovného obdobia v jednotlivých položkách dlhodobého  finančného  majetku.</w:t>
      </w:r>
    </w:p>
    <w:p>
      <w:pPr>
        <w:pStyle w:val="Normalpodnadpis"/>
        <w:spacing w:before="0" w:after="120"/>
        <w:rPr>
          <w:sz w:val="22"/>
          <w:szCs w:val="22"/>
        </w:rPr>
      </w:pPr>
      <w:r>
        <w:rPr>
          <w:sz w:val="22"/>
          <w:szCs w:val="22"/>
        </w:rPr>
      </w:r>
    </w:p>
    <w:tbl>
      <w:tblPr>
        <w:tblW w:w="9709" w:type="dxa"/>
        <w:jc w:val="left"/>
        <w:tblInd w:w="-69" w:type="dxa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1306"/>
        <w:gridCol w:w="1239"/>
        <w:gridCol w:w="1249"/>
        <w:gridCol w:w="1360"/>
        <w:gridCol w:w="1555"/>
        <w:gridCol w:w="1487"/>
        <w:gridCol w:w="1512"/>
      </w:tblGrid>
      <w:tr>
        <w:trPr>
          <w:trHeight w:val="399" w:hRule="atLeast"/>
        </w:trPr>
        <w:tc>
          <w:tcPr>
            <w:tcW w:w="130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podnadpis"/>
              <w:spacing w:before="0" w:after="120"/>
              <w:jc w:val="center"/>
              <w:rPr/>
            </w:pPr>
            <w:r>
              <w:rPr>
                <w:b/>
                <w:bCs/>
                <w:sz w:val="18"/>
                <w:szCs w:val="18"/>
              </w:rPr>
              <w:t>Názov spoločnosti</w:t>
            </w:r>
          </w:p>
        </w:tc>
        <w:tc>
          <w:tcPr>
            <w:tcW w:w="123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podnadpis"/>
              <w:spacing w:before="0" w:after="120"/>
              <w:jc w:val="center"/>
              <w:rPr/>
            </w:pPr>
            <w:r>
              <w:rPr>
                <w:b/>
                <w:bCs/>
                <w:sz w:val="18"/>
                <w:szCs w:val="18"/>
              </w:rPr>
              <w:t>Podiel na základnom imaní (v %)</w:t>
            </w:r>
          </w:p>
        </w:tc>
        <w:tc>
          <w:tcPr>
            <w:tcW w:w="124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podnadpis"/>
              <w:spacing w:before="0" w:after="120"/>
              <w:jc w:val="center"/>
              <w:rPr/>
            </w:pPr>
            <w:r>
              <w:rPr>
                <w:b/>
                <w:bCs/>
                <w:sz w:val="18"/>
                <w:szCs w:val="18"/>
              </w:rPr>
              <w:t>Podiel účtovnej jednotky na hlasovacích právach</w:t>
            </w:r>
          </w:p>
          <w:p>
            <w:pPr>
              <w:pStyle w:val="Normalpodnadpis"/>
              <w:spacing w:before="0" w:after="120"/>
              <w:jc w:val="center"/>
              <w:rPr/>
            </w:pPr>
            <w:r>
              <w:rPr>
                <w:b/>
                <w:bCs/>
                <w:sz w:val="18"/>
                <w:szCs w:val="18"/>
              </w:rPr>
              <w:t>(v %)</w:t>
            </w:r>
          </w:p>
        </w:tc>
        <w:tc>
          <w:tcPr>
            <w:tcW w:w="291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podnadpis"/>
              <w:spacing w:before="0" w:after="120"/>
              <w:jc w:val="center"/>
              <w:rPr/>
            </w:pPr>
            <w:r>
              <w:rPr>
                <w:b/>
                <w:bCs/>
                <w:sz w:val="18"/>
                <w:szCs w:val="18"/>
              </w:rPr>
              <w:t>Hodnota vlastného imania ku koncu</w:t>
            </w:r>
          </w:p>
        </w:tc>
        <w:tc>
          <w:tcPr>
            <w:tcW w:w="299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podnadpis"/>
              <w:spacing w:before="0" w:after="120"/>
              <w:jc w:val="center"/>
              <w:rPr/>
            </w:pPr>
            <w:r>
              <w:rPr>
                <w:b/>
                <w:bCs/>
                <w:sz w:val="18"/>
                <w:szCs w:val="18"/>
              </w:rPr>
              <w:t>Účtovná hodnota ku koncu</w:t>
            </w:r>
          </w:p>
        </w:tc>
      </w:tr>
      <w:tr>
        <w:trPr>
          <w:trHeight w:val="1073" w:hRule="atLeast"/>
        </w:trPr>
        <w:tc>
          <w:tcPr>
            <w:tcW w:w="1306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podnadpis"/>
              <w:spacing w:before="0" w:after="0"/>
              <w:jc w:val="center"/>
              <w:rPr>
                <w:b/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</w:r>
          </w:p>
        </w:tc>
        <w:tc>
          <w:tcPr>
            <w:tcW w:w="1239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podnadpis"/>
              <w:spacing w:before="0" w:after="0"/>
              <w:jc w:val="center"/>
              <w:rPr>
                <w:b/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</w:r>
          </w:p>
        </w:tc>
        <w:tc>
          <w:tcPr>
            <w:tcW w:w="1249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podnadpis"/>
              <w:spacing w:before="0" w:after="0"/>
              <w:jc w:val="center"/>
              <w:rPr>
                <w:b/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podnadpis"/>
              <w:spacing w:before="0" w:after="120"/>
              <w:jc w:val="center"/>
              <w:rPr/>
            </w:pPr>
            <w:r>
              <w:rPr>
                <w:b/>
                <w:bCs/>
                <w:sz w:val="18"/>
                <w:szCs w:val="18"/>
              </w:rPr>
              <w:t>bežného účtovného obdobia</w:t>
            </w:r>
          </w:p>
        </w:tc>
        <w:tc>
          <w:tcPr>
            <w:tcW w:w="1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podnadpis"/>
              <w:spacing w:before="0" w:after="120"/>
              <w:jc w:val="center"/>
              <w:rPr/>
            </w:pPr>
            <w:r>
              <w:rPr>
                <w:b/>
                <w:bCs/>
                <w:sz w:val="18"/>
                <w:szCs w:val="18"/>
              </w:rPr>
              <w:t>bezprostredne predchádzajúceho účtovného obdobia</w:t>
            </w:r>
          </w:p>
        </w:tc>
        <w:tc>
          <w:tcPr>
            <w:tcW w:w="1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podnadpis"/>
              <w:spacing w:before="0" w:after="120"/>
              <w:jc w:val="center"/>
              <w:rPr/>
            </w:pPr>
            <w:r>
              <w:rPr>
                <w:b/>
                <w:bCs/>
                <w:sz w:val="18"/>
                <w:szCs w:val="18"/>
              </w:rPr>
              <w:t>bežného účtovného obdobia</w:t>
            </w:r>
          </w:p>
        </w:tc>
        <w:tc>
          <w:tcPr>
            <w:tcW w:w="15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podnadpis"/>
              <w:spacing w:before="0" w:after="120"/>
              <w:jc w:val="center"/>
              <w:rPr/>
            </w:pPr>
            <w:r>
              <w:rPr>
                <w:b/>
                <w:bCs/>
                <w:sz w:val="18"/>
                <w:szCs w:val="18"/>
              </w:rPr>
              <w:t>bezprostredne predchádzajúceho účtovného obdobia</w:t>
            </w:r>
          </w:p>
        </w:tc>
      </w:tr>
      <w:tr>
        <w:trPr>
          <w:trHeight w:val="283" w:hRule="atLeast"/>
        </w:trPr>
        <w:tc>
          <w:tcPr>
            <w:tcW w:w="1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podnadpis"/>
              <w:spacing w:before="0" w:after="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podnadpis"/>
              <w:spacing w:before="0" w:after="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</w: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podnadpis"/>
              <w:spacing w:before="0" w:after="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podnadpis"/>
              <w:spacing w:before="0" w:after="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</w:r>
          </w:p>
        </w:tc>
        <w:tc>
          <w:tcPr>
            <w:tcW w:w="1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podnadpis"/>
              <w:spacing w:before="0" w:after="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</w:r>
          </w:p>
        </w:tc>
        <w:tc>
          <w:tcPr>
            <w:tcW w:w="1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podnadpis"/>
              <w:spacing w:before="0" w:after="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</w:r>
          </w:p>
        </w:tc>
        <w:tc>
          <w:tcPr>
            <w:tcW w:w="15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podnadpis"/>
              <w:spacing w:before="0" w:after="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</w:r>
          </w:p>
        </w:tc>
      </w:tr>
      <w:tr>
        <w:trPr>
          <w:trHeight w:val="283" w:hRule="atLeast"/>
        </w:trPr>
        <w:tc>
          <w:tcPr>
            <w:tcW w:w="1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podnadpis"/>
              <w:spacing w:before="0" w:after="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podnadpis"/>
              <w:spacing w:before="0" w:after="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</w: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podnadpis"/>
              <w:spacing w:before="0" w:after="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podnadpis"/>
              <w:spacing w:before="0" w:after="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</w:r>
          </w:p>
        </w:tc>
        <w:tc>
          <w:tcPr>
            <w:tcW w:w="1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podnadpis"/>
              <w:spacing w:before="0" w:after="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</w:r>
          </w:p>
        </w:tc>
        <w:tc>
          <w:tcPr>
            <w:tcW w:w="1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podnadpis"/>
              <w:spacing w:before="0" w:after="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</w:r>
          </w:p>
        </w:tc>
        <w:tc>
          <w:tcPr>
            <w:tcW w:w="15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podnadpis"/>
              <w:spacing w:before="0" w:after="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</w:r>
          </w:p>
        </w:tc>
      </w:tr>
      <w:tr>
        <w:trPr>
          <w:trHeight w:val="283" w:hRule="atLeast"/>
        </w:trPr>
        <w:tc>
          <w:tcPr>
            <w:tcW w:w="1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podnadpis"/>
              <w:spacing w:before="0" w:after="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podnadpis"/>
              <w:spacing w:before="0" w:after="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</w: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podnadpis"/>
              <w:spacing w:before="0" w:after="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podnadpis"/>
              <w:spacing w:before="0" w:after="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</w:r>
          </w:p>
        </w:tc>
        <w:tc>
          <w:tcPr>
            <w:tcW w:w="1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podnadpis"/>
              <w:spacing w:before="0" w:after="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</w:r>
          </w:p>
        </w:tc>
        <w:tc>
          <w:tcPr>
            <w:tcW w:w="1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podnadpis"/>
              <w:spacing w:before="0" w:after="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</w:r>
          </w:p>
        </w:tc>
        <w:tc>
          <w:tcPr>
            <w:tcW w:w="15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podnadpis"/>
              <w:spacing w:before="0" w:after="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</w:r>
          </w:p>
        </w:tc>
      </w:tr>
    </w:tbl>
    <w:p>
      <w:pPr>
        <w:pStyle w:val="Normalpodnadpis"/>
        <w:spacing w:before="0" w:after="120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Normalpodnadpis"/>
        <w:spacing w:before="0" w:after="120"/>
        <w:rPr/>
      </w:pPr>
      <w:r>
        <w:rPr>
          <w:szCs w:val="20"/>
        </w:rPr>
        <w:t>Účtovná jednotka nemá náplň pre túto položku.</w:t>
      </w:r>
    </w:p>
    <w:p>
      <w:pPr>
        <w:pStyle w:val="Normalpodnadpis"/>
        <w:numPr>
          <w:ilvl w:val="0"/>
          <w:numId w:val="2"/>
        </w:numPr>
        <w:spacing w:before="0" w:after="120"/>
        <w:ind w:left="0" w:hanging="0"/>
        <w:rPr/>
      </w:pPr>
      <w:r>
        <w:rPr>
          <w:sz w:val="22"/>
          <w:szCs w:val="22"/>
        </w:rPr>
        <w:t xml:space="preserve"> </w:t>
      </w:r>
      <w:r>
        <w:rPr>
          <w:sz w:val="22"/>
          <w:szCs w:val="22"/>
        </w:rPr>
        <w:t>Informácia o výške tvorby, zníženia a zúčtovania opravných položiek k dlhodobému finančnému majetku a opis dôvodu ich tvorby, zníženia a zúčtovania.</w:t>
      </w:r>
    </w:p>
    <w:tbl>
      <w:tblPr>
        <w:tblW w:w="9816" w:type="dxa"/>
        <w:jc w:val="center"/>
        <w:tblInd w:w="0" w:type="dxa"/>
        <w:tblCellMar>
          <w:top w:w="0" w:type="dxa"/>
          <w:left w:w="30" w:type="dxa"/>
          <w:bottom w:w="0" w:type="dxa"/>
          <w:right w:w="30" w:type="dxa"/>
        </w:tblCellMar>
        <w:tblLook w:firstRow="0" w:noVBand="0" w:lastRow="0" w:firstColumn="0" w:lastColumn="0" w:noHBand="0" w:val="0000"/>
      </w:tblPr>
      <w:tblGrid>
        <w:gridCol w:w="2472"/>
        <w:gridCol w:w="1125"/>
        <w:gridCol w:w="1063"/>
        <w:gridCol w:w="909"/>
        <w:gridCol w:w="827"/>
        <w:gridCol w:w="841"/>
        <w:gridCol w:w="812"/>
        <w:gridCol w:w="985"/>
        <w:gridCol w:w="781"/>
      </w:tblGrid>
      <w:tr>
        <w:trPr>
          <w:trHeight w:val="1314" w:hRule="atLeast"/>
        </w:trPr>
        <w:tc>
          <w:tcPr>
            <w:tcW w:w="24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podnadpis"/>
              <w:spacing w:before="0" w:after="0"/>
              <w:jc w:val="center"/>
              <w:rPr>
                <w:b/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</w: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podnadpis"/>
              <w:spacing w:before="0" w:after="120"/>
              <w:jc w:val="center"/>
              <w:rPr/>
            </w:pPr>
            <w:r>
              <w:rPr>
                <w:b/>
                <w:bCs/>
                <w:sz w:val="18"/>
                <w:szCs w:val="18"/>
              </w:rPr>
              <w:t>Podielové cenné papiere a podiely v ovládanej obchodnej spoločnosti</w:t>
            </w:r>
          </w:p>
        </w:tc>
        <w:tc>
          <w:tcPr>
            <w:tcW w:w="10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podnadpis"/>
              <w:spacing w:before="0" w:after="120"/>
              <w:jc w:val="center"/>
              <w:rPr/>
            </w:pPr>
            <w:r>
              <w:rPr>
                <w:b/>
                <w:bCs/>
                <w:sz w:val="18"/>
                <w:szCs w:val="18"/>
              </w:rPr>
              <w:t>Podielové cenné papiere a podiely v obchodnej spoločnosti s podstatným vplyvom</w:t>
            </w:r>
          </w:p>
        </w:tc>
        <w:tc>
          <w:tcPr>
            <w:tcW w:w="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podnadpis"/>
              <w:spacing w:before="0" w:after="120"/>
              <w:jc w:val="center"/>
              <w:rPr/>
            </w:pPr>
            <w:r>
              <w:rPr>
                <w:b/>
                <w:bCs/>
                <w:sz w:val="18"/>
                <w:szCs w:val="18"/>
              </w:rPr>
              <w:t>Dlhové cenné papiere držané do splatnosti</w:t>
            </w:r>
          </w:p>
        </w:tc>
        <w:tc>
          <w:tcPr>
            <w:tcW w:w="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podnadpis"/>
              <w:spacing w:before="0" w:after="120"/>
              <w:jc w:val="center"/>
              <w:rPr/>
            </w:pPr>
            <w:r>
              <w:rPr>
                <w:b/>
                <w:bCs/>
                <w:sz w:val="18"/>
                <w:szCs w:val="18"/>
              </w:rPr>
              <w:t>Pôžičky podnikom v skupine a ostatné pôžičky</w:t>
            </w:r>
          </w:p>
        </w:tc>
        <w:tc>
          <w:tcPr>
            <w:tcW w:w="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podnadpis"/>
              <w:spacing w:before="0" w:after="120"/>
              <w:jc w:val="center"/>
              <w:rPr/>
            </w:pPr>
            <w:r>
              <w:rPr>
                <w:b/>
                <w:bCs/>
                <w:sz w:val="18"/>
                <w:szCs w:val="18"/>
              </w:rPr>
              <w:t>Ostatný dlhodobý finančný majetok</w:t>
            </w:r>
          </w:p>
        </w:tc>
        <w:tc>
          <w:tcPr>
            <w:tcW w:w="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podnadpis"/>
              <w:spacing w:before="0" w:after="120"/>
              <w:jc w:val="center"/>
              <w:rPr/>
            </w:pPr>
            <w:r>
              <w:rPr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podnadpis"/>
              <w:spacing w:before="0" w:after="120"/>
              <w:jc w:val="center"/>
              <w:rPr/>
            </w:pPr>
            <w:r>
              <w:rPr>
                <w:b/>
                <w:bCs/>
                <w:sz w:val="18"/>
                <w:szCs w:val="18"/>
              </w:rPr>
              <w:t>Poskytnuté preddavky na dlhodobý finančný  majetok</w:t>
            </w:r>
          </w:p>
        </w:tc>
        <w:tc>
          <w:tcPr>
            <w:tcW w:w="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podnadpis"/>
              <w:spacing w:before="0" w:after="120"/>
              <w:jc w:val="center"/>
              <w:rPr/>
            </w:pPr>
            <w:r>
              <w:rPr>
                <w:b/>
                <w:bCs/>
                <w:sz w:val="18"/>
                <w:szCs w:val="18"/>
              </w:rPr>
              <w:t>Spolu</w:t>
            </w:r>
          </w:p>
        </w:tc>
      </w:tr>
      <w:tr>
        <w:trPr>
          <w:trHeight w:val="263" w:hRule="atLeast"/>
        </w:trPr>
        <w:tc>
          <w:tcPr>
            <w:tcW w:w="9815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podnadpis"/>
              <w:spacing w:before="0" w:after="0"/>
              <w:jc w:val="left"/>
              <w:rPr/>
            </w:pPr>
            <w:r>
              <w:rPr>
                <w:b/>
                <w:sz w:val="22"/>
                <w:szCs w:val="22"/>
              </w:rPr>
              <w:t>Prvotné ocenenie</w:t>
            </w:r>
          </w:p>
        </w:tc>
      </w:tr>
      <w:tr>
        <w:trPr>
          <w:trHeight w:val="263" w:hRule="atLeast"/>
        </w:trPr>
        <w:tc>
          <w:tcPr>
            <w:tcW w:w="24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podnadpis"/>
              <w:spacing w:before="0" w:after="0"/>
              <w:jc w:val="left"/>
              <w:rPr/>
            </w:pPr>
            <w:r>
              <w:rPr>
                <w:sz w:val="22"/>
                <w:szCs w:val="22"/>
              </w:rPr>
              <w:t>Stav  na začiatku bežného účtovného obdobia</w:t>
            </w: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podnadpis"/>
              <w:spacing w:before="0" w:after="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</w:r>
          </w:p>
        </w:tc>
        <w:tc>
          <w:tcPr>
            <w:tcW w:w="10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podnadpis"/>
              <w:spacing w:before="0" w:after="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</w:r>
          </w:p>
        </w:tc>
        <w:tc>
          <w:tcPr>
            <w:tcW w:w="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podnadpis"/>
              <w:spacing w:before="0" w:after="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</w:r>
          </w:p>
        </w:tc>
        <w:tc>
          <w:tcPr>
            <w:tcW w:w="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podnadpis"/>
              <w:spacing w:before="0" w:after="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</w:r>
          </w:p>
        </w:tc>
        <w:tc>
          <w:tcPr>
            <w:tcW w:w="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podnadpis"/>
              <w:spacing w:before="0" w:after="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</w:r>
          </w:p>
        </w:tc>
        <w:tc>
          <w:tcPr>
            <w:tcW w:w="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podnadpis"/>
              <w:spacing w:before="0" w:after="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</w:r>
          </w:p>
        </w:tc>
        <w:tc>
          <w:tcPr>
            <w:tcW w:w="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podnadpis"/>
              <w:spacing w:before="0" w:after="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</w:r>
          </w:p>
        </w:tc>
        <w:tc>
          <w:tcPr>
            <w:tcW w:w="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podnadpis"/>
              <w:spacing w:before="0" w:after="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</w:r>
          </w:p>
        </w:tc>
      </w:tr>
      <w:tr>
        <w:trPr>
          <w:trHeight w:val="263" w:hRule="atLeast"/>
        </w:trPr>
        <w:tc>
          <w:tcPr>
            <w:tcW w:w="24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podnadpis"/>
              <w:spacing w:before="0" w:after="0"/>
              <w:jc w:val="left"/>
              <w:rPr/>
            </w:pPr>
            <w:r>
              <w:rPr>
                <w:sz w:val="22"/>
                <w:szCs w:val="22"/>
              </w:rPr>
              <w:t>Prírastky</w:t>
            </w: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</w:r>
          </w:p>
        </w:tc>
        <w:tc>
          <w:tcPr>
            <w:tcW w:w="10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</w:r>
          </w:p>
        </w:tc>
        <w:tc>
          <w:tcPr>
            <w:tcW w:w="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</w:r>
          </w:p>
        </w:tc>
        <w:tc>
          <w:tcPr>
            <w:tcW w:w="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</w:r>
          </w:p>
        </w:tc>
        <w:tc>
          <w:tcPr>
            <w:tcW w:w="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</w:r>
          </w:p>
        </w:tc>
        <w:tc>
          <w:tcPr>
            <w:tcW w:w="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</w:r>
          </w:p>
        </w:tc>
        <w:tc>
          <w:tcPr>
            <w:tcW w:w="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</w:r>
          </w:p>
        </w:tc>
        <w:tc>
          <w:tcPr>
            <w:tcW w:w="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</w:r>
          </w:p>
        </w:tc>
      </w:tr>
      <w:tr>
        <w:trPr>
          <w:trHeight w:val="263" w:hRule="atLeast"/>
        </w:trPr>
        <w:tc>
          <w:tcPr>
            <w:tcW w:w="24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podnadpis"/>
              <w:spacing w:before="0" w:after="0"/>
              <w:jc w:val="left"/>
              <w:rPr/>
            </w:pPr>
            <w:r>
              <w:rPr>
                <w:sz w:val="22"/>
                <w:szCs w:val="22"/>
              </w:rPr>
              <w:t>Úbytky</w:t>
            </w: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</w:r>
          </w:p>
        </w:tc>
        <w:tc>
          <w:tcPr>
            <w:tcW w:w="10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</w:r>
          </w:p>
        </w:tc>
        <w:tc>
          <w:tcPr>
            <w:tcW w:w="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</w:r>
          </w:p>
        </w:tc>
        <w:tc>
          <w:tcPr>
            <w:tcW w:w="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</w:r>
          </w:p>
        </w:tc>
        <w:tc>
          <w:tcPr>
            <w:tcW w:w="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</w:r>
          </w:p>
        </w:tc>
        <w:tc>
          <w:tcPr>
            <w:tcW w:w="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</w:r>
          </w:p>
        </w:tc>
        <w:tc>
          <w:tcPr>
            <w:tcW w:w="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</w:r>
          </w:p>
        </w:tc>
        <w:tc>
          <w:tcPr>
            <w:tcW w:w="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</w:r>
          </w:p>
        </w:tc>
      </w:tr>
      <w:tr>
        <w:trPr>
          <w:trHeight w:val="263" w:hRule="atLeast"/>
        </w:trPr>
        <w:tc>
          <w:tcPr>
            <w:tcW w:w="24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podnadpis"/>
              <w:spacing w:before="0" w:after="0"/>
              <w:jc w:val="left"/>
              <w:rPr/>
            </w:pPr>
            <w:r>
              <w:rPr>
                <w:sz w:val="22"/>
                <w:szCs w:val="22"/>
              </w:rPr>
              <w:t>Presuny</w:t>
            </w: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</w:r>
          </w:p>
        </w:tc>
        <w:tc>
          <w:tcPr>
            <w:tcW w:w="10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</w:r>
          </w:p>
        </w:tc>
        <w:tc>
          <w:tcPr>
            <w:tcW w:w="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</w:r>
          </w:p>
        </w:tc>
        <w:tc>
          <w:tcPr>
            <w:tcW w:w="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</w:r>
          </w:p>
        </w:tc>
        <w:tc>
          <w:tcPr>
            <w:tcW w:w="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</w:r>
          </w:p>
        </w:tc>
        <w:tc>
          <w:tcPr>
            <w:tcW w:w="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</w:r>
          </w:p>
        </w:tc>
        <w:tc>
          <w:tcPr>
            <w:tcW w:w="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</w:r>
          </w:p>
        </w:tc>
        <w:tc>
          <w:tcPr>
            <w:tcW w:w="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</w:r>
          </w:p>
        </w:tc>
      </w:tr>
      <w:tr>
        <w:trPr>
          <w:trHeight w:val="263" w:hRule="atLeast"/>
        </w:trPr>
        <w:tc>
          <w:tcPr>
            <w:tcW w:w="24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podnadpis"/>
              <w:spacing w:before="0" w:after="0"/>
              <w:jc w:val="left"/>
              <w:rPr/>
            </w:pPr>
            <w:r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</w:r>
          </w:p>
        </w:tc>
        <w:tc>
          <w:tcPr>
            <w:tcW w:w="10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</w:r>
          </w:p>
        </w:tc>
        <w:tc>
          <w:tcPr>
            <w:tcW w:w="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</w:r>
          </w:p>
        </w:tc>
        <w:tc>
          <w:tcPr>
            <w:tcW w:w="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</w:r>
          </w:p>
        </w:tc>
        <w:tc>
          <w:tcPr>
            <w:tcW w:w="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</w:r>
          </w:p>
        </w:tc>
        <w:tc>
          <w:tcPr>
            <w:tcW w:w="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</w:r>
          </w:p>
        </w:tc>
        <w:tc>
          <w:tcPr>
            <w:tcW w:w="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</w:r>
          </w:p>
        </w:tc>
        <w:tc>
          <w:tcPr>
            <w:tcW w:w="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</w:r>
          </w:p>
        </w:tc>
      </w:tr>
      <w:tr>
        <w:trPr>
          <w:trHeight w:val="263" w:hRule="atLeast"/>
        </w:trPr>
        <w:tc>
          <w:tcPr>
            <w:tcW w:w="9815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podnadpis"/>
              <w:spacing w:before="0" w:after="0"/>
              <w:jc w:val="left"/>
              <w:rPr/>
            </w:pPr>
            <w:r>
              <w:rPr>
                <w:b/>
                <w:sz w:val="22"/>
                <w:szCs w:val="22"/>
              </w:rPr>
              <w:t>Opravné položky</w:t>
            </w:r>
          </w:p>
        </w:tc>
      </w:tr>
      <w:tr>
        <w:trPr>
          <w:trHeight w:val="263" w:hRule="atLeast"/>
        </w:trPr>
        <w:tc>
          <w:tcPr>
            <w:tcW w:w="24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podnadpis"/>
              <w:spacing w:before="0" w:after="0"/>
              <w:jc w:val="left"/>
              <w:rPr/>
            </w:pPr>
            <w:r>
              <w:rPr>
                <w:sz w:val="22"/>
                <w:szCs w:val="22"/>
              </w:rPr>
              <w:t>Stav na začiatku bežného účtovného obdobia</w:t>
            </w: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podnadpis"/>
              <w:spacing w:before="0" w:after="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</w:r>
          </w:p>
        </w:tc>
        <w:tc>
          <w:tcPr>
            <w:tcW w:w="10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podnadpis"/>
              <w:spacing w:before="0" w:after="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</w:r>
          </w:p>
        </w:tc>
        <w:tc>
          <w:tcPr>
            <w:tcW w:w="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podnadpis"/>
              <w:spacing w:before="0" w:after="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</w:r>
          </w:p>
        </w:tc>
        <w:tc>
          <w:tcPr>
            <w:tcW w:w="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podnadpis"/>
              <w:spacing w:before="0" w:after="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</w:r>
          </w:p>
        </w:tc>
        <w:tc>
          <w:tcPr>
            <w:tcW w:w="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podnadpis"/>
              <w:spacing w:before="0" w:after="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</w:r>
          </w:p>
        </w:tc>
        <w:tc>
          <w:tcPr>
            <w:tcW w:w="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podnadpis"/>
              <w:spacing w:before="0" w:after="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</w:r>
          </w:p>
        </w:tc>
        <w:tc>
          <w:tcPr>
            <w:tcW w:w="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podnadpis"/>
              <w:spacing w:before="0" w:after="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</w:r>
          </w:p>
        </w:tc>
        <w:tc>
          <w:tcPr>
            <w:tcW w:w="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podnadpis"/>
              <w:spacing w:before="0" w:after="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</w:r>
          </w:p>
        </w:tc>
      </w:tr>
      <w:tr>
        <w:trPr>
          <w:trHeight w:val="263" w:hRule="atLeast"/>
        </w:trPr>
        <w:tc>
          <w:tcPr>
            <w:tcW w:w="24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podnadpis"/>
              <w:spacing w:before="0" w:after="0"/>
              <w:jc w:val="left"/>
              <w:rPr/>
            </w:pPr>
            <w:r>
              <w:rPr>
                <w:sz w:val="22"/>
                <w:szCs w:val="22"/>
              </w:rPr>
              <w:t>Prírastky</w:t>
            </w: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</w:r>
          </w:p>
        </w:tc>
        <w:tc>
          <w:tcPr>
            <w:tcW w:w="10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</w:r>
          </w:p>
        </w:tc>
        <w:tc>
          <w:tcPr>
            <w:tcW w:w="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</w:r>
          </w:p>
        </w:tc>
        <w:tc>
          <w:tcPr>
            <w:tcW w:w="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</w:r>
          </w:p>
        </w:tc>
        <w:tc>
          <w:tcPr>
            <w:tcW w:w="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</w:r>
          </w:p>
        </w:tc>
        <w:tc>
          <w:tcPr>
            <w:tcW w:w="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</w:r>
          </w:p>
        </w:tc>
        <w:tc>
          <w:tcPr>
            <w:tcW w:w="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</w:r>
          </w:p>
        </w:tc>
        <w:tc>
          <w:tcPr>
            <w:tcW w:w="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</w:r>
          </w:p>
        </w:tc>
      </w:tr>
      <w:tr>
        <w:trPr>
          <w:trHeight w:val="263" w:hRule="atLeast"/>
        </w:trPr>
        <w:tc>
          <w:tcPr>
            <w:tcW w:w="24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podnadpis"/>
              <w:spacing w:before="0" w:after="0"/>
              <w:jc w:val="left"/>
              <w:rPr/>
            </w:pPr>
            <w:r>
              <w:rPr>
                <w:sz w:val="22"/>
                <w:szCs w:val="22"/>
              </w:rPr>
              <w:t>Úbytky</w:t>
            </w: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</w:r>
          </w:p>
        </w:tc>
        <w:tc>
          <w:tcPr>
            <w:tcW w:w="10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</w:r>
          </w:p>
        </w:tc>
        <w:tc>
          <w:tcPr>
            <w:tcW w:w="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</w:r>
          </w:p>
        </w:tc>
        <w:tc>
          <w:tcPr>
            <w:tcW w:w="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</w:r>
          </w:p>
        </w:tc>
        <w:tc>
          <w:tcPr>
            <w:tcW w:w="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</w:r>
          </w:p>
        </w:tc>
        <w:tc>
          <w:tcPr>
            <w:tcW w:w="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</w:r>
          </w:p>
        </w:tc>
        <w:tc>
          <w:tcPr>
            <w:tcW w:w="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</w:r>
          </w:p>
        </w:tc>
        <w:tc>
          <w:tcPr>
            <w:tcW w:w="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</w:r>
          </w:p>
        </w:tc>
      </w:tr>
      <w:tr>
        <w:trPr>
          <w:trHeight w:val="263" w:hRule="atLeast"/>
        </w:trPr>
        <w:tc>
          <w:tcPr>
            <w:tcW w:w="24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podnadpis"/>
              <w:spacing w:before="0" w:after="0"/>
              <w:jc w:val="left"/>
              <w:rPr/>
            </w:pPr>
            <w:r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</w:r>
          </w:p>
        </w:tc>
        <w:tc>
          <w:tcPr>
            <w:tcW w:w="10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</w:r>
          </w:p>
        </w:tc>
        <w:tc>
          <w:tcPr>
            <w:tcW w:w="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</w:r>
          </w:p>
        </w:tc>
        <w:tc>
          <w:tcPr>
            <w:tcW w:w="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</w:r>
          </w:p>
        </w:tc>
        <w:tc>
          <w:tcPr>
            <w:tcW w:w="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</w:r>
          </w:p>
        </w:tc>
        <w:tc>
          <w:tcPr>
            <w:tcW w:w="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</w:r>
          </w:p>
        </w:tc>
        <w:tc>
          <w:tcPr>
            <w:tcW w:w="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</w:r>
          </w:p>
        </w:tc>
        <w:tc>
          <w:tcPr>
            <w:tcW w:w="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</w:r>
          </w:p>
        </w:tc>
      </w:tr>
      <w:tr>
        <w:trPr>
          <w:trHeight w:val="263" w:hRule="atLeast"/>
        </w:trPr>
        <w:tc>
          <w:tcPr>
            <w:tcW w:w="9815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podnadpis"/>
              <w:spacing w:before="0" w:after="0"/>
              <w:jc w:val="left"/>
              <w:rPr/>
            </w:pPr>
            <w:r>
              <w:rPr>
                <w:b/>
                <w:sz w:val="22"/>
                <w:szCs w:val="22"/>
              </w:rPr>
              <w:t>Zostatková hodnota </w:t>
            </w:r>
          </w:p>
        </w:tc>
      </w:tr>
      <w:tr>
        <w:trPr>
          <w:trHeight w:val="263" w:hRule="atLeast"/>
        </w:trPr>
        <w:tc>
          <w:tcPr>
            <w:tcW w:w="24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podnadpis"/>
              <w:spacing w:before="0" w:after="0"/>
              <w:jc w:val="left"/>
              <w:rPr/>
            </w:pPr>
            <w:r>
              <w:rPr>
                <w:sz w:val="22"/>
                <w:szCs w:val="22"/>
              </w:rPr>
              <w:t>Stav na začiatku bežného účtovného obdobia</w:t>
            </w: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podnadpis"/>
              <w:spacing w:before="0" w:after="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</w:r>
          </w:p>
        </w:tc>
        <w:tc>
          <w:tcPr>
            <w:tcW w:w="10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podnadpis"/>
              <w:spacing w:before="0" w:after="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</w:r>
          </w:p>
        </w:tc>
        <w:tc>
          <w:tcPr>
            <w:tcW w:w="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podnadpis"/>
              <w:spacing w:before="0" w:after="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</w:r>
          </w:p>
        </w:tc>
        <w:tc>
          <w:tcPr>
            <w:tcW w:w="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podnadpis"/>
              <w:spacing w:before="0" w:after="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</w:r>
          </w:p>
        </w:tc>
        <w:tc>
          <w:tcPr>
            <w:tcW w:w="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podnadpis"/>
              <w:spacing w:before="0" w:after="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</w:r>
          </w:p>
        </w:tc>
        <w:tc>
          <w:tcPr>
            <w:tcW w:w="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podnadpis"/>
              <w:spacing w:before="0" w:after="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</w:r>
          </w:p>
        </w:tc>
        <w:tc>
          <w:tcPr>
            <w:tcW w:w="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podnadpis"/>
              <w:spacing w:before="0" w:after="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</w:r>
          </w:p>
        </w:tc>
        <w:tc>
          <w:tcPr>
            <w:tcW w:w="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podnadpis"/>
              <w:spacing w:before="0" w:after="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</w:r>
          </w:p>
        </w:tc>
      </w:tr>
      <w:tr>
        <w:trPr>
          <w:trHeight w:val="274" w:hRule="atLeast"/>
        </w:trPr>
        <w:tc>
          <w:tcPr>
            <w:tcW w:w="24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podnadpis"/>
              <w:spacing w:before="0" w:after="0"/>
              <w:jc w:val="left"/>
              <w:rPr/>
            </w:pPr>
            <w:r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podnadpis"/>
              <w:spacing w:before="0" w:after="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</w:r>
          </w:p>
        </w:tc>
        <w:tc>
          <w:tcPr>
            <w:tcW w:w="10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podnadpis"/>
              <w:spacing w:before="0" w:after="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</w:r>
          </w:p>
        </w:tc>
        <w:tc>
          <w:tcPr>
            <w:tcW w:w="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podnadpis"/>
              <w:spacing w:before="0" w:after="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</w:r>
          </w:p>
        </w:tc>
        <w:tc>
          <w:tcPr>
            <w:tcW w:w="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podnadpis"/>
              <w:spacing w:before="0" w:after="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</w:r>
          </w:p>
        </w:tc>
        <w:tc>
          <w:tcPr>
            <w:tcW w:w="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podnadpis"/>
              <w:spacing w:before="0" w:after="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</w:r>
          </w:p>
        </w:tc>
        <w:tc>
          <w:tcPr>
            <w:tcW w:w="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podnadpis"/>
              <w:spacing w:before="0" w:after="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</w:r>
          </w:p>
        </w:tc>
        <w:tc>
          <w:tcPr>
            <w:tcW w:w="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podnadpis"/>
              <w:spacing w:before="0" w:after="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</w:r>
          </w:p>
        </w:tc>
        <w:tc>
          <w:tcPr>
            <w:tcW w:w="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podnadpis"/>
              <w:spacing w:before="0" w:after="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</w:r>
          </w:p>
        </w:tc>
      </w:tr>
    </w:tbl>
    <w:p>
      <w:pPr>
        <w:pStyle w:val="Normalpodnadpis"/>
        <w:spacing w:before="0" w:after="120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Normalpodnadpis"/>
        <w:spacing w:before="0" w:after="120"/>
        <w:rPr/>
      </w:pPr>
      <w:r>
        <w:rPr>
          <w:szCs w:val="20"/>
        </w:rPr>
        <w:t>Účtovná jednotka nemá náplň pre túto položku.</w:t>
      </w:r>
    </w:p>
    <w:p>
      <w:pPr>
        <w:pStyle w:val="Normalpodnadpis"/>
        <w:numPr>
          <w:ilvl w:val="0"/>
          <w:numId w:val="2"/>
        </w:numPr>
        <w:spacing w:before="0" w:after="120"/>
        <w:ind w:left="0" w:hanging="0"/>
        <w:rPr/>
      </w:pPr>
      <w:r>
        <w:rPr>
          <w:sz w:val="22"/>
          <w:szCs w:val="22"/>
        </w:rPr>
        <w:t xml:space="preserve"> </w:t>
      </w:r>
      <w:r>
        <w:rPr>
          <w:sz w:val="22"/>
          <w:szCs w:val="22"/>
        </w:rPr>
        <w:t>Prehľad o významných položkách krátkodobého finančného majetku a  o ocenení krátkodobého finančného majetku  reálnou hodnotou ku dňu, ku ktorému sa zostavuje účtovná závierka, pričom sa uvádza vplyv takéhoto ocenenia na výsledok hospodárenia účtovnej jednotky.</w:t>
      </w:r>
    </w:p>
    <w:tbl>
      <w:tblPr>
        <w:tblW w:w="9709" w:type="dxa"/>
        <w:jc w:val="left"/>
        <w:tblInd w:w="-108" w:type="dxa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3507"/>
        <w:gridCol w:w="2130"/>
        <w:gridCol w:w="954"/>
        <w:gridCol w:w="849"/>
        <w:gridCol w:w="2269"/>
      </w:tblGrid>
      <w:tr>
        <w:trPr>
          <w:trHeight w:val="450" w:hRule="atLeast"/>
        </w:trPr>
        <w:tc>
          <w:tcPr>
            <w:tcW w:w="3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podnadpis"/>
              <w:spacing w:before="0" w:after="120"/>
              <w:jc w:val="center"/>
              <w:rPr/>
            </w:pPr>
            <w:r>
              <w:rPr>
                <w:b/>
                <w:sz w:val="18"/>
                <w:szCs w:val="18"/>
              </w:rPr>
              <w:t>Krátkodobý finančný majetok</w:t>
            </w:r>
          </w:p>
        </w:tc>
        <w:tc>
          <w:tcPr>
            <w:tcW w:w="21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podnadpis"/>
              <w:spacing w:before="0" w:after="120"/>
              <w:jc w:val="center"/>
              <w:rPr/>
            </w:pPr>
            <w:r>
              <w:rPr>
                <w:b/>
                <w:sz w:val="18"/>
                <w:szCs w:val="18"/>
              </w:rPr>
              <w:t>Stav na začiatku bežného účtovného obdobia</w:t>
            </w:r>
          </w:p>
        </w:tc>
        <w:tc>
          <w:tcPr>
            <w:tcW w:w="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podnadpis"/>
              <w:spacing w:before="0" w:after="120"/>
              <w:jc w:val="center"/>
              <w:rPr/>
            </w:pPr>
            <w:r>
              <w:rPr>
                <w:b/>
                <w:sz w:val="18"/>
                <w:szCs w:val="18"/>
              </w:rPr>
              <w:t>Prírastky</w:t>
            </w:r>
          </w:p>
        </w:tc>
        <w:tc>
          <w:tcPr>
            <w:tcW w:w="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podnadpis"/>
              <w:spacing w:before="0" w:after="120"/>
              <w:jc w:val="center"/>
              <w:rPr/>
            </w:pPr>
            <w:r>
              <w:rPr>
                <w:b/>
                <w:sz w:val="18"/>
                <w:szCs w:val="18"/>
              </w:rPr>
              <w:t>Úbytky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podnadpis"/>
              <w:spacing w:before="0" w:after="120"/>
              <w:jc w:val="center"/>
              <w:rPr/>
            </w:pPr>
            <w:r>
              <w:rPr>
                <w:b/>
                <w:sz w:val="18"/>
                <w:szCs w:val="18"/>
              </w:rPr>
              <w:t>Stav na konci bežného účtovného obdobia</w:t>
            </w:r>
          </w:p>
        </w:tc>
      </w:tr>
      <w:tr>
        <w:trPr>
          <w:trHeight w:val="450" w:hRule="atLeast"/>
        </w:trPr>
        <w:tc>
          <w:tcPr>
            <w:tcW w:w="3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podnadpis"/>
              <w:spacing w:before="0" w:after="120"/>
              <w:jc w:val="left"/>
              <w:rPr/>
            </w:pPr>
            <w:r>
              <w:rPr>
                <w:sz w:val="18"/>
                <w:szCs w:val="18"/>
              </w:rPr>
              <w:t>Majetkové cenné papiere na obchodovanie</w:t>
            </w:r>
          </w:p>
        </w:tc>
        <w:tc>
          <w:tcPr>
            <w:tcW w:w="21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podnadpis"/>
              <w:spacing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podnadpis"/>
              <w:spacing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podnadpis"/>
              <w:spacing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podnadpis"/>
              <w:spacing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450" w:hRule="atLeast"/>
        </w:trPr>
        <w:tc>
          <w:tcPr>
            <w:tcW w:w="3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podnadpis"/>
              <w:spacing w:before="0" w:after="120"/>
              <w:jc w:val="left"/>
              <w:rPr/>
            </w:pPr>
            <w:r>
              <w:rPr>
                <w:sz w:val="18"/>
                <w:szCs w:val="18"/>
              </w:rPr>
              <w:t xml:space="preserve">Dlhové cenné papiere na obchodovanie </w:t>
            </w:r>
          </w:p>
        </w:tc>
        <w:tc>
          <w:tcPr>
            <w:tcW w:w="21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469" w:hRule="atLeast"/>
        </w:trPr>
        <w:tc>
          <w:tcPr>
            <w:tcW w:w="3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podnadpis"/>
              <w:spacing w:before="0" w:after="120"/>
              <w:jc w:val="left"/>
              <w:rPr/>
            </w:pPr>
            <w:r>
              <w:rPr>
                <w:sz w:val="18"/>
                <w:szCs w:val="18"/>
              </w:rPr>
              <w:t xml:space="preserve">Dlhové cenné papiere so splatnosťou do jedného roka držané do splatnosti </w:t>
            </w:r>
          </w:p>
        </w:tc>
        <w:tc>
          <w:tcPr>
            <w:tcW w:w="21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podnadpis"/>
              <w:spacing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podnadpis"/>
              <w:spacing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podnadpis"/>
              <w:spacing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podnadpis"/>
              <w:spacing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221" w:hRule="atLeast"/>
        </w:trPr>
        <w:tc>
          <w:tcPr>
            <w:tcW w:w="3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podnadpis"/>
              <w:spacing w:before="0" w:after="120"/>
              <w:jc w:val="left"/>
              <w:rPr/>
            </w:pPr>
            <w:r>
              <w:rPr>
                <w:sz w:val="18"/>
                <w:szCs w:val="18"/>
              </w:rPr>
              <w:t>Ostatné realizovateľné cenné papiere</w:t>
            </w:r>
          </w:p>
        </w:tc>
        <w:tc>
          <w:tcPr>
            <w:tcW w:w="21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podnadpis"/>
              <w:spacing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podnadpis"/>
              <w:spacing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podnadpis"/>
              <w:spacing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podnadpis"/>
              <w:spacing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271" w:hRule="atLeast"/>
        </w:trPr>
        <w:tc>
          <w:tcPr>
            <w:tcW w:w="3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podnadpis"/>
              <w:spacing w:before="0" w:after="120"/>
              <w:jc w:val="left"/>
              <w:rPr/>
            </w:pPr>
            <w:r>
              <w:rPr>
                <w:sz w:val="18"/>
                <w:szCs w:val="18"/>
              </w:rPr>
              <w:t>Obstarávanie krátkodobého finančného majetku</w:t>
            </w:r>
          </w:p>
        </w:tc>
        <w:tc>
          <w:tcPr>
            <w:tcW w:w="21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podnadpis"/>
              <w:spacing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podnadpis"/>
              <w:spacing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podnadpis"/>
              <w:spacing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podnadpis"/>
              <w:spacing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205" w:hRule="atLeast"/>
        </w:trPr>
        <w:tc>
          <w:tcPr>
            <w:tcW w:w="3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podnadpis"/>
              <w:spacing w:before="0" w:after="120"/>
              <w:jc w:val="left"/>
              <w:rPr/>
            </w:pPr>
            <w:r>
              <w:rPr>
                <w:b/>
                <w:sz w:val="18"/>
                <w:szCs w:val="18"/>
              </w:rPr>
              <w:t>Krátkodobý finančný majetok spolu</w:t>
            </w:r>
          </w:p>
        </w:tc>
        <w:tc>
          <w:tcPr>
            <w:tcW w:w="21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podnadpis"/>
              <w:spacing w:before="0" w:after="0"/>
              <w:rPr>
                <w:b/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</w:r>
          </w:p>
        </w:tc>
        <w:tc>
          <w:tcPr>
            <w:tcW w:w="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podnadpis"/>
              <w:spacing w:before="0" w:after="0"/>
              <w:rPr>
                <w:b/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</w:r>
          </w:p>
        </w:tc>
        <w:tc>
          <w:tcPr>
            <w:tcW w:w="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podnadpis"/>
              <w:spacing w:before="0" w:after="0"/>
              <w:rPr>
                <w:b/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podnadpis"/>
              <w:spacing w:before="0" w:after="0"/>
              <w:rPr>
                <w:b/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</w:r>
          </w:p>
        </w:tc>
      </w:tr>
    </w:tbl>
    <w:p>
      <w:pPr>
        <w:pStyle w:val="Normalpodnadpis"/>
        <w:spacing w:before="0" w:after="120"/>
        <w:rPr>
          <w:sz w:val="22"/>
          <w:szCs w:val="22"/>
        </w:rPr>
      </w:pPr>
      <w:r>
        <w:rPr>
          <w:sz w:val="22"/>
          <w:szCs w:val="22"/>
        </w:rPr>
      </w:r>
    </w:p>
    <w:tbl>
      <w:tblPr>
        <w:tblW w:w="9852" w:type="dxa"/>
        <w:jc w:val="left"/>
        <w:tblInd w:w="-69" w:type="dxa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3756"/>
        <w:gridCol w:w="1843"/>
        <w:gridCol w:w="1987"/>
        <w:gridCol w:w="2265"/>
      </w:tblGrid>
      <w:tr>
        <w:trPr/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podnadpis"/>
              <w:spacing w:before="0" w:after="120"/>
              <w:jc w:val="center"/>
              <w:rPr/>
            </w:pPr>
            <w:r>
              <w:rPr>
                <w:rFonts w:ascii="Arial" w:hAnsi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podnadpis"/>
              <w:spacing w:before="0" w:after="120"/>
              <w:jc w:val="center"/>
              <w:rPr/>
            </w:pPr>
            <w:r>
              <w:rPr>
                <w:rFonts w:ascii="Arial" w:hAnsi="Arial"/>
                <w:b/>
                <w:bCs/>
                <w:sz w:val="16"/>
                <w:szCs w:val="16"/>
              </w:rPr>
              <w:t>Zvýšenie/ zníženie hodnoty</w:t>
            </w:r>
          </w:p>
          <w:p>
            <w:pPr>
              <w:pStyle w:val="Normalpodnadpis"/>
              <w:spacing w:before="0" w:after="120"/>
              <w:jc w:val="center"/>
              <w:rPr/>
            </w:pPr>
            <w:r>
              <w:rPr>
                <w:rFonts w:ascii="Arial" w:hAnsi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19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podnadpis"/>
              <w:spacing w:before="0" w:after="120"/>
              <w:jc w:val="center"/>
              <w:rPr/>
            </w:pPr>
            <w:r>
              <w:rPr>
                <w:rFonts w:ascii="Arial" w:hAnsi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22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podnadpis"/>
              <w:spacing w:before="0" w:after="120"/>
              <w:jc w:val="center"/>
              <w:rPr/>
            </w:pPr>
            <w:r>
              <w:rPr>
                <w:rFonts w:ascii="Arial" w:hAnsi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>
        <w:trPr/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podnadpis"/>
              <w:spacing w:before="0" w:after="120"/>
              <w:jc w:val="left"/>
              <w:rPr/>
            </w:pPr>
            <w:r>
              <w:rPr>
                <w:sz w:val="22"/>
                <w:szCs w:val="22"/>
              </w:rPr>
              <w:t>Majetkové cenné papiere na obchodovanie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podnadpis"/>
              <w:spacing w:before="0" w:after="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</w:r>
          </w:p>
        </w:tc>
        <w:tc>
          <w:tcPr>
            <w:tcW w:w="19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podnadpis"/>
              <w:spacing w:before="0" w:after="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</w:r>
          </w:p>
        </w:tc>
        <w:tc>
          <w:tcPr>
            <w:tcW w:w="22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podnadpis"/>
              <w:spacing w:before="0" w:after="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</w:r>
          </w:p>
        </w:tc>
      </w:tr>
      <w:tr>
        <w:trPr/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podnadpis"/>
              <w:spacing w:before="0" w:after="120"/>
              <w:jc w:val="left"/>
              <w:rPr/>
            </w:pPr>
            <w:r>
              <w:rPr>
                <w:sz w:val="22"/>
                <w:szCs w:val="22"/>
              </w:rPr>
              <w:t>Dlhové cenné papiere na obchodovanie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</w:r>
          </w:p>
        </w:tc>
        <w:tc>
          <w:tcPr>
            <w:tcW w:w="19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</w:r>
          </w:p>
        </w:tc>
        <w:tc>
          <w:tcPr>
            <w:tcW w:w="22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</w:r>
          </w:p>
        </w:tc>
      </w:tr>
      <w:tr>
        <w:trPr/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podnadpis"/>
              <w:spacing w:before="0" w:after="120"/>
              <w:jc w:val="left"/>
              <w:rPr/>
            </w:pPr>
            <w:r>
              <w:rPr>
                <w:sz w:val="22"/>
                <w:szCs w:val="22"/>
              </w:rPr>
              <w:t>Ostatné realizovateľné cenné papiere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</w:r>
          </w:p>
        </w:tc>
        <w:tc>
          <w:tcPr>
            <w:tcW w:w="19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</w:r>
          </w:p>
        </w:tc>
        <w:tc>
          <w:tcPr>
            <w:tcW w:w="22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</w:r>
          </w:p>
        </w:tc>
      </w:tr>
      <w:tr>
        <w:trPr/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podnadpis"/>
              <w:spacing w:before="0" w:after="120"/>
              <w:jc w:val="left"/>
              <w:rPr/>
            </w:pPr>
            <w:r>
              <w:rPr>
                <w:b/>
                <w:sz w:val="22"/>
                <w:szCs w:val="22"/>
              </w:rPr>
              <w:t>Krátkodobý finančný  majetok spolu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</w:r>
          </w:p>
        </w:tc>
        <w:tc>
          <w:tcPr>
            <w:tcW w:w="19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</w:r>
          </w:p>
        </w:tc>
        <w:tc>
          <w:tcPr>
            <w:tcW w:w="22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</w:r>
          </w:p>
        </w:tc>
      </w:tr>
    </w:tbl>
    <w:p>
      <w:pPr>
        <w:pStyle w:val="Normalpodnadpis"/>
        <w:spacing w:before="0" w:after="120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Normalpodnadpis"/>
        <w:spacing w:before="0" w:after="120"/>
        <w:rPr/>
      </w:pPr>
      <w:r>
        <w:rPr>
          <w:szCs w:val="20"/>
        </w:rPr>
        <w:t>Účtovná jednotka nemá náplň pre túto položku.</w:t>
      </w:r>
    </w:p>
    <w:p>
      <w:pPr>
        <w:pStyle w:val="Normalpodnadpis"/>
        <w:numPr>
          <w:ilvl w:val="0"/>
          <w:numId w:val="2"/>
        </w:numPr>
        <w:spacing w:before="0" w:after="120"/>
        <w:ind w:left="0" w:hanging="0"/>
        <w:rPr/>
      </w:pPr>
      <w:r>
        <w:rPr>
          <w:sz w:val="22"/>
          <w:szCs w:val="22"/>
        </w:rPr>
        <w:t xml:space="preserve"> </w:t>
      </w:r>
      <w:r>
        <w:rPr>
          <w:sz w:val="22"/>
          <w:szCs w:val="22"/>
        </w:rPr>
        <w:t>Prehľad  opravných položiek k zásobám,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 zásobám.</w:t>
      </w:r>
    </w:p>
    <w:tbl>
      <w:tblPr>
        <w:tblW w:w="9993" w:type="dxa"/>
        <w:jc w:val="left"/>
        <w:tblInd w:w="-69" w:type="dxa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2481"/>
        <w:gridCol w:w="1146"/>
        <w:gridCol w:w="1841"/>
        <w:gridCol w:w="1624"/>
        <w:gridCol w:w="1061"/>
        <w:gridCol w:w="1839"/>
      </w:tblGrid>
      <w:tr>
        <w:trPr>
          <w:trHeight w:val="492" w:hRule="atLeast"/>
        </w:trPr>
        <w:tc>
          <w:tcPr>
            <w:tcW w:w="2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podnadpis"/>
              <w:spacing w:before="0" w:after="0"/>
              <w:jc w:val="center"/>
              <w:rPr/>
            </w:pPr>
            <w:r>
              <w:rPr>
                <w:b/>
                <w:sz w:val="18"/>
                <w:szCs w:val="18"/>
              </w:rPr>
              <w:t>Druh zásob</w:t>
            </w:r>
          </w:p>
        </w:tc>
        <w:tc>
          <w:tcPr>
            <w:tcW w:w="1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podnadpis"/>
              <w:spacing w:before="0" w:after="0"/>
              <w:jc w:val="center"/>
              <w:rPr/>
            </w:pPr>
            <w:r>
              <w:rPr>
                <w:b/>
                <w:sz w:val="18"/>
                <w:szCs w:val="18"/>
                <w:lang w:eastAsia="sk-SK"/>
              </w:rPr>
              <w:t>Stav na začiatku bežného účtovného obdobia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podnadpis"/>
              <w:spacing w:before="0" w:after="0"/>
              <w:jc w:val="center"/>
              <w:rPr/>
            </w:pPr>
            <w:r>
              <w:rPr>
                <w:b/>
                <w:sz w:val="18"/>
                <w:szCs w:val="18"/>
                <w:lang w:eastAsia="sk-SK"/>
              </w:rPr>
              <w:t>Tvorba opravnej položky (zvýšenie)</w:t>
            </w:r>
          </w:p>
        </w:tc>
        <w:tc>
          <w:tcPr>
            <w:tcW w:w="16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podnadpis"/>
              <w:spacing w:before="0" w:after="0"/>
              <w:jc w:val="center"/>
              <w:rPr/>
            </w:pPr>
            <w:r>
              <w:rPr>
                <w:b/>
                <w:sz w:val="18"/>
                <w:szCs w:val="18"/>
              </w:rPr>
              <w:t>Zníženie opravnej položky</w:t>
            </w:r>
          </w:p>
        </w:tc>
        <w:tc>
          <w:tcPr>
            <w:tcW w:w="10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podnadpis"/>
              <w:spacing w:before="0" w:after="0"/>
              <w:jc w:val="center"/>
              <w:rPr/>
            </w:pPr>
            <w:r>
              <w:rPr>
                <w:b/>
                <w:sz w:val="18"/>
                <w:szCs w:val="18"/>
              </w:rPr>
              <w:t>Zúčtovanie  opravnej položky</w:t>
            </w:r>
          </w:p>
        </w:tc>
        <w:tc>
          <w:tcPr>
            <w:tcW w:w="18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podnadpis"/>
              <w:spacing w:before="0" w:after="0"/>
              <w:jc w:val="center"/>
              <w:rPr/>
            </w:pPr>
            <w:r>
              <w:rPr>
                <w:b/>
                <w:sz w:val="18"/>
                <w:szCs w:val="18"/>
                <w:lang w:eastAsia="sk-SK"/>
              </w:rPr>
              <w:t>Stav na konci bežného účtovného obdobia</w:t>
            </w:r>
          </w:p>
        </w:tc>
      </w:tr>
      <w:tr>
        <w:trPr>
          <w:trHeight w:val="241" w:hRule="atLeast"/>
        </w:trPr>
        <w:tc>
          <w:tcPr>
            <w:tcW w:w="2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podnadpis"/>
              <w:spacing w:before="0" w:after="0"/>
              <w:jc w:val="left"/>
              <w:rPr/>
            </w:pPr>
            <w:r>
              <w:rPr>
                <w:sz w:val="18"/>
                <w:szCs w:val="18"/>
              </w:rPr>
              <w:t>Materiál</w:t>
            </w:r>
          </w:p>
        </w:tc>
        <w:tc>
          <w:tcPr>
            <w:tcW w:w="1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podnadpis"/>
              <w:spacing w:before="0" w:after="0"/>
              <w:rPr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podnadpis"/>
              <w:spacing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6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podnadpis"/>
              <w:spacing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0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podnadpis"/>
              <w:spacing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8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podnadpis"/>
              <w:spacing w:before="0" w:after="0"/>
              <w:rPr/>
            </w:pPr>
            <w:r>
              <w:rPr>
                <w:sz w:val="18"/>
                <w:szCs w:val="18"/>
              </w:rPr>
              <w:t>0</w:t>
            </w:r>
          </w:p>
        </w:tc>
      </w:tr>
      <w:tr>
        <w:trPr>
          <w:trHeight w:val="414" w:hRule="atLeast"/>
        </w:trPr>
        <w:tc>
          <w:tcPr>
            <w:tcW w:w="2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podnadpis"/>
              <w:spacing w:before="0" w:after="0"/>
              <w:jc w:val="left"/>
              <w:rPr/>
            </w:pPr>
            <w:r>
              <w:rPr>
                <w:sz w:val="18"/>
                <w:szCs w:val="18"/>
              </w:rPr>
              <w:t>Nedokončená výroba  a polotovary vlastnej výroby</w:t>
            </w:r>
          </w:p>
        </w:tc>
        <w:tc>
          <w:tcPr>
            <w:tcW w:w="1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podnadpis"/>
              <w:spacing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podnadpis"/>
              <w:spacing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6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podnadpis"/>
              <w:spacing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0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podnadpis"/>
              <w:spacing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8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podnadpis"/>
              <w:spacing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279" w:hRule="atLeast"/>
        </w:trPr>
        <w:tc>
          <w:tcPr>
            <w:tcW w:w="2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podnadpis"/>
              <w:spacing w:before="0" w:after="0"/>
              <w:jc w:val="left"/>
              <w:rPr/>
            </w:pPr>
            <w:r>
              <w:rPr>
                <w:sz w:val="18"/>
                <w:szCs w:val="18"/>
              </w:rPr>
              <w:t xml:space="preserve">Výrobky </w:t>
            </w:r>
          </w:p>
        </w:tc>
        <w:tc>
          <w:tcPr>
            <w:tcW w:w="1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podnadpis"/>
              <w:spacing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podnadpis"/>
              <w:spacing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6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podnadpis"/>
              <w:spacing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0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podnadpis"/>
              <w:spacing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8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podnadpis"/>
              <w:spacing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270" w:hRule="atLeast"/>
        </w:trPr>
        <w:tc>
          <w:tcPr>
            <w:tcW w:w="2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podnadpis"/>
              <w:spacing w:before="0" w:after="0"/>
              <w:jc w:val="left"/>
              <w:rPr/>
            </w:pPr>
            <w:r>
              <w:rPr>
                <w:sz w:val="18"/>
                <w:szCs w:val="18"/>
              </w:rPr>
              <w:t>Zvieratá</w:t>
            </w:r>
          </w:p>
        </w:tc>
        <w:tc>
          <w:tcPr>
            <w:tcW w:w="1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podnadpis"/>
              <w:spacing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podnadpis"/>
              <w:spacing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6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podnadpis"/>
              <w:spacing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0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podnadpis"/>
              <w:spacing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8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podnadpis"/>
              <w:spacing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273" w:hRule="atLeast"/>
        </w:trPr>
        <w:tc>
          <w:tcPr>
            <w:tcW w:w="2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podnadpis"/>
              <w:spacing w:before="0" w:after="0"/>
              <w:jc w:val="left"/>
              <w:rPr/>
            </w:pPr>
            <w:r>
              <w:rPr>
                <w:sz w:val="18"/>
                <w:szCs w:val="18"/>
              </w:rPr>
              <w:t>Tovar</w:t>
            </w:r>
          </w:p>
        </w:tc>
        <w:tc>
          <w:tcPr>
            <w:tcW w:w="1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podnadpis"/>
              <w:spacing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podnadpis"/>
              <w:spacing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6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podnadpis"/>
              <w:spacing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0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podnadpis"/>
              <w:spacing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8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podnadpis"/>
              <w:spacing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277" w:hRule="atLeast"/>
        </w:trPr>
        <w:tc>
          <w:tcPr>
            <w:tcW w:w="2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podnadpis"/>
              <w:spacing w:before="0" w:after="0"/>
              <w:jc w:val="left"/>
              <w:rPr/>
            </w:pPr>
            <w:r>
              <w:rPr>
                <w:sz w:val="18"/>
                <w:szCs w:val="18"/>
              </w:rPr>
              <w:t>Poskytnutý preddavok na zásoby</w:t>
            </w:r>
          </w:p>
        </w:tc>
        <w:tc>
          <w:tcPr>
            <w:tcW w:w="1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podnadpis"/>
              <w:spacing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podnadpis"/>
              <w:spacing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6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podnadpis"/>
              <w:spacing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0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podnadpis"/>
              <w:spacing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8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podnadpis"/>
              <w:spacing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267" w:hRule="atLeast"/>
        </w:trPr>
        <w:tc>
          <w:tcPr>
            <w:tcW w:w="2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podnadpis"/>
              <w:spacing w:before="0" w:after="0"/>
              <w:jc w:val="left"/>
              <w:rPr/>
            </w:pPr>
            <w:r>
              <w:rPr>
                <w:b/>
                <w:sz w:val="22"/>
                <w:szCs w:val="22"/>
              </w:rPr>
              <w:t>Zásoby spolu</w:t>
            </w:r>
          </w:p>
        </w:tc>
        <w:tc>
          <w:tcPr>
            <w:tcW w:w="1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podnadpis"/>
              <w:spacing w:before="0" w:after="0"/>
              <w:rPr/>
            </w:pP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podnadpis"/>
              <w:spacing w:before="0" w:after="0"/>
              <w:rPr>
                <w:b/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</w:r>
          </w:p>
        </w:tc>
        <w:tc>
          <w:tcPr>
            <w:tcW w:w="16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podnadpis"/>
              <w:spacing w:before="0" w:after="0"/>
              <w:rPr>
                <w:b/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</w:r>
          </w:p>
        </w:tc>
        <w:tc>
          <w:tcPr>
            <w:tcW w:w="10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podnadpis"/>
              <w:spacing w:before="0" w:after="0"/>
              <w:rPr>
                <w:b/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</w:r>
          </w:p>
        </w:tc>
        <w:tc>
          <w:tcPr>
            <w:tcW w:w="18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podnadpis"/>
              <w:spacing w:before="0" w:after="0"/>
              <w:rPr/>
            </w:pPr>
            <w:r>
              <w:rPr>
                <w:b/>
                <w:sz w:val="22"/>
                <w:szCs w:val="22"/>
              </w:rPr>
              <w:t>0</w:t>
            </w:r>
          </w:p>
        </w:tc>
      </w:tr>
    </w:tbl>
    <w:p>
      <w:pPr>
        <w:pStyle w:val="Normalpodnadpis"/>
        <w:spacing w:before="0" w:after="120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Normalpodnadpis"/>
        <w:spacing w:before="0" w:after="120"/>
        <w:rPr/>
      </w:pPr>
      <w:r>
        <w:rPr>
          <w:szCs w:val="20"/>
        </w:rPr>
        <w:t>Účtovná jednotka nemá náplň pre túto položku.</w:t>
      </w:r>
    </w:p>
    <w:p>
      <w:pPr>
        <w:pStyle w:val="Normalpodnadpis"/>
        <w:numPr>
          <w:ilvl w:val="0"/>
          <w:numId w:val="2"/>
        </w:numPr>
        <w:spacing w:before="0" w:after="120"/>
        <w:ind w:left="0" w:hanging="0"/>
        <w:rPr/>
      </w:pPr>
      <w:r>
        <w:rPr>
          <w:sz w:val="22"/>
          <w:szCs w:val="22"/>
        </w:rPr>
        <w:t xml:space="preserve"> </w:t>
      </w:r>
      <w:r>
        <w:rPr>
          <w:sz w:val="22"/>
          <w:szCs w:val="22"/>
        </w:rPr>
        <w:t>Opis významných pohľadávok v nadväznosti na položky súvahy a v členení na pohľadávky za hlavnú nezdaňovanú  činnosť,  zdaňovanú činnosť a podnikateľskú činnosť.</w:t>
      </w:r>
    </w:p>
    <w:p>
      <w:pPr>
        <w:pStyle w:val="Normalpodnadpis"/>
        <w:spacing w:before="0" w:after="120"/>
        <w:rPr/>
      </w:pPr>
      <w:r>
        <w:rPr>
          <w:szCs w:val="20"/>
        </w:rPr>
        <w:t>Významné pohľadávky – zdravotné poisťovne v celkovej hodnote 322 360,73 €- pohľadávky sú z hlavnej činnosti</w:t>
      </w:r>
    </w:p>
    <w:p>
      <w:pPr>
        <w:pStyle w:val="Normalpodnadpis"/>
        <w:numPr>
          <w:ilvl w:val="0"/>
          <w:numId w:val="2"/>
        </w:numPr>
        <w:spacing w:before="0" w:after="120"/>
        <w:ind w:left="0" w:hanging="0"/>
        <w:rPr/>
      </w:pPr>
      <w:r>
        <w:rPr>
          <w:sz w:val="22"/>
          <w:szCs w:val="22"/>
        </w:rPr>
        <w:t xml:space="preserve"> </w:t>
      </w:r>
      <w:r>
        <w:rPr>
          <w:sz w:val="22"/>
          <w:szCs w:val="22"/>
        </w:rPr>
        <w:t>Prehľad  opravných položiek k pohľadávkam,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 pohľadávkam.</w:t>
      </w:r>
    </w:p>
    <w:tbl>
      <w:tblPr>
        <w:tblW w:w="9817" w:type="dxa"/>
        <w:jc w:val="left"/>
        <w:tblInd w:w="-69" w:type="dxa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1912"/>
        <w:gridCol w:w="1701"/>
        <w:gridCol w:w="1559"/>
        <w:gridCol w:w="1418"/>
        <w:gridCol w:w="1370"/>
        <w:gridCol w:w="1856"/>
      </w:tblGrid>
      <w:tr>
        <w:trPr>
          <w:trHeight w:val="457" w:hRule="atLeast"/>
        </w:trPr>
        <w:tc>
          <w:tcPr>
            <w:tcW w:w="19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podnadpis"/>
              <w:numPr>
                <w:ilvl w:val="0"/>
                <w:numId w:val="2"/>
              </w:numPr>
              <w:spacing w:before="0" w:after="0"/>
              <w:jc w:val="center"/>
              <w:rPr/>
            </w:pPr>
            <w:r>
              <w:rPr>
                <w:b/>
                <w:sz w:val="18"/>
                <w:szCs w:val="18"/>
              </w:rPr>
              <w:t>Druh pohľadávok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podnadpis"/>
              <w:spacing w:before="0" w:after="0"/>
              <w:jc w:val="center"/>
              <w:rPr/>
            </w:pPr>
            <w:r>
              <w:rPr>
                <w:b/>
                <w:sz w:val="18"/>
                <w:szCs w:val="18"/>
                <w:lang w:eastAsia="sk-SK"/>
              </w:rPr>
              <w:t>Stav na začiatku bežného účtovného obdobia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podnadpis"/>
              <w:spacing w:before="0" w:after="0"/>
              <w:jc w:val="center"/>
              <w:rPr/>
            </w:pPr>
            <w:r>
              <w:rPr>
                <w:b/>
                <w:sz w:val="18"/>
                <w:szCs w:val="18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podnadpis"/>
              <w:spacing w:before="0" w:after="0"/>
              <w:jc w:val="center"/>
              <w:rPr/>
            </w:pPr>
            <w:r>
              <w:rPr>
                <w:b/>
                <w:sz w:val="18"/>
                <w:szCs w:val="18"/>
              </w:rPr>
              <w:t>Zníženie opravnej položky</w:t>
            </w:r>
          </w:p>
        </w:tc>
        <w:tc>
          <w:tcPr>
            <w:tcW w:w="1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podnadpis"/>
              <w:spacing w:before="0" w:after="0"/>
              <w:jc w:val="center"/>
              <w:rPr/>
            </w:pPr>
            <w:r>
              <w:rPr>
                <w:b/>
                <w:sz w:val="18"/>
                <w:szCs w:val="18"/>
              </w:rPr>
              <w:t>Zúčtovanie  opravnej položky</w:t>
            </w:r>
          </w:p>
        </w:tc>
        <w:tc>
          <w:tcPr>
            <w:tcW w:w="1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podnadpis"/>
              <w:spacing w:before="0" w:after="0"/>
              <w:jc w:val="center"/>
              <w:rPr/>
            </w:pPr>
            <w:r>
              <w:rPr>
                <w:b/>
                <w:sz w:val="18"/>
                <w:szCs w:val="18"/>
                <w:lang w:eastAsia="sk-SK"/>
              </w:rPr>
              <w:t>Stav na konci bežného účtovného obdobia</w:t>
            </w:r>
          </w:p>
        </w:tc>
      </w:tr>
      <w:tr>
        <w:trPr>
          <w:trHeight w:val="447" w:hRule="atLeast"/>
        </w:trPr>
        <w:tc>
          <w:tcPr>
            <w:tcW w:w="19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podnadpis"/>
              <w:spacing w:before="0" w:after="0"/>
              <w:jc w:val="left"/>
              <w:rPr/>
            </w:pPr>
            <w:r>
              <w:rPr>
                <w:sz w:val="18"/>
                <w:szCs w:val="18"/>
              </w:rPr>
              <w:t>Pohľadávky z obchodného styku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podnadpis"/>
              <w:spacing w:before="0" w:after="0"/>
              <w:rPr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podnadpis"/>
              <w:spacing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podnadpis"/>
              <w:spacing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podnadpis"/>
              <w:spacing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podnadpis"/>
              <w:spacing w:before="0" w:after="0"/>
              <w:rPr/>
            </w:pPr>
            <w:r>
              <w:rPr>
                <w:sz w:val="18"/>
                <w:szCs w:val="18"/>
              </w:rPr>
              <w:t>0</w:t>
            </w:r>
          </w:p>
        </w:tc>
      </w:tr>
      <w:tr>
        <w:trPr>
          <w:trHeight w:val="213" w:hRule="atLeast"/>
        </w:trPr>
        <w:tc>
          <w:tcPr>
            <w:tcW w:w="19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podnadpis"/>
              <w:spacing w:before="0" w:after="0"/>
              <w:jc w:val="left"/>
              <w:rPr/>
            </w:pPr>
            <w:r>
              <w:rPr>
                <w:sz w:val="18"/>
                <w:szCs w:val="18"/>
              </w:rPr>
              <w:t>Ostatné pohľadávky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podnadpis"/>
              <w:spacing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podnadpis"/>
              <w:spacing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podnadpis"/>
              <w:spacing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podnadpis"/>
              <w:spacing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podnadpis"/>
              <w:spacing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450" w:hRule="atLeast"/>
        </w:trPr>
        <w:tc>
          <w:tcPr>
            <w:tcW w:w="19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podnadpis"/>
              <w:spacing w:before="0" w:after="0"/>
              <w:jc w:val="left"/>
              <w:rPr/>
            </w:pPr>
            <w:r>
              <w:rPr>
                <w:sz w:val="18"/>
                <w:szCs w:val="18"/>
              </w:rPr>
              <w:t>Pohľadávky voči účastníkom združení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podnadpis"/>
              <w:spacing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podnadpis"/>
              <w:spacing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podnadpis"/>
              <w:spacing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podnadpis"/>
              <w:spacing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podnadpis"/>
              <w:spacing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282" w:hRule="atLeast"/>
        </w:trPr>
        <w:tc>
          <w:tcPr>
            <w:tcW w:w="19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podnadpis"/>
              <w:spacing w:before="0" w:after="0"/>
              <w:jc w:val="left"/>
              <w:rPr/>
            </w:pPr>
            <w:r>
              <w:rPr>
                <w:sz w:val="18"/>
                <w:szCs w:val="18"/>
              </w:rPr>
              <w:t>Iné pohľadávky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podnadpis"/>
              <w:spacing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podnadpis"/>
              <w:spacing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podnadpis"/>
              <w:spacing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podnadpis"/>
              <w:spacing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podnadpis"/>
              <w:spacing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273" w:hRule="atLeast"/>
        </w:trPr>
        <w:tc>
          <w:tcPr>
            <w:tcW w:w="19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podnadpis"/>
              <w:spacing w:before="0" w:after="0"/>
              <w:jc w:val="left"/>
              <w:rPr/>
            </w:pPr>
            <w:r>
              <w:rPr>
                <w:b/>
                <w:sz w:val="18"/>
                <w:szCs w:val="18"/>
              </w:rPr>
              <w:t>Pohľadávky spolu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podnadpis"/>
              <w:spacing w:before="0" w:after="0"/>
              <w:rPr/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podnadpis"/>
              <w:spacing w:before="0" w:after="0"/>
              <w:rPr>
                <w:b/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podnadpis"/>
              <w:spacing w:before="0" w:after="0"/>
              <w:rPr>
                <w:b/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</w:r>
          </w:p>
        </w:tc>
        <w:tc>
          <w:tcPr>
            <w:tcW w:w="1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podnadpis"/>
              <w:spacing w:before="0" w:after="0"/>
              <w:rPr>
                <w:b/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</w:r>
          </w:p>
        </w:tc>
        <w:tc>
          <w:tcPr>
            <w:tcW w:w="1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podnadpis"/>
              <w:spacing w:before="0" w:after="0"/>
              <w:rPr>
                <w:b/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</w:tr>
    </w:tbl>
    <w:p>
      <w:pPr>
        <w:pStyle w:val="Normalpodnadpis"/>
        <w:spacing w:before="0" w:after="120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Normalpodnadpis"/>
        <w:spacing w:before="0" w:after="120"/>
        <w:rPr/>
      </w:pPr>
      <w:r>
        <w:rPr>
          <w:szCs w:val="20"/>
        </w:rPr>
        <w:t>Účtovná jednotka nemá náplň pre túto položku.</w:t>
      </w:r>
    </w:p>
    <w:p>
      <w:pPr>
        <w:pStyle w:val="Normalpodnadpis"/>
        <w:spacing w:before="0" w:after="120"/>
        <w:rPr/>
      </w:pPr>
      <w:r>
        <w:rPr>
          <w:sz w:val="22"/>
          <w:szCs w:val="22"/>
        </w:rPr>
        <w:t>(10) Prehľad  pohľadávok do lehoty splatnosti a po lehote splatnosti.</w:t>
      </w:r>
    </w:p>
    <w:tbl>
      <w:tblPr>
        <w:tblW w:w="9706" w:type="dxa"/>
        <w:jc w:val="left"/>
        <w:tblInd w:w="-69" w:type="dxa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3342"/>
        <w:gridCol w:w="2963"/>
        <w:gridCol w:w="3401"/>
      </w:tblGrid>
      <w:tr>
        <w:trPr>
          <w:trHeight w:val="395" w:hRule="atLeast"/>
        </w:trPr>
        <w:tc>
          <w:tcPr>
            <w:tcW w:w="334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podnadpis"/>
              <w:spacing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636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podnadpis"/>
              <w:spacing w:before="0" w:after="120"/>
              <w:jc w:val="center"/>
              <w:rPr/>
            </w:pPr>
            <w:r>
              <w:rPr>
                <w:b/>
                <w:sz w:val="22"/>
                <w:szCs w:val="22"/>
                <w:lang w:eastAsia="sk-SK"/>
              </w:rPr>
              <w:t>Stav na konci</w:t>
            </w:r>
          </w:p>
        </w:tc>
      </w:tr>
      <w:tr>
        <w:trPr>
          <w:trHeight w:val="143" w:hRule="atLeast"/>
        </w:trPr>
        <w:tc>
          <w:tcPr>
            <w:tcW w:w="3342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podnadpis"/>
              <w:spacing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2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podnadpis"/>
              <w:spacing w:before="0" w:after="120"/>
              <w:jc w:val="center"/>
              <w:rPr/>
            </w:pPr>
            <w:r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3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podnadpis"/>
              <w:spacing w:before="0" w:after="120"/>
              <w:jc w:val="center"/>
              <w:rPr/>
            </w:pPr>
            <w:r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>
        <w:trPr>
          <w:trHeight w:val="367" w:hRule="atLeast"/>
        </w:trPr>
        <w:tc>
          <w:tcPr>
            <w:tcW w:w="33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podnadpis"/>
              <w:spacing w:before="0" w:after="120"/>
              <w:jc w:val="left"/>
              <w:rPr/>
            </w:pPr>
            <w:r>
              <w:rPr>
                <w:sz w:val="22"/>
                <w:szCs w:val="22"/>
              </w:rPr>
              <w:t>Pohľadávky do lehoty splatnosti</w:t>
            </w:r>
          </w:p>
        </w:tc>
        <w:tc>
          <w:tcPr>
            <w:tcW w:w="2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podnadpis"/>
              <w:spacing w:before="0" w:after="120"/>
              <w:jc w:val="left"/>
              <w:rPr/>
            </w:pPr>
            <w:r>
              <w:rPr>
                <w:sz w:val="22"/>
                <w:szCs w:val="22"/>
              </w:rPr>
              <w:t>476540,48</w:t>
            </w:r>
          </w:p>
        </w:tc>
        <w:tc>
          <w:tcPr>
            <w:tcW w:w="3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podnadpis"/>
              <w:spacing w:before="0" w:after="120"/>
              <w:jc w:val="left"/>
              <w:rPr/>
            </w:pPr>
            <w:r>
              <w:rPr>
                <w:sz w:val="22"/>
                <w:szCs w:val="22"/>
              </w:rPr>
              <w:t>372 155</w:t>
            </w:r>
          </w:p>
        </w:tc>
      </w:tr>
      <w:tr>
        <w:trPr>
          <w:trHeight w:val="367" w:hRule="atLeast"/>
        </w:trPr>
        <w:tc>
          <w:tcPr>
            <w:tcW w:w="33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podnadpis"/>
              <w:spacing w:before="0" w:after="120"/>
              <w:jc w:val="left"/>
              <w:rPr/>
            </w:pPr>
            <w:r>
              <w:rPr>
                <w:sz w:val="22"/>
                <w:szCs w:val="22"/>
              </w:rPr>
              <w:t>Pohľadávky po lehote splatnosti</w:t>
            </w:r>
          </w:p>
        </w:tc>
        <w:tc>
          <w:tcPr>
            <w:tcW w:w="2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podnadpis"/>
              <w:spacing w:before="0" w:after="120"/>
              <w:jc w:val="left"/>
              <w:rPr/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podnadpis"/>
              <w:spacing w:before="0" w:after="120"/>
              <w:jc w:val="left"/>
              <w:rPr/>
            </w:pPr>
            <w:r>
              <w:rPr>
                <w:sz w:val="22"/>
                <w:szCs w:val="22"/>
              </w:rPr>
              <w:t>0</w:t>
            </w:r>
          </w:p>
        </w:tc>
      </w:tr>
      <w:tr>
        <w:trPr>
          <w:trHeight w:val="378" w:hRule="atLeast"/>
        </w:trPr>
        <w:tc>
          <w:tcPr>
            <w:tcW w:w="33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podnadpis"/>
              <w:spacing w:before="0" w:after="120"/>
              <w:jc w:val="left"/>
              <w:rPr/>
            </w:pPr>
            <w:r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2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podnadpis"/>
              <w:spacing w:before="0" w:after="120"/>
              <w:jc w:val="left"/>
              <w:rPr/>
            </w:pPr>
            <w:r>
              <w:rPr>
                <w:b/>
                <w:sz w:val="22"/>
                <w:szCs w:val="22"/>
              </w:rPr>
              <w:t>476540,48</w:t>
            </w:r>
          </w:p>
        </w:tc>
        <w:tc>
          <w:tcPr>
            <w:tcW w:w="3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podnadpis"/>
              <w:spacing w:before="0" w:after="120"/>
              <w:jc w:val="left"/>
              <w:rPr/>
            </w:pPr>
            <w:r>
              <w:rPr>
                <w:b/>
                <w:sz w:val="22"/>
                <w:szCs w:val="22"/>
              </w:rPr>
              <w:t>372 155</w:t>
            </w:r>
          </w:p>
        </w:tc>
      </w:tr>
    </w:tbl>
    <w:p>
      <w:pPr>
        <w:pStyle w:val="Normalpodnadpis"/>
        <w:spacing w:before="0" w:after="120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Normalpodnadpis"/>
        <w:spacing w:before="0" w:after="120"/>
        <w:rPr/>
      </w:pPr>
      <w:r>
        <w:rPr>
          <w:szCs w:val="20"/>
        </w:rPr>
        <w:t>Účtovná jednotka nemá pohľadávky po lehote splatnosti.</w:t>
      </w:r>
    </w:p>
    <w:p>
      <w:pPr>
        <w:pStyle w:val="Normalpodnadpis"/>
        <w:numPr>
          <w:ilvl w:val="0"/>
          <w:numId w:val="2"/>
        </w:numPr>
        <w:spacing w:before="0" w:after="120"/>
        <w:ind w:left="0" w:hanging="0"/>
        <w:rPr/>
      </w:pPr>
      <w:r>
        <w:rPr>
          <w:sz w:val="22"/>
          <w:szCs w:val="22"/>
        </w:rPr>
        <w:t xml:space="preserve"> </w:t>
      </w:r>
      <w:r>
        <w:rPr>
          <w:sz w:val="22"/>
          <w:szCs w:val="22"/>
        </w:rPr>
        <w:t>Prehľad významných položiek časového rozlíšenia nákladov budúcich období a príjmov budúcich období.</w:t>
      </w:r>
    </w:p>
    <w:p>
      <w:pPr>
        <w:pStyle w:val="Normalpodnadpis"/>
        <w:spacing w:before="0" w:after="120"/>
        <w:rPr/>
      </w:pPr>
      <w:r>
        <w:rPr>
          <w:szCs w:val="20"/>
        </w:rPr>
        <w:t>účtovná jednotka nemá významné účty časového rozlíšenia nákladov budúcich období</w:t>
      </w:r>
    </w:p>
    <w:p>
      <w:pPr>
        <w:pStyle w:val="Normalpodnadpis"/>
        <w:spacing w:before="0" w:after="120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Normalpodnadpis"/>
        <w:numPr>
          <w:ilvl w:val="0"/>
          <w:numId w:val="2"/>
        </w:numPr>
        <w:spacing w:before="0" w:after="120"/>
        <w:ind w:left="0" w:hanging="0"/>
        <w:rPr/>
      </w:pPr>
      <w:r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Opis a výška zmien vlastných zdrojov krytia neobežného majetku a obežného majetku podľa položiek súvahy za bežné účtovné obdobie, a to </w:t>
      </w:r>
    </w:p>
    <w:p>
      <w:pPr>
        <w:pStyle w:val="Normalpodnadpis"/>
        <w:rPr/>
      </w:pPr>
      <w:r>
        <w:rPr>
          <w:sz w:val="22"/>
          <w:szCs w:val="22"/>
        </w:rPr>
        <w:t>a) opis základného imania, nadačného imania v nadáciách, výška vkladov zakladateľov alebo zriaďovateľov, prioritný majetok v neziskových organizáciách poskytujúcich všeobecne prospešné služby, prevody zdrojov z fondov účtovnej jednotky a podobne; za jednotlivé položky sa uvádza stav na začiatku bežného účtovného obdobia, jednotlivé prírastky, úbytky, presuny a zostatok na konci bežného účtovného obdobia,</w:t>
      </w:r>
    </w:p>
    <w:p>
      <w:pPr>
        <w:pStyle w:val="Normalpodnadpis"/>
        <w:spacing w:before="0" w:after="120"/>
        <w:ind w:left="142" w:hanging="142"/>
        <w:rPr/>
      </w:pPr>
      <w:r>
        <w:rPr>
          <w:sz w:val="22"/>
          <w:szCs w:val="22"/>
        </w:rPr>
        <w:t xml:space="preserve">b) opis jednotlivých druhov fondov, ktoré tvorí účtovná jednotka, stav na začiatku bežného účtovného obdobia, prírastky, úbytky, presuny a zostatok na konci bežného účtovného obdobia. </w:t>
      </w:r>
    </w:p>
    <w:p>
      <w:pPr>
        <w:pStyle w:val="Normalpodnadpis"/>
        <w:spacing w:before="0" w:after="120"/>
        <w:ind w:left="142" w:hanging="142"/>
        <w:rPr/>
      </w:pPr>
      <w:r>
        <w:rPr>
          <w:sz w:val="18"/>
          <w:szCs w:val="18"/>
        </w:rPr>
        <w:t>Zmeny v nevysporiadanom výsledku hospodárenia minulých rokov /úbytok/ tvoria opravy chýb minulých rokov a výdavky minulých období</w:t>
      </w:r>
    </w:p>
    <w:p>
      <w:pPr>
        <w:pStyle w:val="Normalpodnadpis"/>
        <w:spacing w:before="0" w:after="120"/>
        <w:ind w:left="142" w:hanging="142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podnadpis"/>
        <w:spacing w:before="0" w:after="120"/>
        <w:rPr>
          <w:color w:val="FF0000"/>
          <w:sz w:val="22"/>
          <w:szCs w:val="22"/>
        </w:rPr>
      </w:pPr>
      <w:r>
        <w:rPr>
          <w:color w:val="FF0000"/>
          <w:sz w:val="22"/>
          <w:szCs w:val="22"/>
        </w:rPr>
      </w:r>
    </w:p>
    <w:tbl>
      <w:tblPr>
        <w:tblW w:w="10394" w:type="dxa"/>
        <w:jc w:val="left"/>
        <w:tblInd w:w="-69" w:type="dxa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2340"/>
        <w:gridCol w:w="2024"/>
        <w:gridCol w:w="1290"/>
        <w:gridCol w:w="1394"/>
        <w:gridCol w:w="1256"/>
        <w:gridCol w:w="2089"/>
      </w:tblGrid>
      <w:tr>
        <w:trPr>
          <w:trHeight w:val="359" w:hRule="atLeast"/>
        </w:trPr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podnadpis"/>
              <w:spacing w:before="0" w:after="0"/>
              <w:jc w:val="left"/>
              <w:rPr>
                <w:b/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</w:r>
          </w:p>
        </w:tc>
        <w:tc>
          <w:tcPr>
            <w:tcW w:w="20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podnadpis"/>
              <w:spacing w:before="0" w:after="0"/>
              <w:jc w:val="center"/>
              <w:rPr/>
            </w:pPr>
            <w:r>
              <w:rPr>
                <w:b/>
                <w:sz w:val="18"/>
                <w:szCs w:val="18"/>
                <w:lang w:eastAsia="sk-SK"/>
              </w:rPr>
              <w:t>Stav na začiatku bežného účtovného obdobia</w:t>
            </w: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podnadpis"/>
              <w:spacing w:before="0" w:after="0"/>
              <w:jc w:val="center"/>
              <w:rPr/>
            </w:pPr>
            <w:r>
              <w:rPr>
                <w:b/>
                <w:sz w:val="18"/>
                <w:szCs w:val="18"/>
              </w:rPr>
              <w:t>Prírastky</w:t>
            </w:r>
          </w:p>
          <w:p>
            <w:pPr>
              <w:pStyle w:val="Normalpodnadpis"/>
              <w:spacing w:before="0" w:after="0"/>
              <w:jc w:val="center"/>
              <w:rPr/>
            </w:pPr>
            <w:r>
              <w:rPr>
                <w:b/>
                <w:sz w:val="18"/>
                <w:szCs w:val="18"/>
              </w:rPr>
              <w:t>(+)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podnadpis"/>
              <w:spacing w:before="0" w:after="0"/>
              <w:jc w:val="center"/>
              <w:rPr/>
            </w:pPr>
            <w:r>
              <w:rPr>
                <w:b/>
                <w:sz w:val="18"/>
                <w:szCs w:val="18"/>
              </w:rPr>
              <w:t>Úbytky</w:t>
            </w:r>
          </w:p>
          <w:p>
            <w:pPr>
              <w:pStyle w:val="Normalpodnadpis"/>
              <w:spacing w:before="0" w:after="0"/>
              <w:jc w:val="center"/>
              <w:rPr/>
            </w:pPr>
            <w:r>
              <w:rPr>
                <w:b/>
                <w:sz w:val="18"/>
                <w:szCs w:val="18"/>
              </w:rPr>
              <w:t>(-)</w:t>
            </w:r>
          </w:p>
        </w:tc>
        <w:tc>
          <w:tcPr>
            <w:tcW w:w="12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podnadpis"/>
              <w:spacing w:before="0" w:after="0"/>
              <w:jc w:val="center"/>
              <w:rPr/>
            </w:pPr>
            <w:r>
              <w:rPr>
                <w:b/>
                <w:sz w:val="18"/>
                <w:szCs w:val="18"/>
              </w:rPr>
              <w:t>Presuny</w:t>
            </w:r>
          </w:p>
          <w:p>
            <w:pPr>
              <w:pStyle w:val="Normalpodnadpis"/>
              <w:spacing w:before="0" w:after="0"/>
              <w:jc w:val="center"/>
              <w:rPr/>
            </w:pPr>
            <w:r>
              <w:rPr>
                <w:b/>
                <w:sz w:val="18"/>
                <w:szCs w:val="18"/>
              </w:rPr>
              <w:t>(+, -)</w:t>
            </w:r>
          </w:p>
        </w:tc>
        <w:tc>
          <w:tcPr>
            <w:tcW w:w="20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podnadpis"/>
              <w:spacing w:before="0" w:after="0"/>
              <w:jc w:val="center"/>
              <w:rPr/>
            </w:pPr>
            <w:r>
              <w:rPr>
                <w:b/>
                <w:sz w:val="18"/>
                <w:szCs w:val="18"/>
                <w:lang w:eastAsia="sk-SK"/>
              </w:rPr>
              <w:t>Stav na konci bežného účtovného obdobia</w:t>
            </w:r>
          </w:p>
        </w:tc>
      </w:tr>
      <w:tr>
        <w:trPr>
          <w:trHeight w:val="277" w:hRule="atLeast"/>
        </w:trPr>
        <w:tc>
          <w:tcPr>
            <w:tcW w:w="10393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podnadpis"/>
              <w:spacing w:before="0" w:after="0"/>
              <w:jc w:val="lef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</w:r>
          </w:p>
        </w:tc>
      </w:tr>
      <w:tr>
        <w:trPr>
          <w:trHeight w:val="277" w:hRule="atLeast"/>
        </w:trPr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podnadpis"/>
              <w:spacing w:before="0" w:after="0"/>
              <w:jc w:val="left"/>
              <w:rPr/>
            </w:pPr>
            <w:r>
              <w:rPr>
                <w:b/>
                <w:sz w:val="18"/>
                <w:szCs w:val="18"/>
              </w:rPr>
              <w:t>Vlastné zdroje krytia majetku spolu</w:t>
            </w:r>
            <w:r>
              <w:rPr>
                <w:sz w:val="18"/>
                <w:szCs w:val="18"/>
              </w:rPr>
              <w:t xml:space="preserve"> </w:t>
            </w:r>
          </w:p>
        </w:tc>
        <w:tc>
          <w:tcPr>
            <w:tcW w:w="20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podnadpis"/>
              <w:spacing w:before="0" w:after="0"/>
              <w:rPr/>
            </w:pPr>
            <w:r>
              <w:rPr>
                <w:sz w:val="18"/>
                <w:szCs w:val="18"/>
              </w:rPr>
              <w:t>584869</w:t>
            </w: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podnadpis"/>
              <w:spacing w:before="0" w:after="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podnadpis"/>
              <w:spacing w:before="0" w:after="0"/>
              <w:ind w:left="495" w:hanging="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</w:r>
          </w:p>
        </w:tc>
        <w:tc>
          <w:tcPr>
            <w:tcW w:w="12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podnadpis"/>
              <w:spacing w:before="0" w:after="0"/>
              <w:ind w:left="360" w:hanging="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</w:r>
          </w:p>
        </w:tc>
        <w:tc>
          <w:tcPr>
            <w:tcW w:w="20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podnadpis"/>
              <w:spacing w:before="0" w:after="0"/>
              <w:rPr/>
            </w:pPr>
            <w:r>
              <w:rPr>
                <w:color w:val="000000"/>
                <w:sz w:val="18"/>
                <w:szCs w:val="18"/>
              </w:rPr>
              <w:t>596810,87</w:t>
            </w:r>
          </w:p>
        </w:tc>
      </w:tr>
      <w:tr>
        <w:trPr>
          <w:trHeight w:val="351" w:hRule="atLeast"/>
        </w:trPr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podnadpis"/>
              <w:spacing w:before="0" w:after="0"/>
              <w:jc w:val="left"/>
              <w:rPr/>
            </w:pPr>
            <w:r>
              <w:rPr>
                <w:b/>
                <w:sz w:val="18"/>
                <w:szCs w:val="18"/>
              </w:rPr>
              <w:t>Imanie a fondy</w:t>
            </w:r>
            <w:r>
              <w:rPr>
                <w:sz w:val="18"/>
                <w:szCs w:val="18"/>
              </w:rPr>
              <w:t xml:space="preserve"> </w:t>
            </w:r>
          </w:p>
        </w:tc>
        <w:tc>
          <w:tcPr>
            <w:tcW w:w="20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podnadpis"/>
              <w:spacing w:before="0" w:after="0"/>
              <w:rPr/>
            </w:pPr>
            <w:r>
              <w:rPr>
                <w:sz w:val="18"/>
                <w:szCs w:val="18"/>
              </w:rPr>
              <w:t>17315</w:t>
            </w: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podnadpis"/>
              <w:spacing w:before="0" w:after="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podnadpis"/>
              <w:spacing w:before="0" w:after="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</w:r>
          </w:p>
        </w:tc>
        <w:tc>
          <w:tcPr>
            <w:tcW w:w="12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podnadpis"/>
              <w:spacing w:before="0" w:after="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</w:r>
          </w:p>
        </w:tc>
        <w:tc>
          <w:tcPr>
            <w:tcW w:w="20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podnadpis"/>
              <w:spacing w:before="0" w:after="0"/>
              <w:rPr/>
            </w:pPr>
            <w:r>
              <w:rPr>
                <w:color w:val="000000"/>
                <w:sz w:val="18"/>
                <w:szCs w:val="18"/>
              </w:rPr>
              <w:t>17314,66</w:t>
            </w:r>
          </w:p>
        </w:tc>
      </w:tr>
      <w:tr>
        <w:trPr>
          <w:trHeight w:val="277" w:hRule="atLeast"/>
        </w:trPr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podnadpis"/>
              <w:spacing w:before="0" w:after="0"/>
              <w:jc w:val="left"/>
              <w:rPr/>
            </w:pPr>
            <w:r>
              <w:rPr>
                <w:sz w:val="18"/>
                <w:szCs w:val="18"/>
              </w:rPr>
              <w:t>Základné imanie</w:t>
            </w:r>
          </w:p>
        </w:tc>
        <w:tc>
          <w:tcPr>
            <w:tcW w:w="20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podnadpis"/>
              <w:spacing w:before="0" w:after="0"/>
              <w:jc w:val="left"/>
              <w:rPr/>
            </w:pPr>
            <w:r>
              <w:rPr>
                <w:sz w:val="18"/>
                <w:szCs w:val="18"/>
              </w:rPr>
              <w:t>17315</w:t>
            </w: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podnadpis"/>
              <w:spacing w:before="0" w:after="0"/>
              <w:jc w:val="lef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podnadpis"/>
              <w:spacing w:before="0" w:after="0"/>
              <w:jc w:val="lef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</w:r>
          </w:p>
        </w:tc>
        <w:tc>
          <w:tcPr>
            <w:tcW w:w="12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podnadpis"/>
              <w:spacing w:before="0" w:after="0"/>
              <w:jc w:val="lef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</w:r>
          </w:p>
        </w:tc>
        <w:tc>
          <w:tcPr>
            <w:tcW w:w="20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podnadpis"/>
              <w:spacing w:before="0" w:after="0"/>
              <w:jc w:val="left"/>
              <w:rPr/>
            </w:pPr>
            <w:r>
              <w:rPr>
                <w:color w:val="000000"/>
                <w:sz w:val="18"/>
                <w:szCs w:val="18"/>
              </w:rPr>
              <w:t>17314,66</w:t>
            </w:r>
          </w:p>
        </w:tc>
      </w:tr>
      <w:tr>
        <w:trPr>
          <w:trHeight w:val="277" w:hRule="atLeast"/>
        </w:trPr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podnadpis"/>
              <w:spacing w:before="0" w:after="0"/>
              <w:jc w:val="left"/>
              <w:rPr/>
            </w:pPr>
            <w:r>
              <w:rPr>
                <w:sz w:val="18"/>
                <w:szCs w:val="18"/>
              </w:rPr>
              <w:t>prioritný majetok</w:t>
            </w:r>
          </w:p>
        </w:tc>
        <w:tc>
          <w:tcPr>
            <w:tcW w:w="20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podnadpis"/>
              <w:spacing w:before="0" w:after="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podnadpis"/>
              <w:spacing w:before="0" w:after="0"/>
              <w:jc w:val="lef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podnadpis"/>
              <w:spacing w:before="0" w:after="0"/>
              <w:jc w:val="lef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</w:r>
          </w:p>
        </w:tc>
        <w:tc>
          <w:tcPr>
            <w:tcW w:w="12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podnadpis"/>
              <w:spacing w:before="0" w:after="0"/>
              <w:jc w:val="lef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</w:r>
          </w:p>
        </w:tc>
        <w:tc>
          <w:tcPr>
            <w:tcW w:w="20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podnadpis"/>
              <w:spacing w:before="0" w:after="0"/>
              <w:jc w:val="lef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</w:r>
          </w:p>
        </w:tc>
      </w:tr>
      <w:tr>
        <w:trPr>
          <w:trHeight w:val="359" w:hRule="atLeast"/>
        </w:trPr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podnadpis"/>
              <w:spacing w:before="0" w:after="0"/>
              <w:jc w:val="left"/>
              <w:rPr/>
            </w:pPr>
            <w:r>
              <w:rPr>
                <w:sz w:val="18"/>
                <w:szCs w:val="18"/>
              </w:rPr>
              <w:t>Fondy tvorené podľa osobitného predpisu</w:t>
            </w:r>
          </w:p>
        </w:tc>
        <w:tc>
          <w:tcPr>
            <w:tcW w:w="20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podnadpis"/>
              <w:spacing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podnadpis"/>
              <w:spacing w:before="0" w:after="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podnadpis"/>
              <w:spacing w:before="0" w:after="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</w:r>
          </w:p>
        </w:tc>
        <w:tc>
          <w:tcPr>
            <w:tcW w:w="12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podnadpis"/>
              <w:spacing w:before="0" w:after="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</w:r>
          </w:p>
        </w:tc>
        <w:tc>
          <w:tcPr>
            <w:tcW w:w="20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podnadpis"/>
              <w:spacing w:before="0" w:after="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</w:r>
          </w:p>
        </w:tc>
      </w:tr>
      <w:tr>
        <w:trPr>
          <w:trHeight w:val="277" w:hRule="atLeast"/>
        </w:trPr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podnadpis"/>
              <w:spacing w:before="0" w:after="0"/>
              <w:jc w:val="left"/>
              <w:rPr/>
            </w:pPr>
            <w:r>
              <w:rPr>
                <w:sz w:val="18"/>
                <w:szCs w:val="18"/>
              </w:rPr>
              <w:t>Fond reprodukcie</w:t>
            </w:r>
          </w:p>
        </w:tc>
        <w:tc>
          <w:tcPr>
            <w:tcW w:w="20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podnadpis"/>
              <w:spacing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podnadpis"/>
              <w:spacing w:before="0" w:after="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podnadpis"/>
              <w:spacing w:before="0" w:after="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</w:r>
          </w:p>
        </w:tc>
        <w:tc>
          <w:tcPr>
            <w:tcW w:w="12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podnadpis"/>
              <w:spacing w:before="0" w:after="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</w:r>
          </w:p>
        </w:tc>
        <w:tc>
          <w:tcPr>
            <w:tcW w:w="20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podnadpis"/>
              <w:spacing w:before="0" w:after="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</w:r>
          </w:p>
        </w:tc>
      </w:tr>
      <w:tr>
        <w:trPr>
          <w:trHeight w:val="539" w:hRule="atLeast"/>
        </w:trPr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podnadpis"/>
              <w:spacing w:before="0" w:after="0"/>
              <w:jc w:val="left"/>
              <w:rPr/>
            </w:pPr>
            <w:r>
              <w:rPr>
                <w:sz w:val="18"/>
                <w:szCs w:val="18"/>
              </w:rPr>
              <w:t>Oceňovacie rozdiely z precenenia majetku a záväzkov</w:t>
            </w:r>
          </w:p>
        </w:tc>
        <w:tc>
          <w:tcPr>
            <w:tcW w:w="20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podnadpis"/>
              <w:spacing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podnadpis"/>
              <w:spacing w:before="0" w:after="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podnadpis"/>
              <w:spacing w:before="0" w:after="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</w:r>
          </w:p>
        </w:tc>
        <w:tc>
          <w:tcPr>
            <w:tcW w:w="12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podnadpis"/>
              <w:spacing w:before="0" w:after="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</w:r>
          </w:p>
        </w:tc>
        <w:tc>
          <w:tcPr>
            <w:tcW w:w="20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podnadpis"/>
              <w:spacing w:before="0" w:after="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</w:r>
          </w:p>
        </w:tc>
      </w:tr>
      <w:tr>
        <w:trPr>
          <w:trHeight w:val="539" w:hRule="atLeast"/>
        </w:trPr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podnadpis"/>
              <w:spacing w:before="0" w:after="0"/>
              <w:jc w:val="left"/>
              <w:rPr/>
            </w:pPr>
            <w:r>
              <w:rPr>
                <w:sz w:val="18"/>
                <w:szCs w:val="18"/>
              </w:rPr>
              <w:t>Oceňovacie rozdiely z precenenia kapitálových účastín</w:t>
            </w:r>
          </w:p>
        </w:tc>
        <w:tc>
          <w:tcPr>
            <w:tcW w:w="20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</w:r>
          </w:p>
        </w:tc>
        <w:tc>
          <w:tcPr>
            <w:tcW w:w="12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</w:r>
          </w:p>
        </w:tc>
        <w:tc>
          <w:tcPr>
            <w:tcW w:w="20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</w:r>
          </w:p>
        </w:tc>
      </w:tr>
      <w:tr>
        <w:trPr>
          <w:trHeight w:val="277" w:hRule="atLeast"/>
        </w:trPr>
        <w:tc>
          <w:tcPr>
            <w:tcW w:w="10393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podnadpis"/>
              <w:spacing w:before="0" w:after="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</w:r>
          </w:p>
        </w:tc>
      </w:tr>
      <w:tr>
        <w:trPr>
          <w:trHeight w:val="277" w:hRule="atLeast"/>
        </w:trPr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podnadpis"/>
              <w:spacing w:before="0" w:after="0"/>
              <w:jc w:val="left"/>
              <w:rPr/>
            </w:pPr>
            <w:r>
              <w:rPr>
                <w:sz w:val="18"/>
                <w:szCs w:val="18"/>
              </w:rPr>
              <w:t>Rezervný fond</w:t>
            </w:r>
          </w:p>
        </w:tc>
        <w:tc>
          <w:tcPr>
            <w:tcW w:w="20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podnadpis"/>
              <w:spacing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podnadpis"/>
              <w:spacing w:before="0" w:after="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podnadpis"/>
              <w:spacing w:before="0" w:after="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</w:r>
          </w:p>
        </w:tc>
        <w:tc>
          <w:tcPr>
            <w:tcW w:w="12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podnadpis"/>
              <w:spacing w:before="0" w:after="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</w:r>
          </w:p>
        </w:tc>
        <w:tc>
          <w:tcPr>
            <w:tcW w:w="20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podnadpis"/>
              <w:spacing w:before="0" w:after="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</w:r>
          </w:p>
        </w:tc>
      </w:tr>
      <w:tr>
        <w:trPr>
          <w:trHeight w:val="277" w:hRule="atLeast"/>
        </w:trPr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podnadpis"/>
              <w:spacing w:before="0" w:after="0"/>
              <w:jc w:val="left"/>
              <w:rPr/>
            </w:pPr>
            <w:r>
              <w:rPr>
                <w:sz w:val="18"/>
                <w:szCs w:val="18"/>
              </w:rPr>
              <w:t>Fondy tvorené zo zisku</w:t>
            </w:r>
          </w:p>
        </w:tc>
        <w:tc>
          <w:tcPr>
            <w:tcW w:w="20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</w:r>
          </w:p>
        </w:tc>
        <w:tc>
          <w:tcPr>
            <w:tcW w:w="12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</w:r>
          </w:p>
        </w:tc>
        <w:tc>
          <w:tcPr>
            <w:tcW w:w="20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</w:r>
          </w:p>
        </w:tc>
      </w:tr>
      <w:tr>
        <w:trPr>
          <w:trHeight w:val="277" w:hRule="atLeast"/>
        </w:trPr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podnadpis"/>
              <w:spacing w:before="0" w:after="0"/>
              <w:jc w:val="left"/>
              <w:rPr/>
            </w:pPr>
            <w:r>
              <w:rPr>
                <w:sz w:val="18"/>
                <w:szCs w:val="18"/>
              </w:rPr>
              <w:t>Ostatné fondy</w:t>
            </w:r>
          </w:p>
        </w:tc>
        <w:tc>
          <w:tcPr>
            <w:tcW w:w="20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</w:r>
          </w:p>
        </w:tc>
        <w:tc>
          <w:tcPr>
            <w:tcW w:w="12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</w:r>
          </w:p>
        </w:tc>
        <w:tc>
          <w:tcPr>
            <w:tcW w:w="20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</w:r>
          </w:p>
        </w:tc>
      </w:tr>
      <w:tr>
        <w:trPr>
          <w:trHeight w:val="540" w:hRule="atLeast"/>
        </w:trPr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podnadpis"/>
              <w:spacing w:before="0" w:after="0"/>
              <w:jc w:val="left"/>
              <w:rPr/>
            </w:pPr>
            <w:r>
              <w:rPr>
                <w:sz w:val="18"/>
                <w:szCs w:val="18"/>
              </w:rPr>
              <w:t>Nevysporiadaný výsledok hospodárenia minulých rokov</w:t>
            </w:r>
          </w:p>
        </w:tc>
        <w:tc>
          <w:tcPr>
            <w:tcW w:w="20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podnadpis"/>
              <w:spacing w:before="0" w:after="0"/>
              <w:rPr/>
            </w:pPr>
            <w:r>
              <w:rPr>
                <w:sz w:val="18"/>
                <w:szCs w:val="18"/>
              </w:rPr>
              <w:t>249584,93</w:t>
            </w: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podnadpis"/>
              <w:spacing w:before="0" w:after="0"/>
              <w:rPr/>
            </w:pPr>
            <w:r>
              <w:rPr>
                <w:color w:val="000000"/>
                <w:sz w:val="18"/>
                <w:szCs w:val="18"/>
              </w:rPr>
              <w:t>317969,37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podnadpis"/>
              <w:spacing w:before="0" w:after="0"/>
              <w:rPr/>
            </w:pPr>
            <w:r>
              <w:rPr>
                <w:color w:val="000000"/>
                <w:sz w:val="18"/>
                <w:szCs w:val="18"/>
              </w:rPr>
              <w:t>-25990,37</w:t>
            </w:r>
          </w:p>
        </w:tc>
        <w:tc>
          <w:tcPr>
            <w:tcW w:w="12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podnadpis"/>
              <w:spacing w:before="0" w:after="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</w:r>
          </w:p>
        </w:tc>
        <w:tc>
          <w:tcPr>
            <w:tcW w:w="20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podnadpis"/>
              <w:spacing w:before="0" w:after="0"/>
              <w:rPr/>
            </w:pPr>
            <w:r>
              <w:rPr>
                <w:color w:val="000000"/>
                <w:sz w:val="18"/>
                <w:szCs w:val="18"/>
              </w:rPr>
              <w:t>541563,93</w:t>
            </w:r>
          </w:p>
        </w:tc>
      </w:tr>
      <w:tr>
        <w:trPr>
          <w:trHeight w:val="188" w:hRule="atLeast"/>
        </w:trPr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podnadpis"/>
              <w:spacing w:before="0" w:after="0"/>
              <w:jc w:val="left"/>
              <w:rPr/>
            </w:pPr>
            <w:r>
              <w:rPr>
                <w:sz w:val="18"/>
                <w:szCs w:val="18"/>
              </w:rPr>
              <w:t>Výsledok hospodárenia za účtovné obdobie</w:t>
            </w:r>
          </w:p>
        </w:tc>
        <w:tc>
          <w:tcPr>
            <w:tcW w:w="20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podnadpis"/>
              <w:spacing w:before="0" w:after="0"/>
              <w:rPr/>
            </w:pPr>
            <w:r>
              <w:rPr>
                <w:color w:val="000000"/>
                <w:sz w:val="18"/>
                <w:szCs w:val="18"/>
              </w:rPr>
              <w:t>317969,37</w:t>
            </w: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podnadpis"/>
              <w:spacing w:before="0" w:after="0"/>
              <w:rPr/>
            </w:pPr>
            <w:r>
              <w:rPr>
                <w:color w:val="000000"/>
                <w:sz w:val="18"/>
                <w:szCs w:val="18"/>
              </w:rPr>
              <w:t>37932,28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podnadpis"/>
              <w:spacing w:before="0" w:after="0"/>
              <w:ind w:left="360" w:hanging="0"/>
              <w:rPr/>
            </w:pPr>
            <w:r>
              <w:rPr>
                <w:color w:val="000000"/>
                <w:sz w:val="18"/>
                <w:szCs w:val="18"/>
              </w:rPr>
              <w:t>-317969,37</w:t>
            </w:r>
          </w:p>
        </w:tc>
        <w:tc>
          <w:tcPr>
            <w:tcW w:w="12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podnadpis"/>
              <w:spacing w:before="0" w:after="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</w:r>
          </w:p>
        </w:tc>
        <w:tc>
          <w:tcPr>
            <w:tcW w:w="20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podnadpis"/>
              <w:spacing w:before="0" w:after="0"/>
              <w:rPr/>
            </w:pPr>
            <w:r>
              <w:rPr>
                <w:color w:val="000000"/>
                <w:sz w:val="18"/>
                <w:szCs w:val="18"/>
              </w:rPr>
              <w:t>37932,28</w:t>
            </w:r>
          </w:p>
        </w:tc>
      </w:tr>
    </w:tbl>
    <w:p>
      <w:pPr>
        <w:pStyle w:val="Normalpodnadpis"/>
        <w:numPr>
          <w:ilvl w:val="0"/>
          <w:numId w:val="2"/>
        </w:numPr>
        <w:spacing w:before="0" w:after="120"/>
        <w:ind w:left="0" w:hanging="0"/>
        <w:rPr/>
      </w:pPr>
      <w:r>
        <w:rPr>
          <w:sz w:val="22"/>
          <w:szCs w:val="22"/>
        </w:rPr>
        <w:t>Informácia o rozdelení účtovného zisku alebo vysporiadaní účtovnej straty vykázanej v minulých účtovných obdobiach.</w:t>
      </w:r>
    </w:p>
    <w:tbl>
      <w:tblPr>
        <w:tblW w:w="8762" w:type="dxa"/>
        <w:jc w:val="left"/>
        <w:tblInd w:w="-108" w:type="dxa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5301"/>
        <w:gridCol w:w="3460"/>
      </w:tblGrid>
      <w:tr>
        <w:trPr>
          <w:trHeight w:val="586" w:hRule="atLeast"/>
        </w:trPr>
        <w:tc>
          <w:tcPr>
            <w:tcW w:w="5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spacing w:before="120" w:after="120"/>
              <w:jc w:val="center"/>
              <w:rPr>
                <w:b w:val="false"/>
                <w:b w:val="false"/>
              </w:rPr>
            </w:pPr>
            <w:r>
              <w:rPr>
                <w:rFonts w:cs="Arial"/>
                <w:sz w:val="18"/>
                <w:szCs w:val="18"/>
              </w:rPr>
              <w:t>Názov položky</w:t>
            </w:r>
          </w:p>
        </w:tc>
        <w:tc>
          <w:tcPr>
            <w:tcW w:w="3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spacing w:before="120" w:after="120"/>
              <w:jc w:val="center"/>
              <w:rPr>
                <w:b w:val="false"/>
                <w:b w:val="false"/>
              </w:rPr>
            </w:pPr>
            <w:r>
              <w:rPr>
                <w:rFonts w:cs="Arial"/>
                <w:sz w:val="18"/>
                <w:szCs w:val="18"/>
              </w:rPr>
              <w:t>Bezprostredne predchádzajúce účtovné obdobie</w:t>
            </w:r>
          </w:p>
        </w:tc>
      </w:tr>
      <w:tr>
        <w:trPr>
          <w:trHeight w:val="253" w:hRule="atLeast"/>
        </w:trPr>
        <w:tc>
          <w:tcPr>
            <w:tcW w:w="5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podnadpis"/>
              <w:spacing w:before="0" w:after="0"/>
              <w:rPr/>
            </w:pPr>
            <w:r>
              <w:rPr>
                <w:b/>
                <w:bCs/>
                <w:color w:val="000000"/>
                <w:sz w:val="18"/>
                <w:szCs w:val="18"/>
              </w:rPr>
              <w:t>Účtovný zisk</w:t>
            </w:r>
          </w:p>
        </w:tc>
        <w:tc>
          <w:tcPr>
            <w:tcW w:w="3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podnadpis"/>
              <w:spacing w:before="0" w:after="0"/>
              <w:jc w:val="center"/>
              <w:rPr/>
            </w:pPr>
            <w:r>
              <w:rPr>
                <w:color w:val="000000"/>
                <w:sz w:val="18"/>
                <w:szCs w:val="18"/>
              </w:rPr>
              <w:t>317969,37</w:t>
            </w:r>
          </w:p>
        </w:tc>
      </w:tr>
      <w:tr>
        <w:trPr>
          <w:trHeight w:val="253" w:hRule="atLeast"/>
        </w:trPr>
        <w:tc>
          <w:tcPr>
            <w:tcW w:w="876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podnadpis"/>
              <w:spacing w:before="0" w:after="0"/>
              <w:rPr/>
            </w:pPr>
            <w:r>
              <w:rPr>
                <w:color w:val="000000"/>
                <w:sz w:val="18"/>
                <w:szCs w:val="18"/>
              </w:rPr>
              <w:t>Rozdelenie účtovného zisku</w:t>
            </w:r>
          </w:p>
        </w:tc>
      </w:tr>
      <w:tr>
        <w:trPr>
          <w:trHeight w:val="253" w:hRule="atLeast"/>
        </w:trPr>
        <w:tc>
          <w:tcPr>
            <w:tcW w:w="5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podnadpis"/>
              <w:spacing w:before="0" w:after="0"/>
              <w:rPr/>
            </w:pPr>
            <w:r>
              <w:rPr>
                <w:color w:val="000000"/>
                <w:sz w:val="18"/>
                <w:szCs w:val="18"/>
              </w:rPr>
              <w:t>Prídel do základného imania</w:t>
            </w:r>
          </w:p>
        </w:tc>
        <w:tc>
          <w:tcPr>
            <w:tcW w:w="3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podnadpis"/>
              <w:spacing w:before="0" w:after="0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</w:r>
          </w:p>
        </w:tc>
      </w:tr>
      <w:tr>
        <w:trPr>
          <w:trHeight w:val="253" w:hRule="atLeast"/>
        </w:trPr>
        <w:tc>
          <w:tcPr>
            <w:tcW w:w="5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podnadpis"/>
              <w:spacing w:before="0" w:after="0"/>
              <w:rPr/>
            </w:pPr>
            <w:r>
              <w:rPr>
                <w:color w:val="000000"/>
                <w:sz w:val="18"/>
                <w:szCs w:val="18"/>
              </w:rPr>
              <w:t>Prídel do f</w:t>
            </w:r>
            <w:r>
              <w:rPr>
                <w:sz w:val="18"/>
                <w:szCs w:val="18"/>
              </w:rPr>
              <w:t>ondu tvoreného podľa osobitného predpisu</w:t>
            </w:r>
          </w:p>
        </w:tc>
        <w:tc>
          <w:tcPr>
            <w:tcW w:w="3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</w:r>
          </w:p>
        </w:tc>
      </w:tr>
      <w:tr>
        <w:trPr>
          <w:trHeight w:val="253" w:hRule="atLeast"/>
        </w:trPr>
        <w:tc>
          <w:tcPr>
            <w:tcW w:w="5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podnadpis"/>
              <w:spacing w:before="0" w:after="0"/>
              <w:rPr/>
            </w:pPr>
            <w:r>
              <w:rPr>
                <w:color w:val="000000"/>
                <w:sz w:val="18"/>
                <w:szCs w:val="18"/>
              </w:rPr>
              <w:t>Prídel do fondu reprodukcie</w:t>
            </w:r>
          </w:p>
        </w:tc>
        <w:tc>
          <w:tcPr>
            <w:tcW w:w="3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</w:r>
          </w:p>
        </w:tc>
      </w:tr>
      <w:tr>
        <w:trPr>
          <w:trHeight w:val="253" w:hRule="atLeast"/>
        </w:trPr>
        <w:tc>
          <w:tcPr>
            <w:tcW w:w="5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podnadpis"/>
              <w:spacing w:before="0" w:after="0"/>
              <w:rPr/>
            </w:pPr>
            <w:r>
              <w:rPr>
                <w:color w:val="000000"/>
                <w:sz w:val="18"/>
                <w:szCs w:val="18"/>
              </w:rPr>
              <w:t>Prídel do rezervného fondu</w:t>
            </w:r>
          </w:p>
        </w:tc>
        <w:tc>
          <w:tcPr>
            <w:tcW w:w="3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</w:r>
          </w:p>
        </w:tc>
      </w:tr>
      <w:tr>
        <w:trPr>
          <w:trHeight w:val="253" w:hRule="atLeast"/>
        </w:trPr>
        <w:tc>
          <w:tcPr>
            <w:tcW w:w="5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podnadpis"/>
              <w:spacing w:before="0" w:after="0"/>
              <w:rPr/>
            </w:pPr>
            <w:r>
              <w:rPr>
                <w:color w:val="000000"/>
                <w:sz w:val="18"/>
                <w:szCs w:val="18"/>
              </w:rPr>
              <w:t>Prídel do fondu tvoreného zo zisku</w:t>
            </w:r>
          </w:p>
        </w:tc>
        <w:tc>
          <w:tcPr>
            <w:tcW w:w="3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</w:r>
          </w:p>
        </w:tc>
      </w:tr>
      <w:tr>
        <w:trPr>
          <w:trHeight w:val="253" w:hRule="atLeast"/>
        </w:trPr>
        <w:tc>
          <w:tcPr>
            <w:tcW w:w="5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podnadpis"/>
              <w:spacing w:before="0" w:after="0"/>
              <w:rPr/>
            </w:pPr>
            <w:r>
              <w:rPr>
                <w:color w:val="000000"/>
                <w:sz w:val="18"/>
                <w:szCs w:val="18"/>
              </w:rPr>
              <w:t>Prídel do ostatných fondov</w:t>
            </w:r>
          </w:p>
        </w:tc>
        <w:tc>
          <w:tcPr>
            <w:tcW w:w="3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</w:r>
          </w:p>
        </w:tc>
      </w:tr>
      <w:tr>
        <w:trPr>
          <w:trHeight w:val="253" w:hRule="atLeast"/>
        </w:trPr>
        <w:tc>
          <w:tcPr>
            <w:tcW w:w="5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podnadpis"/>
              <w:spacing w:before="0" w:after="0"/>
              <w:rPr/>
            </w:pPr>
            <w:r>
              <w:rPr>
                <w:color w:val="000000"/>
                <w:sz w:val="18"/>
                <w:szCs w:val="18"/>
              </w:rPr>
              <w:t>Úhrada straty minulých období</w:t>
            </w:r>
          </w:p>
        </w:tc>
        <w:tc>
          <w:tcPr>
            <w:tcW w:w="3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</w:r>
          </w:p>
        </w:tc>
      </w:tr>
      <w:tr>
        <w:trPr>
          <w:trHeight w:val="274" w:hRule="atLeast"/>
        </w:trPr>
        <w:tc>
          <w:tcPr>
            <w:tcW w:w="5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podnadpis"/>
              <w:spacing w:before="0" w:after="0"/>
              <w:rPr/>
            </w:pPr>
            <w:r>
              <w:rPr>
                <w:color w:val="000000"/>
                <w:sz w:val="18"/>
                <w:szCs w:val="18"/>
              </w:rPr>
              <w:t xml:space="preserve">Prevod do sociálneho fondu </w:t>
            </w:r>
          </w:p>
        </w:tc>
        <w:tc>
          <w:tcPr>
            <w:tcW w:w="3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podnadpis"/>
              <w:spacing w:before="0" w:after="0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</w:r>
          </w:p>
        </w:tc>
      </w:tr>
      <w:tr>
        <w:trPr>
          <w:trHeight w:val="253" w:hRule="atLeast"/>
        </w:trPr>
        <w:tc>
          <w:tcPr>
            <w:tcW w:w="5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podnadpis"/>
              <w:spacing w:before="0" w:after="0"/>
              <w:rPr/>
            </w:pPr>
            <w:r>
              <w:rPr>
                <w:color w:val="000000"/>
                <w:sz w:val="18"/>
                <w:szCs w:val="18"/>
              </w:rPr>
              <w:t>Prevod  do n</w:t>
            </w:r>
            <w:r>
              <w:rPr>
                <w:sz w:val="18"/>
                <w:szCs w:val="18"/>
              </w:rPr>
              <w:t>evysporiadaného výsledku hospodárenia minulých rokov</w:t>
            </w:r>
          </w:p>
        </w:tc>
        <w:tc>
          <w:tcPr>
            <w:tcW w:w="3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podnadpis"/>
              <w:spacing w:before="0" w:after="0"/>
              <w:jc w:val="center"/>
              <w:rPr/>
            </w:pPr>
            <w:r>
              <w:rPr>
                <w:color w:val="000000"/>
                <w:sz w:val="18"/>
                <w:szCs w:val="18"/>
              </w:rPr>
              <w:t>317969,37</w:t>
            </w:r>
          </w:p>
        </w:tc>
      </w:tr>
      <w:tr>
        <w:trPr>
          <w:trHeight w:val="253" w:hRule="atLeast"/>
        </w:trPr>
        <w:tc>
          <w:tcPr>
            <w:tcW w:w="5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podnadpis"/>
              <w:spacing w:before="0" w:after="0"/>
              <w:rPr/>
            </w:pPr>
            <w:r>
              <w:rPr>
                <w:color w:val="000000"/>
                <w:sz w:val="18"/>
                <w:szCs w:val="18"/>
              </w:rPr>
              <w:t xml:space="preserve">Iné </w:t>
            </w:r>
          </w:p>
        </w:tc>
        <w:tc>
          <w:tcPr>
            <w:tcW w:w="3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</w:r>
          </w:p>
        </w:tc>
      </w:tr>
      <w:tr>
        <w:trPr>
          <w:trHeight w:val="253" w:hRule="atLeast"/>
        </w:trPr>
        <w:tc>
          <w:tcPr>
            <w:tcW w:w="5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podnadpis"/>
              <w:spacing w:before="0" w:after="0"/>
              <w:rPr/>
            </w:pPr>
            <w:r>
              <w:rPr>
                <w:b/>
                <w:bCs/>
                <w:color w:val="000000"/>
                <w:sz w:val="18"/>
                <w:szCs w:val="18"/>
              </w:rPr>
              <w:t>Účtovná strata</w:t>
            </w:r>
          </w:p>
        </w:tc>
        <w:tc>
          <w:tcPr>
            <w:tcW w:w="3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</w:r>
          </w:p>
        </w:tc>
      </w:tr>
      <w:tr>
        <w:trPr>
          <w:trHeight w:val="253" w:hRule="atLeast"/>
        </w:trPr>
        <w:tc>
          <w:tcPr>
            <w:tcW w:w="876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podnadpis"/>
              <w:spacing w:before="0" w:after="0"/>
              <w:rPr/>
            </w:pPr>
            <w:r>
              <w:rPr>
                <w:b/>
                <w:bCs/>
                <w:color w:val="000000"/>
                <w:sz w:val="18"/>
                <w:szCs w:val="18"/>
              </w:rPr>
              <w:t>Vysporiadanie účtovnej straty</w:t>
            </w:r>
          </w:p>
        </w:tc>
      </w:tr>
      <w:tr>
        <w:trPr>
          <w:trHeight w:val="253" w:hRule="atLeast"/>
        </w:trPr>
        <w:tc>
          <w:tcPr>
            <w:tcW w:w="5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podnadpis"/>
              <w:spacing w:before="0" w:after="0"/>
              <w:rPr/>
            </w:pPr>
            <w:r>
              <w:rPr>
                <w:color w:val="000000"/>
                <w:sz w:val="18"/>
                <w:szCs w:val="18"/>
              </w:rPr>
              <w:t>Zo základného imania</w:t>
            </w:r>
          </w:p>
        </w:tc>
        <w:tc>
          <w:tcPr>
            <w:tcW w:w="3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podnadpis"/>
              <w:spacing w:before="0" w:after="0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</w:r>
          </w:p>
        </w:tc>
      </w:tr>
      <w:tr>
        <w:trPr>
          <w:trHeight w:val="253" w:hRule="atLeast"/>
        </w:trPr>
        <w:tc>
          <w:tcPr>
            <w:tcW w:w="5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podnadpis"/>
              <w:spacing w:before="0" w:after="0"/>
              <w:rPr/>
            </w:pPr>
            <w:r>
              <w:rPr>
                <w:color w:val="000000"/>
                <w:sz w:val="18"/>
                <w:szCs w:val="18"/>
              </w:rPr>
              <w:t>Z rezervného fondu</w:t>
            </w:r>
          </w:p>
        </w:tc>
        <w:tc>
          <w:tcPr>
            <w:tcW w:w="3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</w:r>
          </w:p>
        </w:tc>
      </w:tr>
      <w:tr>
        <w:trPr>
          <w:trHeight w:val="253" w:hRule="atLeast"/>
        </w:trPr>
        <w:tc>
          <w:tcPr>
            <w:tcW w:w="5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podnadpis"/>
              <w:spacing w:before="0" w:after="0"/>
              <w:rPr/>
            </w:pPr>
            <w:r>
              <w:rPr>
                <w:color w:val="000000"/>
                <w:sz w:val="18"/>
                <w:szCs w:val="18"/>
              </w:rPr>
              <w:t>Z fondu tvoreného zo zisku</w:t>
            </w:r>
          </w:p>
        </w:tc>
        <w:tc>
          <w:tcPr>
            <w:tcW w:w="3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</w:r>
          </w:p>
        </w:tc>
      </w:tr>
      <w:tr>
        <w:trPr>
          <w:trHeight w:val="253" w:hRule="atLeast"/>
        </w:trPr>
        <w:tc>
          <w:tcPr>
            <w:tcW w:w="5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podnadpis"/>
              <w:spacing w:before="0" w:after="0"/>
              <w:rPr/>
            </w:pPr>
            <w:r>
              <w:rPr>
                <w:color w:val="000000"/>
                <w:sz w:val="18"/>
                <w:szCs w:val="18"/>
              </w:rPr>
              <w:t>Z ostatných fondov</w:t>
            </w:r>
          </w:p>
        </w:tc>
        <w:tc>
          <w:tcPr>
            <w:tcW w:w="3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</w:r>
          </w:p>
        </w:tc>
      </w:tr>
      <w:tr>
        <w:trPr>
          <w:trHeight w:val="253" w:hRule="atLeast"/>
        </w:trPr>
        <w:tc>
          <w:tcPr>
            <w:tcW w:w="5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podnadpis"/>
              <w:spacing w:before="0" w:after="0"/>
              <w:rPr/>
            </w:pPr>
            <w:r>
              <w:rPr>
                <w:color w:val="000000"/>
                <w:sz w:val="18"/>
                <w:szCs w:val="18"/>
              </w:rPr>
              <w:t>Z nerozdeleného zisku minulých rokov</w:t>
            </w:r>
          </w:p>
        </w:tc>
        <w:tc>
          <w:tcPr>
            <w:tcW w:w="3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</w:r>
          </w:p>
        </w:tc>
      </w:tr>
      <w:tr>
        <w:trPr>
          <w:trHeight w:val="253" w:hRule="atLeast"/>
        </w:trPr>
        <w:tc>
          <w:tcPr>
            <w:tcW w:w="5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podnadpis"/>
              <w:spacing w:before="0" w:after="0"/>
              <w:rPr/>
            </w:pPr>
            <w:r>
              <w:rPr>
                <w:color w:val="000000"/>
                <w:sz w:val="18"/>
                <w:szCs w:val="18"/>
              </w:rPr>
              <w:t>Prevod do n</w:t>
            </w:r>
            <w:r>
              <w:rPr>
                <w:sz w:val="18"/>
                <w:szCs w:val="18"/>
              </w:rPr>
              <w:t>evysporiadaného výsledku hospodárenia minulých rokov</w:t>
            </w:r>
          </w:p>
        </w:tc>
        <w:tc>
          <w:tcPr>
            <w:tcW w:w="3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</w:r>
          </w:p>
        </w:tc>
      </w:tr>
      <w:tr>
        <w:trPr>
          <w:trHeight w:val="253" w:hRule="atLeast"/>
        </w:trPr>
        <w:tc>
          <w:tcPr>
            <w:tcW w:w="5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podnadpis"/>
              <w:spacing w:before="0" w:after="0"/>
              <w:rPr/>
            </w:pPr>
            <w:r>
              <w:rPr>
                <w:color w:val="000000"/>
                <w:sz w:val="18"/>
                <w:szCs w:val="18"/>
              </w:rPr>
              <w:t xml:space="preserve">Iné </w:t>
            </w:r>
          </w:p>
        </w:tc>
        <w:tc>
          <w:tcPr>
            <w:tcW w:w="3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</w:r>
          </w:p>
        </w:tc>
      </w:tr>
    </w:tbl>
    <w:p>
      <w:pPr>
        <w:pStyle w:val="Normalpodnadpis"/>
        <w:spacing w:before="0" w:after="120"/>
        <w:rPr>
          <w:szCs w:val="20"/>
        </w:rPr>
      </w:pPr>
      <w:r>
        <w:rPr>
          <w:szCs w:val="20"/>
        </w:rPr>
      </w:r>
    </w:p>
    <w:p>
      <w:pPr>
        <w:pStyle w:val="Normalpodnadpis"/>
        <w:numPr>
          <w:ilvl w:val="0"/>
          <w:numId w:val="2"/>
        </w:numPr>
        <w:spacing w:before="0" w:after="120"/>
        <w:ind w:left="0" w:hanging="0"/>
        <w:rPr/>
      </w:pPr>
      <w:r>
        <w:rPr>
          <w:sz w:val="22"/>
          <w:szCs w:val="22"/>
        </w:rPr>
        <w:t xml:space="preserve"> </w:t>
      </w:r>
      <w:r>
        <w:rPr>
          <w:sz w:val="22"/>
          <w:szCs w:val="22"/>
        </w:rPr>
        <w:t>Opis a výška cudzích zdrojov, a to</w:t>
      </w:r>
    </w:p>
    <w:p>
      <w:pPr>
        <w:pStyle w:val="Normalpodnadpis"/>
        <w:rPr/>
      </w:pPr>
      <w:r>
        <w:rPr>
          <w:sz w:val="22"/>
          <w:szCs w:val="22"/>
        </w:rPr>
        <w:t>a) údaje o jednotlivých druhoch rezerv, ktoré tvorí účtovná jednotka; uvádza sa stav rezerv na začiatku bežného účtovného obdobia, ich tvorba, zníženie, použitie alebo zrušenie počas bežného účtovného obdobia a zostatok rezervy na konci bežného účtovného obdobia, pričom sa uvedie predpokladaný rok použitia rezervy,</w:t>
      </w:r>
    </w:p>
    <w:p>
      <w:pPr>
        <w:pStyle w:val="Normalpodnadpis"/>
        <w:rPr>
          <w:sz w:val="22"/>
          <w:szCs w:val="22"/>
        </w:rPr>
      </w:pPr>
      <w:r>
        <w:rPr>
          <w:sz w:val="22"/>
          <w:szCs w:val="22"/>
        </w:rPr>
      </w:r>
    </w:p>
    <w:tbl>
      <w:tblPr>
        <w:tblW w:w="10240" w:type="dxa"/>
        <w:jc w:val="left"/>
        <w:tblInd w:w="72" w:type="dxa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2481"/>
        <w:gridCol w:w="1538"/>
        <w:gridCol w:w="1422"/>
        <w:gridCol w:w="1338"/>
        <w:gridCol w:w="1533"/>
        <w:gridCol w:w="1927"/>
      </w:tblGrid>
      <w:tr>
        <w:trPr>
          <w:trHeight w:val="507" w:hRule="atLeast"/>
        </w:trPr>
        <w:tc>
          <w:tcPr>
            <w:tcW w:w="2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podnadpis"/>
              <w:spacing w:before="0" w:after="0"/>
              <w:jc w:val="center"/>
              <w:rPr/>
            </w:pPr>
            <w:r>
              <w:rPr>
                <w:b/>
                <w:sz w:val="18"/>
                <w:szCs w:val="18"/>
              </w:rPr>
              <w:t>Druh rezervy</w:t>
            </w:r>
          </w:p>
        </w:tc>
        <w:tc>
          <w:tcPr>
            <w:tcW w:w="1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podnadpis"/>
              <w:spacing w:before="0" w:after="0"/>
              <w:jc w:val="center"/>
              <w:rPr/>
            </w:pPr>
            <w:r>
              <w:rPr>
                <w:b/>
                <w:sz w:val="18"/>
                <w:szCs w:val="18"/>
                <w:lang w:eastAsia="sk-SK"/>
              </w:rPr>
              <w:t>Stav na začiatku bežného účtovného obdobia</w:t>
            </w:r>
          </w:p>
        </w:tc>
        <w:tc>
          <w:tcPr>
            <w:tcW w:w="1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podnadpis"/>
              <w:spacing w:before="0" w:after="0"/>
              <w:jc w:val="center"/>
              <w:rPr/>
            </w:pPr>
            <w:r>
              <w:rPr>
                <w:b/>
                <w:sz w:val="18"/>
                <w:szCs w:val="18"/>
              </w:rPr>
              <w:t>Tvorba rezerv</w:t>
            </w:r>
          </w:p>
        </w:tc>
        <w:tc>
          <w:tcPr>
            <w:tcW w:w="1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podnadpis"/>
              <w:spacing w:before="0" w:after="0"/>
              <w:jc w:val="center"/>
              <w:rPr/>
            </w:pPr>
            <w:r>
              <w:rPr>
                <w:b/>
                <w:sz w:val="18"/>
                <w:szCs w:val="18"/>
              </w:rPr>
              <w:t>Použitie rezerv</w:t>
            </w:r>
          </w:p>
        </w:tc>
        <w:tc>
          <w:tcPr>
            <w:tcW w:w="1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podnadpis"/>
              <w:spacing w:before="0" w:after="0"/>
              <w:jc w:val="center"/>
              <w:rPr/>
            </w:pPr>
            <w:r>
              <w:rPr>
                <w:b/>
                <w:sz w:val="18"/>
                <w:szCs w:val="18"/>
              </w:rPr>
              <w:t>Zrušenie alebo zníženie rezerv</w:t>
            </w:r>
          </w:p>
        </w:tc>
        <w:tc>
          <w:tcPr>
            <w:tcW w:w="1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podnadpis"/>
              <w:spacing w:before="0" w:after="0"/>
              <w:jc w:val="center"/>
              <w:rPr/>
            </w:pPr>
            <w:r>
              <w:rPr>
                <w:b/>
                <w:sz w:val="18"/>
                <w:szCs w:val="18"/>
                <w:lang w:eastAsia="sk-SK"/>
              </w:rPr>
              <w:t>Stav na konci bežného účtovného obdobia</w:t>
            </w:r>
          </w:p>
        </w:tc>
      </w:tr>
      <w:tr>
        <w:trPr>
          <w:trHeight w:val="495" w:hRule="atLeast"/>
        </w:trPr>
        <w:tc>
          <w:tcPr>
            <w:tcW w:w="2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podnadpis"/>
              <w:spacing w:before="0" w:after="0"/>
              <w:jc w:val="left"/>
              <w:rPr/>
            </w:pPr>
            <w:r>
              <w:rPr>
                <w:sz w:val="18"/>
                <w:szCs w:val="18"/>
              </w:rPr>
              <w:t>Jednotlivé druhy krátkodobých zákonných rezerv:na overenie UZ</w:t>
            </w:r>
          </w:p>
          <w:p>
            <w:pPr>
              <w:pStyle w:val="Normalpodnadpis"/>
              <w:spacing w:before="0" w:after="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podnadpis"/>
              <w:spacing w:before="0" w:after="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podnadpis"/>
              <w:spacing w:before="0" w:after="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podnadpis"/>
              <w:spacing w:before="0" w:after="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podnadpis"/>
              <w:spacing w:before="0" w:after="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podnadpis"/>
              <w:spacing w:before="0" w:after="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507" w:hRule="atLeast"/>
        </w:trPr>
        <w:tc>
          <w:tcPr>
            <w:tcW w:w="2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podnadpis"/>
              <w:spacing w:before="0" w:after="0"/>
              <w:jc w:val="left"/>
              <w:rPr/>
            </w:pPr>
            <w:r>
              <w:rPr>
                <w:sz w:val="18"/>
                <w:szCs w:val="18"/>
              </w:rPr>
              <w:t>Jednotlivé druhy dlhodobých zákonných rezerv</w:t>
            </w:r>
          </w:p>
        </w:tc>
        <w:tc>
          <w:tcPr>
            <w:tcW w:w="1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podnadpis"/>
              <w:spacing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podnadpis"/>
              <w:spacing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podnadpis"/>
              <w:spacing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podnadpis"/>
              <w:spacing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podnadpis"/>
              <w:spacing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253" w:hRule="atLeast"/>
        </w:trPr>
        <w:tc>
          <w:tcPr>
            <w:tcW w:w="2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podnadpis"/>
              <w:spacing w:before="0" w:after="0"/>
              <w:jc w:val="left"/>
              <w:rPr/>
            </w:pPr>
            <w:r>
              <w:rPr>
                <w:b/>
                <w:sz w:val="18"/>
                <w:szCs w:val="18"/>
              </w:rPr>
              <w:t>Zákonné rezervy spolu</w:t>
            </w:r>
          </w:p>
        </w:tc>
        <w:tc>
          <w:tcPr>
            <w:tcW w:w="1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podnadpis"/>
              <w:spacing w:before="0" w:after="0"/>
              <w:rPr>
                <w:b/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</w:r>
          </w:p>
        </w:tc>
        <w:tc>
          <w:tcPr>
            <w:tcW w:w="1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podnadpis"/>
              <w:spacing w:before="0" w:after="0"/>
              <w:rPr>
                <w:b/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</w:r>
          </w:p>
        </w:tc>
        <w:tc>
          <w:tcPr>
            <w:tcW w:w="1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podnadpis"/>
              <w:spacing w:before="0" w:after="0"/>
              <w:rPr>
                <w:b/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</w:r>
          </w:p>
        </w:tc>
        <w:tc>
          <w:tcPr>
            <w:tcW w:w="1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podnadpis"/>
              <w:spacing w:before="0" w:after="0"/>
              <w:rPr>
                <w:b/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</w:r>
          </w:p>
        </w:tc>
        <w:tc>
          <w:tcPr>
            <w:tcW w:w="1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podnadpis"/>
              <w:spacing w:before="0" w:after="0"/>
              <w:rPr>
                <w:b/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</w:r>
          </w:p>
        </w:tc>
      </w:tr>
      <w:tr>
        <w:trPr>
          <w:trHeight w:val="495" w:hRule="atLeast"/>
        </w:trPr>
        <w:tc>
          <w:tcPr>
            <w:tcW w:w="2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podnadpis"/>
              <w:spacing w:before="0" w:after="0"/>
              <w:jc w:val="left"/>
              <w:rPr/>
            </w:pPr>
            <w:r>
              <w:rPr>
                <w:sz w:val="18"/>
                <w:szCs w:val="18"/>
              </w:rPr>
              <w:t>Jednotlivé druhy krátkodobých ostatných rezerv</w:t>
            </w:r>
          </w:p>
        </w:tc>
        <w:tc>
          <w:tcPr>
            <w:tcW w:w="1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podnadpis"/>
              <w:spacing w:before="0" w:after="0"/>
              <w:rPr/>
            </w:pPr>
            <w:r>
              <w:rPr>
                <w:sz w:val="18"/>
                <w:szCs w:val="18"/>
              </w:rPr>
              <w:t>144946</w:t>
            </w:r>
          </w:p>
        </w:tc>
        <w:tc>
          <w:tcPr>
            <w:tcW w:w="1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podnadpis"/>
              <w:spacing w:before="0" w:after="0"/>
              <w:rPr/>
            </w:pPr>
            <w:r>
              <w:rPr>
                <w:sz w:val="18"/>
                <w:szCs w:val="18"/>
              </w:rPr>
              <w:t>142407,52</w:t>
            </w:r>
          </w:p>
        </w:tc>
        <w:tc>
          <w:tcPr>
            <w:tcW w:w="1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podnadpis"/>
              <w:spacing w:before="0" w:after="0"/>
              <w:rPr/>
            </w:pPr>
            <w:r>
              <w:rPr>
                <w:sz w:val="18"/>
                <w:szCs w:val="18"/>
              </w:rPr>
              <w:t>144946,13</w:t>
            </w:r>
          </w:p>
        </w:tc>
        <w:tc>
          <w:tcPr>
            <w:tcW w:w="1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podnadpis"/>
              <w:spacing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podnadpis"/>
              <w:spacing w:before="0" w:after="0"/>
              <w:rPr/>
            </w:pPr>
            <w:r>
              <w:rPr>
                <w:sz w:val="18"/>
                <w:szCs w:val="18"/>
              </w:rPr>
              <w:t>142407,52</w:t>
            </w:r>
          </w:p>
        </w:tc>
      </w:tr>
      <w:tr>
        <w:trPr>
          <w:trHeight w:val="507" w:hRule="atLeast"/>
        </w:trPr>
        <w:tc>
          <w:tcPr>
            <w:tcW w:w="2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podnadpis"/>
              <w:spacing w:before="0" w:after="0"/>
              <w:jc w:val="left"/>
              <w:rPr/>
            </w:pPr>
            <w:r>
              <w:rPr>
                <w:sz w:val="18"/>
                <w:szCs w:val="18"/>
              </w:rPr>
              <w:t>Jednotlivé druhy dlhodobých ostatných rezerv</w:t>
            </w:r>
          </w:p>
        </w:tc>
        <w:tc>
          <w:tcPr>
            <w:tcW w:w="1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podnadpis"/>
              <w:spacing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podnadpis"/>
              <w:spacing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podnadpis"/>
              <w:spacing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podnadpis"/>
              <w:spacing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podnadpis"/>
              <w:spacing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253" w:hRule="atLeast"/>
        </w:trPr>
        <w:tc>
          <w:tcPr>
            <w:tcW w:w="2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podnadpis"/>
              <w:spacing w:before="0" w:after="0"/>
              <w:jc w:val="left"/>
              <w:rPr/>
            </w:pPr>
            <w:r>
              <w:rPr>
                <w:b/>
                <w:sz w:val="18"/>
                <w:szCs w:val="18"/>
              </w:rPr>
              <w:t>Ostatné rezervy spolu</w:t>
            </w:r>
          </w:p>
        </w:tc>
        <w:tc>
          <w:tcPr>
            <w:tcW w:w="1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podnadpis"/>
              <w:spacing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podnadpis"/>
              <w:spacing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podnadpis"/>
              <w:spacing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podnadpis"/>
              <w:spacing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podnadpis"/>
              <w:spacing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11" w:hRule="atLeast"/>
        </w:trPr>
        <w:tc>
          <w:tcPr>
            <w:tcW w:w="2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podnadpis"/>
              <w:spacing w:before="0" w:after="0"/>
              <w:jc w:val="left"/>
              <w:rPr/>
            </w:pPr>
            <w:r>
              <w:rPr>
                <w:b/>
                <w:sz w:val="18"/>
                <w:szCs w:val="18"/>
              </w:rPr>
              <w:t>Rezervy spolu</w:t>
            </w:r>
          </w:p>
        </w:tc>
        <w:tc>
          <w:tcPr>
            <w:tcW w:w="1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podnadpis"/>
              <w:spacing w:before="0" w:after="0"/>
              <w:jc w:val="left"/>
              <w:rPr/>
            </w:pPr>
            <w:r>
              <w:rPr>
                <w:sz w:val="18"/>
                <w:szCs w:val="18"/>
              </w:rPr>
              <w:t>144946</w:t>
            </w:r>
          </w:p>
        </w:tc>
        <w:tc>
          <w:tcPr>
            <w:tcW w:w="1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podnadpis"/>
              <w:spacing w:before="0" w:after="0"/>
              <w:jc w:val="left"/>
              <w:rPr/>
            </w:pPr>
            <w:r>
              <w:rPr>
                <w:sz w:val="18"/>
                <w:szCs w:val="18"/>
              </w:rPr>
              <w:t>142407,52</w:t>
            </w:r>
          </w:p>
        </w:tc>
        <w:tc>
          <w:tcPr>
            <w:tcW w:w="1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podnadpis"/>
              <w:spacing w:before="0" w:after="0"/>
              <w:jc w:val="left"/>
              <w:rPr/>
            </w:pPr>
            <w:r>
              <w:rPr>
                <w:sz w:val="18"/>
                <w:szCs w:val="18"/>
              </w:rPr>
              <w:t>144946,13</w:t>
            </w:r>
          </w:p>
        </w:tc>
        <w:tc>
          <w:tcPr>
            <w:tcW w:w="1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podnadpis"/>
              <w:spacing w:before="0" w:after="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podnadpis"/>
              <w:spacing w:before="0" w:after="0"/>
              <w:jc w:val="left"/>
              <w:rPr/>
            </w:pPr>
            <w:r>
              <w:rPr>
                <w:sz w:val="18"/>
                <w:szCs w:val="18"/>
              </w:rPr>
              <w:t>142407,52</w:t>
            </w:r>
          </w:p>
        </w:tc>
      </w:tr>
    </w:tbl>
    <w:p>
      <w:pPr>
        <w:pStyle w:val="Normalpodnadpis"/>
        <w:ind w:left="240" w:hanging="240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Normalpodnadpis"/>
        <w:ind w:left="240" w:hanging="240"/>
        <w:rPr/>
      </w:pPr>
      <w:r>
        <w:rPr>
          <w:sz w:val="22"/>
          <w:szCs w:val="22"/>
        </w:rPr>
        <w:t>b) údaje o významných položkách na účtoch záväzkov; uvádza sa začiatočný stav, prírastky, úbytky a konečný zostatok podľa jednotlivých druhov  záväzkov,</w:t>
      </w:r>
    </w:p>
    <w:p>
      <w:pPr>
        <w:pStyle w:val="Normalpodnadpis"/>
        <w:rPr/>
      </w:pPr>
      <w:r>
        <w:rPr>
          <w:sz w:val="22"/>
          <w:szCs w:val="22"/>
        </w:rPr>
        <w:t>c) prehľad  o výške záväzkov do lehoty splatnosti a po lehote splatnosti,</w:t>
      </w:r>
    </w:p>
    <w:p>
      <w:pPr>
        <w:pStyle w:val="Normalpodnadpis"/>
        <w:ind w:left="180" w:hanging="180"/>
        <w:rPr/>
      </w:pPr>
      <w:r>
        <w:rPr>
          <w:sz w:val="22"/>
          <w:szCs w:val="22"/>
        </w:rPr>
        <w:t xml:space="preserve">d) prehľad o výške záväzkov podľa zostatkovej doby splatnosti v členení podľa položiek súvahy </w:t>
      </w:r>
    </w:p>
    <w:p>
      <w:pPr>
        <w:pStyle w:val="Normalpodnadpis"/>
        <w:ind w:left="180" w:hanging="180"/>
        <w:rPr/>
      </w:pPr>
      <w:r>
        <w:rPr>
          <w:sz w:val="22"/>
          <w:szCs w:val="22"/>
        </w:rPr>
        <w:tab/>
        <w:t>1. do jedného roka vrátane,</w:t>
      </w:r>
    </w:p>
    <w:p>
      <w:pPr>
        <w:pStyle w:val="Normalpodnadpis"/>
        <w:ind w:left="180" w:hanging="180"/>
        <w:rPr/>
      </w:pPr>
      <w:r>
        <w:rPr>
          <w:sz w:val="22"/>
          <w:szCs w:val="22"/>
        </w:rPr>
        <w:tab/>
        <w:t>2. od jedného roka do piatich rokov vrátane,</w:t>
      </w:r>
    </w:p>
    <w:p>
      <w:pPr>
        <w:pStyle w:val="Normalpodnadpis"/>
        <w:ind w:left="180" w:hanging="180"/>
        <w:rPr/>
      </w:pPr>
      <w:r>
        <w:rPr>
          <w:sz w:val="22"/>
          <w:szCs w:val="22"/>
        </w:rPr>
        <w:tab/>
        <w:t>3. viac ako päť rokov,</w:t>
      </w:r>
    </w:p>
    <w:tbl>
      <w:tblPr>
        <w:tblW w:w="9556" w:type="dxa"/>
        <w:jc w:val="left"/>
        <w:tblInd w:w="72" w:type="dxa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045"/>
        <w:gridCol w:w="2579"/>
        <w:gridCol w:w="2932"/>
      </w:tblGrid>
      <w:tr>
        <w:trPr>
          <w:trHeight w:val="366" w:hRule="atLeast"/>
        </w:trPr>
        <w:tc>
          <w:tcPr>
            <w:tcW w:w="404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podnadpis"/>
              <w:spacing w:before="0" w:after="0"/>
              <w:jc w:val="left"/>
              <w:rPr/>
            </w:pPr>
            <w:r>
              <w:rPr>
                <w:b/>
                <w:sz w:val="18"/>
                <w:szCs w:val="18"/>
              </w:rPr>
              <w:t>Druh záväzkov</w:t>
            </w:r>
          </w:p>
        </w:tc>
        <w:tc>
          <w:tcPr>
            <w:tcW w:w="551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podnadpis"/>
              <w:spacing w:before="0" w:after="0"/>
              <w:jc w:val="center"/>
              <w:rPr/>
            </w:pPr>
            <w:r>
              <w:rPr>
                <w:b/>
                <w:sz w:val="18"/>
                <w:szCs w:val="18"/>
                <w:lang w:eastAsia="sk-SK"/>
              </w:rPr>
              <w:t>Stav na konci</w:t>
            </w:r>
          </w:p>
        </w:tc>
      </w:tr>
      <w:tr>
        <w:trPr>
          <w:trHeight w:val="133" w:hRule="atLeast"/>
        </w:trPr>
        <w:tc>
          <w:tcPr>
            <w:tcW w:w="4045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podnadpis"/>
              <w:spacing w:before="0" w:after="0"/>
              <w:rPr>
                <w:b/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</w: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podnadpis"/>
              <w:spacing w:before="0" w:after="0"/>
              <w:jc w:val="center"/>
              <w:rPr/>
            </w:pPr>
            <w:r>
              <w:rPr>
                <w:b/>
                <w:sz w:val="18"/>
                <w:szCs w:val="18"/>
                <w:lang w:eastAsia="sk-SK"/>
              </w:rPr>
              <w:t>Bezprostredne predchádzajúceho  účtovného obdobia</w:t>
            </w:r>
          </w:p>
        </w:tc>
        <w:tc>
          <w:tcPr>
            <w:tcW w:w="2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podnadpis"/>
              <w:spacing w:before="0" w:after="0"/>
              <w:rPr/>
            </w:pPr>
            <w:r>
              <w:rPr>
                <w:b/>
                <w:sz w:val="18"/>
                <w:szCs w:val="18"/>
                <w:lang w:eastAsia="sk-SK"/>
              </w:rPr>
              <w:t>Bežného účtovného obdobia</w:t>
            </w:r>
          </w:p>
        </w:tc>
      </w:tr>
      <w:tr>
        <w:trPr>
          <w:trHeight w:val="361" w:hRule="atLeast"/>
        </w:trPr>
        <w:tc>
          <w:tcPr>
            <w:tcW w:w="40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podnadpis"/>
              <w:spacing w:before="0" w:after="0"/>
              <w:jc w:val="left"/>
              <w:rPr/>
            </w:pPr>
            <w:r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podnadpis"/>
              <w:spacing w:before="0" w:after="0"/>
              <w:jc w:val="lef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</w:r>
          </w:p>
        </w:tc>
        <w:tc>
          <w:tcPr>
            <w:tcW w:w="2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podnadpis"/>
              <w:spacing w:before="0" w:after="0"/>
              <w:jc w:val="lef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</w:r>
          </w:p>
        </w:tc>
      </w:tr>
      <w:tr>
        <w:trPr>
          <w:trHeight w:val="361" w:hRule="atLeast"/>
        </w:trPr>
        <w:tc>
          <w:tcPr>
            <w:tcW w:w="40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podnadpis"/>
              <w:spacing w:before="0" w:after="0"/>
              <w:jc w:val="left"/>
              <w:rPr/>
            </w:pPr>
            <w:r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rPr/>
            </w:pPr>
            <w:r>
              <w:rPr>
                <w:sz w:val="18"/>
                <w:szCs w:val="18"/>
                <w:lang w:eastAsia="sk-SK"/>
              </w:rPr>
              <w:t>282519</w:t>
            </w:r>
          </w:p>
        </w:tc>
        <w:tc>
          <w:tcPr>
            <w:tcW w:w="2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rPr/>
            </w:pPr>
            <w:r>
              <w:rPr>
                <w:sz w:val="18"/>
                <w:szCs w:val="18"/>
                <w:lang w:eastAsia="sk-SK"/>
              </w:rPr>
              <w:t>382466,75</w:t>
            </w:r>
          </w:p>
        </w:tc>
      </w:tr>
      <w:tr>
        <w:trPr>
          <w:trHeight w:val="412" w:hRule="atLeast"/>
        </w:trPr>
        <w:tc>
          <w:tcPr>
            <w:tcW w:w="40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podnadpis"/>
              <w:spacing w:before="0" w:after="0"/>
              <w:jc w:val="left"/>
              <w:rPr/>
            </w:pPr>
            <w:r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podnadpis"/>
              <w:spacing w:before="0" w:after="0"/>
              <w:jc w:val="left"/>
              <w:rPr/>
            </w:pPr>
            <w:r>
              <w:rPr>
                <w:b/>
                <w:sz w:val="18"/>
                <w:szCs w:val="18"/>
              </w:rPr>
              <w:t>282519</w:t>
            </w:r>
          </w:p>
        </w:tc>
        <w:tc>
          <w:tcPr>
            <w:tcW w:w="2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podnadpis"/>
              <w:spacing w:before="0" w:after="0"/>
              <w:jc w:val="left"/>
              <w:rPr/>
            </w:pPr>
            <w:r>
              <w:rPr>
                <w:b/>
                <w:sz w:val="18"/>
                <w:szCs w:val="18"/>
              </w:rPr>
              <w:t>382466,755</w:t>
            </w:r>
          </w:p>
        </w:tc>
      </w:tr>
      <w:tr>
        <w:trPr>
          <w:trHeight w:val="457" w:hRule="atLeast"/>
        </w:trPr>
        <w:tc>
          <w:tcPr>
            <w:tcW w:w="40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podnadpis"/>
              <w:spacing w:before="0" w:after="0"/>
              <w:jc w:val="left"/>
              <w:rPr/>
            </w:pPr>
            <w:r>
              <w:rPr>
                <w:sz w:val="18"/>
                <w:szCs w:val="18"/>
              </w:rPr>
              <w:t xml:space="preserve"> </w:t>
            </w:r>
            <w:r>
              <w:rPr>
                <w:sz w:val="18"/>
                <w:szCs w:val="18"/>
              </w:rPr>
              <w:t xml:space="preserve">Záväzky so zostatkovou dobou splatnosti od  jedného  do piatich  rokov  vrátane </w:t>
            </w: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podnadpis"/>
              <w:spacing w:before="0" w:after="0"/>
              <w:jc w:val="left"/>
              <w:rPr/>
            </w:pPr>
            <w:r>
              <w:rPr>
                <w:sz w:val="18"/>
                <w:szCs w:val="18"/>
              </w:rPr>
              <w:t>160448</w:t>
            </w:r>
          </w:p>
        </w:tc>
        <w:tc>
          <w:tcPr>
            <w:tcW w:w="2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podnadpis"/>
              <w:spacing w:before="0" w:after="0"/>
              <w:jc w:val="left"/>
              <w:rPr/>
            </w:pPr>
            <w:r>
              <w:rPr>
                <w:sz w:val="18"/>
                <w:szCs w:val="18"/>
              </w:rPr>
              <w:t>176364,92</w:t>
            </w:r>
          </w:p>
        </w:tc>
      </w:tr>
      <w:tr>
        <w:trPr>
          <w:trHeight w:val="441" w:hRule="atLeast"/>
        </w:trPr>
        <w:tc>
          <w:tcPr>
            <w:tcW w:w="40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podnadpis"/>
              <w:spacing w:before="0" w:after="0"/>
              <w:jc w:val="left"/>
              <w:rPr/>
            </w:pPr>
            <w:r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podnadpis"/>
              <w:spacing w:before="0" w:after="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2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podnadpis"/>
              <w:spacing w:before="0" w:after="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77" w:hRule="atLeast"/>
        </w:trPr>
        <w:tc>
          <w:tcPr>
            <w:tcW w:w="40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podnadpis"/>
              <w:spacing w:before="0" w:after="0"/>
              <w:jc w:val="left"/>
              <w:rPr/>
            </w:pPr>
            <w:r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podnadpis"/>
              <w:spacing w:before="0" w:after="0"/>
              <w:jc w:val="left"/>
              <w:rPr/>
            </w:pPr>
            <w:r>
              <w:rPr>
                <w:b/>
                <w:sz w:val="18"/>
                <w:szCs w:val="18"/>
              </w:rPr>
              <w:t>160448</w:t>
            </w:r>
          </w:p>
        </w:tc>
        <w:tc>
          <w:tcPr>
            <w:tcW w:w="2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podnadpis"/>
              <w:spacing w:before="0" w:after="0"/>
              <w:jc w:val="left"/>
              <w:rPr/>
            </w:pPr>
            <w:r>
              <w:rPr>
                <w:b/>
                <w:sz w:val="18"/>
                <w:szCs w:val="18"/>
              </w:rPr>
              <w:t>176364,72</w:t>
            </w:r>
          </w:p>
        </w:tc>
      </w:tr>
      <w:tr>
        <w:trPr>
          <w:trHeight w:val="377" w:hRule="atLeast"/>
        </w:trPr>
        <w:tc>
          <w:tcPr>
            <w:tcW w:w="40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podnadpis"/>
              <w:spacing w:before="0" w:after="0"/>
              <w:jc w:val="left"/>
              <w:rPr/>
            </w:pPr>
            <w:r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rPr/>
            </w:pPr>
            <w:r>
              <w:rPr>
                <w:b/>
                <w:sz w:val="18"/>
                <w:szCs w:val="18"/>
              </w:rPr>
              <w:t>442967</w:t>
            </w:r>
          </w:p>
        </w:tc>
        <w:tc>
          <w:tcPr>
            <w:tcW w:w="2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rPr/>
            </w:pPr>
            <w:r>
              <w:rPr>
                <w:b/>
                <w:sz w:val="18"/>
                <w:szCs w:val="18"/>
              </w:rPr>
              <w:t>558831,67</w:t>
            </w:r>
          </w:p>
        </w:tc>
      </w:tr>
    </w:tbl>
    <w:p>
      <w:pPr>
        <w:pStyle w:val="Normalpodnadpis"/>
        <w:ind w:left="180" w:hanging="180"/>
        <w:rPr/>
      </w:pPr>
      <w:r>
        <w:rPr>
          <w:sz w:val="22"/>
          <w:szCs w:val="22"/>
        </w:rPr>
        <w:t>e) prehľad o záväzkoch zo sociálneho fondu; uvádza sa začiatočný stav, tvorba a čerpanie sociálneho fondu počas účtovného obdobia a zostatok na konci účtovného obdobia – nemá obsahovú náplň</w:t>
      </w:r>
    </w:p>
    <w:tbl>
      <w:tblPr>
        <w:tblW w:w="9278" w:type="dxa"/>
        <w:jc w:val="left"/>
        <w:tblInd w:w="72" w:type="dxa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3469"/>
        <w:gridCol w:w="2960"/>
        <w:gridCol w:w="2849"/>
      </w:tblGrid>
      <w:tr>
        <w:trPr>
          <w:trHeight w:val="469" w:hRule="atLeast"/>
        </w:trPr>
        <w:tc>
          <w:tcPr>
            <w:tcW w:w="34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podnadpis"/>
              <w:spacing w:before="0" w:after="0"/>
              <w:jc w:val="left"/>
              <w:rPr/>
            </w:pPr>
            <w:r>
              <w:rPr>
                <w:b/>
                <w:sz w:val="18"/>
                <w:szCs w:val="18"/>
              </w:rPr>
              <w:t>Sociálny fond</w:t>
            </w:r>
          </w:p>
        </w:tc>
        <w:tc>
          <w:tcPr>
            <w:tcW w:w="2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podnadpis"/>
              <w:spacing w:before="0" w:after="0"/>
              <w:jc w:val="center"/>
              <w:rPr/>
            </w:pPr>
            <w:r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podnadpis"/>
              <w:spacing w:before="0" w:after="0"/>
              <w:jc w:val="center"/>
              <w:rPr/>
            </w:pPr>
            <w:r>
              <w:rPr>
                <w:b/>
                <w:sz w:val="18"/>
                <w:szCs w:val="18"/>
                <w:lang w:eastAsia="sk-SK"/>
              </w:rPr>
              <w:t>Bezprostredne predchádzajúce účtovné  obdobie</w:t>
            </w:r>
          </w:p>
        </w:tc>
      </w:tr>
      <w:tr>
        <w:trPr>
          <w:trHeight w:val="279" w:hRule="atLeast"/>
        </w:trPr>
        <w:tc>
          <w:tcPr>
            <w:tcW w:w="34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podnadpis"/>
              <w:spacing w:before="0" w:after="0"/>
              <w:jc w:val="left"/>
              <w:rPr/>
            </w:pPr>
            <w:r>
              <w:rPr>
                <w:b/>
                <w:sz w:val="18"/>
                <w:szCs w:val="18"/>
              </w:rPr>
              <w:t>Stav k prvému dňu účtovného obdobia</w:t>
            </w:r>
          </w:p>
        </w:tc>
        <w:tc>
          <w:tcPr>
            <w:tcW w:w="2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podnadpis"/>
              <w:spacing w:before="0" w:after="0"/>
              <w:jc w:val="left"/>
              <w:rPr/>
            </w:pPr>
            <w:r>
              <w:rPr>
                <w:b/>
                <w:sz w:val="18"/>
                <w:szCs w:val="18"/>
              </w:rPr>
              <w:t>143910</w:t>
            </w:r>
          </w:p>
        </w:tc>
        <w:tc>
          <w:tcPr>
            <w:tcW w:w="2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podnadpis"/>
              <w:spacing w:before="0" w:after="0"/>
              <w:jc w:val="left"/>
              <w:rPr/>
            </w:pPr>
            <w:r>
              <w:rPr>
                <w:b/>
                <w:sz w:val="18"/>
                <w:szCs w:val="18"/>
              </w:rPr>
              <w:t>127943</w:t>
            </w:r>
          </w:p>
        </w:tc>
      </w:tr>
      <w:tr>
        <w:trPr>
          <w:trHeight w:val="283" w:hRule="atLeast"/>
        </w:trPr>
        <w:tc>
          <w:tcPr>
            <w:tcW w:w="34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podnadpis"/>
              <w:spacing w:before="0" w:after="0"/>
              <w:jc w:val="left"/>
              <w:rPr/>
            </w:pPr>
            <w:r>
              <w:rPr>
                <w:sz w:val="18"/>
                <w:szCs w:val="18"/>
              </w:rPr>
              <w:t>Tvorba na ťarchu nákladov</w:t>
            </w:r>
          </w:p>
        </w:tc>
        <w:tc>
          <w:tcPr>
            <w:tcW w:w="2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podnadpis"/>
              <w:spacing w:before="0" w:after="0"/>
              <w:jc w:val="left"/>
              <w:rPr/>
            </w:pPr>
            <w:r>
              <w:rPr>
                <w:sz w:val="18"/>
                <w:szCs w:val="18"/>
              </w:rPr>
              <w:t>20590,97</w:t>
            </w:r>
          </w:p>
        </w:tc>
        <w:tc>
          <w:tcPr>
            <w:tcW w:w="2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podnadpis"/>
              <w:spacing w:before="0" w:after="0"/>
              <w:jc w:val="left"/>
              <w:rPr/>
            </w:pPr>
            <w:r>
              <w:rPr>
                <w:sz w:val="18"/>
                <w:szCs w:val="18"/>
              </w:rPr>
              <w:t>16098</w:t>
            </w:r>
          </w:p>
        </w:tc>
      </w:tr>
      <w:tr>
        <w:trPr>
          <w:trHeight w:val="258" w:hRule="atLeast"/>
        </w:trPr>
        <w:tc>
          <w:tcPr>
            <w:tcW w:w="34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podnadpis"/>
              <w:spacing w:before="0" w:after="0"/>
              <w:jc w:val="left"/>
              <w:rPr/>
            </w:pPr>
            <w:r>
              <w:rPr>
                <w:sz w:val="18"/>
                <w:szCs w:val="18"/>
              </w:rPr>
              <w:t>Tvorba zo zisku</w:t>
            </w:r>
          </w:p>
        </w:tc>
        <w:tc>
          <w:tcPr>
            <w:tcW w:w="2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podnadpis"/>
              <w:spacing w:before="0" w:after="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2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podnadpis"/>
              <w:spacing w:before="0" w:after="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277" w:hRule="atLeast"/>
        </w:trPr>
        <w:tc>
          <w:tcPr>
            <w:tcW w:w="34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podnadpis"/>
              <w:spacing w:before="0" w:after="0"/>
              <w:jc w:val="left"/>
              <w:rPr/>
            </w:pPr>
            <w:r>
              <w:rPr>
                <w:sz w:val="18"/>
                <w:szCs w:val="18"/>
              </w:rPr>
              <w:t>Čerpanie</w:t>
            </w:r>
          </w:p>
        </w:tc>
        <w:tc>
          <w:tcPr>
            <w:tcW w:w="2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podnadpis"/>
              <w:spacing w:before="0" w:after="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2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podnadpis"/>
              <w:spacing w:before="0" w:after="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131</w:t>
            </w:r>
          </w:p>
        </w:tc>
      </w:tr>
      <w:tr>
        <w:trPr>
          <w:trHeight w:val="295" w:hRule="atLeast"/>
        </w:trPr>
        <w:tc>
          <w:tcPr>
            <w:tcW w:w="34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podnadpis"/>
              <w:spacing w:before="0" w:after="0"/>
              <w:jc w:val="left"/>
              <w:rPr/>
            </w:pPr>
            <w:r>
              <w:rPr>
                <w:b/>
                <w:sz w:val="18"/>
                <w:szCs w:val="18"/>
              </w:rPr>
              <w:t>Stav k poslednému dňu účtovného obdobia</w:t>
            </w:r>
          </w:p>
        </w:tc>
        <w:tc>
          <w:tcPr>
            <w:tcW w:w="2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podnadpis"/>
              <w:spacing w:before="0" w:after="0"/>
              <w:jc w:val="left"/>
              <w:rPr/>
            </w:pPr>
            <w:r>
              <w:rPr>
                <w:b/>
                <w:sz w:val="18"/>
                <w:szCs w:val="18"/>
              </w:rPr>
              <w:t>164500,44</w:t>
            </w:r>
          </w:p>
        </w:tc>
        <w:tc>
          <w:tcPr>
            <w:tcW w:w="2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podnadpis"/>
              <w:spacing w:before="0" w:after="0"/>
              <w:jc w:val="left"/>
              <w:rPr/>
            </w:pPr>
            <w:r>
              <w:rPr>
                <w:b/>
                <w:sz w:val="18"/>
                <w:szCs w:val="18"/>
              </w:rPr>
              <w:t>143910</w:t>
            </w:r>
          </w:p>
        </w:tc>
      </w:tr>
    </w:tbl>
    <w:p>
      <w:pPr>
        <w:pStyle w:val="Normalpodnadpis"/>
        <w:rPr/>
      </w:pPr>
      <w:r>
        <w:rPr>
          <w:sz w:val="22"/>
          <w:szCs w:val="22"/>
        </w:rPr>
        <w:t>f) 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tbl>
      <w:tblPr>
        <w:tblW w:w="10134" w:type="dxa"/>
        <w:jc w:val="left"/>
        <w:tblInd w:w="72" w:type="dxa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2056"/>
        <w:gridCol w:w="708"/>
        <w:gridCol w:w="1276"/>
        <w:gridCol w:w="992"/>
        <w:gridCol w:w="1276"/>
        <w:gridCol w:w="1984"/>
        <w:gridCol w:w="1841"/>
      </w:tblGrid>
      <w:tr>
        <w:trPr>
          <w:trHeight w:val="749" w:hRule="atLeast"/>
        </w:trPr>
        <w:tc>
          <w:tcPr>
            <w:tcW w:w="2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podnadpis"/>
              <w:spacing w:before="0" w:after="0"/>
              <w:jc w:val="center"/>
              <w:rPr/>
            </w:pPr>
            <w:r>
              <w:rPr>
                <w:b/>
                <w:sz w:val="18"/>
                <w:szCs w:val="18"/>
              </w:rPr>
              <w:t>Druh cudzieho zdroja</w:t>
            </w: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podnadpis"/>
              <w:spacing w:before="0" w:after="0"/>
              <w:jc w:val="center"/>
              <w:rPr/>
            </w:pPr>
            <w:r>
              <w:rPr>
                <w:b/>
                <w:sz w:val="18"/>
                <w:szCs w:val="18"/>
                <w:lang w:eastAsia="sk-SK"/>
              </w:rPr>
              <w:t>Mena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podnadpis"/>
              <w:spacing w:before="0" w:after="0"/>
              <w:jc w:val="center"/>
              <w:rPr/>
            </w:pPr>
            <w:r>
              <w:rPr>
                <w:b/>
                <w:sz w:val="18"/>
                <w:szCs w:val="18"/>
              </w:rPr>
              <w:t>Výška úroku v %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podnadpis"/>
              <w:spacing w:before="0" w:after="0"/>
              <w:jc w:val="center"/>
              <w:rPr/>
            </w:pPr>
            <w:r>
              <w:rPr>
                <w:b/>
                <w:sz w:val="18"/>
                <w:szCs w:val="18"/>
              </w:rPr>
              <w:t>Splatnosť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podnadpis"/>
              <w:spacing w:before="0" w:after="0"/>
              <w:jc w:val="center"/>
              <w:rPr/>
            </w:pPr>
            <w:r>
              <w:rPr>
                <w:b/>
                <w:sz w:val="18"/>
                <w:szCs w:val="18"/>
              </w:rPr>
              <w:t>Forma zabezpečenia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podnadpis"/>
              <w:spacing w:before="0" w:after="0"/>
              <w:jc w:val="center"/>
              <w:rPr/>
            </w:pPr>
            <w:r>
              <w:rPr>
                <w:b/>
                <w:sz w:val="18"/>
                <w:szCs w:val="18"/>
                <w:lang w:eastAsia="sk-SK"/>
              </w:rPr>
              <w:t>Suma istiny na konci bežného účtovného obdobia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podnadpis"/>
              <w:spacing w:before="0" w:after="0"/>
              <w:jc w:val="center"/>
              <w:rPr/>
            </w:pPr>
            <w:r>
              <w:rPr>
                <w:b/>
                <w:sz w:val="18"/>
                <w:szCs w:val="18"/>
                <w:lang w:eastAsia="sk-SK"/>
              </w:rPr>
              <w:t>Suma istiny na konci bezprostredne predchádzajúceho účtovného obdobia</w:t>
            </w:r>
          </w:p>
        </w:tc>
      </w:tr>
      <w:tr>
        <w:trPr>
          <w:trHeight w:val="343" w:hRule="atLeast"/>
        </w:trPr>
        <w:tc>
          <w:tcPr>
            <w:tcW w:w="2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podnadpis"/>
              <w:spacing w:before="0" w:after="0"/>
              <w:jc w:val="left"/>
              <w:rPr/>
            </w:pPr>
            <w:r>
              <w:rPr>
                <w:sz w:val="18"/>
                <w:szCs w:val="18"/>
              </w:rPr>
              <w:t>Krátkodobý bankový úver</w:t>
            </w: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podnadpis"/>
              <w:spacing w:before="0" w:after="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podnadpis"/>
              <w:spacing w:before="0" w:after="0"/>
              <w:jc w:val="left"/>
              <w:rPr>
                <w:sz w:val="18"/>
                <w:szCs w:val="18"/>
                <w:highlight w:val="yellow"/>
              </w:rPr>
            </w:pPr>
            <w:r>
              <w:rPr>
                <w:sz w:val="18"/>
                <w:szCs w:val="18"/>
                <w:highlight w:val="yellow"/>
              </w:rPr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podnadpis"/>
              <w:spacing w:before="0" w:after="0"/>
              <w:jc w:val="left"/>
              <w:rPr>
                <w:sz w:val="18"/>
                <w:szCs w:val="18"/>
                <w:highlight w:val="yellow"/>
              </w:rPr>
            </w:pPr>
            <w:r>
              <w:rPr>
                <w:sz w:val="18"/>
                <w:szCs w:val="18"/>
                <w:highlight w:val="yellow"/>
              </w:rPr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podnadpis"/>
              <w:spacing w:before="0" w:after="0"/>
              <w:jc w:val="left"/>
              <w:rPr>
                <w:sz w:val="18"/>
                <w:szCs w:val="18"/>
                <w:highlight w:val="yellow"/>
              </w:rPr>
            </w:pPr>
            <w:r>
              <w:rPr>
                <w:sz w:val="18"/>
                <w:szCs w:val="18"/>
                <w:highlight w:val="yellow"/>
              </w:rPr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podnadpis"/>
              <w:spacing w:before="0" w:after="0"/>
              <w:jc w:val="left"/>
              <w:rPr>
                <w:sz w:val="18"/>
                <w:szCs w:val="18"/>
                <w:highlight w:val="yellow"/>
              </w:rPr>
            </w:pPr>
            <w:r>
              <w:rPr>
                <w:sz w:val="18"/>
                <w:szCs w:val="18"/>
                <w:highlight w:val="yellow"/>
              </w:rPr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podnadpis"/>
              <w:spacing w:before="0" w:after="0"/>
              <w:jc w:val="left"/>
              <w:rPr>
                <w:sz w:val="18"/>
                <w:szCs w:val="18"/>
                <w:highlight w:val="yellow"/>
              </w:rPr>
            </w:pPr>
            <w:r>
              <w:rPr>
                <w:sz w:val="18"/>
                <w:szCs w:val="18"/>
                <w:highlight w:val="yellow"/>
              </w:rPr>
            </w:r>
          </w:p>
        </w:tc>
      </w:tr>
      <w:tr>
        <w:trPr>
          <w:trHeight w:val="263" w:hRule="atLeast"/>
        </w:trPr>
        <w:tc>
          <w:tcPr>
            <w:tcW w:w="2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podnadpis"/>
              <w:spacing w:before="0" w:after="0"/>
              <w:jc w:val="left"/>
              <w:rPr/>
            </w:pPr>
            <w:r>
              <w:rPr>
                <w:sz w:val="18"/>
                <w:szCs w:val="18"/>
              </w:rPr>
              <w:t>Pôžička</w:t>
            </w: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podnadpis"/>
              <w:spacing w:before="0" w:after="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podnadpis"/>
              <w:spacing w:before="0" w:after="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podnadpis"/>
              <w:spacing w:before="0" w:after="0"/>
              <w:jc w:val="left"/>
              <w:rPr>
                <w:sz w:val="18"/>
                <w:szCs w:val="18"/>
                <w:highlight w:val="yellow"/>
              </w:rPr>
            </w:pPr>
            <w:r>
              <w:rPr>
                <w:sz w:val="18"/>
                <w:szCs w:val="18"/>
                <w:highlight w:val="yellow"/>
              </w:rPr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podnadpis"/>
              <w:spacing w:before="0" w:after="0"/>
              <w:jc w:val="left"/>
              <w:rPr>
                <w:sz w:val="18"/>
                <w:szCs w:val="18"/>
                <w:highlight w:val="yellow"/>
              </w:rPr>
            </w:pPr>
            <w:r>
              <w:rPr>
                <w:sz w:val="18"/>
                <w:szCs w:val="18"/>
                <w:highlight w:val="yellow"/>
              </w:rPr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podnadpis"/>
              <w:spacing w:before="0" w:after="0"/>
              <w:jc w:val="left"/>
              <w:rPr>
                <w:sz w:val="18"/>
                <w:szCs w:val="18"/>
                <w:highlight w:val="yellow"/>
              </w:rPr>
            </w:pPr>
            <w:r>
              <w:rPr>
                <w:sz w:val="18"/>
                <w:szCs w:val="18"/>
                <w:highlight w:val="yellow"/>
              </w:rPr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podnadpis"/>
              <w:spacing w:before="0" w:after="0"/>
              <w:jc w:val="left"/>
              <w:rPr>
                <w:b/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</w:r>
          </w:p>
        </w:tc>
      </w:tr>
      <w:tr>
        <w:trPr>
          <w:trHeight w:val="281" w:hRule="atLeast"/>
        </w:trPr>
        <w:tc>
          <w:tcPr>
            <w:tcW w:w="2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podnadpis"/>
              <w:spacing w:before="0" w:after="0"/>
              <w:jc w:val="left"/>
              <w:rPr/>
            </w:pPr>
            <w:r>
              <w:rPr>
                <w:sz w:val="18"/>
                <w:szCs w:val="18"/>
              </w:rPr>
              <w:t>Návratná finančná výpomoc</w:t>
            </w: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podnadpis"/>
              <w:spacing w:before="0" w:after="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podnadpis"/>
              <w:spacing w:before="0" w:after="0"/>
              <w:jc w:val="left"/>
              <w:rPr>
                <w:sz w:val="18"/>
                <w:szCs w:val="18"/>
                <w:highlight w:val="yellow"/>
              </w:rPr>
            </w:pPr>
            <w:r>
              <w:rPr>
                <w:sz w:val="18"/>
                <w:szCs w:val="18"/>
                <w:highlight w:val="yellow"/>
              </w:rPr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podnadpis"/>
              <w:spacing w:before="0" w:after="0"/>
              <w:jc w:val="left"/>
              <w:rPr>
                <w:sz w:val="18"/>
                <w:szCs w:val="18"/>
                <w:highlight w:val="yellow"/>
              </w:rPr>
            </w:pPr>
            <w:r>
              <w:rPr>
                <w:sz w:val="18"/>
                <w:szCs w:val="18"/>
                <w:highlight w:val="yellow"/>
              </w:rPr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podnadpis"/>
              <w:spacing w:before="0" w:after="0"/>
              <w:jc w:val="left"/>
              <w:rPr>
                <w:sz w:val="18"/>
                <w:szCs w:val="18"/>
                <w:highlight w:val="yellow"/>
              </w:rPr>
            </w:pPr>
            <w:r>
              <w:rPr>
                <w:sz w:val="18"/>
                <w:szCs w:val="18"/>
                <w:highlight w:val="yellow"/>
              </w:rPr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podnadpis"/>
              <w:spacing w:before="0" w:after="0"/>
              <w:jc w:val="left"/>
              <w:rPr>
                <w:sz w:val="18"/>
                <w:szCs w:val="18"/>
                <w:highlight w:val="yellow"/>
              </w:rPr>
            </w:pPr>
            <w:r>
              <w:rPr>
                <w:sz w:val="18"/>
                <w:szCs w:val="18"/>
                <w:highlight w:val="yellow"/>
              </w:rPr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podnadpis"/>
              <w:spacing w:before="0" w:after="0"/>
              <w:jc w:val="left"/>
              <w:rPr>
                <w:sz w:val="18"/>
                <w:szCs w:val="18"/>
                <w:highlight w:val="yellow"/>
              </w:rPr>
            </w:pPr>
            <w:r>
              <w:rPr>
                <w:sz w:val="18"/>
                <w:szCs w:val="18"/>
                <w:highlight w:val="yellow"/>
              </w:rPr>
            </w:r>
          </w:p>
        </w:tc>
      </w:tr>
      <w:tr>
        <w:trPr>
          <w:trHeight w:val="287" w:hRule="atLeast"/>
        </w:trPr>
        <w:tc>
          <w:tcPr>
            <w:tcW w:w="2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podnadpis"/>
              <w:spacing w:before="0" w:after="0"/>
              <w:jc w:val="left"/>
              <w:rPr/>
            </w:pPr>
            <w:r>
              <w:rPr>
                <w:sz w:val="18"/>
                <w:szCs w:val="18"/>
              </w:rPr>
              <w:t>Dlhodobý bankový úver</w:t>
            </w: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podnadpis"/>
              <w:spacing w:before="0" w:after="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Eur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podnadpis"/>
              <w:spacing w:before="0" w:after="0"/>
              <w:jc w:val="left"/>
              <w:rPr>
                <w:sz w:val="18"/>
                <w:szCs w:val="18"/>
                <w:highlight w:val="yellow"/>
              </w:rPr>
            </w:pPr>
            <w:r>
              <w:rPr>
                <w:sz w:val="18"/>
                <w:szCs w:val="18"/>
              </w:rPr>
              <w:t>3,1 %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podnadpis"/>
              <w:spacing w:before="0" w:after="0"/>
              <w:jc w:val="left"/>
              <w:rPr>
                <w:sz w:val="18"/>
                <w:szCs w:val="18"/>
                <w:highlight w:val="yellow"/>
              </w:rPr>
            </w:pPr>
            <w:r>
              <w:rPr>
                <w:sz w:val="18"/>
                <w:szCs w:val="18"/>
              </w:rPr>
              <w:t>20.09.2031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podnadpis"/>
              <w:spacing w:before="0" w:after="0"/>
              <w:jc w:val="left"/>
              <w:rPr>
                <w:sz w:val="18"/>
                <w:szCs w:val="18"/>
                <w:highlight w:val="yellow"/>
              </w:rPr>
            </w:pPr>
            <w:r>
              <w:rPr>
                <w:sz w:val="18"/>
                <w:szCs w:val="18"/>
              </w:rPr>
              <w:t>Pozemky a stavby LV 3777, Gelnica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podnadpis"/>
              <w:spacing w:before="0" w:after="0"/>
              <w:jc w:val="left"/>
              <w:rPr>
                <w:sz w:val="18"/>
                <w:szCs w:val="18"/>
                <w:highlight w:val="yellow"/>
              </w:rPr>
            </w:pPr>
            <w:r>
              <w:rPr>
                <w:sz w:val="18"/>
                <w:szCs w:val="18"/>
              </w:rPr>
              <w:t>600 000,00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podnadpis"/>
              <w:spacing w:before="0" w:after="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>
        <w:trPr>
          <w:trHeight w:val="401" w:hRule="atLeast"/>
        </w:trPr>
        <w:tc>
          <w:tcPr>
            <w:tcW w:w="2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podnadpis"/>
              <w:spacing w:before="0" w:after="0"/>
              <w:jc w:val="left"/>
              <w:rPr/>
            </w:pPr>
            <w:r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podnadpis"/>
              <w:spacing w:before="0" w:after="0"/>
              <w:jc w:val="left"/>
              <w:rPr>
                <w:b/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podnadpis"/>
              <w:spacing w:before="0" w:after="0"/>
              <w:jc w:val="left"/>
              <w:rPr>
                <w:b/>
                <w:b/>
                <w:sz w:val="18"/>
                <w:szCs w:val="18"/>
                <w:highlight w:val="yellow"/>
              </w:rPr>
            </w:pPr>
            <w:r>
              <w:rPr>
                <w:b/>
                <w:sz w:val="18"/>
                <w:szCs w:val="18"/>
                <w:highlight w:val="yellow"/>
              </w:rPr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podnadpis"/>
              <w:spacing w:before="0" w:after="0"/>
              <w:jc w:val="left"/>
              <w:rPr>
                <w:b/>
                <w:b/>
                <w:sz w:val="18"/>
                <w:szCs w:val="18"/>
                <w:highlight w:val="yellow"/>
              </w:rPr>
            </w:pPr>
            <w:r>
              <w:rPr>
                <w:b/>
                <w:sz w:val="18"/>
                <w:szCs w:val="18"/>
                <w:highlight w:val="yellow"/>
              </w:rPr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podnadpis"/>
              <w:spacing w:before="0" w:after="0"/>
              <w:jc w:val="left"/>
              <w:rPr>
                <w:b/>
                <w:b/>
                <w:sz w:val="18"/>
                <w:szCs w:val="18"/>
                <w:highlight w:val="yellow"/>
              </w:rPr>
            </w:pPr>
            <w:r>
              <w:rPr>
                <w:b/>
                <w:sz w:val="18"/>
                <w:szCs w:val="18"/>
                <w:highlight w:val="yellow"/>
              </w:rPr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podnadpis"/>
              <w:spacing w:before="0" w:after="0"/>
              <w:jc w:val="left"/>
              <w:rPr>
                <w:b/>
                <w:b/>
                <w:sz w:val="18"/>
                <w:szCs w:val="18"/>
                <w:highlight w:val="yellow"/>
              </w:rPr>
            </w:pPr>
            <w:r>
              <w:rPr>
                <w:b/>
                <w:sz w:val="18"/>
                <w:szCs w:val="18"/>
                <w:highlight w:val="yellow"/>
              </w:rPr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podnadpis"/>
              <w:spacing w:before="0" w:after="0"/>
              <w:jc w:val="left"/>
              <w:rPr/>
            </w:pPr>
            <w:r>
              <w:rPr>
                <w:b/>
                <w:sz w:val="18"/>
                <w:szCs w:val="18"/>
              </w:rPr>
              <w:t>0</w:t>
            </w:r>
          </w:p>
        </w:tc>
      </w:tr>
    </w:tbl>
    <w:p>
      <w:pPr>
        <w:pStyle w:val="Normalpodnadpis"/>
        <w:spacing w:before="0" w:after="240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Normalpodnadpis"/>
        <w:spacing w:before="0" w:after="240"/>
        <w:rPr/>
      </w:pPr>
      <w:r>
        <w:rPr>
          <w:sz w:val="22"/>
          <w:szCs w:val="22"/>
        </w:rPr>
        <w:t>g) prehľad o významných položkách časového rozlíšenia výdavkov budúcich období.</w:t>
      </w:r>
    </w:p>
    <w:p>
      <w:pPr>
        <w:pStyle w:val="Normalpodnadpis"/>
        <w:numPr>
          <w:ilvl w:val="0"/>
          <w:numId w:val="2"/>
        </w:numPr>
        <w:spacing w:before="0" w:after="120"/>
        <w:ind w:left="0" w:hanging="0"/>
        <w:rPr/>
      </w:pPr>
      <w:r>
        <w:rPr>
          <w:sz w:val="22"/>
          <w:szCs w:val="22"/>
        </w:rPr>
        <w:t>Prehľad o významných položkách výnosov budúcich období v členení najmä na</w:t>
      </w:r>
    </w:p>
    <w:p>
      <w:pPr>
        <w:pStyle w:val="Normalpodnadpis"/>
        <w:spacing w:before="0" w:after="0"/>
        <w:rPr/>
      </w:pPr>
      <w:r>
        <w:rPr>
          <w:sz w:val="22"/>
          <w:szCs w:val="22"/>
        </w:rPr>
        <w:t>a) zostatkovú hodnotu bezodplatne nadobudnutého dlhodobého majetku,</w:t>
      </w:r>
    </w:p>
    <w:p>
      <w:pPr>
        <w:pStyle w:val="Normalpodnadpis"/>
        <w:spacing w:before="0" w:after="0"/>
        <w:rPr/>
      </w:pPr>
      <w:r>
        <w:rPr>
          <w:sz w:val="22"/>
          <w:szCs w:val="22"/>
        </w:rPr>
        <w:t>b) zostatkovú hodnotu dlhodobého majetku obstaraného z dotácie,</w:t>
      </w:r>
    </w:p>
    <w:p>
      <w:pPr>
        <w:pStyle w:val="Normalpodnadpis"/>
        <w:spacing w:before="0" w:after="0"/>
        <w:rPr/>
      </w:pPr>
      <w:r>
        <w:rPr>
          <w:sz w:val="22"/>
          <w:szCs w:val="22"/>
        </w:rPr>
        <w:t xml:space="preserve">c) zostatok nepoužitej dotácie alebo grantu    </w:t>
      </w:r>
    </w:p>
    <w:p>
      <w:pPr>
        <w:pStyle w:val="Normalpodnadpis"/>
        <w:spacing w:before="0" w:after="0"/>
        <w:rPr/>
      </w:pPr>
      <w:r>
        <w:rPr>
          <w:sz w:val="22"/>
          <w:szCs w:val="22"/>
        </w:rPr>
        <w:t>d) zostatok nepoužitej časti podielu zaplatenej dane,</w:t>
      </w:r>
    </w:p>
    <w:p>
      <w:pPr>
        <w:pStyle w:val="Normalpodnadpis"/>
        <w:spacing w:before="0" w:after="0"/>
        <w:rPr>
          <w:sz w:val="22"/>
          <w:szCs w:val="22"/>
        </w:rPr>
      </w:pPr>
      <w:r>
        <w:rPr>
          <w:sz w:val="22"/>
          <w:szCs w:val="22"/>
        </w:rPr>
        <w:t>e) zostatkovú hodnotu dlhodobého majetku obstaraného z podielu zaplatenej dane.</w:t>
      </w:r>
    </w:p>
    <w:p>
      <w:pPr>
        <w:pStyle w:val="Normalpodnadpis"/>
        <w:spacing w:before="0" w:after="0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Normalpodnadpis"/>
        <w:spacing w:before="0" w:after="0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Normalpodnadpis"/>
        <w:spacing w:before="0" w:after="0"/>
        <w:rPr/>
      </w:pPr>
      <w:r>
        <w:rPr/>
      </w:r>
    </w:p>
    <w:tbl>
      <w:tblPr>
        <w:tblW w:w="10136" w:type="dxa"/>
        <w:jc w:val="left"/>
        <w:tblInd w:w="-69" w:type="dxa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3469"/>
        <w:gridCol w:w="2268"/>
        <w:gridCol w:w="909"/>
        <w:gridCol w:w="1196"/>
        <w:gridCol w:w="2294"/>
      </w:tblGrid>
      <w:tr>
        <w:trPr>
          <w:trHeight w:val="459" w:hRule="atLeast"/>
        </w:trPr>
        <w:tc>
          <w:tcPr>
            <w:tcW w:w="34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podnadpis"/>
              <w:spacing w:before="0" w:after="120"/>
              <w:jc w:val="center"/>
              <w:rPr/>
            </w:pPr>
            <w:r>
              <w:rPr>
                <w:b/>
                <w:sz w:val="18"/>
                <w:szCs w:val="18"/>
              </w:rPr>
              <w:t>Položky výnosov budúcich období z dôvodu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podnadpis"/>
              <w:spacing w:before="0" w:after="120"/>
              <w:jc w:val="center"/>
              <w:rPr/>
            </w:pPr>
            <w:r>
              <w:rPr>
                <w:b/>
                <w:sz w:val="18"/>
                <w:szCs w:val="18"/>
                <w:lang w:eastAsia="sk-SK"/>
              </w:rPr>
              <w:t>Stav na konci bezprostredne predchádzajúceho účtovného obdobia</w:t>
            </w:r>
          </w:p>
        </w:tc>
        <w:tc>
          <w:tcPr>
            <w:tcW w:w="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podnadpis"/>
              <w:spacing w:before="0" w:after="120"/>
              <w:jc w:val="center"/>
              <w:rPr/>
            </w:pPr>
            <w:r>
              <w:rPr>
                <w:b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podnadpis"/>
              <w:spacing w:before="0" w:after="120"/>
              <w:jc w:val="center"/>
              <w:rPr/>
            </w:pPr>
            <w:r>
              <w:rPr>
                <w:b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22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podnadpis"/>
              <w:spacing w:before="0" w:after="120"/>
              <w:jc w:val="center"/>
              <w:rPr/>
            </w:pPr>
            <w:r>
              <w:rPr>
                <w:b/>
                <w:sz w:val="18"/>
                <w:szCs w:val="18"/>
                <w:lang w:eastAsia="sk-SK"/>
              </w:rPr>
              <w:t>Stav na konci bežného účtovného obdobia</w:t>
            </w:r>
          </w:p>
        </w:tc>
      </w:tr>
      <w:tr>
        <w:trPr>
          <w:trHeight w:val="251" w:hRule="atLeast"/>
        </w:trPr>
        <w:tc>
          <w:tcPr>
            <w:tcW w:w="34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podnadpis"/>
              <w:spacing w:before="0" w:after="120"/>
              <w:jc w:val="left"/>
              <w:rPr/>
            </w:pPr>
            <w:r>
              <w:rPr>
                <w:sz w:val="18"/>
                <w:szCs w:val="18"/>
              </w:rPr>
              <w:t>bezodplatne nadobudnutého dlhodobého majetku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podnadpis"/>
              <w:spacing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podnadpis"/>
              <w:spacing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podnadpis"/>
              <w:spacing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22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podnadpis"/>
              <w:spacing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199" w:hRule="atLeast"/>
        </w:trPr>
        <w:tc>
          <w:tcPr>
            <w:tcW w:w="34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podnadpis"/>
              <w:spacing w:before="0" w:after="120"/>
              <w:jc w:val="left"/>
              <w:rPr/>
            </w:pPr>
            <w:r>
              <w:rPr>
                <w:sz w:val="18"/>
                <w:szCs w:val="18"/>
              </w:rPr>
              <w:t>dlhodobého majetku obstaraného z dotácie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podnadpis"/>
              <w:spacing w:before="0" w:after="120"/>
              <w:rPr/>
            </w:pPr>
            <w:r>
              <w:rPr>
                <w:sz w:val="18"/>
                <w:szCs w:val="18"/>
              </w:rPr>
              <w:t>580800</w:t>
            </w:r>
          </w:p>
        </w:tc>
        <w:tc>
          <w:tcPr>
            <w:tcW w:w="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podnadpis"/>
              <w:spacing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podnadpis"/>
              <w:spacing w:before="0" w:after="120"/>
              <w:rPr/>
            </w:pPr>
            <w:r>
              <w:rPr>
                <w:sz w:val="18"/>
                <w:szCs w:val="18"/>
              </w:rPr>
              <w:t>69291,30</w:t>
            </w:r>
          </w:p>
        </w:tc>
        <w:tc>
          <w:tcPr>
            <w:tcW w:w="22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podnadpis"/>
              <w:spacing w:before="0" w:after="120"/>
              <w:rPr/>
            </w:pPr>
            <w:r>
              <w:rPr>
                <w:sz w:val="18"/>
                <w:szCs w:val="18"/>
              </w:rPr>
              <w:t>511508,74</w:t>
            </w:r>
          </w:p>
        </w:tc>
      </w:tr>
      <w:tr>
        <w:trPr>
          <w:trHeight w:val="289" w:hRule="atLeast"/>
        </w:trPr>
        <w:tc>
          <w:tcPr>
            <w:tcW w:w="34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podnadpis"/>
              <w:spacing w:before="0" w:after="120"/>
              <w:jc w:val="left"/>
              <w:rPr/>
            </w:pPr>
            <w:r>
              <w:rPr>
                <w:sz w:val="18"/>
                <w:szCs w:val="18"/>
              </w:rPr>
              <w:t xml:space="preserve">dlhodobého majetku  obstaraného z finančného daru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podnadpis"/>
              <w:spacing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podnadpis"/>
              <w:spacing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podnadpis"/>
              <w:spacing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22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podnadpis"/>
              <w:spacing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11" w:hRule="atLeast"/>
        </w:trPr>
        <w:tc>
          <w:tcPr>
            <w:tcW w:w="34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podnadpis"/>
              <w:spacing w:before="0" w:after="120"/>
              <w:jc w:val="left"/>
              <w:rPr/>
            </w:pPr>
            <w:r>
              <w:rPr>
                <w:sz w:val="18"/>
                <w:szCs w:val="18"/>
              </w:rPr>
              <w:t>dotácie zo štátneho rozpočtu alebo  z prostriedkov Európskej únie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podnadpis"/>
              <w:spacing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podnadpis"/>
              <w:spacing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podnadpis"/>
              <w:spacing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22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podnadpis"/>
              <w:spacing w:before="0" w:after="0"/>
              <w:rPr>
                <w:b/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</w:r>
          </w:p>
        </w:tc>
      </w:tr>
      <w:tr>
        <w:trPr>
          <w:trHeight w:val="347" w:hRule="atLeast"/>
        </w:trPr>
        <w:tc>
          <w:tcPr>
            <w:tcW w:w="34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podnadpis"/>
              <w:spacing w:before="0" w:after="120"/>
              <w:jc w:val="left"/>
              <w:rPr/>
            </w:pPr>
            <w:r>
              <w:rPr>
                <w:sz w:val="18"/>
                <w:szCs w:val="18"/>
              </w:rPr>
              <w:t>dotácie z rozpočtu obce alebo z rozpočtu VUC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podnadpis"/>
              <w:spacing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podnadpis"/>
              <w:spacing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podnadpis"/>
              <w:spacing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22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podnadpis"/>
              <w:spacing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72" w:hRule="atLeast"/>
        </w:trPr>
        <w:tc>
          <w:tcPr>
            <w:tcW w:w="34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podnadpis"/>
              <w:spacing w:before="0" w:after="120"/>
              <w:rPr/>
            </w:pPr>
            <w:r>
              <w:rPr>
                <w:sz w:val="18"/>
                <w:szCs w:val="18"/>
              </w:rPr>
              <w:t>grantu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podnadpis"/>
              <w:spacing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podnadpis"/>
              <w:spacing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podnadpis"/>
              <w:spacing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22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podnadpis"/>
              <w:spacing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161" w:hRule="atLeast"/>
        </w:trPr>
        <w:tc>
          <w:tcPr>
            <w:tcW w:w="34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podnadpis"/>
              <w:spacing w:before="0" w:after="120"/>
              <w:rPr/>
            </w:pPr>
            <w:r>
              <w:rPr>
                <w:sz w:val="18"/>
                <w:szCs w:val="18"/>
              </w:rPr>
              <w:t>podielu zaplatenej dane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podnadpis"/>
              <w:spacing w:before="0" w:after="0"/>
              <w:rPr>
                <w:b/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</w:r>
          </w:p>
        </w:tc>
        <w:tc>
          <w:tcPr>
            <w:tcW w:w="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podnadpis"/>
              <w:spacing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podnadpis"/>
              <w:spacing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22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podnadpis"/>
              <w:spacing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93" w:hRule="atLeast"/>
        </w:trPr>
        <w:tc>
          <w:tcPr>
            <w:tcW w:w="34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podnadpis"/>
              <w:spacing w:before="0" w:after="120"/>
              <w:jc w:val="left"/>
              <w:rPr/>
            </w:pPr>
            <w:r>
              <w:rPr>
                <w:sz w:val="18"/>
                <w:szCs w:val="18"/>
              </w:rPr>
              <w:t>dlhodobého  majetku  obstaraného z podielu zaplatenej dane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podnadpis"/>
              <w:spacing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podnadpis"/>
              <w:spacing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podnadpis"/>
              <w:spacing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22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podnadpis"/>
              <w:spacing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</w:tbl>
    <w:p>
      <w:pPr>
        <w:pStyle w:val="Normalpodnadpis"/>
        <w:spacing w:before="120" w:after="240"/>
        <w:rPr>
          <w:szCs w:val="20"/>
        </w:rPr>
      </w:pPr>
      <w:r>
        <w:rPr>
          <w:szCs w:val="20"/>
        </w:rPr>
      </w:r>
    </w:p>
    <w:p>
      <w:pPr>
        <w:pStyle w:val="Normalpodnadpis"/>
        <w:numPr>
          <w:ilvl w:val="0"/>
          <w:numId w:val="2"/>
        </w:numPr>
        <w:spacing w:before="0" w:after="120"/>
        <w:ind w:left="0" w:hanging="0"/>
        <w:rPr/>
      </w:pPr>
      <w:r>
        <w:rPr>
          <w:sz w:val="22"/>
          <w:szCs w:val="22"/>
        </w:rPr>
        <w:t xml:space="preserve"> </w:t>
      </w:r>
      <w:r>
        <w:rPr>
          <w:sz w:val="22"/>
          <w:szCs w:val="22"/>
        </w:rPr>
        <w:t>Údaje o majetku prenajatom formou finančného prenájmu, a to</w:t>
      </w:r>
    </w:p>
    <w:p>
      <w:pPr>
        <w:pStyle w:val="Normalpodnadpis"/>
        <w:ind w:left="240" w:hanging="240"/>
        <w:rPr/>
      </w:pPr>
      <w:r>
        <w:rPr>
          <w:sz w:val="22"/>
          <w:szCs w:val="22"/>
        </w:rPr>
        <w:t>a) celková suma dohodnutých platieb ku dňu, ku ktorému sa zostavuje účtovná závierka, v členení na istinu a finančný náklad,</w:t>
      </w:r>
    </w:p>
    <w:p>
      <w:pPr>
        <w:pStyle w:val="Normalpodnadpis"/>
        <w:ind w:left="240" w:hanging="240"/>
        <w:rPr/>
      </w:pPr>
      <w:r>
        <w:rPr>
          <w:sz w:val="22"/>
          <w:szCs w:val="22"/>
        </w:rPr>
        <w:t xml:space="preserve">b) suma istiny a finančného nákladu podľa doby splatnosti </w:t>
      </w:r>
    </w:p>
    <w:p>
      <w:pPr>
        <w:pStyle w:val="Normalpodnadpis"/>
        <w:spacing w:before="0" w:after="0"/>
        <w:ind w:left="240" w:hanging="240"/>
        <w:rPr/>
      </w:pPr>
      <w:r>
        <w:rPr>
          <w:sz w:val="22"/>
          <w:szCs w:val="22"/>
        </w:rPr>
        <w:tab/>
        <w:t>1. do jedného roka vrátane,</w:t>
      </w:r>
    </w:p>
    <w:p>
      <w:pPr>
        <w:pStyle w:val="Normalpodnadpis"/>
        <w:spacing w:before="0" w:after="0"/>
        <w:ind w:left="240" w:hanging="240"/>
        <w:rPr/>
      </w:pPr>
      <w:r>
        <w:rPr>
          <w:sz w:val="22"/>
          <w:szCs w:val="22"/>
        </w:rPr>
        <w:tab/>
        <w:t>2. od jedného roka do piatich rokov vrátane,</w:t>
      </w:r>
    </w:p>
    <w:p>
      <w:pPr>
        <w:pStyle w:val="Normalpodnadpis"/>
        <w:spacing w:before="0" w:after="0"/>
        <w:rPr/>
      </w:pPr>
      <w:r>
        <w:rPr>
          <w:sz w:val="22"/>
          <w:szCs w:val="22"/>
        </w:rPr>
        <w:t xml:space="preserve">     </w:t>
      </w:r>
      <w:r>
        <w:rPr>
          <w:sz w:val="22"/>
          <w:szCs w:val="22"/>
        </w:rPr>
        <w:t>3. viac ako päť rokov.</w:t>
      </w:r>
    </w:p>
    <w:tbl>
      <w:tblPr>
        <w:tblW w:w="10382" w:type="dxa"/>
        <w:jc w:val="left"/>
        <w:tblInd w:w="-69" w:type="dxa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3047"/>
        <w:gridCol w:w="2093"/>
        <w:gridCol w:w="1309"/>
        <w:gridCol w:w="1584"/>
        <w:gridCol w:w="2349"/>
      </w:tblGrid>
      <w:tr>
        <w:trPr>
          <w:trHeight w:val="834" w:hRule="atLeast"/>
        </w:trPr>
        <w:tc>
          <w:tcPr>
            <w:tcW w:w="30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podnadpis"/>
              <w:spacing w:before="0" w:after="120"/>
              <w:jc w:val="center"/>
              <w:rPr>
                <w:highlight w:val="red"/>
              </w:rPr>
            </w:pPr>
            <w:r>
              <w:rPr>
                <w:b/>
                <w:sz w:val="18"/>
                <w:szCs w:val="18"/>
              </w:rPr>
              <w:t>Záväzok</w:t>
            </w:r>
          </w:p>
        </w:tc>
        <w:tc>
          <w:tcPr>
            <w:tcW w:w="2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podnadpis"/>
              <w:spacing w:before="0" w:after="120"/>
              <w:jc w:val="center"/>
              <w:rPr/>
            </w:pPr>
            <w:r>
              <w:rPr>
                <w:b/>
                <w:sz w:val="18"/>
                <w:szCs w:val="18"/>
                <w:lang w:eastAsia="sk-SK"/>
              </w:rPr>
              <w:t>Stav na konci bezprostredne predchádzajúceho účtovného obdobia</w:t>
            </w:r>
          </w:p>
        </w:tc>
        <w:tc>
          <w:tcPr>
            <w:tcW w:w="13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podnadpis"/>
              <w:spacing w:before="0" w:after="120"/>
              <w:jc w:val="center"/>
              <w:rPr/>
            </w:pPr>
            <w:r>
              <w:rPr>
                <w:b/>
                <w:sz w:val="18"/>
                <w:szCs w:val="18"/>
              </w:rPr>
              <w:t>Istina</w:t>
            </w:r>
          </w:p>
        </w:tc>
        <w:tc>
          <w:tcPr>
            <w:tcW w:w="15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podnadpis"/>
              <w:spacing w:before="0" w:after="120"/>
              <w:jc w:val="center"/>
              <w:rPr/>
            </w:pPr>
            <w:r>
              <w:rPr>
                <w:b/>
                <w:sz w:val="18"/>
                <w:szCs w:val="18"/>
              </w:rPr>
              <w:t>Finančný náklad</w:t>
            </w:r>
          </w:p>
        </w:tc>
        <w:tc>
          <w:tcPr>
            <w:tcW w:w="23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podnadpis"/>
              <w:spacing w:before="0" w:after="120"/>
              <w:jc w:val="center"/>
              <w:rPr/>
            </w:pPr>
            <w:r>
              <w:rPr>
                <w:b/>
                <w:sz w:val="18"/>
                <w:szCs w:val="18"/>
                <w:lang w:eastAsia="sk-SK"/>
              </w:rPr>
              <w:t>Stav na konci bežného účtovného obdobia</w:t>
            </w:r>
          </w:p>
        </w:tc>
      </w:tr>
      <w:tr>
        <w:trPr>
          <w:trHeight w:val="233" w:hRule="atLeast"/>
        </w:trPr>
        <w:tc>
          <w:tcPr>
            <w:tcW w:w="30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podnadpis"/>
              <w:spacing w:before="0" w:after="120"/>
              <w:rPr/>
            </w:pPr>
            <w:r>
              <w:rPr>
                <w:sz w:val="18"/>
                <w:szCs w:val="18"/>
              </w:rPr>
              <w:t>Celková suma dohodnutých platieb</w:t>
            </w:r>
          </w:p>
        </w:tc>
        <w:tc>
          <w:tcPr>
            <w:tcW w:w="2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podnadpis"/>
              <w:spacing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3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podnadpis"/>
              <w:spacing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18586,12</w:t>
            </w:r>
          </w:p>
        </w:tc>
        <w:tc>
          <w:tcPr>
            <w:tcW w:w="15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podnadpis"/>
              <w:spacing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23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podnadpis"/>
              <w:spacing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18586,12</w:t>
            </w:r>
          </w:p>
        </w:tc>
      </w:tr>
      <w:tr>
        <w:trPr>
          <w:trHeight w:val="323" w:hRule="atLeast"/>
        </w:trPr>
        <w:tc>
          <w:tcPr>
            <w:tcW w:w="30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podnadpis"/>
              <w:spacing w:before="0" w:after="120"/>
              <w:jc w:val="left"/>
              <w:rPr/>
            </w:pPr>
            <w:r>
              <w:rPr>
                <w:sz w:val="18"/>
                <w:szCs w:val="18"/>
              </w:rPr>
              <w:t>do jedného roka vrátane</w:t>
            </w:r>
          </w:p>
        </w:tc>
        <w:tc>
          <w:tcPr>
            <w:tcW w:w="2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podnadpis"/>
              <w:spacing w:before="0" w:after="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podnadpis"/>
              <w:spacing w:before="0" w:after="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6722,60</w:t>
            </w:r>
          </w:p>
        </w:tc>
        <w:tc>
          <w:tcPr>
            <w:tcW w:w="15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podnadpis"/>
              <w:spacing w:before="0" w:after="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23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podnadpis"/>
              <w:spacing w:before="0" w:after="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6722,60</w:t>
            </w:r>
          </w:p>
        </w:tc>
      </w:tr>
      <w:tr>
        <w:trPr>
          <w:trHeight w:val="399" w:hRule="atLeast"/>
        </w:trPr>
        <w:tc>
          <w:tcPr>
            <w:tcW w:w="30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podnadpis"/>
              <w:spacing w:before="0" w:after="120"/>
              <w:jc w:val="left"/>
              <w:rPr/>
            </w:pPr>
            <w:r>
              <w:rPr>
                <w:sz w:val="18"/>
                <w:szCs w:val="18"/>
              </w:rPr>
              <w:t>od jedného roka do piatich  rokov vrátane</w:t>
            </w:r>
          </w:p>
        </w:tc>
        <w:tc>
          <w:tcPr>
            <w:tcW w:w="2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podnadpis"/>
              <w:spacing w:before="0" w:after="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podnadpis"/>
              <w:spacing w:before="0" w:after="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11863,52</w:t>
            </w:r>
          </w:p>
        </w:tc>
        <w:tc>
          <w:tcPr>
            <w:tcW w:w="15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podnadpis"/>
              <w:spacing w:before="0" w:after="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23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podnadpis"/>
              <w:spacing w:before="0" w:after="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11863,52</w:t>
            </w:r>
          </w:p>
        </w:tc>
      </w:tr>
      <w:tr>
        <w:trPr>
          <w:trHeight w:val="362" w:hRule="atLeast"/>
        </w:trPr>
        <w:tc>
          <w:tcPr>
            <w:tcW w:w="30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podnadpis"/>
              <w:spacing w:before="0" w:after="120"/>
              <w:jc w:val="left"/>
              <w:rPr/>
            </w:pPr>
            <w:r>
              <w:rPr>
                <w:sz w:val="18"/>
                <w:szCs w:val="18"/>
              </w:rPr>
              <w:t>viac ako päť rokov</w:t>
            </w:r>
          </w:p>
        </w:tc>
        <w:tc>
          <w:tcPr>
            <w:tcW w:w="2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podnadpis"/>
              <w:spacing w:before="0" w:after="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podnadpis"/>
              <w:spacing w:before="0" w:after="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5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podnadpis"/>
              <w:spacing w:before="0" w:after="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23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podnadpis"/>
              <w:spacing w:before="0" w:after="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</w:tbl>
    <w:p>
      <w:pPr>
        <w:pStyle w:val="Normalpodnadpis"/>
        <w:spacing w:before="0" w:after="0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Normalpodnadpis"/>
        <w:keepNext w:val="true"/>
        <w:numPr>
          <w:ilvl w:val="0"/>
          <w:numId w:val="0"/>
        </w:numPr>
        <w:spacing w:before="0" w:after="120"/>
        <w:jc w:val="center"/>
        <w:outlineLvl w:val="0"/>
        <w:rPr/>
      </w:pPr>
      <w:r>
        <w:rPr>
          <w:b/>
          <w:bCs/>
          <w:sz w:val="22"/>
          <w:szCs w:val="22"/>
        </w:rPr>
        <w:t>Čl. IV</w:t>
      </w:r>
    </w:p>
    <w:p>
      <w:pPr>
        <w:pStyle w:val="Normalpodnadpis"/>
        <w:keepNext w:val="true"/>
        <w:numPr>
          <w:ilvl w:val="0"/>
          <w:numId w:val="0"/>
        </w:numPr>
        <w:spacing w:before="0" w:after="120"/>
        <w:jc w:val="center"/>
        <w:outlineLvl w:val="1"/>
        <w:rPr/>
      </w:pPr>
      <w:r>
        <w:rPr>
          <w:b/>
          <w:bCs/>
          <w:sz w:val="22"/>
          <w:szCs w:val="22"/>
        </w:rPr>
        <w:t>Informácie, ktoré dopĺňajú a vysvetľujú údaje vo výkaze ziskov a strát</w:t>
      </w:r>
    </w:p>
    <w:p>
      <w:pPr>
        <w:pStyle w:val="Normalpodnadpis"/>
        <w:numPr>
          <w:ilvl w:val="0"/>
          <w:numId w:val="3"/>
        </w:numPr>
        <w:spacing w:before="0" w:after="120"/>
        <w:ind w:left="0" w:hanging="0"/>
        <w:rPr/>
      </w:pPr>
      <w:r>
        <w:rPr>
          <w:sz w:val="22"/>
          <w:szCs w:val="22"/>
        </w:rPr>
        <w:t>Prehľad tržieb za vlastné výkony a tovar s uvedením ich opisu a vyčíslením hodnoty tržieb podľa jednotlivých hlavných druhov výrobkov,  služieb hlavnej činnosti a podnikateľskej činnosti účtovnej jednotky.</w:t>
      </w:r>
    </w:p>
    <w:p>
      <w:pPr>
        <w:pStyle w:val="Normalpodnadpis"/>
        <w:spacing w:before="0" w:after="120"/>
        <w:rPr/>
      </w:pPr>
      <w:r>
        <w:rPr>
          <w:szCs w:val="20"/>
        </w:rPr>
        <w:t>Tržby za poskytovanie zdravotnej a sociálnej starostlivosti v sume 3247284,92 EUR.</w:t>
      </w:r>
    </w:p>
    <w:p>
      <w:pPr>
        <w:pStyle w:val="Normalpodnadpis"/>
        <w:numPr>
          <w:ilvl w:val="0"/>
          <w:numId w:val="3"/>
        </w:numPr>
        <w:spacing w:before="0" w:after="120"/>
        <w:ind w:left="0" w:hanging="0"/>
        <w:rPr/>
      </w:pPr>
      <w:r>
        <w:rPr>
          <w:sz w:val="22"/>
          <w:szCs w:val="22"/>
        </w:rPr>
        <w:t xml:space="preserve">Opis a vyčíslenie hodnoty významných položiek prijatých darov, osobitných výnosov, zákonných poplatkov a iných ostatných výnosov. </w:t>
      </w:r>
    </w:p>
    <w:tbl>
      <w:tblPr>
        <w:tblW w:w="10080" w:type="dxa"/>
        <w:jc w:val="left"/>
        <w:tblInd w:w="-14" w:type="dxa"/>
        <w:tblCellMar>
          <w:top w:w="0" w:type="dxa"/>
          <w:left w:w="70" w:type="dxa"/>
          <w:bottom w:w="0" w:type="dxa"/>
          <w:right w:w="70" w:type="dxa"/>
        </w:tblCellMar>
        <w:tblLook w:firstRow="0" w:noVBand="0" w:lastRow="0" w:firstColumn="0" w:lastColumn="0" w:noHBand="0" w:val="0000"/>
      </w:tblPr>
      <w:tblGrid>
        <w:gridCol w:w="6250"/>
        <w:gridCol w:w="1985"/>
        <w:gridCol w:w="1845"/>
      </w:tblGrid>
      <w:tr>
        <w:trPr>
          <w:trHeight w:val="300" w:hRule="atLeast"/>
        </w:trPr>
        <w:tc>
          <w:tcPr>
            <w:tcW w:w="625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podnadpis"/>
              <w:spacing w:before="0" w:after="0"/>
              <w:jc w:val="center"/>
              <w:rPr/>
            </w:pPr>
            <w:r>
              <w:rPr>
                <w:rFonts w:cs="Times New Roman" w:ascii="Calibri" w:hAnsi="Calibri"/>
                <w:color w:val="000000"/>
                <w:sz w:val="22"/>
                <w:szCs w:val="22"/>
                <w:lang w:eastAsia="sk-SK"/>
              </w:rPr>
              <w:t>Položky výnosov</w:t>
            </w:r>
          </w:p>
        </w:tc>
        <w:tc>
          <w:tcPr>
            <w:tcW w:w="3830" w:type="dxa"/>
            <w:gridSpan w:val="2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podnadpis"/>
              <w:spacing w:before="0" w:after="0"/>
              <w:jc w:val="center"/>
              <w:rPr/>
            </w:pPr>
            <w:r>
              <w:rPr>
                <w:rFonts w:cs="Times New Roman" w:ascii="Calibri" w:hAnsi="Calibri"/>
                <w:color w:val="000000"/>
                <w:sz w:val="22"/>
                <w:szCs w:val="22"/>
                <w:lang w:eastAsia="sk-SK"/>
              </w:rPr>
              <w:t>Suma</w:t>
            </w:r>
          </w:p>
        </w:tc>
      </w:tr>
      <w:tr>
        <w:trPr>
          <w:trHeight w:val="300" w:hRule="atLeast"/>
        </w:trPr>
        <w:tc>
          <w:tcPr>
            <w:tcW w:w="6250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podnadpis"/>
              <w:spacing w:before="0" w:after="0"/>
              <w:jc w:val="left"/>
              <w:rPr>
                <w:rFonts w:ascii="Calibri" w:hAnsi="Calibri" w:cs="Times New Roman"/>
                <w:color w:val="000000"/>
                <w:sz w:val="22"/>
                <w:szCs w:val="22"/>
                <w:lang w:eastAsia="sk-SK"/>
              </w:rPr>
            </w:pPr>
            <w:r>
              <w:rPr>
                <w:rFonts w:cs="Times New Roman" w:ascii="Calibri" w:hAnsi="Calibri"/>
                <w:color w:val="000000"/>
                <w:sz w:val="22"/>
                <w:szCs w:val="22"/>
                <w:lang w:eastAsia="sk-SK"/>
              </w:rPr>
            </w:r>
          </w:p>
        </w:tc>
        <w:tc>
          <w:tcPr>
            <w:tcW w:w="1985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podnadpis"/>
              <w:spacing w:before="0" w:after="0"/>
              <w:jc w:val="left"/>
              <w:rPr/>
            </w:pPr>
            <w:r>
              <w:rPr>
                <w:rFonts w:cs="Times New Roman" w:ascii="Calibri" w:hAnsi="Calibri"/>
                <w:color w:val="000000"/>
                <w:sz w:val="22"/>
                <w:szCs w:val="22"/>
                <w:lang w:eastAsia="sk-SK"/>
              </w:rPr>
              <w:t>BO</w:t>
            </w:r>
          </w:p>
        </w:tc>
        <w:tc>
          <w:tcPr>
            <w:tcW w:w="1845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podnadpis"/>
              <w:spacing w:before="0" w:after="0"/>
              <w:jc w:val="left"/>
              <w:rPr/>
            </w:pPr>
            <w:r>
              <w:rPr>
                <w:rFonts w:cs="Times New Roman" w:ascii="Calibri" w:hAnsi="Calibri"/>
                <w:color w:val="000000"/>
                <w:sz w:val="22"/>
                <w:szCs w:val="22"/>
                <w:lang w:eastAsia="sk-SK"/>
              </w:rPr>
              <w:t>PO</w:t>
            </w:r>
          </w:p>
        </w:tc>
      </w:tr>
      <w:tr>
        <w:trPr>
          <w:trHeight w:val="300" w:hRule="atLeast"/>
        </w:trPr>
        <w:tc>
          <w:tcPr>
            <w:tcW w:w="625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podnadpis"/>
              <w:spacing w:before="0" w:after="0"/>
              <w:jc w:val="left"/>
              <w:rPr>
                <w:rFonts w:ascii="Calibri" w:hAnsi="Calibri" w:cs="Times New Roman"/>
                <w:color w:val="000000"/>
                <w:sz w:val="22"/>
                <w:szCs w:val="22"/>
                <w:lang w:eastAsia="sk-SK"/>
              </w:rPr>
            </w:pPr>
            <w:r>
              <w:rPr>
                <w:rFonts w:cs="Times New Roman" w:ascii="Calibri" w:hAnsi="Calibri"/>
                <w:color w:val="000000"/>
                <w:sz w:val="22"/>
                <w:szCs w:val="22"/>
                <w:lang w:eastAsia="sk-SK"/>
              </w:rPr>
            </w:r>
          </w:p>
        </w:tc>
        <w:tc>
          <w:tcPr>
            <w:tcW w:w="1985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podnadpis"/>
              <w:spacing w:before="0" w:after="0"/>
              <w:jc w:val="right"/>
              <w:rPr>
                <w:rFonts w:ascii="Calibri" w:hAnsi="Calibri" w:cs="Times New Roman"/>
                <w:color w:val="000000"/>
                <w:sz w:val="22"/>
                <w:szCs w:val="22"/>
                <w:lang w:eastAsia="sk-SK"/>
              </w:rPr>
            </w:pPr>
            <w:r>
              <w:rPr>
                <w:rFonts w:cs="Times New Roman" w:ascii="Calibri" w:hAnsi="Calibri"/>
                <w:color w:val="000000"/>
                <w:sz w:val="22"/>
                <w:szCs w:val="22"/>
                <w:lang w:eastAsia="sk-SK"/>
              </w:rPr>
            </w:r>
          </w:p>
        </w:tc>
        <w:tc>
          <w:tcPr>
            <w:tcW w:w="1845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podnadpis"/>
              <w:spacing w:before="0" w:after="0"/>
              <w:jc w:val="right"/>
              <w:rPr>
                <w:rFonts w:ascii="Calibri" w:hAnsi="Calibri" w:cs="Times New Roman"/>
                <w:color w:val="000000"/>
                <w:sz w:val="22"/>
                <w:szCs w:val="22"/>
                <w:lang w:eastAsia="sk-SK"/>
              </w:rPr>
            </w:pPr>
            <w:r>
              <w:rPr>
                <w:rFonts w:cs="Times New Roman" w:ascii="Calibri" w:hAnsi="Calibri"/>
                <w:color w:val="000000"/>
                <w:sz w:val="22"/>
                <w:szCs w:val="22"/>
                <w:lang w:eastAsia="sk-SK"/>
              </w:rPr>
            </w:r>
          </w:p>
        </w:tc>
      </w:tr>
      <w:tr>
        <w:trPr>
          <w:trHeight w:val="300" w:hRule="atLeast"/>
        </w:trPr>
        <w:tc>
          <w:tcPr>
            <w:tcW w:w="625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podnadpis"/>
              <w:spacing w:before="0" w:after="0"/>
              <w:jc w:val="left"/>
              <w:rPr/>
            </w:pPr>
            <w:r>
              <w:rPr>
                <w:rFonts w:cs="Times New Roman" w:ascii="Calibri" w:hAnsi="Calibri"/>
                <w:color w:val="000000"/>
                <w:sz w:val="22"/>
                <w:szCs w:val="22"/>
                <w:lang w:eastAsia="sk-SK"/>
              </w:rPr>
              <w:t>Prijaté dotácie</w:t>
            </w:r>
          </w:p>
        </w:tc>
        <w:tc>
          <w:tcPr>
            <w:tcW w:w="1985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right"/>
              <w:rPr/>
            </w:pPr>
            <w:r>
              <w:rPr>
                <w:rFonts w:cs="Times New Roman" w:ascii="Calibri" w:hAnsi="Calibri"/>
                <w:color w:val="000000"/>
                <w:sz w:val="22"/>
                <w:szCs w:val="22"/>
                <w:lang w:eastAsia="sk-SK"/>
              </w:rPr>
              <w:t>651422,74</w:t>
            </w:r>
          </w:p>
        </w:tc>
        <w:tc>
          <w:tcPr>
            <w:tcW w:w="1845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right"/>
              <w:rPr/>
            </w:pPr>
            <w:r>
              <w:rPr>
                <w:rFonts w:cs="Times New Roman" w:ascii="Calibri" w:hAnsi="Calibri"/>
                <w:color w:val="000000"/>
                <w:sz w:val="22"/>
                <w:szCs w:val="22"/>
                <w:lang w:eastAsia="sk-SK"/>
              </w:rPr>
              <w:t>713368</w:t>
            </w:r>
          </w:p>
        </w:tc>
      </w:tr>
      <w:tr>
        <w:trPr>
          <w:trHeight w:val="300" w:hRule="atLeast"/>
        </w:trPr>
        <w:tc>
          <w:tcPr>
            <w:tcW w:w="625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podnadpis"/>
              <w:spacing w:before="0" w:after="0"/>
              <w:jc w:val="left"/>
              <w:rPr/>
            </w:pPr>
            <w:r>
              <w:rPr>
                <w:rFonts w:cs="Times New Roman" w:ascii="Calibri" w:hAnsi="Calibri"/>
                <w:color w:val="000000"/>
                <w:sz w:val="22"/>
                <w:szCs w:val="22"/>
                <w:lang w:eastAsia="sk-SK"/>
              </w:rPr>
              <w:t>refakturácia</w:t>
            </w:r>
          </w:p>
        </w:tc>
        <w:tc>
          <w:tcPr>
            <w:tcW w:w="1985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right"/>
              <w:rPr/>
            </w:pPr>
            <w:r>
              <w:rPr>
                <w:rFonts w:cs="Times New Roman" w:ascii="Calibri" w:hAnsi="Calibri"/>
                <w:color w:val="000000"/>
                <w:sz w:val="22"/>
                <w:szCs w:val="22"/>
                <w:lang w:eastAsia="sk-SK"/>
              </w:rPr>
              <w:t>200</w:t>
            </w:r>
          </w:p>
        </w:tc>
        <w:tc>
          <w:tcPr>
            <w:tcW w:w="1845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right"/>
              <w:rPr/>
            </w:pPr>
            <w:r>
              <w:rPr>
                <w:rFonts w:cs="Times New Roman" w:ascii="Calibri" w:hAnsi="Calibri"/>
                <w:color w:val="000000"/>
                <w:sz w:val="22"/>
                <w:szCs w:val="22"/>
                <w:lang w:eastAsia="sk-SK"/>
              </w:rPr>
              <w:t>84285</w:t>
            </w:r>
          </w:p>
        </w:tc>
      </w:tr>
      <w:tr>
        <w:trPr>
          <w:trHeight w:val="300" w:hRule="atLeast"/>
        </w:trPr>
        <w:tc>
          <w:tcPr>
            <w:tcW w:w="625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podnadpis"/>
              <w:spacing w:before="0" w:after="0"/>
              <w:jc w:val="left"/>
              <w:rPr/>
            </w:pPr>
            <w:r>
              <w:rPr>
                <w:rFonts w:cs="Times New Roman" w:ascii="Calibri" w:hAnsi="Calibri"/>
                <w:color w:val="000000"/>
                <w:sz w:val="22"/>
                <w:szCs w:val="22"/>
                <w:lang w:eastAsia="sk-SK"/>
              </w:rPr>
              <w:t>Aktivácia vnútroorganizačných služieb</w:t>
            </w:r>
          </w:p>
        </w:tc>
        <w:tc>
          <w:tcPr>
            <w:tcW w:w="1985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right"/>
              <w:rPr/>
            </w:pPr>
            <w:r>
              <w:rPr>
                <w:rFonts w:cs="Times New Roman" w:ascii="Calibri" w:hAnsi="Calibri"/>
                <w:color w:val="000000"/>
                <w:sz w:val="22"/>
                <w:szCs w:val="22"/>
                <w:lang w:eastAsia="sk-SK"/>
              </w:rPr>
              <w:t>18926,40</w:t>
            </w:r>
          </w:p>
        </w:tc>
        <w:tc>
          <w:tcPr>
            <w:tcW w:w="1845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Calibri" w:hAnsi="Calibri" w:cs="Times New Roman"/>
                <w:color w:val="000000"/>
                <w:sz w:val="22"/>
                <w:szCs w:val="22"/>
                <w:lang w:eastAsia="sk-SK"/>
              </w:rPr>
            </w:pPr>
            <w:r>
              <w:rPr>
                <w:rFonts w:cs="Times New Roman" w:ascii="Calibri" w:hAnsi="Calibri"/>
                <w:color w:val="000000"/>
                <w:sz w:val="22"/>
                <w:szCs w:val="22"/>
                <w:lang w:eastAsia="sk-SK"/>
              </w:rPr>
              <w:t>23210</w:t>
            </w:r>
          </w:p>
        </w:tc>
      </w:tr>
    </w:tbl>
    <w:p>
      <w:pPr>
        <w:pStyle w:val="Normalpodnadpis"/>
        <w:spacing w:before="0" w:after="120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Normalpodnadpis"/>
        <w:numPr>
          <w:ilvl w:val="0"/>
          <w:numId w:val="3"/>
        </w:numPr>
        <w:spacing w:before="0" w:after="120"/>
        <w:rPr/>
      </w:pPr>
      <w:r>
        <w:rPr>
          <w:sz w:val="22"/>
          <w:szCs w:val="22"/>
        </w:rPr>
        <w:t xml:space="preserve">Prehľad  dotácií a grantov, ktoré účtovná jednotka prijala v priebehu bežného účtovného obdobia. </w:t>
      </w:r>
    </w:p>
    <w:p>
      <w:pPr>
        <w:pStyle w:val="Normalpodnadpis"/>
        <w:spacing w:before="0" w:after="120"/>
        <w:ind w:left="786" w:hanging="0"/>
        <w:rPr/>
      </w:pPr>
      <w:r>
        <w:rPr>
          <w:sz w:val="22"/>
          <w:szCs w:val="22"/>
        </w:rPr>
        <w:t>Dotácie na hlavnú činnosť 651422,74 EUR</w:t>
      </w:r>
    </w:p>
    <w:p>
      <w:pPr>
        <w:pStyle w:val="Normalpodnadpis"/>
        <w:spacing w:before="0" w:after="120"/>
        <w:rPr/>
      </w:pPr>
      <w:r>
        <w:rPr>
          <w:sz w:val="22"/>
          <w:szCs w:val="22"/>
        </w:rPr>
        <w:t>(4)Opis a suma významných položiek finančných výnosov; uvádza sa aj celková suma kurzových ziskov, pričom  osobitne sa uvádza hodnota kurzových ziskov účtovaná ku dňu, ku ktorému sa zostavuje účtovná závierka.</w:t>
      </w:r>
    </w:p>
    <w:p>
      <w:pPr>
        <w:pStyle w:val="Normalpodnadpis"/>
        <w:spacing w:before="0" w:after="120"/>
        <w:rPr/>
      </w:pPr>
      <w:r>
        <w:rPr>
          <w:szCs w:val="20"/>
        </w:rPr>
        <w:t>Účtovná jednotka nemá náplň pre túto položku</w:t>
      </w:r>
    </w:p>
    <w:p>
      <w:pPr>
        <w:pStyle w:val="Normalpodnadpis"/>
        <w:spacing w:before="0" w:after="120"/>
        <w:rPr>
          <w:szCs w:val="20"/>
        </w:rPr>
      </w:pPr>
      <w:r>
        <w:rPr>
          <w:szCs w:val="20"/>
        </w:rPr>
      </w:r>
    </w:p>
    <w:p>
      <w:pPr>
        <w:pStyle w:val="Normalpodnadpis"/>
        <w:spacing w:before="0" w:after="120"/>
        <w:rPr>
          <w:szCs w:val="20"/>
        </w:rPr>
      </w:pPr>
      <w:r>
        <w:rPr>
          <w:szCs w:val="20"/>
        </w:rPr>
      </w:r>
    </w:p>
    <w:p>
      <w:pPr>
        <w:pStyle w:val="Normalpodnadpis"/>
        <w:spacing w:before="0" w:after="120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Normalpodnadpis"/>
        <w:numPr>
          <w:ilvl w:val="0"/>
          <w:numId w:val="3"/>
        </w:numPr>
        <w:spacing w:before="0" w:after="120"/>
        <w:rPr/>
      </w:pPr>
      <w:r>
        <w:rPr>
          <w:sz w:val="22"/>
          <w:szCs w:val="22"/>
        </w:rPr>
        <w:t xml:space="preserve">Opis a vyčíslenie hodnoty významných položiek nákladov, nákladov na ostatné služby, osobitných nákladov a iných ostatných nákladov. </w:t>
      </w:r>
    </w:p>
    <w:tbl>
      <w:tblPr>
        <w:tblW w:w="9920" w:type="dxa"/>
        <w:jc w:val="left"/>
        <w:tblInd w:w="-14" w:type="dxa"/>
        <w:tblCellMar>
          <w:top w:w="0" w:type="dxa"/>
          <w:left w:w="70" w:type="dxa"/>
          <w:bottom w:w="0" w:type="dxa"/>
          <w:right w:w="70" w:type="dxa"/>
        </w:tblCellMar>
        <w:tblLook w:firstRow="0" w:noVBand="0" w:lastRow="0" w:firstColumn="0" w:lastColumn="0" w:noHBand="0" w:val="0000"/>
      </w:tblPr>
      <w:tblGrid>
        <w:gridCol w:w="6577"/>
        <w:gridCol w:w="1671"/>
        <w:gridCol w:w="1672"/>
      </w:tblGrid>
      <w:tr>
        <w:trPr>
          <w:trHeight w:val="330" w:hRule="atLeast"/>
        </w:trPr>
        <w:tc>
          <w:tcPr>
            <w:tcW w:w="657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podnadpis"/>
              <w:spacing w:before="0" w:after="0"/>
              <w:jc w:val="center"/>
              <w:rPr/>
            </w:pPr>
            <w:r>
              <w:rPr>
                <w:rFonts w:cs="Times New Roman"/>
                <w:color w:val="000000"/>
                <w:sz w:val="22"/>
                <w:szCs w:val="22"/>
                <w:lang w:eastAsia="sk-SK"/>
              </w:rPr>
              <w:t>Položky nákladov</w:t>
            </w:r>
          </w:p>
        </w:tc>
        <w:tc>
          <w:tcPr>
            <w:tcW w:w="3343" w:type="dxa"/>
            <w:gridSpan w:val="2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podnadpis"/>
              <w:spacing w:before="0" w:after="0"/>
              <w:jc w:val="center"/>
              <w:rPr/>
            </w:pPr>
            <w:r>
              <w:rPr>
                <w:rFonts w:cs="Times New Roman" w:ascii="Calibri" w:hAnsi="Calibri"/>
                <w:color w:val="000000"/>
                <w:sz w:val="22"/>
                <w:szCs w:val="22"/>
                <w:lang w:eastAsia="sk-SK"/>
              </w:rPr>
              <w:t>Suma</w:t>
            </w:r>
          </w:p>
        </w:tc>
      </w:tr>
      <w:tr>
        <w:trPr>
          <w:trHeight w:val="1028" w:hRule="atLeast"/>
        </w:trPr>
        <w:tc>
          <w:tcPr>
            <w:tcW w:w="6577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podnadpis"/>
              <w:spacing w:before="0" w:after="0"/>
              <w:jc w:val="left"/>
              <w:rPr>
                <w:rFonts w:cs="Times New Roman"/>
                <w:color w:val="000000"/>
                <w:sz w:val="22"/>
                <w:szCs w:val="22"/>
                <w:lang w:eastAsia="sk-SK"/>
              </w:rPr>
            </w:pPr>
            <w:r>
              <w:rPr>
                <w:rFonts w:cs="Times New Roman"/>
                <w:color w:val="000000"/>
                <w:sz w:val="22"/>
                <w:szCs w:val="22"/>
                <w:lang w:eastAsia="sk-SK"/>
              </w:rPr>
            </w:r>
          </w:p>
        </w:tc>
        <w:tc>
          <w:tcPr>
            <w:tcW w:w="1671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podnadpis"/>
              <w:spacing w:before="0" w:after="0"/>
              <w:jc w:val="left"/>
              <w:rPr/>
            </w:pPr>
            <w:r>
              <w:rPr>
                <w:rFonts w:cs="Times New Roman" w:ascii="Calibri" w:hAnsi="Calibri"/>
                <w:color w:val="000000"/>
                <w:sz w:val="22"/>
                <w:szCs w:val="22"/>
                <w:lang w:eastAsia="sk-SK"/>
              </w:rPr>
              <w:t>BO</w:t>
            </w:r>
          </w:p>
        </w:tc>
        <w:tc>
          <w:tcPr>
            <w:tcW w:w="1672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podnadpis"/>
              <w:spacing w:before="0" w:after="0"/>
              <w:jc w:val="left"/>
              <w:rPr/>
            </w:pPr>
            <w:r>
              <w:rPr>
                <w:rFonts w:cs="Times New Roman" w:ascii="Calibri" w:hAnsi="Calibri"/>
                <w:color w:val="000000"/>
                <w:sz w:val="22"/>
                <w:szCs w:val="22"/>
                <w:lang w:eastAsia="sk-SK"/>
              </w:rPr>
              <w:t>PO</w:t>
            </w:r>
          </w:p>
        </w:tc>
      </w:tr>
      <w:tr>
        <w:trPr>
          <w:trHeight w:val="330" w:hRule="atLeast"/>
        </w:trPr>
        <w:tc>
          <w:tcPr>
            <w:tcW w:w="657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podnadpis"/>
              <w:spacing w:before="0" w:after="0"/>
              <w:rPr/>
            </w:pPr>
            <w:r>
              <w:rPr>
                <w:rFonts w:cs="Times New Roman"/>
                <w:color w:val="000000"/>
                <w:sz w:val="22"/>
                <w:szCs w:val="22"/>
                <w:lang w:eastAsia="sk-SK"/>
              </w:rPr>
              <w:t xml:space="preserve">Spotreba materiálu </w:t>
            </w:r>
          </w:p>
        </w:tc>
        <w:tc>
          <w:tcPr>
            <w:tcW w:w="1671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podnadpis"/>
              <w:spacing w:before="0" w:after="0"/>
              <w:jc w:val="right"/>
              <w:rPr/>
            </w:pPr>
            <w:r>
              <w:rPr>
                <w:rFonts w:cs="Times New Roman" w:ascii="Calibri" w:hAnsi="Calibri"/>
                <w:sz w:val="22"/>
                <w:szCs w:val="22"/>
                <w:lang w:eastAsia="sk-SK"/>
              </w:rPr>
              <w:t>304411,18</w:t>
            </w:r>
          </w:p>
        </w:tc>
        <w:tc>
          <w:tcPr>
            <w:tcW w:w="1672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podnadpis"/>
              <w:spacing w:before="0" w:after="0"/>
              <w:jc w:val="right"/>
              <w:rPr/>
            </w:pPr>
            <w:r>
              <w:rPr>
                <w:rFonts w:cs="Times New Roman" w:ascii="Calibri" w:hAnsi="Calibri"/>
                <w:color w:val="000000"/>
                <w:sz w:val="22"/>
                <w:szCs w:val="22"/>
                <w:lang w:eastAsia="sk-SK"/>
              </w:rPr>
              <w:t>303216</w:t>
            </w:r>
          </w:p>
        </w:tc>
      </w:tr>
      <w:tr>
        <w:trPr>
          <w:trHeight w:val="300" w:hRule="atLeast"/>
        </w:trPr>
        <w:tc>
          <w:tcPr>
            <w:tcW w:w="657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podnadpis"/>
              <w:spacing w:before="0" w:after="0"/>
              <w:jc w:val="left"/>
              <w:rPr/>
            </w:pPr>
            <w:r>
              <w:rPr>
                <w:rFonts w:cs="Times New Roman" w:ascii="Calibri" w:hAnsi="Calibri"/>
                <w:color w:val="000000"/>
                <w:sz w:val="22"/>
                <w:szCs w:val="22"/>
                <w:lang w:eastAsia="sk-SK"/>
              </w:rPr>
              <w:t>Spotreba energií</w:t>
            </w:r>
          </w:p>
        </w:tc>
        <w:tc>
          <w:tcPr>
            <w:tcW w:w="1671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podnadpis"/>
              <w:spacing w:before="0" w:after="0"/>
              <w:jc w:val="right"/>
              <w:rPr/>
            </w:pPr>
            <w:r>
              <w:rPr>
                <w:rFonts w:cs="Times New Roman" w:ascii="Calibri" w:hAnsi="Calibri"/>
                <w:color w:val="000000"/>
                <w:sz w:val="22"/>
                <w:szCs w:val="22"/>
                <w:lang w:eastAsia="sk-SK"/>
              </w:rPr>
              <w:t>166777,78</w:t>
            </w:r>
          </w:p>
        </w:tc>
        <w:tc>
          <w:tcPr>
            <w:tcW w:w="1672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podnadpis"/>
              <w:spacing w:before="0" w:after="0"/>
              <w:jc w:val="right"/>
              <w:rPr/>
            </w:pPr>
            <w:r>
              <w:rPr>
                <w:rFonts w:cs="Times New Roman" w:ascii="Calibri" w:hAnsi="Calibri"/>
                <w:color w:val="000000"/>
                <w:sz w:val="22"/>
                <w:szCs w:val="22"/>
                <w:lang w:eastAsia="sk-SK"/>
              </w:rPr>
              <w:t>182466</w:t>
            </w:r>
          </w:p>
        </w:tc>
      </w:tr>
      <w:tr>
        <w:trPr>
          <w:trHeight w:val="300" w:hRule="atLeast"/>
        </w:trPr>
        <w:tc>
          <w:tcPr>
            <w:tcW w:w="657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podnadpis"/>
              <w:spacing w:before="0" w:after="0"/>
              <w:jc w:val="left"/>
              <w:rPr/>
            </w:pPr>
            <w:r>
              <w:rPr>
                <w:rFonts w:cs="Times New Roman" w:ascii="Calibri" w:hAnsi="Calibri"/>
                <w:color w:val="000000"/>
                <w:sz w:val="22"/>
                <w:szCs w:val="22"/>
                <w:lang w:eastAsia="sk-SK"/>
              </w:rPr>
              <w:t>Opravy a ostatné služby</w:t>
            </w:r>
          </w:p>
        </w:tc>
        <w:tc>
          <w:tcPr>
            <w:tcW w:w="1671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right"/>
              <w:rPr/>
            </w:pPr>
            <w:r>
              <w:rPr>
                <w:rFonts w:cs="Times New Roman" w:ascii="Calibri" w:hAnsi="Calibri"/>
                <w:color w:val="000000"/>
                <w:sz w:val="22"/>
                <w:szCs w:val="22"/>
                <w:lang w:eastAsia="sk-SK"/>
              </w:rPr>
              <w:t>249767,64</w:t>
            </w:r>
          </w:p>
        </w:tc>
        <w:tc>
          <w:tcPr>
            <w:tcW w:w="1672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right"/>
              <w:rPr/>
            </w:pPr>
            <w:r>
              <w:rPr>
                <w:rFonts w:cs="Times New Roman" w:ascii="Calibri" w:hAnsi="Calibri"/>
                <w:color w:val="000000"/>
                <w:sz w:val="22"/>
                <w:szCs w:val="22"/>
                <w:lang w:eastAsia="sk-SK"/>
              </w:rPr>
              <w:t>342260</w:t>
            </w:r>
          </w:p>
        </w:tc>
      </w:tr>
      <w:tr>
        <w:trPr>
          <w:trHeight w:val="300" w:hRule="atLeast"/>
        </w:trPr>
        <w:tc>
          <w:tcPr>
            <w:tcW w:w="657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podnadpis"/>
              <w:spacing w:before="0" w:after="0"/>
              <w:jc w:val="left"/>
              <w:rPr/>
            </w:pPr>
            <w:r>
              <w:rPr>
                <w:rFonts w:cs="Times New Roman" w:ascii="Calibri" w:hAnsi="Calibri"/>
                <w:color w:val="000000"/>
                <w:sz w:val="22"/>
                <w:szCs w:val="22"/>
                <w:lang w:eastAsia="sk-SK"/>
              </w:rPr>
              <w:t>Osobné náklady</w:t>
            </w:r>
          </w:p>
        </w:tc>
        <w:tc>
          <w:tcPr>
            <w:tcW w:w="1671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podnadpis"/>
              <w:spacing w:before="0" w:after="0"/>
              <w:jc w:val="right"/>
              <w:rPr/>
            </w:pPr>
            <w:r>
              <w:rPr>
                <w:rFonts w:cs="Times New Roman" w:ascii="Calibri" w:hAnsi="Calibri"/>
                <w:color w:val="000000"/>
                <w:sz w:val="22"/>
                <w:szCs w:val="22"/>
                <w:lang w:eastAsia="sk-SK"/>
              </w:rPr>
              <w:t>3113352,25</w:t>
            </w:r>
          </w:p>
        </w:tc>
        <w:tc>
          <w:tcPr>
            <w:tcW w:w="1672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podnadpis"/>
              <w:spacing w:before="0" w:after="0"/>
              <w:jc w:val="right"/>
              <w:rPr/>
            </w:pPr>
            <w:r>
              <w:rPr>
                <w:rFonts w:cs="Times New Roman" w:ascii="Calibri" w:hAnsi="Calibri"/>
                <w:color w:val="000000"/>
                <w:sz w:val="22"/>
                <w:szCs w:val="22"/>
                <w:lang w:eastAsia="sk-SK"/>
              </w:rPr>
              <w:t>2718867</w:t>
            </w:r>
          </w:p>
        </w:tc>
      </w:tr>
    </w:tbl>
    <w:p>
      <w:pPr>
        <w:pStyle w:val="Normalpodnadpis"/>
        <w:spacing w:before="0" w:after="120"/>
        <w:rPr/>
      </w:pPr>
      <w:r>
        <w:rPr>
          <w:sz w:val="22"/>
          <w:szCs w:val="22"/>
        </w:rPr>
        <w:t xml:space="preserve"> </w:t>
      </w:r>
    </w:p>
    <w:p>
      <w:pPr>
        <w:pStyle w:val="Normalpodnadpis"/>
        <w:spacing w:before="0" w:after="120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Normalpodnadpis"/>
        <w:spacing w:before="0" w:after="120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Normalpodnadpis"/>
        <w:spacing w:before="0" w:after="120"/>
        <w:rPr/>
      </w:pPr>
      <w:r>
        <w:rPr>
          <w:sz w:val="22"/>
          <w:szCs w:val="22"/>
        </w:rPr>
        <w:t>(6) Prehľad o účele a výške použitia podielu zaplatenej dane za bežné účtovné obdobie.</w:t>
      </w:r>
    </w:p>
    <w:tbl>
      <w:tblPr>
        <w:tblW w:w="10107" w:type="dxa"/>
        <w:jc w:val="left"/>
        <w:tblInd w:w="-69" w:type="dxa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603"/>
        <w:gridCol w:w="1837"/>
        <w:gridCol w:w="1"/>
        <w:gridCol w:w="3666"/>
      </w:tblGrid>
      <w:tr>
        <w:trPr>
          <w:trHeight w:val="428" w:hRule="atLeast"/>
        </w:trPr>
        <w:tc>
          <w:tcPr>
            <w:tcW w:w="4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podnadpis"/>
              <w:spacing w:before="0" w:after="0"/>
              <w:jc w:val="center"/>
              <w:rPr/>
            </w:pPr>
            <w:r>
              <w:rPr>
                <w:b/>
                <w:sz w:val="22"/>
                <w:szCs w:val="22"/>
              </w:rPr>
              <w:t>Účel použitia podielu zaplatenej dane</w:t>
            </w:r>
          </w:p>
        </w:tc>
        <w:tc>
          <w:tcPr>
            <w:tcW w:w="18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podnadpis"/>
              <w:spacing w:before="0" w:after="0"/>
              <w:jc w:val="center"/>
              <w:rPr/>
            </w:pPr>
            <w:r>
              <w:rPr>
                <w:b/>
                <w:sz w:val="22"/>
                <w:szCs w:val="22"/>
              </w:rPr>
              <w:t>Použitá suma z bezprostredne predchádzajúceho účtovného obdobia</w:t>
            </w:r>
          </w:p>
        </w:tc>
        <w:tc>
          <w:tcPr>
            <w:tcW w:w="366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podnadpis"/>
              <w:spacing w:before="0" w:after="0"/>
              <w:jc w:val="center"/>
              <w:rPr/>
            </w:pPr>
            <w:r>
              <w:rPr>
                <w:b/>
                <w:sz w:val="22"/>
                <w:szCs w:val="22"/>
              </w:rPr>
              <w:t>Použitá suma bežného účtovného obdobia</w:t>
            </w:r>
          </w:p>
        </w:tc>
      </w:tr>
      <w:tr>
        <w:trPr>
          <w:trHeight w:val="335" w:hRule="atLeast"/>
        </w:trPr>
        <w:tc>
          <w:tcPr>
            <w:tcW w:w="4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podnadpis"/>
              <w:spacing w:before="0" w:after="0"/>
              <w:jc w:val="left"/>
              <w:rPr/>
            </w:pPr>
            <w:r>
              <w:rPr>
                <w:sz w:val="22"/>
                <w:szCs w:val="22"/>
              </w:rPr>
              <w:t>Prispevky z podielu zaplatenej dane- na hlavnú činnosť</w:t>
            </w:r>
          </w:p>
        </w:tc>
        <w:tc>
          <w:tcPr>
            <w:tcW w:w="18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366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podnadpis"/>
              <w:spacing w:before="0" w:after="0"/>
              <w:jc w:val="left"/>
              <w:rPr/>
            </w:pPr>
            <w:r>
              <w:rPr>
                <w:sz w:val="22"/>
                <w:szCs w:val="22"/>
              </w:rPr>
              <w:t>1849,15</w:t>
            </w:r>
          </w:p>
        </w:tc>
      </w:tr>
      <w:tr>
        <w:trPr>
          <w:trHeight w:val="335" w:hRule="atLeast"/>
        </w:trPr>
        <w:tc>
          <w:tcPr>
            <w:tcW w:w="4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8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366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>
          <w:trHeight w:val="335" w:hRule="atLeast"/>
        </w:trPr>
        <w:tc>
          <w:tcPr>
            <w:tcW w:w="644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podnadpis"/>
              <w:spacing w:before="0" w:after="0"/>
              <w:jc w:val="left"/>
              <w:rPr/>
            </w:pPr>
            <w:r>
              <w:rPr>
                <w:b/>
                <w:sz w:val="22"/>
                <w:szCs w:val="22"/>
              </w:rPr>
              <w:t>Zostatok podielu zaplatenej dane bežného účtovného obdobia</w:t>
            </w:r>
          </w:p>
        </w:tc>
        <w:tc>
          <w:tcPr>
            <w:tcW w:w="36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podnadpis"/>
              <w:spacing w:before="0" w:after="0"/>
              <w:jc w:val="left"/>
              <w:rPr/>
            </w:pPr>
            <w:r>
              <w:rPr>
                <w:b/>
                <w:sz w:val="22"/>
                <w:szCs w:val="22"/>
              </w:rPr>
              <w:t>0</w:t>
            </w:r>
          </w:p>
        </w:tc>
      </w:tr>
    </w:tbl>
    <w:p>
      <w:pPr>
        <w:pStyle w:val="Normalpodnadpis"/>
        <w:spacing w:before="0" w:after="120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Normalpodnadpis"/>
        <w:spacing w:before="0" w:after="120"/>
        <w:rPr/>
      </w:pPr>
      <w:r>
        <w:rPr>
          <w:sz w:val="22"/>
          <w:szCs w:val="22"/>
        </w:rPr>
        <w:t>(7) Opis a suma významných položiek finančných nákladov; uvádza sa aj celková suma kurzových strát, pričom osobitne sa uvádza hodnota kurzových strát účtovaná ku dňu, ku ktorému sa zostavuje účtovná závierka.</w:t>
      </w:r>
    </w:p>
    <w:p>
      <w:pPr>
        <w:pStyle w:val="Normalpodnadpis"/>
        <w:spacing w:before="0" w:after="120"/>
        <w:rPr/>
      </w:pPr>
      <w:r>
        <w:rPr>
          <w:sz w:val="22"/>
          <w:szCs w:val="22"/>
        </w:rPr>
        <w:t>Účtovná jednotka nemá náplň pre túto položku.</w:t>
      </w:r>
    </w:p>
    <w:p>
      <w:pPr>
        <w:pStyle w:val="Normalpodnadpis"/>
        <w:rPr/>
      </w:pPr>
      <w:r>
        <w:rPr>
          <w:sz w:val="22"/>
          <w:szCs w:val="22"/>
        </w:rPr>
        <w:t>(8) V účtovnej jednotke, ktorá má povinnosť overenia účtovnej závierky audítorom, sa uvedie vymedzenie a suma nákladov za účtovné obdobie v členení na náklady za</w:t>
      </w:r>
    </w:p>
    <w:p>
      <w:pPr>
        <w:pStyle w:val="Normalpodnadpis"/>
        <w:spacing w:before="0" w:after="120"/>
        <w:rPr/>
      </w:pPr>
      <w:r>
        <w:rPr>
          <w:sz w:val="22"/>
          <w:szCs w:val="22"/>
        </w:rPr>
        <w:t>a) overenie účtovnej závierky,</w:t>
      </w:r>
    </w:p>
    <w:p>
      <w:pPr>
        <w:pStyle w:val="Normalpodnadpis"/>
        <w:rPr/>
      </w:pPr>
      <w:r>
        <w:rPr>
          <w:sz w:val="22"/>
          <w:szCs w:val="22"/>
        </w:rPr>
        <w:t>b) uisťovacie audítorské služby okrem  overenia účtovnej závierky,</w:t>
      </w:r>
    </w:p>
    <w:p>
      <w:pPr>
        <w:pStyle w:val="Normalpodnadpis"/>
        <w:spacing w:before="120" w:after="0"/>
        <w:rPr/>
      </w:pPr>
      <w:r>
        <w:rPr>
          <w:sz w:val="22"/>
          <w:szCs w:val="22"/>
        </w:rPr>
        <w:t>c) súvisiace audítorské služby,</w:t>
      </w:r>
    </w:p>
    <w:p>
      <w:pPr>
        <w:pStyle w:val="Normalpodnadpis"/>
        <w:spacing w:before="120" w:after="0"/>
        <w:rPr/>
      </w:pPr>
      <w:r>
        <w:rPr>
          <w:sz w:val="22"/>
          <w:szCs w:val="22"/>
        </w:rPr>
        <w:t>d) daňové poradenstvo,</w:t>
      </w:r>
    </w:p>
    <w:p>
      <w:pPr>
        <w:pStyle w:val="Normalpodnadpis"/>
        <w:spacing w:before="0" w:after="0"/>
        <w:rPr/>
      </w:pPr>
      <w:r>
        <w:rPr>
          <w:sz w:val="22"/>
          <w:szCs w:val="22"/>
        </w:rPr>
        <w:t>e) ostatné neaudítorské služby</w:t>
      </w:r>
    </w:p>
    <w:tbl>
      <w:tblPr>
        <w:tblW w:w="9261" w:type="dxa"/>
        <w:jc w:val="left"/>
        <w:tblInd w:w="-69" w:type="dxa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6291"/>
        <w:gridCol w:w="2969"/>
      </w:tblGrid>
      <w:tr>
        <w:trPr>
          <w:trHeight w:val="294" w:hRule="atLeast"/>
        </w:trPr>
        <w:tc>
          <w:tcPr>
            <w:tcW w:w="62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podnadpis"/>
              <w:spacing w:before="0" w:after="120"/>
              <w:jc w:val="left"/>
              <w:rPr/>
            </w:pPr>
            <w:r>
              <w:rPr>
                <w:b/>
                <w:sz w:val="22"/>
                <w:szCs w:val="22"/>
              </w:rPr>
              <w:t>Jednotlivé druhy nákladov za</w:t>
            </w:r>
          </w:p>
        </w:tc>
        <w:tc>
          <w:tcPr>
            <w:tcW w:w="2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podnadpis"/>
              <w:spacing w:before="0" w:after="120"/>
              <w:jc w:val="center"/>
              <w:rPr/>
            </w:pPr>
            <w:r>
              <w:rPr>
                <w:b/>
                <w:sz w:val="22"/>
                <w:szCs w:val="22"/>
                <w:lang w:eastAsia="sk-SK"/>
              </w:rPr>
              <w:t>Suma</w:t>
            </w:r>
          </w:p>
        </w:tc>
      </w:tr>
      <w:tr>
        <w:trPr>
          <w:trHeight w:val="257" w:hRule="atLeast"/>
        </w:trPr>
        <w:tc>
          <w:tcPr>
            <w:tcW w:w="62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podnadpis"/>
              <w:spacing w:before="0" w:after="120"/>
              <w:jc w:val="left"/>
              <w:rPr/>
            </w:pPr>
            <w:r>
              <w:rPr>
                <w:sz w:val="22"/>
                <w:szCs w:val="22"/>
              </w:rPr>
              <w:t>overenie účtovnej závierky</w:t>
            </w:r>
          </w:p>
        </w:tc>
        <w:tc>
          <w:tcPr>
            <w:tcW w:w="2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3690</w:t>
            </w:r>
          </w:p>
        </w:tc>
      </w:tr>
      <w:tr>
        <w:trPr>
          <w:trHeight w:val="294" w:hRule="atLeast"/>
        </w:trPr>
        <w:tc>
          <w:tcPr>
            <w:tcW w:w="62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podnadpis"/>
              <w:spacing w:before="0" w:after="120"/>
              <w:jc w:val="left"/>
              <w:rPr/>
            </w:pPr>
            <w:r>
              <w:rPr>
                <w:sz w:val="22"/>
                <w:szCs w:val="22"/>
              </w:rPr>
              <w:t>uisťovacie audítorské služby okrem overenia účtovnej závierky</w:t>
            </w:r>
          </w:p>
        </w:tc>
        <w:tc>
          <w:tcPr>
            <w:tcW w:w="2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>
          <w:trHeight w:val="294" w:hRule="atLeast"/>
        </w:trPr>
        <w:tc>
          <w:tcPr>
            <w:tcW w:w="62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podnadpis"/>
              <w:spacing w:before="0" w:after="120"/>
              <w:jc w:val="left"/>
              <w:rPr/>
            </w:pPr>
            <w:r>
              <w:rPr>
                <w:sz w:val="22"/>
                <w:szCs w:val="22"/>
              </w:rPr>
              <w:t>súvisiace audítorské služby</w:t>
            </w:r>
          </w:p>
        </w:tc>
        <w:tc>
          <w:tcPr>
            <w:tcW w:w="2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>
          <w:trHeight w:val="294" w:hRule="atLeast"/>
        </w:trPr>
        <w:tc>
          <w:tcPr>
            <w:tcW w:w="62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podnadpis"/>
              <w:spacing w:before="0" w:after="120"/>
              <w:jc w:val="left"/>
              <w:rPr/>
            </w:pPr>
            <w:r>
              <w:rPr>
                <w:sz w:val="22"/>
                <w:szCs w:val="22"/>
              </w:rPr>
              <w:t>daňové poradenstvo</w:t>
            </w:r>
          </w:p>
        </w:tc>
        <w:tc>
          <w:tcPr>
            <w:tcW w:w="2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>
          <w:trHeight w:val="303" w:hRule="atLeast"/>
        </w:trPr>
        <w:tc>
          <w:tcPr>
            <w:tcW w:w="62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podnadpis"/>
              <w:spacing w:before="0" w:after="120"/>
              <w:jc w:val="left"/>
              <w:rPr/>
            </w:pPr>
            <w:r>
              <w:rPr>
                <w:sz w:val="22"/>
                <w:szCs w:val="22"/>
              </w:rPr>
              <w:t>ostatné neaudítorské služby</w:t>
            </w:r>
          </w:p>
        </w:tc>
        <w:tc>
          <w:tcPr>
            <w:tcW w:w="2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>
          <w:trHeight w:val="303" w:hRule="atLeast"/>
        </w:trPr>
        <w:tc>
          <w:tcPr>
            <w:tcW w:w="62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podnadpis"/>
              <w:spacing w:before="0" w:after="120"/>
              <w:jc w:val="left"/>
              <w:rPr/>
            </w:pPr>
            <w:r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rPr>
                <w:b/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</w:r>
          </w:p>
        </w:tc>
      </w:tr>
    </w:tbl>
    <w:p>
      <w:pPr>
        <w:pStyle w:val="Normalpodnadpis"/>
        <w:spacing w:before="0" w:after="120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Normalpodnadpis"/>
        <w:keepNext w:val="true"/>
        <w:numPr>
          <w:ilvl w:val="0"/>
          <w:numId w:val="0"/>
        </w:numPr>
        <w:spacing w:before="0" w:after="120"/>
        <w:jc w:val="center"/>
        <w:outlineLvl w:val="0"/>
        <w:rPr/>
      </w:pPr>
      <w:r>
        <w:rPr>
          <w:b/>
          <w:bCs/>
          <w:sz w:val="22"/>
          <w:szCs w:val="22"/>
        </w:rPr>
        <w:t>Čl. V</w:t>
      </w:r>
    </w:p>
    <w:p>
      <w:pPr>
        <w:pStyle w:val="Normalpodnadpis"/>
        <w:keepNext w:val="true"/>
        <w:numPr>
          <w:ilvl w:val="0"/>
          <w:numId w:val="0"/>
        </w:numPr>
        <w:spacing w:before="0" w:after="120"/>
        <w:jc w:val="center"/>
        <w:outlineLvl w:val="1"/>
        <w:rPr/>
      </w:pPr>
      <w:r>
        <w:rPr>
          <w:b/>
          <w:bCs/>
          <w:sz w:val="22"/>
          <w:szCs w:val="22"/>
        </w:rPr>
        <w:t>Opis údajov na podsúvahových účtoch</w:t>
      </w:r>
    </w:p>
    <w:p>
      <w:pPr>
        <w:pStyle w:val="Normalpodnadpis"/>
        <w:spacing w:before="0" w:after="120"/>
        <w:rPr/>
      </w:pPr>
      <w:r>
        <w:rPr>
          <w:sz w:val="22"/>
          <w:szCs w:val="22"/>
        </w:rPr>
        <w:t>Významné položky prenajatého majetku, majetku prijatého do úschovy,  odpísané pohľadávky a prípadné ďalšie položky.</w:t>
      </w:r>
    </w:p>
    <w:p>
      <w:pPr>
        <w:pStyle w:val="Normalpodnadpis"/>
        <w:spacing w:before="0" w:after="120"/>
        <w:rPr/>
      </w:pPr>
      <w:r>
        <w:rPr>
          <w:szCs w:val="20"/>
        </w:rPr>
        <w:t>Nezisková organizácia má v prenájme od spoločnosti AVE+ prenajatý hnuteľný a nehnuteľný majetok pre výkon svojej hlavnej činnosti.</w:t>
      </w:r>
    </w:p>
    <w:p>
      <w:pPr>
        <w:pStyle w:val="Normalpodnadpis"/>
        <w:keepNext w:val="true"/>
        <w:numPr>
          <w:ilvl w:val="0"/>
          <w:numId w:val="0"/>
        </w:numPr>
        <w:spacing w:before="0" w:after="120"/>
        <w:jc w:val="center"/>
        <w:outlineLvl w:val="1"/>
        <w:rPr/>
      </w:pPr>
      <w:r>
        <w:rPr>
          <w:b/>
          <w:bCs/>
          <w:sz w:val="22"/>
          <w:szCs w:val="22"/>
        </w:rPr>
        <w:t>Čl. VI</w:t>
      </w:r>
    </w:p>
    <w:p>
      <w:pPr>
        <w:pStyle w:val="Normalpodnadpis"/>
        <w:keepNext w:val="true"/>
        <w:numPr>
          <w:ilvl w:val="0"/>
          <w:numId w:val="0"/>
        </w:numPr>
        <w:spacing w:before="0" w:after="120"/>
        <w:jc w:val="center"/>
        <w:outlineLvl w:val="1"/>
        <w:rPr/>
      </w:pPr>
      <w:r>
        <w:rPr>
          <w:b/>
          <w:bCs/>
          <w:sz w:val="22"/>
          <w:szCs w:val="22"/>
        </w:rPr>
        <w:t>Ďalšie informácie</w:t>
      </w:r>
    </w:p>
    <w:p>
      <w:pPr>
        <w:pStyle w:val="Textopatrenia"/>
        <w:numPr>
          <w:ilvl w:val="0"/>
          <w:numId w:val="1"/>
        </w:numPr>
        <w:ind w:left="0" w:hanging="0"/>
        <w:rPr/>
      </w:pPr>
      <w:r>
        <w:rPr/>
        <w:t>(1) 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p>
      <w:pPr>
        <w:pStyle w:val="Textopatrenia"/>
        <w:numPr>
          <w:ilvl w:val="0"/>
          <w:numId w:val="1"/>
        </w:numPr>
        <w:ind w:left="0" w:hanging="0"/>
        <w:rPr/>
      </w:pPr>
      <w:r>
        <w:rPr>
          <w:sz w:val="20"/>
          <w:szCs w:val="20"/>
        </w:rPr>
        <w:t>Účtovná jednotka nemá náplň pre túto položku</w:t>
      </w:r>
    </w:p>
    <w:p>
      <w:pPr>
        <w:pStyle w:val="Textopatrenia"/>
        <w:numPr>
          <w:ilvl w:val="0"/>
          <w:numId w:val="1"/>
        </w:numPr>
        <w:ind w:left="0" w:hanging="0"/>
        <w:rPr/>
      </w:pPr>
      <w:r>
        <w:rPr/>
        <w:t>(2) Opis a hodnota iných pasív vyplývajúcich zo súdnych rozhodnutí, z poskytnutých záruk, zo všeobecne záväzných právnych predpisov, z ručenia podľa jednotlivých druhov ručenia;  takýmito inými pasívami sú:</w:t>
      </w:r>
    </w:p>
    <w:p>
      <w:pPr>
        <w:pStyle w:val="Textopatrenia"/>
        <w:numPr>
          <w:ilvl w:val="0"/>
          <w:numId w:val="1"/>
        </w:numPr>
        <w:ind w:left="0" w:hanging="0"/>
        <w:rPr/>
      </w:pPr>
      <w:r>
        <w:rPr>
          <w:lang w:eastAsia="sk-SK"/>
        </w:rPr>
        <w:t>a) možná povinnosť, ktorá vznikla ako dôsledok minulej udalosti a ktorej existencia závisí od toho, či nastane alebo nenastane jedna alebo viac neistých udalostí v budúcnosti, ktorých vznik nezávisí od účtovnej jednotky, alebo</w:t>
      </w:r>
    </w:p>
    <w:p>
      <w:pPr>
        <w:pStyle w:val="Textopatrenia"/>
        <w:numPr>
          <w:ilvl w:val="0"/>
          <w:numId w:val="1"/>
        </w:numPr>
        <w:ind w:left="0" w:hanging="0"/>
        <w:rPr/>
      </w:pPr>
      <w:r>
        <w:rPr>
          <w:lang w:eastAsia="sk-SK"/>
        </w:rPr>
        <w:t>b)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>
      <w:pPr>
        <w:pStyle w:val="Textopatrenia"/>
        <w:numPr>
          <w:ilvl w:val="0"/>
          <w:numId w:val="1"/>
        </w:numPr>
        <w:ind w:left="0" w:hanging="0"/>
        <w:rPr/>
      </w:pPr>
      <w:r>
        <w:rPr>
          <w:sz w:val="20"/>
          <w:szCs w:val="20"/>
        </w:rPr>
        <w:t>Účtovná jednotka nemá náplň pre túto položku.</w:t>
      </w:r>
    </w:p>
    <w:p>
      <w:pPr>
        <w:pStyle w:val="Textopatrenia"/>
        <w:numPr>
          <w:ilvl w:val="0"/>
          <w:numId w:val="1"/>
        </w:numPr>
        <w:ind w:left="0" w:hanging="0"/>
        <w:rPr/>
      </w:pPr>
      <w:r>
        <w:rPr/>
        <w:t>(3) Opis významných položiek ostatných finančných povinností, ktoré sa nesledujú v účtovníctve a neuvádzajú sa v súvahe; pri každej položke sa uvádza jej opis, výška a údaj, či sa týka spriaznených osôb, a to</w:t>
      </w:r>
    </w:p>
    <w:p>
      <w:pPr>
        <w:pStyle w:val="Textopatrenia"/>
        <w:numPr>
          <w:ilvl w:val="0"/>
          <w:numId w:val="1"/>
        </w:numPr>
        <w:ind w:left="0" w:hanging="0"/>
        <w:rPr/>
      </w:pPr>
      <w:r>
        <w:rPr/>
        <w:t>a) povinnosť z devízových termínovaných obchodov a iných finančných derivátov,</w:t>
      </w:r>
    </w:p>
    <w:p>
      <w:pPr>
        <w:pStyle w:val="Textopatrenia"/>
        <w:numPr>
          <w:ilvl w:val="0"/>
          <w:numId w:val="1"/>
        </w:numPr>
        <w:ind w:left="0" w:hanging="0"/>
        <w:rPr/>
      </w:pPr>
      <w:r>
        <w:rPr/>
        <w:t>b) povinnosť z opčných obchodov,</w:t>
      </w:r>
    </w:p>
    <w:p>
      <w:pPr>
        <w:pStyle w:val="Textopatrenia"/>
        <w:numPr>
          <w:ilvl w:val="0"/>
          <w:numId w:val="1"/>
        </w:numPr>
        <w:ind w:left="0" w:hanging="0"/>
        <w:rPr/>
      </w:pPr>
      <w:r>
        <w:rPr/>
        <w:t>c) zákonná povinnosť alebo zmluvná povinnosť odobrať určité produkty alebo služby, napríklad z dodávateľských alebo odberateľských zmlúv,</w:t>
      </w:r>
    </w:p>
    <w:p>
      <w:pPr>
        <w:pStyle w:val="Textopatrenia"/>
        <w:numPr>
          <w:ilvl w:val="0"/>
          <w:numId w:val="1"/>
        </w:numPr>
        <w:ind w:left="0" w:hanging="0"/>
        <w:rPr/>
      </w:pPr>
      <w:r>
        <w:rPr/>
        <w:t>d) povinnosť z leasingových, nájomných, servisných, poistných, koncesionárskych, licenčných zmlúv a podobných zmlúv,</w:t>
      </w:r>
    </w:p>
    <w:p>
      <w:pPr>
        <w:pStyle w:val="Textopatrenia"/>
        <w:numPr>
          <w:ilvl w:val="0"/>
          <w:numId w:val="1"/>
        </w:numPr>
        <w:ind w:left="0" w:hanging="0"/>
        <w:rPr/>
      </w:pPr>
      <w:r>
        <w:rPr/>
        <w:t xml:space="preserve">e) iné povinnosti. </w:t>
      </w:r>
    </w:p>
    <w:p>
      <w:pPr>
        <w:pStyle w:val="Normalpodnadpis"/>
        <w:spacing w:before="0" w:after="120"/>
        <w:rPr/>
      </w:pPr>
      <w:r>
        <w:rPr>
          <w:szCs w:val="20"/>
        </w:rPr>
        <w:t>Účtovná jednotka nemá náplň pre túto položku</w:t>
      </w:r>
    </w:p>
    <w:p>
      <w:pPr>
        <w:pStyle w:val="Normalpodnadpis"/>
        <w:spacing w:before="0" w:after="120"/>
        <w:rPr/>
      </w:pPr>
      <w:r>
        <w:rPr>
          <w:sz w:val="22"/>
          <w:szCs w:val="22"/>
        </w:rPr>
        <w:t>(4) Prehľad nehnuteľných kultúrnych pamiatok, ktoré sú v správe alebo vo vlastníctve účtovnej jednotky.</w:t>
      </w:r>
    </w:p>
    <w:p>
      <w:pPr>
        <w:pStyle w:val="Normalpodnadpis"/>
        <w:spacing w:before="0" w:after="120"/>
        <w:rPr/>
      </w:pPr>
      <w:r>
        <w:rPr>
          <w:szCs w:val="20"/>
        </w:rPr>
        <w:t>Účtovná jednotka nemá náplň pre túto položku</w:t>
      </w:r>
    </w:p>
    <w:p>
      <w:pPr>
        <w:pStyle w:val="Normalpodnadpis"/>
        <w:spacing w:before="0" w:after="120"/>
        <w:rPr/>
      </w:pPr>
      <w:r>
        <w:rPr>
          <w:sz w:val="22"/>
          <w:szCs w:val="22"/>
        </w:rPr>
        <w:t>(5) Informácie o významných skutočnostiach, ktoré nastali medzi dňom, ku ktorému sa zostavuje účtovná závierka a dňom jej zostavenia.</w:t>
      </w:r>
      <w:r>
        <w:rPr>
          <w:szCs w:val="20"/>
        </w:rPr>
        <w:t xml:space="preserve"> Účtovná jednotka nemá náplň pre túto položku</w:t>
      </w:r>
    </w:p>
    <w:p>
      <w:pPr>
        <w:sectPr>
          <w:footerReference w:type="default" r:id="rId2"/>
          <w:type w:val="nextPage"/>
          <w:pgSz w:w="11906" w:h="16838"/>
          <w:pgMar w:left="851" w:right="851" w:header="0" w:top="851" w:footer="709" w:bottom="851" w:gutter="0"/>
          <w:pgNumType w:start="1" w:fmt="decimal"/>
          <w:formProt w:val="false"/>
          <w:textDirection w:val="lrTb"/>
          <w:docGrid w:type="default" w:linePitch="100" w:charSpace="0"/>
        </w:sectPr>
        <w:pStyle w:val="Normalpodnadpis"/>
        <w:spacing w:before="0" w:after="120"/>
        <w:rPr/>
      </w:pPr>
      <w:r>
        <w:rPr/>
      </w:r>
    </w:p>
    <w:p>
      <w:pPr>
        <w:pStyle w:val="Normalpodnadpis"/>
        <w:spacing w:before="0" w:after="120"/>
        <w:rPr/>
      </w:pPr>
      <w:r>
        <w:rPr/>
      </w:r>
    </w:p>
    <w:sectPr>
      <w:headerReference w:type="default" r:id="rId3"/>
      <w:headerReference w:type="first" r:id="rId4"/>
      <w:footerReference w:type="default" r:id="rId5"/>
      <w:footerReference w:type="first" r:id="rId6"/>
      <w:type w:val="nextPage"/>
      <w:pgSz w:orient="landscape" w:w="16838" w:h="11906"/>
      <w:pgMar w:left="851" w:right="851" w:header="709" w:top="851" w:footer="709" w:bottom="851" w:gutter="0"/>
      <w:pgNumType w:fmt="decimal"/>
      <w:formProt w:val="false"/>
      <w:titlePg/>
      <w:textDirection w:val="lrTb"/>
      <w:docGrid w:type="default" w:linePitch="10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mbria">
    <w:charset w:val="ee"/>
    <w:family w:val="roman"/>
    <w:pitch w:val="variable"/>
  </w:font>
  <w:font w:name="Arial">
    <w:charset w:val="ee"/>
    <w:family w:val="roman"/>
    <w:pitch w:val="variable"/>
  </w:font>
  <w:font w:name="Tahoma">
    <w:charset w:val="ee"/>
    <w:family w:val="roman"/>
    <w:pitch w:val="variable"/>
  </w:font>
  <w:font w:name="Arial Narrow"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Times New Roman">
    <w:charset w:val="ee"/>
    <w:family w:val="roman"/>
    <w:pitch w:val="variable"/>
  </w:font>
  <w:font w:name="Calibri">
    <w:charset w:val="ee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Pta1"/>
      <w:spacing w:before="120" w:after="120"/>
      <w:jc w:val="right"/>
      <w:rPr/>
    </w:pPr>
    <w:r>
      <w:rPr/>
      <w:t xml:space="preserve">Strana </w:t>
    </w:r>
    <w:r>
      <w:rPr/>
      <w:fldChar w:fldCharType="begin"/>
    </w:r>
    <w:r>
      <w:rPr/>
      <w:instrText> PAGE </w:instrText>
    </w:r>
    <w:r>
      <w:rPr/>
      <w:fldChar w:fldCharType="separate"/>
    </w:r>
    <w:r>
      <w:rPr/>
      <w:t>15</w:t>
    </w:r>
    <w:r>
      <w:rPr/>
      <w:fldChar w:fldCharType="end"/>
    </w:r>
  </w:p>
  <w:p>
    <w:pPr>
      <w:pStyle w:val="Pta1"/>
      <w:tabs>
        <w:tab w:val="clear" w:pos="4536"/>
        <w:tab w:val="clear" w:pos="9072"/>
        <w:tab w:val="center" w:pos="5102" w:leader="none"/>
        <w:tab w:val="right" w:pos="10204" w:leader="none"/>
      </w:tabs>
      <w:ind w:right="360" w:hanging="0"/>
      <w:rPr/>
    </w:pPr>
    <w:r>
      <w:rPr/>
    </w:r>
  </w:p>
  <w:p>
    <w:pPr>
      <w:pStyle w:val="Pta1"/>
      <w:tabs>
        <w:tab w:val="clear" w:pos="4536"/>
        <w:tab w:val="clear" w:pos="9072"/>
        <w:tab w:val="center" w:pos="5102" w:leader="none"/>
        <w:tab w:val="right" w:pos="10204" w:leader="none"/>
      </w:tabs>
      <w:spacing w:before="120" w:after="120"/>
      <w:ind w:right="360" w:hanging="0"/>
      <w:rPr/>
    </w:pPr>
    <w:r>
      <w:rPr/>
    </w:r>
  </w:p>
</w:ftr>
</file>

<file path=word/footer2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Pta1"/>
      <w:spacing w:before="120" w:after="120"/>
      <w:jc w:val="right"/>
      <w:rPr/>
    </w:pPr>
    <w:r>
      <w:rPr/>
      <w:t xml:space="preserve">Strana </w:t>
    </w:r>
    <w:r>
      <w:rPr/>
      <w:fldChar w:fldCharType="begin"/>
    </w:r>
    <w:r>
      <w:rPr/>
      <w:instrText> PAGE </w:instrText>
    </w:r>
    <w:r>
      <w:rPr/>
      <w:fldChar w:fldCharType="separate"/>
    </w:r>
    <w:r>
      <w:rPr/>
      <w:t>31</w:t>
    </w:r>
    <w:r>
      <w:rPr/>
      <w:fldChar w:fldCharType="end"/>
    </w:r>
  </w:p>
  <w:p>
    <w:pPr>
      <w:pStyle w:val="Pta1"/>
      <w:tabs>
        <w:tab w:val="clear" w:pos="4536"/>
        <w:tab w:val="clear" w:pos="9072"/>
        <w:tab w:val="center" w:pos="5102" w:leader="none"/>
        <w:tab w:val="right" w:pos="10204" w:leader="none"/>
      </w:tabs>
      <w:spacing w:before="120" w:after="120"/>
      <w:ind w:right="360" w:hanging="0"/>
      <w:rPr/>
    </w:pPr>
    <w:r>
      <w:rPr/>
    </w:r>
  </w:p>
</w:ftr>
</file>

<file path=word/footer3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Pta1"/>
      <w:spacing w:before="120" w:after="120"/>
      <w:jc w:val="right"/>
      <w:rPr/>
    </w:pPr>
    <w:r>
      <w:rPr/>
      <w:t xml:space="preserve">Strana </w:t>
    </w:r>
    <w:r>
      <w:rPr/>
      <w:fldChar w:fldCharType="begin"/>
    </w:r>
    <w:r>
      <w:rPr/>
      <w:instrText> PAGE </w:instrText>
    </w:r>
    <w:r>
      <w:rPr/>
      <w:fldChar w:fldCharType="separate"/>
    </w:r>
    <w:r>
      <w:rPr/>
      <w:t>16</w:t>
    </w:r>
    <w:r>
      <w:rPr/>
      <w:fldChar w:fldCharType="end"/>
    </w:r>
  </w:p>
  <w:p>
    <w:pPr>
      <w:pStyle w:val="Pta1"/>
      <w:tabs>
        <w:tab w:val="center" w:pos="4536" w:leader="none"/>
        <w:tab w:val="right" w:pos="9072" w:leader="none"/>
      </w:tabs>
      <w:spacing w:before="120" w:after="120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Hlavika1"/>
      <w:tabs>
        <w:tab w:val="center" w:pos="4536" w:leader="none"/>
        <w:tab w:val="right" w:pos="9072" w:leader="none"/>
      </w:tabs>
      <w:spacing w:before="120" w:after="120"/>
      <w:rPr/>
    </w:pPr>
    <w:r>
      <w:rPr/>
    </w:r>
  </w:p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Hlavika1"/>
      <w:spacing w:before="120" w:after="120"/>
      <w:jc w:val="right"/>
      <w:rPr/>
    </w:pPr>
    <w:r>
      <w:rPr/>
    </w:r>
  </w:p>
  <w:p>
    <w:pPr>
      <w:pStyle w:val="Hlavika1"/>
      <w:tabs>
        <w:tab w:val="center" w:pos="4536" w:leader="none"/>
        <w:tab w:val="right" w:pos="9072" w:leader="none"/>
      </w:tabs>
      <w:spacing w:before="120" w:after="120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numFmt w:val="decimal"/>
      <w:lvlText w:val="(%1)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2">
    <w:lvl w:ilvl="0">
      <w:start w:val="1"/>
      <w:numFmt w:val="decimal"/>
      <w:lvlText w:val="(%1)"/>
      <w:lvlJc w:val="left"/>
      <w:pPr>
        <w:ind w:left="720" w:hanging="360"/>
      </w:pPr>
      <w:rPr>
        <w:sz w:val="22"/>
        <w:b/>
        <w:rFonts w:cs="Times New Roman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lvl w:ilvl="0">
      <w:start w:val="1"/>
      <w:numFmt w:val="decimal"/>
      <w:lvlText w:val="(%1)"/>
      <w:lvlJc w:val="left"/>
      <w:pPr>
        <w:ind w:left="786" w:hanging="360"/>
      </w:pPr>
      <w:rPr>
        <w:sz w:val="22"/>
        <w:rFonts w:cs="Times New Roman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lvl w:ilvl="0">
      <w:start w:val="1"/>
      <w:numFmt w:val="none"/>
      <w:suff w:val="nothing"/>
      <w:lvlText w:val=""/>
      <w:lvlJc w:val="left"/>
      <w:pPr>
        <w:ind w:left="0" w:hanging="0"/>
      </w:p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</w:numbering>
</file>

<file path=word/settings.xml><?xml version="1.0" encoding="utf-8"?>
<w:settings xmlns:w="http://schemas.openxmlformats.org/wordprocessingml/2006/main">
  <w:zoom w:percent="55"/>
  <w:defaultTabStop w:val="709"/>
  <w:compat>
    <w:compatSetting w:name="compatibilityMode" w:uri="http://schemas.microsoft.com/office/word" w:val="12"/>
    <w:compatSetting w:name="useWord2013TrackBottomHyphenation" w:uri="http://schemas.microsoft.com/office/word" w:val="1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NSimSun" w:cs="Arial"/>
        <w:kern w:val="2"/>
        <w:szCs w:val="24"/>
        <w:lang w:val="sk-SK" w:eastAsia="zh-CN" w:bidi="hi-IN"/>
      </w:rPr>
    </w:rPrDefault>
    <w:pPrDefault>
      <w:pPr/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153259"/>
    <w:pPr>
      <w:widowControl/>
      <w:bidi w:val="0"/>
      <w:jc w:val="left"/>
    </w:pPr>
    <w:rPr>
      <w:rFonts w:ascii="Liberation Serif" w:hAnsi="Liberation Serif" w:eastAsia="NSimSun" w:cs="Arial"/>
      <w:color w:val="auto"/>
      <w:kern w:val="2"/>
      <w:sz w:val="24"/>
      <w:szCs w:val="24"/>
      <w:lang w:val="sk-SK" w:eastAsia="zh-CN" w:bidi="hi-IN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Nadpis1CharNadpisopatrenia1Char" w:customStyle="1">
    <w:name w:val="Nadpis 1 Char;Nadpis opatrenia  1 Char"/>
    <w:basedOn w:val="DefaultParagraphFont"/>
    <w:qFormat/>
    <w:rsid w:val="00153259"/>
    <w:rPr>
      <w:rFonts w:ascii="Cambria" w:hAnsi="Cambria" w:eastAsia="Times New Roman" w:cs="Cambria"/>
      <w:b/>
      <w:bCs/>
      <w:kern w:val="2"/>
      <w:sz w:val="32"/>
      <w:szCs w:val="32"/>
      <w:lang w:val="sk-SK" w:eastAsia="cs-CZ"/>
    </w:rPr>
  </w:style>
  <w:style w:type="character" w:styleId="Nadpis2Char" w:customStyle="1">
    <w:name w:val="Nadpis 2 Char"/>
    <w:basedOn w:val="DefaultParagraphFont"/>
    <w:qFormat/>
    <w:rsid w:val="00153259"/>
    <w:rPr>
      <w:rFonts w:ascii="Cambria" w:hAnsi="Cambria" w:eastAsia="Times New Roman" w:cs="Cambria"/>
      <w:b/>
      <w:bCs/>
      <w:i/>
      <w:iCs/>
      <w:sz w:val="28"/>
      <w:szCs w:val="28"/>
      <w:lang w:val="sk-SK" w:eastAsia="cs-CZ"/>
    </w:rPr>
  </w:style>
  <w:style w:type="character" w:styleId="TltlnzovChar115ptAntiqueOliveNiejeTun" w:customStyle="1">
    <w:name w:val="Štýl Štýl § názov Char + 115 pt + Antique Olive Nie je Tučné"/>
    <w:basedOn w:val="DefaultParagraphFont"/>
    <w:qFormat/>
    <w:rsid w:val="00153259"/>
    <w:rPr>
      <w:rFonts w:ascii="Arial" w:hAnsi="Arial" w:cs="Arial"/>
      <w:b/>
      <w:bCs/>
      <w:sz w:val="20"/>
      <w:szCs w:val="20"/>
      <w:lang w:val="sk-SK" w:eastAsia="sk-SK"/>
    </w:rPr>
  </w:style>
  <w:style w:type="character" w:styleId="PtaChar" w:customStyle="1">
    <w:name w:val="Päta Char"/>
    <w:basedOn w:val="DefaultParagraphFont"/>
    <w:qFormat/>
    <w:rsid w:val="00153259"/>
    <w:rPr>
      <w:rFonts w:ascii="Arial" w:hAnsi="Arial" w:cs="Arial"/>
      <w:sz w:val="24"/>
      <w:szCs w:val="24"/>
      <w:lang w:val="sk-SK" w:eastAsia="cs-CZ"/>
    </w:rPr>
  </w:style>
  <w:style w:type="character" w:styleId="Pagenumber">
    <w:name w:val="page number"/>
    <w:basedOn w:val="DefaultParagraphFont"/>
    <w:qFormat/>
    <w:rsid w:val="00153259"/>
    <w:rPr>
      <w:rFonts w:cs="Times New Roman"/>
    </w:rPr>
  </w:style>
  <w:style w:type="character" w:styleId="Strong">
    <w:name w:val="Strong"/>
    <w:basedOn w:val="DefaultParagraphFont"/>
    <w:qFormat/>
    <w:rsid w:val="00153259"/>
    <w:rPr>
      <w:rFonts w:cs="Times New Roman"/>
      <w:b/>
      <w:bCs/>
    </w:rPr>
  </w:style>
  <w:style w:type="character" w:styleId="TextbublinyChar" w:customStyle="1">
    <w:name w:val="Text bubliny Char"/>
    <w:basedOn w:val="DefaultParagraphFont"/>
    <w:qFormat/>
    <w:rsid w:val="00153259"/>
    <w:rPr>
      <w:rFonts w:ascii="Tahoma" w:hAnsi="Tahoma" w:cs="Tahoma"/>
      <w:sz w:val="16"/>
      <w:szCs w:val="16"/>
      <w:lang w:val="sk-SK" w:eastAsia="cs-CZ"/>
    </w:rPr>
  </w:style>
  <w:style w:type="character" w:styleId="HlavikaChar" w:customStyle="1">
    <w:name w:val="Hlavička Char"/>
    <w:basedOn w:val="DefaultParagraphFont"/>
    <w:qFormat/>
    <w:rsid w:val="00153259"/>
    <w:rPr>
      <w:rFonts w:ascii="Arial Narrow" w:hAnsi="Arial Narrow" w:cs="Arial"/>
      <w:sz w:val="24"/>
      <w:szCs w:val="24"/>
      <w:lang w:val="sk-SK" w:eastAsia="cs-CZ"/>
    </w:rPr>
  </w:style>
  <w:style w:type="character" w:styleId="ListLabel1" w:customStyle="1">
    <w:name w:val="ListLabel 1"/>
    <w:qFormat/>
    <w:rsid w:val="00153259"/>
    <w:rPr>
      <w:rFonts w:cs="Arial"/>
    </w:rPr>
  </w:style>
  <w:style w:type="character" w:styleId="ListLabel2" w:customStyle="1">
    <w:name w:val="ListLabel 2"/>
    <w:qFormat/>
    <w:rsid w:val="00153259"/>
    <w:rPr>
      <w:rFonts w:cs="Times New Roman"/>
    </w:rPr>
  </w:style>
  <w:style w:type="character" w:styleId="ListLabel3" w:customStyle="1">
    <w:name w:val="ListLabel 3"/>
    <w:qFormat/>
    <w:rsid w:val="00153259"/>
    <w:rPr>
      <w:rFonts w:cs="Times New Roman"/>
    </w:rPr>
  </w:style>
  <w:style w:type="character" w:styleId="ListLabel4" w:customStyle="1">
    <w:name w:val="ListLabel 4"/>
    <w:qFormat/>
    <w:rsid w:val="00153259"/>
    <w:rPr>
      <w:rFonts w:cs="Times New Roman"/>
    </w:rPr>
  </w:style>
  <w:style w:type="character" w:styleId="ListLabel5" w:customStyle="1">
    <w:name w:val="ListLabel 5"/>
    <w:qFormat/>
    <w:rsid w:val="00153259"/>
    <w:rPr>
      <w:rFonts w:cs="Times New Roman"/>
    </w:rPr>
  </w:style>
  <w:style w:type="character" w:styleId="ListLabel6" w:customStyle="1">
    <w:name w:val="ListLabel 6"/>
    <w:qFormat/>
    <w:rsid w:val="00153259"/>
    <w:rPr>
      <w:rFonts w:cs="Times New Roman"/>
    </w:rPr>
  </w:style>
  <w:style w:type="character" w:styleId="ListLabel7" w:customStyle="1">
    <w:name w:val="ListLabel 7"/>
    <w:qFormat/>
    <w:rsid w:val="00153259"/>
    <w:rPr>
      <w:rFonts w:cs="Times New Roman"/>
    </w:rPr>
  </w:style>
  <w:style w:type="character" w:styleId="ListLabel8" w:customStyle="1">
    <w:name w:val="ListLabel 8"/>
    <w:qFormat/>
    <w:rsid w:val="00153259"/>
    <w:rPr>
      <w:rFonts w:cs="Times New Roman"/>
    </w:rPr>
  </w:style>
  <w:style w:type="character" w:styleId="ListLabel9" w:customStyle="1">
    <w:name w:val="ListLabel 9"/>
    <w:qFormat/>
    <w:rsid w:val="00153259"/>
    <w:rPr>
      <w:rFonts w:cs="Times New Roman"/>
    </w:rPr>
  </w:style>
  <w:style w:type="character" w:styleId="ListLabel10" w:customStyle="1">
    <w:name w:val="ListLabel 10"/>
    <w:qFormat/>
    <w:rsid w:val="00153259"/>
    <w:rPr>
      <w:rFonts w:cs="Arial"/>
    </w:rPr>
  </w:style>
  <w:style w:type="character" w:styleId="ListLabel11" w:customStyle="1">
    <w:name w:val="ListLabel 11"/>
    <w:qFormat/>
    <w:rsid w:val="00153259"/>
    <w:rPr>
      <w:rFonts w:cs="Times New Roman"/>
    </w:rPr>
  </w:style>
  <w:style w:type="character" w:styleId="ListLabel12" w:customStyle="1">
    <w:name w:val="ListLabel 12"/>
    <w:qFormat/>
    <w:rsid w:val="00153259"/>
    <w:rPr>
      <w:rFonts w:cs="Times New Roman"/>
    </w:rPr>
  </w:style>
  <w:style w:type="character" w:styleId="ListLabel13" w:customStyle="1">
    <w:name w:val="ListLabel 13"/>
    <w:qFormat/>
    <w:rsid w:val="00153259"/>
    <w:rPr>
      <w:rFonts w:cs="Times New Roman"/>
    </w:rPr>
  </w:style>
  <w:style w:type="character" w:styleId="ListLabel14" w:customStyle="1">
    <w:name w:val="ListLabel 14"/>
    <w:qFormat/>
    <w:rsid w:val="00153259"/>
    <w:rPr>
      <w:rFonts w:cs="Times New Roman"/>
    </w:rPr>
  </w:style>
  <w:style w:type="character" w:styleId="ListLabel15" w:customStyle="1">
    <w:name w:val="ListLabel 15"/>
    <w:qFormat/>
    <w:rsid w:val="00153259"/>
    <w:rPr>
      <w:rFonts w:cs="Times New Roman"/>
    </w:rPr>
  </w:style>
  <w:style w:type="character" w:styleId="ListLabel16" w:customStyle="1">
    <w:name w:val="ListLabel 16"/>
    <w:qFormat/>
    <w:rsid w:val="00153259"/>
    <w:rPr>
      <w:rFonts w:cs="Times New Roman"/>
    </w:rPr>
  </w:style>
  <w:style w:type="character" w:styleId="ListLabel17" w:customStyle="1">
    <w:name w:val="ListLabel 17"/>
    <w:qFormat/>
    <w:rsid w:val="00153259"/>
    <w:rPr>
      <w:rFonts w:cs="Times New Roman"/>
    </w:rPr>
  </w:style>
  <w:style w:type="character" w:styleId="ListLabel18" w:customStyle="1">
    <w:name w:val="ListLabel 18"/>
    <w:qFormat/>
    <w:rsid w:val="00153259"/>
    <w:rPr>
      <w:rFonts w:cs="Times New Roman"/>
    </w:rPr>
  </w:style>
  <w:style w:type="character" w:styleId="ListLabel19" w:customStyle="1">
    <w:name w:val="ListLabel 19"/>
    <w:qFormat/>
    <w:rsid w:val="00153259"/>
    <w:rPr>
      <w:rFonts w:cs="Times New Roman"/>
    </w:rPr>
  </w:style>
  <w:style w:type="character" w:styleId="ListLabel20" w:customStyle="1">
    <w:name w:val="ListLabel 20"/>
    <w:qFormat/>
    <w:rsid w:val="00153259"/>
    <w:rPr>
      <w:rFonts w:cs="Times New Roman"/>
    </w:rPr>
  </w:style>
  <w:style w:type="character" w:styleId="ListLabel21" w:customStyle="1">
    <w:name w:val="ListLabel 21"/>
    <w:qFormat/>
    <w:rsid w:val="00153259"/>
    <w:rPr>
      <w:rFonts w:cs="Times New Roman"/>
    </w:rPr>
  </w:style>
  <w:style w:type="character" w:styleId="ListLabel22" w:customStyle="1">
    <w:name w:val="ListLabel 22"/>
    <w:qFormat/>
    <w:rsid w:val="00153259"/>
    <w:rPr>
      <w:rFonts w:cs="Times New Roman"/>
    </w:rPr>
  </w:style>
  <w:style w:type="character" w:styleId="ListLabel23" w:customStyle="1">
    <w:name w:val="ListLabel 23"/>
    <w:qFormat/>
    <w:rsid w:val="00153259"/>
    <w:rPr>
      <w:rFonts w:cs="Times New Roman"/>
    </w:rPr>
  </w:style>
  <w:style w:type="character" w:styleId="ListLabel24" w:customStyle="1">
    <w:name w:val="ListLabel 24"/>
    <w:qFormat/>
    <w:rsid w:val="00153259"/>
    <w:rPr>
      <w:rFonts w:cs="Times New Roman"/>
    </w:rPr>
  </w:style>
  <w:style w:type="character" w:styleId="ListLabel25" w:customStyle="1">
    <w:name w:val="ListLabel 25"/>
    <w:qFormat/>
    <w:rsid w:val="00153259"/>
    <w:rPr>
      <w:rFonts w:cs="Times New Roman"/>
    </w:rPr>
  </w:style>
  <w:style w:type="character" w:styleId="ListLabel26" w:customStyle="1">
    <w:name w:val="ListLabel 26"/>
    <w:qFormat/>
    <w:rsid w:val="00153259"/>
    <w:rPr>
      <w:rFonts w:cs="Times New Roman"/>
    </w:rPr>
  </w:style>
  <w:style w:type="character" w:styleId="ListLabel27" w:customStyle="1">
    <w:name w:val="ListLabel 27"/>
    <w:qFormat/>
    <w:rsid w:val="00153259"/>
    <w:rPr>
      <w:rFonts w:cs="Times New Roman"/>
    </w:rPr>
  </w:style>
  <w:style w:type="character" w:styleId="ListLabel28" w:customStyle="1">
    <w:name w:val="ListLabel 28"/>
    <w:qFormat/>
    <w:rsid w:val="00153259"/>
    <w:rPr>
      <w:rFonts w:cs="Times New Roman"/>
    </w:rPr>
  </w:style>
  <w:style w:type="character" w:styleId="ListLabel29" w:customStyle="1">
    <w:name w:val="ListLabel 29"/>
    <w:qFormat/>
    <w:rsid w:val="00153259"/>
    <w:rPr>
      <w:rFonts w:cs="Times New Roman"/>
    </w:rPr>
  </w:style>
  <w:style w:type="character" w:styleId="ListLabel30" w:customStyle="1">
    <w:name w:val="ListLabel 30"/>
    <w:qFormat/>
    <w:rsid w:val="00153259"/>
    <w:rPr>
      <w:rFonts w:cs="Times New Roman"/>
    </w:rPr>
  </w:style>
  <w:style w:type="character" w:styleId="ListLabel31" w:customStyle="1">
    <w:name w:val="ListLabel 31"/>
    <w:qFormat/>
    <w:rsid w:val="00153259"/>
    <w:rPr>
      <w:rFonts w:cs="Times New Roman"/>
    </w:rPr>
  </w:style>
  <w:style w:type="character" w:styleId="ListLabel32" w:customStyle="1">
    <w:name w:val="ListLabel 32"/>
    <w:qFormat/>
    <w:rsid w:val="00153259"/>
    <w:rPr>
      <w:rFonts w:cs="Times New Roman"/>
    </w:rPr>
  </w:style>
  <w:style w:type="character" w:styleId="ListLabel33" w:customStyle="1">
    <w:name w:val="ListLabel 33"/>
    <w:qFormat/>
    <w:rsid w:val="00153259"/>
    <w:rPr>
      <w:rFonts w:cs="Times New Roman"/>
    </w:rPr>
  </w:style>
  <w:style w:type="character" w:styleId="ListLabel34" w:customStyle="1">
    <w:name w:val="ListLabel 34"/>
    <w:qFormat/>
    <w:rsid w:val="00153259"/>
    <w:rPr>
      <w:rFonts w:cs="Times New Roman"/>
    </w:rPr>
  </w:style>
  <w:style w:type="character" w:styleId="ListLabel35" w:customStyle="1">
    <w:name w:val="ListLabel 35"/>
    <w:qFormat/>
    <w:rsid w:val="00153259"/>
    <w:rPr>
      <w:rFonts w:cs="Times New Roman"/>
    </w:rPr>
  </w:style>
  <w:style w:type="character" w:styleId="ListLabel36" w:customStyle="1">
    <w:name w:val="ListLabel 36"/>
    <w:qFormat/>
    <w:rsid w:val="00153259"/>
    <w:rPr>
      <w:rFonts w:cs="Times New Roman"/>
    </w:rPr>
  </w:style>
  <w:style w:type="character" w:styleId="ListLabel37" w:customStyle="1">
    <w:name w:val="ListLabel 37"/>
    <w:qFormat/>
    <w:rsid w:val="00153259"/>
    <w:rPr>
      <w:rFonts w:cs="Times New Roman"/>
    </w:rPr>
  </w:style>
  <w:style w:type="character" w:styleId="ListLabel38" w:customStyle="1">
    <w:name w:val="ListLabel 38"/>
    <w:qFormat/>
    <w:rsid w:val="00153259"/>
    <w:rPr>
      <w:rFonts w:cs="Times New Roman"/>
    </w:rPr>
  </w:style>
  <w:style w:type="character" w:styleId="ListLabel39" w:customStyle="1">
    <w:name w:val="ListLabel 39"/>
    <w:qFormat/>
    <w:rsid w:val="00153259"/>
    <w:rPr>
      <w:rFonts w:cs="Times New Roman"/>
    </w:rPr>
  </w:style>
  <w:style w:type="character" w:styleId="ListLabel40" w:customStyle="1">
    <w:name w:val="ListLabel 40"/>
    <w:qFormat/>
    <w:rsid w:val="00153259"/>
    <w:rPr>
      <w:rFonts w:cs="Times New Roman"/>
    </w:rPr>
  </w:style>
  <w:style w:type="character" w:styleId="ListLabel41" w:customStyle="1">
    <w:name w:val="ListLabel 41"/>
    <w:qFormat/>
    <w:rsid w:val="00153259"/>
    <w:rPr>
      <w:rFonts w:cs="Times New Roman"/>
    </w:rPr>
  </w:style>
  <w:style w:type="character" w:styleId="ListLabel42" w:customStyle="1">
    <w:name w:val="ListLabel 42"/>
    <w:qFormat/>
    <w:rsid w:val="00153259"/>
    <w:rPr>
      <w:rFonts w:cs="Times New Roman"/>
    </w:rPr>
  </w:style>
  <w:style w:type="character" w:styleId="ListLabel43" w:customStyle="1">
    <w:name w:val="ListLabel 43"/>
    <w:qFormat/>
    <w:rsid w:val="00153259"/>
    <w:rPr>
      <w:rFonts w:cs="Times New Roman"/>
    </w:rPr>
  </w:style>
  <w:style w:type="character" w:styleId="ListLabel44" w:customStyle="1">
    <w:name w:val="ListLabel 44"/>
    <w:qFormat/>
    <w:rsid w:val="00153259"/>
    <w:rPr>
      <w:rFonts w:cs="Times New Roman"/>
    </w:rPr>
  </w:style>
  <w:style w:type="character" w:styleId="ListLabel45" w:customStyle="1">
    <w:name w:val="ListLabel 45"/>
    <w:qFormat/>
    <w:rsid w:val="00153259"/>
    <w:rPr>
      <w:rFonts w:cs="Times New Roman"/>
    </w:rPr>
  </w:style>
  <w:style w:type="character" w:styleId="ListLabel46" w:customStyle="1">
    <w:name w:val="ListLabel 46"/>
    <w:qFormat/>
    <w:rsid w:val="00153259"/>
    <w:rPr>
      <w:rFonts w:cs="Times New Roman"/>
    </w:rPr>
  </w:style>
  <w:style w:type="character" w:styleId="ListLabel47" w:customStyle="1">
    <w:name w:val="ListLabel 47"/>
    <w:qFormat/>
    <w:rsid w:val="00153259"/>
    <w:rPr>
      <w:rFonts w:cs="Times New Roman"/>
    </w:rPr>
  </w:style>
  <w:style w:type="character" w:styleId="ListLabel48" w:customStyle="1">
    <w:name w:val="ListLabel 48"/>
    <w:qFormat/>
    <w:rsid w:val="00153259"/>
    <w:rPr>
      <w:rFonts w:cs="Times New Roman"/>
    </w:rPr>
  </w:style>
  <w:style w:type="character" w:styleId="ListLabel49" w:customStyle="1">
    <w:name w:val="ListLabel 49"/>
    <w:qFormat/>
    <w:rsid w:val="00153259"/>
    <w:rPr>
      <w:rFonts w:cs="Times New Roman"/>
    </w:rPr>
  </w:style>
  <w:style w:type="character" w:styleId="ListLabel50" w:customStyle="1">
    <w:name w:val="ListLabel 50"/>
    <w:qFormat/>
    <w:rsid w:val="00153259"/>
    <w:rPr>
      <w:rFonts w:cs="Times New Roman"/>
    </w:rPr>
  </w:style>
  <w:style w:type="character" w:styleId="ListLabel51" w:customStyle="1">
    <w:name w:val="ListLabel 51"/>
    <w:qFormat/>
    <w:rsid w:val="00153259"/>
    <w:rPr>
      <w:rFonts w:cs="Times New Roman"/>
    </w:rPr>
  </w:style>
  <w:style w:type="character" w:styleId="ListLabel52" w:customStyle="1">
    <w:name w:val="ListLabel 52"/>
    <w:qFormat/>
    <w:rsid w:val="00153259"/>
    <w:rPr>
      <w:rFonts w:cs="Times New Roman"/>
    </w:rPr>
  </w:style>
  <w:style w:type="character" w:styleId="ListLabel53" w:customStyle="1">
    <w:name w:val="ListLabel 53"/>
    <w:qFormat/>
    <w:rsid w:val="00153259"/>
    <w:rPr>
      <w:rFonts w:cs="Times New Roman"/>
    </w:rPr>
  </w:style>
  <w:style w:type="character" w:styleId="ListLabel54" w:customStyle="1">
    <w:name w:val="ListLabel 54"/>
    <w:qFormat/>
    <w:rsid w:val="00153259"/>
    <w:rPr>
      <w:rFonts w:cs="Times New Roman"/>
    </w:rPr>
  </w:style>
  <w:style w:type="character" w:styleId="ListLabel55" w:customStyle="1">
    <w:name w:val="ListLabel 55"/>
    <w:qFormat/>
    <w:rsid w:val="00153259"/>
    <w:rPr>
      <w:rFonts w:cs="Times New Roman"/>
    </w:rPr>
  </w:style>
  <w:style w:type="character" w:styleId="ListLabel56" w:customStyle="1">
    <w:name w:val="ListLabel 56"/>
    <w:qFormat/>
    <w:rsid w:val="00153259"/>
    <w:rPr>
      <w:rFonts w:cs="Times New Roman"/>
    </w:rPr>
  </w:style>
  <w:style w:type="character" w:styleId="ListLabel57" w:customStyle="1">
    <w:name w:val="ListLabel 57"/>
    <w:qFormat/>
    <w:rsid w:val="00153259"/>
    <w:rPr>
      <w:rFonts w:cs="Times New Roman"/>
    </w:rPr>
  </w:style>
  <w:style w:type="character" w:styleId="ListLabel58" w:customStyle="1">
    <w:name w:val="ListLabel 58"/>
    <w:qFormat/>
    <w:rsid w:val="00153259"/>
    <w:rPr>
      <w:rFonts w:cs="Times New Roman"/>
    </w:rPr>
  </w:style>
  <w:style w:type="character" w:styleId="ListLabel59" w:customStyle="1">
    <w:name w:val="ListLabel 59"/>
    <w:qFormat/>
    <w:rsid w:val="00153259"/>
    <w:rPr>
      <w:rFonts w:cs="Times New Roman"/>
    </w:rPr>
  </w:style>
  <w:style w:type="character" w:styleId="ListLabel60" w:customStyle="1">
    <w:name w:val="ListLabel 60"/>
    <w:qFormat/>
    <w:rsid w:val="00153259"/>
    <w:rPr>
      <w:rFonts w:cs="Times New Roman"/>
    </w:rPr>
  </w:style>
  <w:style w:type="character" w:styleId="ListLabel61" w:customStyle="1">
    <w:name w:val="ListLabel 61"/>
    <w:qFormat/>
    <w:rsid w:val="00153259"/>
    <w:rPr>
      <w:rFonts w:cs="Times New Roman"/>
    </w:rPr>
  </w:style>
  <w:style w:type="character" w:styleId="ListLabel62" w:customStyle="1">
    <w:name w:val="ListLabel 62"/>
    <w:qFormat/>
    <w:rsid w:val="00153259"/>
    <w:rPr>
      <w:rFonts w:cs="Times New Roman"/>
    </w:rPr>
  </w:style>
  <w:style w:type="character" w:styleId="ListLabel63" w:customStyle="1">
    <w:name w:val="ListLabel 63"/>
    <w:qFormat/>
    <w:rsid w:val="00153259"/>
    <w:rPr>
      <w:rFonts w:cs="Times New Roman"/>
    </w:rPr>
  </w:style>
  <w:style w:type="character" w:styleId="ListLabel64" w:customStyle="1">
    <w:name w:val="ListLabel 64"/>
    <w:qFormat/>
    <w:rsid w:val="00153259"/>
    <w:rPr>
      <w:rFonts w:cs="Times New Roman"/>
    </w:rPr>
  </w:style>
  <w:style w:type="character" w:styleId="ListLabel65" w:customStyle="1">
    <w:name w:val="ListLabel 65"/>
    <w:qFormat/>
    <w:rsid w:val="00153259"/>
    <w:rPr>
      <w:rFonts w:cs="Times New Roman"/>
    </w:rPr>
  </w:style>
  <w:style w:type="character" w:styleId="ListLabel66" w:customStyle="1">
    <w:name w:val="ListLabel 66"/>
    <w:qFormat/>
    <w:rsid w:val="00153259"/>
    <w:rPr>
      <w:rFonts w:cs="Times New Roman"/>
    </w:rPr>
  </w:style>
  <w:style w:type="character" w:styleId="ListLabel67" w:customStyle="1">
    <w:name w:val="ListLabel 67"/>
    <w:qFormat/>
    <w:rsid w:val="00153259"/>
    <w:rPr>
      <w:rFonts w:cs="Times New Roman"/>
    </w:rPr>
  </w:style>
  <w:style w:type="character" w:styleId="ListLabel68" w:customStyle="1">
    <w:name w:val="ListLabel 68"/>
    <w:qFormat/>
    <w:rsid w:val="00153259"/>
    <w:rPr>
      <w:rFonts w:cs="Times New Roman"/>
    </w:rPr>
  </w:style>
  <w:style w:type="character" w:styleId="ListLabel69" w:customStyle="1">
    <w:name w:val="ListLabel 69"/>
    <w:qFormat/>
    <w:rsid w:val="00153259"/>
    <w:rPr>
      <w:rFonts w:cs="Times New Roman"/>
    </w:rPr>
  </w:style>
  <w:style w:type="character" w:styleId="ListLabel70" w:customStyle="1">
    <w:name w:val="ListLabel 70"/>
    <w:qFormat/>
    <w:rsid w:val="00153259"/>
    <w:rPr>
      <w:rFonts w:cs="Times New Roman"/>
    </w:rPr>
  </w:style>
  <w:style w:type="character" w:styleId="ListLabel71" w:customStyle="1">
    <w:name w:val="ListLabel 71"/>
    <w:qFormat/>
    <w:rsid w:val="00153259"/>
    <w:rPr>
      <w:rFonts w:cs="Times New Roman"/>
    </w:rPr>
  </w:style>
  <w:style w:type="character" w:styleId="ListLabel72" w:customStyle="1">
    <w:name w:val="ListLabel 72"/>
    <w:qFormat/>
    <w:rsid w:val="00153259"/>
    <w:rPr>
      <w:rFonts w:cs="Times New Roman"/>
    </w:rPr>
  </w:style>
  <w:style w:type="character" w:styleId="ListLabel73" w:customStyle="1">
    <w:name w:val="ListLabel 73"/>
    <w:qFormat/>
    <w:rsid w:val="00153259"/>
    <w:rPr>
      <w:rFonts w:cs="Times New Roman"/>
    </w:rPr>
  </w:style>
  <w:style w:type="character" w:styleId="ListLabel74" w:customStyle="1">
    <w:name w:val="ListLabel 74"/>
    <w:qFormat/>
    <w:rsid w:val="00153259"/>
    <w:rPr>
      <w:rFonts w:cs="Times New Roman"/>
    </w:rPr>
  </w:style>
  <w:style w:type="character" w:styleId="ListLabel75" w:customStyle="1">
    <w:name w:val="ListLabel 75"/>
    <w:qFormat/>
    <w:rsid w:val="00153259"/>
    <w:rPr>
      <w:rFonts w:cs="Times New Roman"/>
    </w:rPr>
  </w:style>
  <w:style w:type="character" w:styleId="ListLabel76" w:customStyle="1">
    <w:name w:val="ListLabel 76"/>
    <w:qFormat/>
    <w:rsid w:val="00153259"/>
    <w:rPr>
      <w:rFonts w:cs="Times New Roman"/>
    </w:rPr>
  </w:style>
  <w:style w:type="character" w:styleId="ListLabel77" w:customStyle="1">
    <w:name w:val="ListLabel 77"/>
    <w:qFormat/>
    <w:rsid w:val="00153259"/>
    <w:rPr>
      <w:rFonts w:cs="Times New Roman"/>
    </w:rPr>
  </w:style>
  <w:style w:type="character" w:styleId="ListLabel78" w:customStyle="1">
    <w:name w:val="ListLabel 78"/>
    <w:qFormat/>
    <w:rsid w:val="00153259"/>
    <w:rPr>
      <w:rFonts w:cs="Times New Roman"/>
    </w:rPr>
  </w:style>
  <w:style w:type="character" w:styleId="ListLabel79" w:customStyle="1">
    <w:name w:val="ListLabel 79"/>
    <w:qFormat/>
    <w:rsid w:val="00153259"/>
    <w:rPr>
      <w:rFonts w:cs="Times New Roman"/>
    </w:rPr>
  </w:style>
  <w:style w:type="character" w:styleId="ListLabel80" w:customStyle="1">
    <w:name w:val="ListLabel 80"/>
    <w:qFormat/>
    <w:rsid w:val="00153259"/>
    <w:rPr>
      <w:rFonts w:cs="Times New Roman"/>
    </w:rPr>
  </w:style>
  <w:style w:type="character" w:styleId="ListLabel81" w:customStyle="1">
    <w:name w:val="ListLabel 81"/>
    <w:qFormat/>
    <w:rsid w:val="00153259"/>
    <w:rPr>
      <w:rFonts w:cs="Times New Roman"/>
    </w:rPr>
  </w:style>
  <w:style w:type="character" w:styleId="ListLabel82" w:customStyle="1">
    <w:name w:val="ListLabel 82"/>
    <w:qFormat/>
    <w:rsid w:val="00153259"/>
    <w:rPr>
      <w:rFonts w:cs="Times New Roman"/>
    </w:rPr>
  </w:style>
  <w:style w:type="character" w:styleId="ListLabel83" w:customStyle="1">
    <w:name w:val="ListLabel 83"/>
    <w:qFormat/>
    <w:rsid w:val="00153259"/>
    <w:rPr>
      <w:rFonts w:cs="Times New Roman"/>
    </w:rPr>
  </w:style>
  <w:style w:type="character" w:styleId="ListLabel84" w:customStyle="1">
    <w:name w:val="ListLabel 84"/>
    <w:qFormat/>
    <w:rsid w:val="00153259"/>
    <w:rPr>
      <w:rFonts w:cs="Times New Roman"/>
    </w:rPr>
  </w:style>
  <w:style w:type="character" w:styleId="ListLabel85" w:customStyle="1">
    <w:name w:val="ListLabel 85"/>
    <w:qFormat/>
    <w:rsid w:val="00153259"/>
    <w:rPr>
      <w:rFonts w:cs="Times New Roman"/>
    </w:rPr>
  </w:style>
  <w:style w:type="character" w:styleId="ListLabel86" w:customStyle="1">
    <w:name w:val="ListLabel 86"/>
    <w:qFormat/>
    <w:rsid w:val="00153259"/>
    <w:rPr>
      <w:rFonts w:cs="Times New Roman"/>
    </w:rPr>
  </w:style>
  <w:style w:type="character" w:styleId="ListLabel87" w:customStyle="1">
    <w:name w:val="ListLabel 87"/>
    <w:qFormat/>
    <w:rsid w:val="00153259"/>
    <w:rPr>
      <w:rFonts w:cs="Times New Roman"/>
    </w:rPr>
  </w:style>
  <w:style w:type="character" w:styleId="ListLabel88" w:customStyle="1">
    <w:name w:val="ListLabel 88"/>
    <w:qFormat/>
    <w:rsid w:val="00153259"/>
    <w:rPr>
      <w:rFonts w:cs="Times New Roman"/>
    </w:rPr>
  </w:style>
  <w:style w:type="character" w:styleId="ListLabel89" w:customStyle="1">
    <w:name w:val="ListLabel 89"/>
    <w:qFormat/>
    <w:rsid w:val="00153259"/>
    <w:rPr>
      <w:rFonts w:cs="Times New Roman"/>
    </w:rPr>
  </w:style>
  <w:style w:type="character" w:styleId="ListLabel90" w:customStyle="1">
    <w:name w:val="ListLabel 90"/>
    <w:qFormat/>
    <w:rsid w:val="00153259"/>
    <w:rPr>
      <w:rFonts w:cs="Times New Roman"/>
    </w:rPr>
  </w:style>
  <w:style w:type="character" w:styleId="ListLabel91" w:customStyle="1">
    <w:name w:val="ListLabel 91"/>
    <w:qFormat/>
    <w:rsid w:val="00153259"/>
    <w:rPr>
      <w:rFonts w:cs="Times New Roman"/>
      <w:b/>
      <w:sz w:val="22"/>
    </w:rPr>
  </w:style>
  <w:style w:type="character" w:styleId="ListLabel92" w:customStyle="1">
    <w:name w:val="ListLabel 92"/>
    <w:qFormat/>
    <w:rsid w:val="00153259"/>
    <w:rPr>
      <w:rFonts w:cs="Times New Roman"/>
    </w:rPr>
  </w:style>
  <w:style w:type="character" w:styleId="ListLabel93" w:customStyle="1">
    <w:name w:val="ListLabel 93"/>
    <w:qFormat/>
    <w:rsid w:val="00153259"/>
    <w:rPr>
      <w:rFonts w:cs="Times New Roman"/>
    </w:rPr>
  </w:style>
  <w:style w:type="character" w:styleId="ListLabel94" w:customStyle="1">
    <w:name w:val="ListLabel 94"/>
    <w:qFormat/>
    <w:rsid w:val="00153259"/>
    <w:rPr>
      <w:rFonts w:cs="Times New Roman"/>
    </w:rPr>
  </w:style>
  <w:style w:type="character" w:styleId="ListLabel95" w:customStyle="1">
    <w:name w:val="ListLabel 95"/>
    <w:qFormat/>
    <w:rsid w:val="00153259"/>
    <w:rPr>
      <w:rFonts w:cs="Times New Roman"/>
    </w:rPr>
  </w:style>
  <w:style w:type="character" w:styleId="ListLabel96" w:customStyle="1">
    <w:name w:val="ListLabel 96"/>
    <w:qFormat/>
    <w:rsid w:val="00153259"/>
    <w:rPr>
      <w:rFonts w:cs="Times New Roman"/>
    </w:rPr>
  </w:style>
  <w:style w:type="character" w:styleId="ListLabel97" w:customStyle="1">
    <w:name w:val="ListLabel 97"/>
    <w:qFormat/>
    <w:rsid w:val="00153259"/>
    <w:rPr>
      <w:rFonts w:cs="Times New Roman"/>
    </w:rPr>
  </w:style>
  <w:style w:type="character" w:styleId="ListLabel98" w:customStyle="1">
    <w:name w:val="ListLabel 98"/>
    <w:qFormat/>
    <w:rsid w:val="00153259"/>
    <w:rPr>
      <w:rFonts w:cs="Times New Roman"/>
    </w:rPr>
  </w:style>
  <w:style w:type="character" w:styleId="ListLabel99" w:customStyle="1">
    <w:name w:val="ListLabel 99"/>
    <w:qFormat/>
    <w:rsid w:val="00153259"/>
    <w:rPr>
      <w:rFonts w:cs="Times New Roman"/>
    </w:rPr>
  </w:style>
  <w:style w:type="character" w:styleId="ListLabel100" w:customStyle="1">
    <w:name w:val="ListLabel 100"/>
    <w:qFormat/>
    <w:rsid w:val="00153259"/>
    <w:rPr>
      <w:rFonts w:cs="Times New Roman"/>
    </w:rPr>
  </w:style>
  <w:style w:type="character" w:styleId="ListLabel101" w:customStyle="1">
    <w:name w:val="ListLabel 101"/>
    <w:qFormat/>
    <w:rsid w:val="00153259"/>
    <w:rPr>
      <w:rFonts w:cs="Times New Roman"/>
    </w:rPr>
  </w:style>
  <w:style w:type="character" w:styleId="ListLabel102" w:customStyle="1">
    <w:name w:val="ListLabel 102"/>
    <w:qFormat/>
    <w:rsid w:val="00153259"/>
    <w:rPr>
      <w:rFonts w:cs="Times New Roman"/>
    </w:rPr>
  </w:style>
  <w:style w:type="character" w:styleId="ListLabel103" w:customStyle="1">
    <w:name w:val="ListLabel 103"/>
    <w:qFormat/>
    <w:rsid w:val="00153259"/>
    <w:rPr>
      <w:rFonts w:cs="Times New Roman"/>
    </w:rPr>
  </w:style>
  <w:style w:type="character" w:styleId="ListLabel104" w:customStyle="1">
    <w:name w:val="ListLabel 104"/>
    <w:qFormat/>
    <w:rsid w:val="00153259"/>
    <w:rPr>
      <w:rFonts w:cs="Times New Roman"/>
    </w:rPr>
  </w:style>
  <w:style w:type="character" w:styleId="ListLabel105" w:customStyle="1">
    <w:name w:val="ListLabel 105"/>
    <w:qFormat/>
    <w:rsid w:val="00153259"/>
    <w:rPr>
      <w:rFonts w:cs="Times New Roman"/>
    </w:rPr>
  </w:style>
  <w:style w:type="character" w:styleId="ListLabel106" w:customStyle="1">
    <w:name w:val="ListLabel 106"/>
    <w:qFormat/>
    <w:rsid w:val="00153259"/>
    <w:rPr>
      <w:rFonts w:cs="Times New Roman"/>
    </w:rPr>
  </w:style>
  <w:style w:type="character" w:styleId="ListLabel107" w:customStyle="1">
    <w:name w:val="ListLabel 107"/>
    <w:qFormat/>
    <w:rsid w:val="00153259"/>
    <w:rPr>
      <w:rFonts w:cs="Times New Roman"/>
    </w:rPr>
  </w:style>
  <w:style w:type="character" w:styleId="ListLabel108" w:customStyle="1">
    <w:name w:val="ListLabel 108"/>
    <w:qFormat/>
    <w:rsid w:val="00153259"/>
    <w:rPr>
      <w:rFonts w:cs="Times New Roman"/>
    </w:rPr>
  </w:style>
  <w:style w:type="character" w:styleId="ListLabel109" w:customStyle="1">
    <w:name w:val="ListLabel 109"/>
    <w:qFormat/>
    <w:rsid w:val="00153259"/>
    <w:rPr>
      <w:rFonts w:cs="Times New Roman"/>
    </w:rPr>
  </w:style>
  <w:style w:type="character" w:styleId="ListLabel110" w:customStyle="1">
    <w:name w:val="ListLabel 110"/>
    <w:qFormat/>
    <w:rsid w:val="00153259"/>
    <w:rPr>
      <w:rFonts w:cs="Times New Roman"/>
    </w:rPr>
  </w:style>
  <w:style w:type="character" w:styleId="ListLabel111" w:customStyle="1">
    <w:name w:val="ListLabel 111"/>
    <w:qFormat/>
    <w:rsid w:val="00153259"/>
    <w:rPr>
      <w:rFonts w:cs="Times New Roman"/>
    </w:rPr>
  </w:style>
  <w:style w:type="character" w:styleId="ListLabel112" w:customStyle="1">
    <w:name w:val="ListLabel 112"/>
    <w:qFormat/>
    <w:rsid w:val="00153259"/>
    <w:rPr>
      <w:rFonts w:cs="Times New Roman"/>
    </w:rPr>
  </w:style>
  <w:style w:type="character" w:styleId="ListLabel113" w:customStyle="1">
    <w:name w:val="ListLabel 113"/>
    <w:qFormat/>
    <w:rsid w:val="00153259"/>
    <w:rPr>
      <w:rFonts w:cs="Times New Roman"/>
    </w:rPr>
  </w:style>
  <w:style w:type="character" w:styleId="ListLabel114" w:customStyle="1">
    <w:name w:val="ListLabel 114"/>
    <w:qFormat/>
    <w:rsid w:val="00153259"/>
    <w:rPr>
      <w:rFonts w:cs="Times New Roman"/>
    </w:rPr>
  </w:style>
  <w:style w:type="character" w:styleId="ListLabel115" w:customStyle="1">
    <w:name w:val="ListLabel 115"/>
    <w:qFormat/>
    <w:rsid w:val="00153259"/>
    <w:rPr>
      <w:rFonts w:cs="Times New Roman"/>
    </w:rPr>
  </w:style>
  <w:style w:type="character" w:styleId="ListLabel116" w:customStyle="1">
    <w:name w:val="ListLabel 116"/>
    <w:qFormat/>
    <w:rsid w:val="00153259"/>
    <w:rPr>
      <w:rFonts w:cs="Times New Roman"/>
    </w:rPr>
  </w:style>
  <w:style w:type="character" w:styleId="ListLabel117" w:customStyle="1">
    <w:name w:val="ListLabel 117"/>
    <w:qFormat/>
    <w:rsid w:val="00153259"/>
    <w:rPr>
      <w:rFonts w:cs="Times New Roman"/>
    </w:rPr>
  </w:style>
  <w:style w:type="character" w:styleId="ListLabel118" w:customStyle="1">
    <w:name w:val="ListLabel 118"/>
    <w:qFormat/>
    <w:rsid w:val="00153259"/>
    <w:rPr>
      <w:rFonts w:cs="Times New Roman"/>
      <w:sz w:val="22"/>
    </w:rPr>
  </w:style>
  <w:style w:type="character" w:styleId="ListLabel119" w:customStyle="1">
    <w:name w:val="ListLabel 119"/>
    <w:qFormat/>
    <w:rsid w:val="00153259"/>
    <w:rPr>
      <w:rFonts w:cs="Times New Roman"/>
    </w:rPr>
  </w:style>
  <w:style w:type="character" w:styleId="ListLabel120" w:customStyle="1">
    <w:name w:val="ListLabel 120"/>
    <w:qFormat/>
    <w:rsid w:val="00153259"/>
    <w:rPr>
      <w:rFonts w:cs="Times New Roman"/>
    </w:rPr>
  </w:style>
  <w:style w:type="character" w:styleId="ListLabel121" w:customStyle="1">
    <w:name w:val="ListLabel 121"/>
    <w:qFormat/>
    <w:rsid w:val="00153259"/>
    <w:rPr>
      <w:rFonts w:cs="Times New Roman"/>
    </w:rPr>
  </w:style>
  <w:style w:type="character" w:styleId="ListLabel122" w:customStyle="1">
    <w:name w:val="ListLabel 122"/>
    <w:qFormat/>
    <w:rsid w:val="00153259"/>
    <w:rPr>
      <w:rFonts w:cs="Times New Roman"/>
    </w:rPr>
  </w:style>
  <w:style w:type="character" w:styleId="ListLabel123" w:customStyle="1">
    <w:name w:val="ListLabel 123"/>
    <w:qFormat/>
    <w:rsid w:val="00153259"/>
    <w:rPr>
      <w:rFonts w:cs="Times New Roman"/>
    </w:rPr>
  </w:style>
  <w:style w:type="character" w:styleId="ListLabel124" w:customStyle="1">
    <w:name w:val="ListLabel 124"/>
    <w:qFormat/>
    <w:rsid w:val="00153259"/>
    <w:rPr>
      <w:rFonts w:cs="Times New Roman"/>
    </w:rPr>
  </w:style>
  <w:style w:type="character" w:styleId="ListLabel125" w:customStyle="1">
    <w:name w:val="ListLabel 125"/>
    <w:qFormat/>
    <w:rsid w:val="00153259"/>
    <w:rPr>
      <w:rFonts w:cs="Times New Roman"/>
    </w:rPr>
  </w:style>
  <w:style w:type="character" w:styleId="ListLabel126" w:customStyle="1">
    <w:name w:val="ListLabel 126"/>
    <w:qFormat/>
    <w:rsid w:val="00153259"/>
    <w:rPr>
      <w:rFonts w:cs="Times New Roman"/>
    </w:rPr>
  </w:style>
  <w:style w:type="character" w:styleId="ListLabel127" w:customStyle="1">
    <w:name w:val="ListLabel 127"/>
    <w:qFormat/>
    <w:rsid w:val="00153259"/>
    <w:rPr>
      <w:rFonts w:eastAsia="Times New Roman" w:cs="Arial Narrow"/>
    </w:rPr>
  </w:style>
  <w:style w:type="character" w:styleId="ListLabel128" w:customStyle="1">
    <w:name w:val="ListLabel 128"/>
    <w:qFormat/>
    <w:rsid w:val="00153259"/>
    <w:rPr>
      <w:rFonts w:eastAsia="Times New Roman" w:cs="Arial Narrow"/>
    </w:rPr>
  </w:style>
  <w:style w:type="character" w:styleId="ListLabel129" w:customStyle="1">
    <w:name w:val="ListLabel 129"/>
    <w:qFormat/>
    <w:rsid w:val="00153259"/>
    <w:rPr>
      <w:rFonts w:eastAsia="Times New Roman" w:cs="Arial Narrow"/>
    </w:rPr>
  </w:style>
  <w:style w:type="character" w:styleId="ListLabel130" w:customStyle="1">
    <w:name w:val="ListLabel 130"/>
    <w:qFormat/>
    <w:rsid w:val="00153259"/>
    <w:rPr>
      <w:rFonts w:eastAsia="Times New Roman" w:cs="Arial Narrow"/>
    </w:rPr>
  </w:style>
  <w:style w:type="character" w:styleId="ListLabel131" w:customStyle="1">
    <w:name w:val="ListLabel 131"/>
    <w:qFormat/>
    <w:rsid w:val="00153259"/>
    <w:rPr>
      <w:rFonts w:cs="Times New Roman"/>
    </w:rPr>
  </w:style>
  <w:style w:type="character" w:styleId="ListLabel132" w:customStyle="1">
    <w:name w:val="ListLabel 132"/>
    <w:qFormat/>
    <w:rsid w:val="00153259"/>
    <w:rPr>
      <w:rFonts w:cs="Times New Roman"/>
    </w:rPr>
  </w:style>
  <w:style w:type="character" w:styleId="ListLabel133" w:customStyle="1">
    <w:name w:val="ListLabel 133"/>
    <w:qFormat/>
    <w:rsid w:val="00153259"/>
    <w:rPr>
      <w:rFonts w:cs="Times New Roman"/>
    </w:rPr>
  </w:style>
  <w:style w:type="character" w:styleId="ListLabel134" w:customStyle="1">
    <w:name w:val="ListLabel 134"/>
    <w:qFormat/>
    <w:rsid w:val="00153259"/>
    <w:rPr>
      <w:rFonts w:cs="Times New Roman"/>
    </w:rPr>
  </w:style>
  <w:style w:type="character" w:styleId="ListLabel135" w:customStyle="1">
    <w:name w:val="ListLabel 135"/>
    <w:qFormat/>
    <w:rsid w:val="00153259"/>
    <w:rPr>
      <w:rFonts w:cs="Times New Roman"/>
    </w:rPr>
  </w:style>
  <w:style w:type="character" w:styleId="ListLabel136" w:customStyle="1">
    <w:name w:val="ListLabel 136"/>
    <w:qFormat/>
    <w:rsid w:val="00153259"/>
    <w:rPr>
      <w:rFonts w:cs="Times New Roman"/>
    </w:rPr>
  </w:style>
  <w:style w:type="character" w:styleId="ListLabel137" w:customStyle="1">
    <w:name w:val="ListLabel 137"/>
    <w:qFormat/>
    <w:rsid w:val="00153259"/>
    <w:rPr>
      <w:rFonts w:cs="Times New Roman"/>
    </w:rPr>
  </w:style>
  <w:style w:type="character" w:styleId="ListLabel138" w:customStyle="1">
    <w:name w:val="ListLabel 138"/>
    <w:qFormat/>
    <w:rsid w:val="00153259"/>
    <w:rPr>
      <w:rFonts w:cs="Times New Roman"/>
    </w:rPr>
  </w:style>
  <w:style w:type="character" w:styleId="ListLabel139" w:customStyle="1">
    <w:name w:val="ListLabel 139"/>
    <w:qFormat/>
    <w:rsid w:val="00153259"/>
    <w:rPr>
      <w:rFonts w:cs="Times New Roman"/>
    </w:rPr>
  </w:style>
  <w:style w:type="character" w:styleId="ListLabel140" w:customStyle="1">
    <w:name w:val="ListLabel 140"/>
    <w:qFormat/>
    <w:rsid w:val="00153259"/>
    <w:rPr>
      <w:rFonts w:eastAsia="Times New Roman" w:cs="Arial Narrow"/>
    </w:rPr>
  </w:style>
  <w:style w:type="character" w:styleId="ListLabel141" w:customStyle="1">
    <w:name w:val="ListLabel 141"/>
    <w:qFormat/>
    <w:rsid w:val="00153259"/>
    <w:rPr>
      <w:rFonts w:cs="Times New Roman"/>
    </w:rPr>
  </w:style>
  <w:style w:type="character" w:styleId="ListLabel142" w:customStyle="1">
    <w:name w:val="ListLabel 142"/>
    <w:qFormat/>
    <w:rsid w:val="00153259"/>
    <w:rPr>
      <w:rFonts w:cs="Times New Roman"/>
    </w:rPr>
  </w:style>
  <w:style w:type="character" w:styleId="ListLabel143" w:customStyle="1">
    <w:name w:val="ListLabel 143"/>
    <w:qFormat/>
    <w:rsid w:val="00153259"/>
    <w:rPr>
      <w:rFonts w:cs="Times New Roman"/>
    </w:rPr>
  </w:style>
  <w:style w:type="character" w:styleId="ListLabel144" w:customStyle="1">
    <w:name w:val="ListLabel 144"/>
    <w:qFormat/>
    <w:rsid w:val="00153259"/>
    <w:rPr>
      <w:rFonts w:cs="Times New Roman"/>
    </w:rPr>
  </w:style>
  <w:style w:type="character" w:styleId="ListLabel145" w:customStyle="1">
    <w:name w:val="ListLabel 145"/>
    <w:qFormat/>
    <w:rsid w:val="00153259"/>
    <w:rPr>
      <w:rFonts w:cs="Times New Roman"/>
    </w:rPr>
  </w:style>
  <w:style w:type="character" w:styleId="ListLabel146" w:customStyle="1">
    <w:name w:val="ListLabel 146"/>
    <w:qFormat/>
    <w:rsid w:val="00153259"/>
    <w:rPr>
      <w:rFonts w:cs="Times New Roman"/>
    </w:rPr>
  </w:style>
  <w:style w:type="character" w:styleId="ListLabel147" w:customStyle="1">
    <w:name w:val="ListLabel 147"/>
    <w:qFormat/>
    <w:rsid w:val="00153259"/>
    <w:rPr>
      <w:rFonts w:cs="Times New Roman"/>
    </w:rPr>
  </w:style>
  <w:style w:type="character" w:styleId="ListLabel148" w:customStyle="1">
    <w:name w:val="ListLabel 148"/>
    <w:qFormat/>
    <w:rsid w:val="00153259"/>
    <w:rPr>
      <w:rFonts w:cs="Times New Roman"/>
    </w:rPr>
  </w:style>
  <w:style w:type="character" w:styleId="ListLabel149" w:customStyle="1">
    <w:name w:val="ListLabel 149"/>
    <w:qFormat/>
    <w:rsid w:val="00153259"/>
    <w:rPr>
      <w:rFonts w:cs="Times New Roman"/>
    </w:rPr>
  </w:style>
  <w:style w:type="character" w:styleId="ListLabel150" w:customStyle="1">
    <w:name w:val="ListLabel 150"/>
    <w:qFormat/>
    <w:rsid w:val="00153259"/>
    <w:rPr>
      <w:rFonts w:cs="Times New Roman"/>
    </w:rPr>
  </w:style>
  <w:style w:type="character" w:styleId="ListLabel151" w:customStyle="1">
    <w:name w:val="ListLabel 151"/>
    <w:qFormat/>
    <w:rsid w:val="00153259"/>
    <w:rPr>
      <w:rFonts w:cs="Times New Roman"/>
    </w:rPr>
  </w:style>
  <w:style w:type="character" w:styleId="ListLabel152" w:customStyle="1">
    <w:name w:val="ListLabel 152"/>
    <w:qFormat/>
    <w:rsid w:val="00153259"/>
    <w:rPr>
      <w:rFonts w:cs="Times New Roman"/>
    </w:rPr>
  </w:style>
  <w:style w:type="character" w:styleId="ListLabel153" w:customStyle="1">
    <w:name w:val="ListLabel 153"/>
    <w:qFormat/>
    <w:rsid w:val="00153259"/>
    <w:rPr>
      <w:rFonts w:cs="Times New Roman"/>
    </w:rPr>
  </w:style>
  <w:style w:type="character" w:styleId="ListLabel154" w:customStyle="1">
    <w:name w:val="ListLabel 154"/>
    <w:qFormat/>
    <w:rsid w:val="00153259"/>
    <w:rPr>
      <w:rFonts w:cs="Times New Roman"/>
    </w:rPr>
  </w:style>
  <w:style w:type="character" w:styleId="ListLabel155" w:customStyle="1">
    <w:name w:val="ListLabel 155"/>
    <w:qFormat/>
    <w:rsid w:val="00153259"/>
    <w:rPr>
      <w:rFonts w:cs="Times New Roman"/>
    </w:rPr>
  </w:style>
  <w:style w:type="character" w:styleId="ListLabel156" w:customStyle="1">
    <w:name w:val="ListLabel 156"/>
    <w:qFormat/>
    <w:rsid w:val="00153259"/>
    <w:rPr>
      <w:rFonts w:cs="Times New Roman"/>
    </w:rPr>
  </w:style>
  <w:style w:type="character" w:styleId="ListLabel157" w:customStyle="1">
    <w:name w:val="ListLabel 157"/>
    <w:qFormat/>
    <w:rsid w:val="00153259"/>
    <w:rPr>
      <w:rFonts w:cs="Times New Roman"/>
    </w:rPr>
  </w:style>
  <w:style w:type="character" w:styleId="ListLabel158" w:customStyle="1">
    <w:name w:val="ListLabel 158"/>
    <w:qFormat/>
    <w:rsid w:val="00153259"/>
    <w:rPr>
      <w:rFonts w:cs="Times New Roman"/>
    </w:rPr>
  </w:style>
  <w:style w:type="character" w:styleId="ListLabel159" w:customStyle="1">
    <w:name w:val="ListLabel 159"/>
    <w:qFormat/>
    <w:rsid w:val="00153259"/>
    <w:rPr>
      <w:rFonts w:cs="Times New Roman"/>
    </w:rPr>
  </w:style>
  <w:style w:type="character" w:styleId="ListLabel160" w:customStyle="1">
    <w:name w:val="ListLabel 160"/>
    <w:qFormat/>
    <w:rsid w:val="00153259"/>
    <w:rPr>
      <w:rFonts w:cs="Times New Roman"/>
    </w:rPr>
  </w:style>
  <w:style w:type="character" w:styleId="ListLabel161" w:customStyle="1">
    <w:name w:val="ListLabel 161"/>
    <w:qFormat/>
    <w:rsid w:val="00153259"/>
    <w:rPr>
      <w:rFonts w:cs="Times New Roman"/>
    </w:rPr>
  </w:style>
  <w:style w:type="character" w:styleId="ListLabel162" w:customStyle="1">
    <w:name w:val="ListLabel 162"/>
    <w:qFormat/>
    <w:rsid w:val="00153259"/>
    <w:rPr>
      <w:rFonts w:cs="Times New Roman"/>
    </w:rPr>
  </w:style>
  <w:style w:type="character" w:styleId="ListLabel163" w:customStyle="1">
    <w:name w:val="ListLabel 163"/>
    <w:qFormat/>
    <w:rsid w:val="00153259"/>
    <w:rPr>
      <w:rFonts w:cs="Times New Roman"/>
    </w:rPr>
  </w:style>
  <w:style w:type="character" w:styleId="ListLabel164" w:customStyle="1">
    <w:name w:val="ListLabel 164"/>
    <w:qFormat/>
    <w:rsid w:val="00153259"/>
    <w:rPr>
      <w:rFonts w:cs="Times New Roman"/>
    </w:rPr>
  </w:style>
  <w:style w:type="character" w:styleId="ListLabel165" w:customStyle="1">
    <w:name w:val="ListLabel 165"/>
    <w:qFormat/>
    <w:rsid w:val="00153259"/>
    <w:rPr>
      <w:rFonts w:cs="Times New Roman"/>
    </w:rPr>
  </w:style>
  <w:style w:type="character" w:styleId="ListLabel166" w:customStyle="1">
    <w:name w:val="ListLabel 166"/>
    <w:qFormat/>
    <w:rsid w:val="00153259"/>
    <w:rPr>
      <w:rFonts w:cs="Times New Roman"/>
    </w:rPr>
  </w:style>
  <w:style w:type="character" w:styleId="ListLabel167" w:customStyle="1">
    <w:name w:val="ListLabel 167"/>
    <w:qFormat/>
    <w:rsid w:val="00153259"/>
    <w:rPr>
      <w:rFonts w:cs="Times New Roman"/>
    </w:rPr>
  </w:style>
  <w:style w:type="character" w:styleId="ListLabel168" w:customStyle="1">
    <w:name w:val="ListLabel 168"/>
    <w:qFormat/>
    <w:rsid w:val="00153259"/>
    <w:rPr>
      <w:rFonts w:cs="Times New Roman"/>
      <w:b/>
      <w:sz w:val="22"/>
    </w:rPr>
  </w:style>
  <w:style w:type="character" w:styleId="ListLabel169" w:customStyle="1">
    <w:name w:val="ListLabel 169"/>
    <w:qFormat/>
    <w:rsid w:val="00153259"/>
    <w:rPr>
      <w:rFonts w:cs="Times New Roman"/>
    </w:rPr>
  </w:style>
  <w:style w:type="character" w:styleId="ListLabel170" w:customStyle="1">
    <w:name w:val="ListLabel 170"/>
    <w:qFormat/>
    <w:rsid w:val="00153259"/>
    <w:rPr>
      <w:rFonts w:cs="Times New Roman"/>
    </w:rPr>
  </w:style>
  <w:style w:type="character" w:styleId="ListLabel171" w:customStyle="1">
    <w:name w:val="ListLabel 171"/>
    <w:qFormat/>
    <w:rsid w:val="00153259"/>
    <w:rPr>
      <w:rFonts w:cs="Times New Roman"/>
    </w:rPr>
  </w:style>
  <w:style w:type="character" w:styleId="ListLabel172" w:customStyle="1">
    <w:name w:val="ListLabel 172"/>
    <w:qFormat/>
    <w:rsid w:val="00153259"/>
    <w:rPr>
      <w:rFonts w:cs="Times New Roman"/>
    </w:rPr>
  </w:style>
  <w:style w:type="character" w:styleId="ListLabel173" w:customStyle="1">
    <w:name w:val="ListLabel 173"/>
    <w:qFormat/>
    <w:rsid w:val="00153259"/>
    <w:rPr>
      <w:rFonts w:cs="Times New Roman"/>
    </w:rPr>
  </w:style>
  <w:style w:type="character" w:styleId="ListLabel174" w:customStyle="1">
    <w:name w:val="ListLabel 174"/>
    <w:qFormat/>
    <w:rsid w:val="00153259"/>
    <w:rPr>
      <w:rFonts w:cs="Times New Roman"/>
    </w:rPr>
  </w:style>
  <w:style w:type="character" w:styleId="ListLabel175" w:customStyle="1">
    <w:name w:val="ListLabel 175"/>
    <w:qFormat/>
    <w:rsid w:val="00153259"/>
    <w:rPr>
      <w:rFonts w:cs="Times New Roman"/>
    </w:rPr>
  </w:style>
  <w:style w:type="character" w:styleId="ListLabel176" w:customStyle="1">
    <w:name w:val="ListLabel 176"/>
    <w:qFormat/>
    <w:rsid w:val="00153259"/>
    <w:rPr>
      <w:rFonts w:cs="Times New Roman"/>
    </w:rPr>
  </w:style>
  <w:style w:type="character" w:styleId="ListLabel177" w:customStyle="1">
    <w:name w:val="ListLabel 177"/>
    <w:qFormat/>
    <w:rsid w:val="00153259"/>
    <w:rPr>
      <w:rFonts w:cs="Times New Roman"/>
      <w:sz w:val="22"/>
    </w:rPr>
  </w:style>
  <w:style w:type="character" w:styleId="ListLabel178" w:customStyle="1">
    <w:name w:val="ListLabel 178"/>
    <w:qFormat/>
    <w:rsid w:val="00153259"/>
    <w:rPr>
      <w:rFonts w:cs="Times New Roman"/>
    </w:rPr>
  </w:style>
  <w:style w:type="character" w:styleId="ListLabel179" w:customStyle="1">
    <w:name w:val="ListLabel 179"/>
    <w:qFormat/>
    <w:rsid w:val="00153259"/>
    <w:rPr>
      <w:rFonts w:cs="Times New Roman"/>
    </w:rPr>
  </w:style>
  <w:style w:type="character" w:styleId="ListLabel180" w:customStyle="1">
    <w:name w:val="ListLabel 180"/>
    <w:qFormat/>
    <w:rsid w:val="00153259"/>
    <w:rPr>
      <w:rFonts w:cs="Times New Roman"/>
    </w:rPr>
  </w:style>
  <w:style w:type="character" w:styleId="ListLabel181" w:customStyle="1">
    <w:name w:val="ListLabel 181"/>
    <w:qFormat/>
    <w:rsid w:val="00153259"/>
    <w:rPr>
      <w:rFonts w:cs="Times New Roman"/>
    </w:rPr>
  </w:style>
  <w:style w:type="character" w:styleId="ListLabel182" w:customStyle="1">
    <w:name w:val="ListLabel 182"/>
    <w:qFormat/>
    <w:rsid w:val="00153259"/>
    <w:rPr>
      <w:rFonts w:cs="Times New Roman"/>
    </w:rPr>
  </w:style>
  <w:style w:type="character" w:styleId="ListLabel183" w:customStyle="1">
    <w:name w:val="ListLabel 183"/>
    <w:qFormat/>
    <w:rsid w:val="00153259"/>
    <w:rPr>
      <w:rFonts w:cs="Times New Roman"/>
    </w:rPr>
  </w:style>
  <w:style w:type="character" w:styleId="ListLabel184" w:customStyle="1">
    <w:name w:val="ListLabel 184"/>
    <w:qFormat/>
    <w:rsid w:val="00153259"/>
    <w:rPr>
      <w:rFonts w:cs="Times New Roman"/>
    </w:rPr>
  </w:style>
  <w:style w:type="character" w:styleId="ListLabel185" w:customStyle="1">
    <w:name w:val="ListLabel 185"/>
    <w:qFormat/>
    <w:rsid w:val="00153259"/>
    <w:rPr>
      <w:rFonts w:cs="Times New Roman"/>
    </w:rPr>
  </w:style>
  <w:style w:type="character" w:styleId="HlavikaChar1" w:customStyle="1">
    <w:name w:val="Hlavička Char1"/>
    <w:basedOn w:val="DefaultParagraphFont"/>
    <w:link w:val="Hlavika"/>
    <w:uiPriority w:val="99"/>
    <w:qFormat/>
    <w:rsid w:val="000076fe"/>
    <w:rPr>
      <w:rFonts w:cs="Mangal"/>
      <w:sz w:val="24"/>
      <w:szCs w:val="21"/>
    </w:rPr>
  </w:style>
  <w:style w:type="character" w:styleId="PtaChar1" w:customStyle="1">
    <w:name w:val="Päta Char1"/>
    <w:basedOn w:val="DefaultParagraphFont"/>
    <w:link w:val="Pta"/>
    <w:uiPriority w:val="99"/>
    <w:qFormat/>
    <w:rsid w:val="000076fe"/>
    <w:rPr>
      <w:rFonts w:cs="Mangal"/>
      <w:sz w:val="24"/>
      <w:szCs w:val="21"/>
    </w:rPr>
  </w:style>
  <w:style w:type="character" w:styleId="ListLabel186">
    <w:name w:val="ListLabel 186"/>
    <w:qFormat/>
    <w:rPr>
      <w:rFonts w:cs="Times New Roman"/>
    </w:rPr>
  </w:style>
  <w:style w:type="character" w:styleId="ListLabel187">
    <w:name w:val="ListLabel 187"/>
    <w:qFormat/>
    <w:rPr>
      <w:rFonts w:cs="Times New Roman"/>
    </w:rPr>
  </w:style>
  <w:style w:type="character" w:styleId="ListLabel188">
    <w:name w:val="ListLabel 188"/>
    <w:qFormat/>
    <w:rPr>
      <w:rFonts w:cs="Times New Roman"/>
    </w:rPr>
  </w:style>
  <w:style w:type="character" w:styleId="ListLabel189">
    <w:name w:val="ListLabel 189"/>
    <w:qFormat/>
    <w:rPr>
      <w:rFonts w:cs="Times New Roman"/>
    </w:rPr>
  </w:style>
  <w:style w:type="character" w:styleId="ListLabel190">
    <w:name w:val="ListLabel 190"/>
    <w:qFormat/>
    <w:rPr>
      <w:rFonts w:cs="Times New Roman"/>
    </w:rPr>
  </w:style>
  <w:style w:type="character" w:styleId="ListLabel191">
    <w:name w:val="ListLabel 191"/>
    <w:qFormat/>
    <w:rPr>
      <w:rFonts w:cs="Times New Roman"/>
    </w:rPr>
  </w:style>
  <w:style w:type="character" w:styleId="ListLabel192">
    <w:name w:val="ListLabel 192"/>
    <w:qFormat/>
    <w:rPr>
      <w:rFonts w:cs="Times New Roman"/>
    </w:rPr>
  </w:style>
  <w:style w:type="character" w:styleId="ListLabel193">
    <w:name w:val="ListLabel 193"/>
    <w:qFormat/>
    <w:rPr>
      <w:rFonts w:cs="Times New Roman"/>
    </w:rPr>
  </w:style>
  <w:style w:type="character" w:styleId="ListLabel194">
    <w:name w:val="ListLabel 194"/>
    <w:qFormat/>
    <w:rPr>
      <w:rFonts w:cs="Times New Roman"/>
    </w:rPr>
  </w:style>
  <w:style w:type="character" w:styleId="ListLabel195">
    <w:name w:val="ListLabel 195"/>
    <w:qFormat/>
    <w:rPr>
      <w:rFonts w:cs="Times New Roman"/>
      <w:b/>
      <w:sz w:val="22"/>
    </w:rPr>
  </w:style>
  <w:style w:type="character" w:styleId="ListLabel196">
    <w:name w:val="ListLabel 196"/>
    <w:qFormat/>
    <w:rPr>
      <w:rFonts w:cs="Times New Roman"/>
    </w:rPr>
  </w:style>
  <w:style w:type="character" w:styleId="ListLabel197">
    <w:name w:val="ListLabel 197"/>
    <w:qFormat/>
    <w:rPr>
      <w:rFonts w:cs="Times New Roman"/>
    </w:rPr>
  </w:style>
  <w:style w:type="character" w:styleId="ListLabel198">
    <w:name w:val="ListLabel 198"/>
    <w:qFormat/>
    <w:rPr>
      <w:rFonts w:cs="Times New Roman"/>
    </w:rPr>
  </w:style>
  <w:style w:type="character" w:styleId="ListLabel199">
    <w:name w:val="ListLabel 199"/>
    <w:qFormat/>
    <w:rPr>
      <w:rFonts w:cs="Times New Roman"/>
    </w:rPr>
  </w:style>
  <w:style w:type="character" w:styleId="ListLabel200">
    <w:name w:val="ListLabel 200"/>
    <w:qFormat/>
    <w:rPr>
      <w:rFonts w:cs="Times New Roman"/>
    </w:rPr>
  </w:style>
  <w:style w:type="character" w:styleId="ListLabel201">
    <w:name w:val="ListLabel 201"/>
    <w:qFormat/>
    <w:rPr>
      <w:rFonts w:cs="Times New Roman"/>
    </w:rPr>
  </w:style>
  <w:style w:type="character" w:styleId="ListLabel202">
    <w:name w:val="ListLabel 202"/>
    <w:qFormat/>
    <w:rPr>
      <w:rFonts w:cs="Times New Roman"/>
    </w:rPr>
  </w:style>
  <w:style w:type="character" w:styleId="ListLabel203">
    <w:name w:val="ListLabel 203"/>
    <w:qFormat/>
    <w:rPr>
      <w:rFonts w:cs="Times New Roman"/>
    </w:rPr>
  </w:style>
  <w:style w:type="character" w:styleId="ListLabel204">
    <w:name w:val="ListLabel 204"/>
    <w:qFormat/>
    <w:rPr>
      <w:rFonts w:cs="Times New Roman"/>
      <w:sz w:val="22"/>
    </w:rPr>
  </w:style>
  <w:style w:type="character" w:styleId="ListLabel205">
    <w:name w:val="ListLabel 205"/>
    <w:qFormat/>
    <w:rPr>
      <w:rFonts w:cs="Times New Roman"/>
    </w:rPr>
  </w:style>
  <w:style w:type="character" w:styleId="ListLabel206">
    <w:name w:val="ListLabel 206"/>
    <w:qFormat/>
    <w:rPr>
      <w:rFonts w:cs="Times New Roman"/>
    </w:rPr>
  </w:style>
  <w:style w:type="character" w:styleId="ListLabel207">
    <w:name w:val="ListLabel 207"/>
    <w:qFormat/>
    <w:rPr>
      <w:rFonts w:cs="Times New Roman"/>
    </w:rPr>
  </w:style>
  <w:style w:type="character" w:styleId="ListLabel208">
    <w:name w:val="ListLabel 208"/>
    <w:qFormat/>
    <w:rPr>
      <w:rFonts w:cs="Times New Roman"/>
    </w:rPr>
  </w:style>
  <w:style w:type="character" w:styleId="ListLabel209">
    <w:name w:val="ListLabel 209"/>
    <w:qFormat/>
    <w:rPr>
      <w:rFonts w:cs="Times New Roman"/>
    </w:rPr>
  </w:style>
  <w:style w:type="character" w:styleId="ListLabel210">
    <w:name w:val="ListLabel 210"/>
    <w:qFormat/>
    <w:rPr>
      <w:rFonts w:cs="Times New Roman"/>
    </w:rPr>
  </w:style>
  <w:style w:type="character" w:styleId="ListLabel211">
    <w:name w:val="ListLabel 211"/>
    <w:qFormat/>
    <w:rPr>
      <w:rFonts w:cs="Times New Roman"/>
    </w:rPr>
  </w:style>
  <w:style w:type="character" w:styleId="ListLabel212">
    <w:name w:val="ListLabel 212"/>
    <w:qFormat/>
    <w:rPr>
      <w:rFonts w:cs="Times New Roman"/>
    </w:rPr>
  </w:style>
  <w:style w:type="paragraph" w:styleId="Nadpis" w:customStyle="1">
    <w:name w:val="Nadpis"/>
    <w:basedOn w:val="Normal"/>
    <w:next w:val="Telotextu"/>
    <w:qFormat/>
    <w:rsid w:val="00153259"/>
    <w:pPr>
      <w:keepNext w:val="true"/>
      <w:spacing w:before="240" w:after="120"/>
    </w:pPr>
    <w:rPr>
      <w:rFonts w:ascii="Liberation Sans" w:hAnsi="Liberation Sans" w:eastAsia="Microsoft YaHei"/>
      <w:sz w:val="28"/>
      <w:szCs w:val="28"/>
    </w:rPr>
  </w:style>
  <w:style w:type="paragraph" w:styleId="Telotextu">
    <w:name w:val="Body Text"/>
    <w:basedOn w:val="Normal"/>
    <w:rsid w:val="00153259"/>
    <w:pPr>
      <w:spacing w:lineRule="auto" w:line="276" w:before="0" w:after="140"/>
    </w:pPr>
    <w:rPr/>
  </w:style>
  <w:style w:type="paragraph" w:styleId="Zoznam">
    <w:name w:val="List"/>
    <w:basedOn w:val="Telotextu"/>
    <w:rsid w:val="00153259"/>
    <w:pPr/>
    <w:rPr/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 w:customStyle="1">
    <w:name w:val="Index"/>
    <w:basedOn w:val="Normal"/>
    <w:qFormat/>
    <w:rsid w:val="00153259"/>
    <w:pPr>
      <w:suppressLineNumbers/>
    </w:pPr>
    <w:rPr/>
  </w:style>
  <w:style w:type="paragraph" w:styleId="Nadpis21" w:customStyle="1">
    <w:name w:val="Nadpis 21"/>
    <w:qFormat/>
    <w:rsid w:val="00153259"/>
    <w:pPr>
      <w:keepNext w:val="true"/>
      <w:widowControl/>
      <w:bidi w:val="0"/>
      <w:spacing w:lineRule="auto" w:line="360" w:before="240" w:after="60"/>
      <w:jc w:val="both"/>
      <w:outlineLvl w:val="1"/>
    </w:pPr>
    <w:rPr>
      <w:rFonts w:ascii="Arial Narrow" w:hAnsi="Arial Narrow" w:eastAsia="NSimSun" w:cs="Arial"/>
      <w:b/>
      <w:bCs/>
      <w:i/>
      <w:iCs/>
      <w:color w:val="auto"/>
      <w:kern w:val="2"/>
      <w:sz w:val="28"/>
      <w:szCs w:val="28"/>
      <w:lang w:eastAsia="cs-CZ" w:bidi="ar-SA" w:val="sk-SK"/>
    </w:rPr>
  </w:style>
  <w:style w:type="paragraph" w:styleId="Popis1" w:customStyle="1">
    <w:name w:val="Popis1"/>
    <w:basedOn w:val="Normal"/>
    <w:qFormat/>
    <w:rsid w:val="00153259"/>
    <w:pPr>
      <w:suppressLineNumbers/>
      <w:spacing w:before="120" w:after="120"/>
    </w:pPr>
    <w:rPr>
      <w:i/>
      <w:iCs/>
    </w:rPr>
  </w:style>
  <w:style w:type="paragraph" w:styleId="Normalpodnadpis" w:customStyle="1">
    <w:name w:val="Normal;podnadpis"/>
    <w:qFormat/>
    <w:rsid w:val="00153259"/>
    <w:pPr>
      <w:widowControl/>
      <w:bidi w:val="0"/>
      <w:spacing w:lineRule="auto" w:line="360" w:before="120" w:after="120"/>
      <w:jc w:val="both"/>
    </w:pPr>
    <w:rPr>
      <w:rFonts w:ascii="Arial Narrow" w:hAnsi="Arial Narrow" w:eastAsia="Courier New" w:cs="Arial"/>
      <w:color w:val="auto"/>
      <w:kern w:val="2"/>
      <w:sz w:val="24"/>
      <w:szCs w:val="24"/>
      <w:lang w:eastAsia="cs-CZ" w:bidi="ar-SA" w:val="sk-SK"/>
    </w:rPr>
  </w:style>
  <w:style w:type="paragraph" w:styleId="Heading1Nadpisopatrenia1" w:customStyle="1">
    <w:name w:val="heading 1;Nadpis opatrenia  1"/>
    <w:basedOn w:val="Normalpodnadpis"/>
    <w:qFormat/>
    <w:rsid w:val="00153259"/>
    <w:pPr>
      <w:keepNext w:val="true"/>
      <w:jc w:val="center"/>
      <w:outlineLvl w:val="0"/>
    </w:pPr>
    <w:rPr>
      <w:b/>
      <w:bCs/>
      <w:lang w:eastAsia="sk-SK"/>
    </w:rPr>
  </w:style>
  <w:style w:type="paragraph" w:styleId="DocumentMap" w:customStyle="1">
    <w:name w:val="DocumentMap"/>
    <w:qFormat/>
    <w:rsid w:val="00153259"/>
    <w:pPr>
      <w:widowControl/>
      <w:bidi w:val="0"/>
      <w:jc w:val="left"/>
    </w:pPr>
    <w:rPr>
      <w:rFonts w:ascii="Times New Roman" w:hAnsi="Times New Roman" w:eastAsia="Courier New" w:cs="Times New Roman"/>
      <w:color w:val="auto"/>
      <w:kern w:val="2"/>
      <w:sz w:val="24"/>
      <w:szCs w:val="20"/>
      <w:lang w:eastAsia="sk-SK" w:bidi="ar-SA" w:val="sk-SK"/>
    </w:rPr>
  </w:style>
  <w:style w:type="paragraph" w:styleId="Tl11ptTuniernaPodaokrajaVavo019cmRiadkova" w:customStyle="1">
    <w:name w:val="Štýl 11 pt Tučné Čierna Podľa okraja Vľavo:  019 cm Riadkova..."/>
    <w:qFormat/>
    <w:rsid w:val="00153259"/>
    <w:pPr>
      <w:widowControl/>
      <w:bidi w:val="0"/>
      <w:spacing w:lineRule="auto" w:line="360"/>
      <w:jc w:val="both"/>
    </w:pPr>
    <w:rPr>
      <w:rFonts w:ascii="Arial" w:hAnsi="Arial" w:eastAsia="Courier New" w:cs="Arial"/>
      <w:color w:val="000000"/>
      <w:kern w:val="2"/>
      <w:sz w:val="24"/>
      <w:szCs w:val="24"/>
      <w:lang w:eastAsia="cs-CZ" w:bidi="ar-SA" w:val="sk-SK"/>
    </w:rPr>
  </w:style>
  <w:style w:type="paragraph" w:styleId="TlPodaokrajaVavo019cmRiadkovanie15riadka" w:customStyle="1">
    <w:name w:val="Štýl Podľa okraja Vľavo:  019 cm Riadkovanie:  15 riadka"/>
    <w:basedOn w:val="Normalpodnadpis"/>
    <w:autoRedefine/>
    <w:qFormat/>
    <w:rsid w:val="00153259"/>
    <w:pPr>
      <w:ind w:left="108" w:hanging="0"/>
    </w:pPr>
    <w:rPr/>
  </w:style>
  <w:style w:type="paragraph" w:styleId="Bododvodnenie" w:customStyle="1">
    <w:name w:val="Bod odôvodnenie"/>
    <w:qFormat/>
    <w:rsid w:val="00153259"/>
    <w:pPr>
      <w:widowControl/>
      <w:tabs>
        <w:tab w:val="clear" w:pos="709"/>
        <w:tab w:val="left" w:pos="0" w:leader="none"/>
      </w:tabs>
      <w:bidi w:val="0"/>
      <w:spacing w:before="120" w:after="120"/>
      <w:jc w:val="left"/>
    </w:pPr>
    <w:rPr>
      <w:rFonts w:ascii="Arial" w:hAnsi="Arial" w:eastAsia="Courier New" w:cs="Arial"/>
      <w:b/>
      <w:bCs/>
      <w:color w:val="auto"/>
      <w:kern w:val="2"/>
      <w:sz w:val="24"/>
      <w:szCs w:val="24"/>
      <w:lang w:eastAsia="cs-CZ" w:bidi="ar-SA" w:val="sk-SK"/>
    </w:rPr>
  </w:style>
  <w:style w:type="paragraph" w:styleId="TlArialPodaokraja" w:customStyle="1">
    <w:name w:val="Štýl Arial Podľa okraja"/>
    <w:autoRedefine/>
    <w:qFormat/>
    <w:rsid w:val="00153259"/>
    <w:pPr>
      <w:widowControl/>
      <w:bidi w:val="0"/>
      <w:jc w:val="both"/>
    </w:pPr>
    <w:rPr>
      <w:rFonts w:ascii="Arial" w:hAnsi="Arial" w:eastAsia="Courier New" w:cs="Arial"/>
      <w:color w:val="auto"/>
      <w:kern w:val="2"/>
      <w:sz w:val="16"/>
      <w:szCs w:val="16"/>
      <w:lang w:eastAsia="cs-CZ" w:bidi="ar-SA" w:val="sk-SK"/>
    </w:rPr>
  </w:style>
  <w:style w:type="paragraph" w:styleId="Textpoznmky" w:customStyle="1">
    <w:name w:val="Text poznámky"/>
    <w:basedOn w:val="Normalpodnadpis"/>
    <w:autoRedefine/>
    <w:qFormat/>
    <w:rsid w:val="00153259"/>
    <w:pPr>
      <w:tabs>
        <w:tab w:val="clear" w:pos="709"/>
        <w:tab w:val="left" w:pos="0" w:leader="none"/>
      </w:tabs>
    </w:pPr>
    <w:rPr/>
  </w:style>
  <w:style w:type="paragraph" w:styleId="Mriekatabuky1" w:customStyle="1">
    <w:name w:val="Mriežka tabuľky1"/>
    <w:basedOn w:val="DocumentMap"/>
    <w:qFormat/>
    <w:rsid w:val="00153259"/>
    <w:pPr/>
    <w:rPr>
      <w:rFonts w:ascii="Arial" w:hAnsi="Arial" w:cs="Arial"/>
    </w:rPr>
  </w:style>
  <w:style w:type="paragraph" w:styleId="Pta1" w:customStyle="1">
    <w:name w:val="Päta1"/>
    <w:basedOn w:val="Normalpodnadpis"/>
    <w:qFormat/>
    <w:rsid w:val="00153259"/>
    <w:pPr>
      <w:tabs>
        <w:tab w:val="clear" w:pos="709"/>
        <w:tab w:val="center" w:pos="4536" w:leader="none"/>
        <w:tab w:val="right" w:pos="9072" w:leader="none"/>
      </w:tabs>
    </w:pPr>
    <w:rPr/>
  </w:style>
  <w:style w:type="paragraph" w:styleId="Normlny1" w:customStyle="1">
    <w:name w:val="Normálny1"/>
    <w:qFormat/>
    <w:rsid w:val="00153259"/>
    <w:pPr>
      <w:widowControl/>
      <w:bidi w:val="0"/>
      <w:spacing w:lineRule="auto" w:line="360" w:before="120" w:after="120"/>
      <w:ind w:firstLine="709"/>
      <w:jc w:val="both"/>
    </w:pPr>
    <w:rPr>
      <w:rFonts w:ascii="Arial" w:hAnsi="Arial" w:eastAsia="Courier New" w:cs="Arial"/>
      <w:color w:val="auto"/>
      <w:kern w:val="2"/>
      <w:sz w:val="24"/>
      <w:szCs w:val="24"/>
      <w:lang w:eastAsia="cs-CZ" w:bidi="ar-SA" w:val="sk-SK"/>
    </w:rPr>
  </w:style>
  <w:style w:type="paragraph" w:styleId="Textopatrenia" w:customStyle="1">
    <w:name w:val="Text opatrenia"/>
    <w:qFormat/>
    <w:rsid w:val="00153259"/>
    <w:pPr>
      <w:widowControl/>
      <w:tabs>
        <w:tab w:val="clear" w:pos="709"/>
        <w:tab w:val="left" w:pos="1440" w:leader="none"/>
      </w:tabs>
      <w:bidi w:val="0"/>
      <w:spacing w:before="120" w:after="120"/>
      <w:ind w:left="1440" w:hanging="360"/>
      <w:jc w:val="both"/>
    </w:pPr>
    <w:rPr>
      <w:rFonts w:ascii="Arial Narrow" w:hAnsi="Arial Narrow" w:eastAsia="Courier New" w:cs="Arial"/>
      <w:color w:val="auto"/>
      <w:kern w:val="2"/>
      <w:sz w:val="22"/>
      <w:szCs w:val="22"/>
      <w:lang w:eastAsia="cs-CZ" w:bidi="ar-SA" w:val="sk-SK"/>
    </w:rPr>
  </w:style>
  <w:style w:type="paragraph" w:styleId="TopHeader" w:customStyle="1">
    <w:name w:val="Top Header"/>
    <w:basedOn w:val="Normalpodnadpis"/>
    <w:qFormat/>
    <w:rsid w:val="00153259"/>
    <w:pPr>
      <w:jc w:val="center"/>
    </w:pPr>
    <w:rPr>
      <w:rFonts w:cs="Times New Roman"/>
      <w:b/>
      <w:bCs/>
      <w:sz w:val="22"/>
      <w:szCs w:val="22"/>
      <w:lang w:eastAsia="en-US"/>
    </w:rPr>
  </w:style>
  <w:style w:type="paragraph" w:styleId="BalloonText">
    <w:name w:val="Balloon Text"/>
    <w:basedOn w:val="Normalpodnadpis"/>
    <w:qFormat/>
    <w:rsid w:val="00153259"/>
    <w:pPr/>
    <w:rPr>
      <w:rFonts w:ascii="Tahoma" w:hAnsi="Tahoma" w:cs="Tahoma"/>
      <w:sz w:val="16"/>
      <w:szCs w:val="16"/>
    </w:rPr>
  </w:style>
  <w:style w:type="paragraph" w:styleId="Hlavika1" w:customStyle="1">
    <w:name w:val="Hlavička1"/>
    <w:basedOn w:val="Normalpodnadpis"/>
    <w:qFormat/>
    <w:rsid w:val="00153259"/>
    <w:pPr>
      <w:tabs>
        <w:tab w:val="clear" w:pos="709"/>
        <w:tab w:val="center" w:pos="4536" w:leader="none"/>
        <w:tab w:val="right" w:pos="9072" w:leader="none"/>
      </w:tabs>
    </w:pPr>
    <w:rPr/>
  </w:style>
  <w:style w:type="paragraph" w:styleId="NoSpacing">
    <w:name w:val="No Spacing"/>
    <w:qFormat/>
    <w:rsid w:val="00153259"/>
    <w:pPr>
      <w:widowControl/>
      <w:bidi w:val="0"/>
      <w:jc w:val="both"/>
    </w:pPr>
    <w:rPr>
      <w:rFonts w:ascii="Arial Narrow" w:hAnsi="Arial Narrow" w:eastAsia="Courier New" w:cs="Arial"/>
      <w:color w:val="auto"/>
      <w:kern w:val="2"/>
      <w:sz w:val="24"/>
      <w:szCs w:val="24"/>
      <w:lang w:eastAsia="cs-CZ" w:bidi="ar-SA" w:val="sk-SK"/>
    </w:rPr>
  </w:style>
  <w:style w:type="paragraph" w:styleId="Obsahtabuky" w:customStyle="1">
    <w:name w:val="Obsah tabuľky"/>
    <w:basedOn w:val="Normal"/>
    <w:qFormat/>
    <w:rsid w:val="00153259"/>
    <w:pPr>
      <w:suppressLineNumbers/>
    </w:pPr>
    <w:rPr/>
  </w:style>
  <w:style w:type="paragraph" w:styleId="Nadpistabuky" w:customStyle="1">
    <w:name w:val="Nadpis tabuľky"/>
    <w:basedOn w:val="Obsahtabuky"/>
    <w:qFormat/>
    <w:rsid w:val="00153259"/>
    <w:pPr>
      <w:jc w:val="center"/>
    </w:pPr>
    <w:rPr>
      <w:b/>
      <w:bCs/>
    </w:rPr>
  </w:style>
  <w:style w:type="paragraph" w:styleId="Hlavika">
    <w:name w:val="Header"/>
    <w:basedOn w:val="Normal"/>
    <w:link w:val="HlavikaChar1"/>
    <w:uiPriority w:val="99"/>
    <w:unhideWhenUsed/>
    <w:rsid w:val="000076fe"/>
    <w:pPr>
      <w:tabs>
        <w:tab w:val="clear" w:pos="709"/>
        <w:tab w:val="center" w:pos="4536" w:leader="none"/>
        <w:tab w:val="right" w:pos="9072" w:leader="none"/>
      </w:tabs>
    </w:pPr>
    <w:rPr>
      <w:rFonts w:cs="Mangal"/>
      <w:szCs w:val="21"/>
    </w:rPr>
  </w:style>
  <w:style w:type="paragraph" w:styleId="Pta">
    <w:name w:val="Footer"/>
    <w:basedOn w:val="Normal"/>
    <w:link w:val="PtaChar1"/>
    <w:uiPriority w:val="99"/>
    <w:unhideWhenUsed/>
    <w:rsid w:val="000076fe"/>
    <w:pPr>
      <w:tabs>
        <w:tab w:val="clear" w:pos="709"/>
        <w:tab w:val="center" w:pos="4536" w:leader="none"/>
        <w:tab w:val="right" w:pos="9072" w:leader="none"/>
      </w:tabs>
    </w:pPr>
    <w:rPr>
      <w:rFonts w:cs="Mangal"/>
      <w:szCs w:val="21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oter" Target="footer1.xml"/><Relationship Id="rId3" Type="http://schemas.openxmlformats.org/officeDocument/2006/relationships/header" Target="header1.xml"/><Relationship Id="rId4" Type="http://schemas.openxmlformats.org/officeDocument/2006/relationships/header" Target="header2.xml"/><Relationship Id="rId5" Type="http://schemas.openxmlformats.org/officeDocument/2006/relationships/footer" Target="footer2.xml"/><Relationship Id="rId6" Type="http://schemas.openxmlformats.org/officeDocument/2006/relationships/footer" Target="footer3.xml"/><Relationship Id="rId7" Type="http://schemas.openxmlformats.org/officeDocument/2006/relationships/numbering" Target="numbering.xml"/><Relationship Id="rId8" Type="http://schemas.openxmlformats.org/officeDocument/2006/relationships/fontTable" Target="fontTable.xml"/><Relationship Id="rId9" Type="http://schemas.openxmlformats.org/officeDocument/2006/relationships/settings" Target="settings.xml"/><Relationship Id="rId10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313</TotalTime>
  <Application>LibreOffice/6.2.1.2$Windows_X86_64 LibreOffice_project/7bcb35dc3024a62dea0caee87020152d1ee96e71</Application>
  <Pages>16</Pages>
  <Words>3507</Words>
  <Characters>21819</Characters>
  <CharactersWithSpaces>24825</CharactersWithSpaces>
  <Paragraphs>635</Paragraphs>
  <Company>MF-SR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2024-07-01T14:03:00Z</dcterms:created>
  <dc:creator>jvrskova</dc:creator>
  <dc:description/>
  <dc:language>sk-SK</dc:language>
  <cp:lastModifiedBy/>
  <cp:lastPrinted>2025-07-14T13:59:00Z</cp:lastPrinted>
  <dcterms:modified xsi:type="dcterms:W3CDTF">2025-07-15T20:36:25Z</dcterms:modified>
  <cp:revision>39</cp:revision>
  <dc:subject/>
  <dc:title>Príloha č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Company">
    <vt:lpwstr>MF-SR</vt:lpwstr>
  </property>
  <property fmtid="{D5CDD505-2E9C-101B-9397-08002B2CF9AE}" pid="4" name="DocSecurity">
    <vt:i4>0</vt:i4>
  </property>
  <property fmtid="{D5CDD505-2E9C-101B-9397-08002B2CF9AE}" pid="5" name="HyperlinksChanged">
    <vt:bool>0</vt:bool>
  </property>
  <property fmtid="{D5CDD505-2E9C-101B-9397-08002B2CF9AE}" pid="6" name="LinksUpToDate">
    <vt:bool>0</vt:bool>
  </property>
  <property fmtid="{D5CDD505-2E9C-101B-9397-08002B2CF9AE}" pid="7" name="Operator">
    <vt:lpwstr>leuschel</vt:lpwstr>
  </property>
  <property fmtid="{D5CDD505-2E9C-101B-9397-08002B2CF9AE}" pid="8" name="ScaleCrop">
    <vt:bool>0</vt:bool>
  </property>
  <property fmtid="{D5CDD505-2E9C-101B-9397-08002B2CF9AE}" pid="9" name="ShareDoc">
    <vt:bool>0</vt:bool>
  </property>
</Properties>
</file>