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E63259" w14:textId="31A8E90D" w:rsidR="00E42A14" w:rsidRDefault="00000000">
      <w:pPr>
        <w:pStyle w:val="Nadpis2"/>
      </w:pPr>
      <w:bookmarkStart w:id="0" w:name="poznámky-k-účtovnej-závierke-za-rok-2024"/>
      <w:proofErr w:type="spellStart"/>
      <w:r>
        <w:t>Poznámky</w:t>
      </w:r>
      <w:proofErr w:type="spellEnd"/>
      <w:r>
        <w:t xml:space="preserve"> k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rok 2024</w:t>
      </w:r>
    </w:p>
    <w:p w14:paraId="472642CB" w14:textId="77777777" w:rsidR="00E42A14" w:rsidRDefault="00000000">
      <w:pPr>
        <w:pStyle w:val="FirstParagraph"/>
      </w:pPr>
      <w:r>
        <w:rPr>
          <w:b/>
          <w:bCs/>
        </w:rPr>
        <w:t>AMP TATRY, s. r. o.</w:t>
      </w:r>
      <w:r>
        <w:br/>
        <w:t>Kpt. Nálepku 85/30, 059 21 Svit</w:t>
      </w:r>
      <w:r>
        <w:br/>
      </w:r>
      <w:r>
        <w:rPr>
          <w:b/>
          <w:bCs/>
        </w:rPr>
        <w:t>IČO:</w:t>
      </w:r>
      <w:r>
        <w:t> 54222257</w:t>
      </w:r>
      <w:r>
        <w:br/>
      </w:r>
      <w:r>
        <w:rPr>
          <w:b/>
          <w:bCs/>
        </w:rPr>
        <w:t>DIČ:</w:t>
      </w:r>
      <w:r>
        <w:t> 2121601163</w:t>
      </w:r>
      <w:r>
        <w:br/>
      </w:r>
      <w:r>
        <w:rPr>
          <w:b/>
          <w:bCs/>
        </w:rPr>
        <w:t>Poznámky Úč MUJ 3 - 01</w:t>
      </w:r>
    </w:p>
    <w:p w14:paraId="21DD4402" w14:textId="77777777" w:rsidR="00E42A14" w:rsidRDefault="00000000">
      <w:r>
        <w:pict w14:anchorId="32221A4E">
          <v:rect id="_x0000_i1025" style="width:0;height:1.5pt" o:hralign="center" o:hrstd="t" o:hr="t"/>
        </w:pict>
      </w:r>
    </w:p>
    <w:p w14:paraId="4086C789" w14:textId="77777777" w:rsidR="00E42A14" w:rsidRDefault="00000000">
      <w:pPr>
        <w:pStyle w:val="Nadpis3"/>
      </w:pPr>
      <w:bookmarkStart w:id="1" w:name="všeobecné-údaje"/>
      <w:r>
        <w:t>1. Všeobecné údaje</w:t>
      </w:r>
    </w:p>
    <w:p w14:paraId="0DA19F33" w14:textId="77777777" w:rsidR="00E42A14" w:rsidRDefault="00000000">
      <w:pPr>
        <w:pStyle w:val="Compact"/>
        <w:numPr>
          <w:ilvl w:val="0"/>
          <w:numId w:val="2"/>
        </w:numPr>
      </w:pPr>
      <w:r>
        <w:t>Úcčtovná jednotka: mikro účtovná jednotka podľa § 2 ods. 5 zákona č. 431/2002 Z. z.</w:t>
      </w:r>
      <w:r>
        <w:br/>
      </w:r>
    </w:p>
    <w:p w14:paraId="0C65257F" w14:textId="77777777" w:rsidR="00E42A14" w:rsidRDefault="00000000">
      <w:pPr>
        <w:pStyle w:val="Compact"/>
        <w:numPr>
          <w:ilvl w:val="0"/>
          <w:numId w:val="2"/>
        </w:numPr>
      </w:pPr>
      <w:r>
        <w:t xml:space="preserve">Obdobie: </w:t>
      </w:r>
      <w:r>
        <w:rPr>
          <w:b/>
          <w:bCs/>
        </w:rPr>
        <w:t>1. 1. 2024 – 31. 12. 2024</w:t>
      </w:r>
      <w:r>
        <w:t>, riadna účtovná závierka, podvojné účtovníctvo.</w:t>
      </w:r>
      <w:r>
        <w:br/>
      </w:r>
    </w:p>
    <w:p w14:paraId="1F5C34EF" w14:textId="77777777" w:rsidR="00E42A14" w:rsidRDefault="00000000">
      <w:pPr>
        <w:pStyle w:val="Compact"/>
        <w:numPr>
          <w:ilvl w:val="0"/>
          <w:numId w:val="2"/>
        </w:numPr>
      </w:pPr>
      <w:r>
        <w:t xml:space="preserve">Priemerný evidovaný počet zamestnancov: </w:t>
      </w:r>
      <w:r>
        <w:rPr>
          <w:b/>
          <w:bCs/>
        </w:rPr>
        <w:t>1</w:t>
      </w:r>
    </w:p>
    <w:p w14:paraId="2F67665A" w14:textId="77777777" w:rsidR="00E42A14" w:rsidRDefault="00000000">
      <w:r>
        <w:pict w14:anchorId="6157E180">
          <v:rect id="_x0000_i1026" style="width:0;height:1.5pt" o:hralign="center" o:hrstd="t" o:hr="t"/>
        </w:pict>
      </w:r>
    </w:p>
    <w:p w14:paraId="2CCE6702" w14:textId="77777777" w:rsidR="00E42A14" w:rsidRDefault="00000000">
      <w:pPr>
        <w:pStyle w:val="Nadpis3"/>
      </w:pPr>
      <w:bookmarkStart w:id="2" w:name="úcčtovné-zásady-a-metódy"/>
      <w:bookmarkEnd w:id="1"/>
      <w:r>
        <w:t>2. Úcčtovné zásady a metódy</w:t>
      </w:r>
    </w:p>
    <w:p w14:paraId="0552892D" w14:textId="77777777" w:rsidR="00E42A14" w:rsidRDefault="00000000">
      <w:pPr>
        <w:pStyle w:val="Compact"/>
        <w:numPr>
          <w:ilvl w:val="0"/>
          <w:numId w:val="3"/>
        </w:numPr>
      </w:pPr>
      <w:r>
        <w:t>Majetok a zásoby sú oceňované obstáracou cenou.</w:t>
      </w:r>
      <w:r>
        <w:br/>
      </w:r>
    </w:p>
    <w:p w14:paraId="4A6547D5" w14:textId="77777777" w:rsidR="00E42A14" w:rsidRDefault="00000000">
      <w:pPr>
        <w:pStyle w:val="Compact"/>
        <w:numPr>
          <w:ilvl w:val="0"/>
          <w:numId w:val="3"/>
        </w:numPr>
      </w:pPr>
      <w:r>
        <w:t>Pohľadávky a záväzky sú oceňované v nominálnej hodnote.</w:t>
      </w:r>
      <w:r>
        <w:br/>
      </w:r>
    </w:p>
    <w:p w14:paraId="2A8190F8" w14:textId="77777777" w:rsidR="00E42A14" w:rsidRDefault="00000000">
      <w:pPr>
        <w:pStyle w:val="Compact"/>
        <w:numPr>
          <w:ilvl w:val="0"/>
          <w:numId w:val="3"/>
        </w:numPr>
      </w:pPr>
      <w:r>
        <w:t>Dlhodobý majetok je odpisovaný podľa schváleného odpisového plánu.</w:t>
      </w:r>
      <w:r>
        <w:br/>
      </w:r>
    </w:p>
    <w:p w14:paraId="47A344B9" w14:textId="1E241E38" w:rsidR="00E42A14" w:rsidRDefault="00000000">
      <w:pPr>
        <w:pStyle w:val="Compact"/>
        <w:numPr>
          <w:ilvl w:val="0"/>
          <w:numId w:val="3"/>
        </w:numPr>
      </w:pPr>
      <w:proofErr w:type="spellStart"/>
      <w:r w:rsidRPr="0084684E">
        <w:t>Zásoby</w:t>
      </w:r>
      <w:proofErr w:type="spellEnd"/>
      <w:r w:rsidRPr="0084684E">
        <w:t xml:space="preserve"> </w:t>
      </w:r>
      <w:proofErr w:type="spellStart"/>
      <w:r w:rsidRPr="0084684E">
        <w:t>sú</w:t>
      </w:r>
      <w:proofErr w:type="spellEnd"/>
      <w:r w:rsidRPr="0084684E">
        <w:t xml:space="preserve"> </w:t>
      </w:r>
      <w:proofErr w:type="spellStart"/>
      <w:r w:rsidRPr="0084684E">
        <w:t>účtované</w:t>
      </w:r>
      <w:proofErr w:type="spellEnd"/>
      <w:r w:rsidRPr="0084684E">
        <w:t xml:space="preserve"> </w:t>
      </w:r>
      <w:proofErr w:type="spellStart"/>
      <w:r w:rsidRPr="0084684E">
        <w:t>spôsobom</w:t>
      </w:r>
      <w:proofErr w:type="spellEnd"/>
      <w:r w:rsidRPr="0084684E">
        <w:t xml:space="preserve"> B</w:t>
      </w:r>
      <w:r>
        <w:br/>
      </w:r>
    </w:p>
    <w:p w14:paraId="5D9043BF" w14:textId="77777777" w:rsidR="00E42A14" w:rsidRDefault="00000000">
      <w:pPr>
        <w:pStyle w:val="Compact"/>
        <w:numPr>
          <w:ilvl w:val="0"/>
          <w:numId w:val="3"/>
        </w:numPr>
      </w:pPr>
      <w:r>
        <w:t>Používané účtovné zásady a metódy sú porovnateľné s predchádzajúcim účtovným obdobím.</w:t>
      </w:r>
    </w:p>
    <w:p w14:paraId="0283EEBA" w14:textId="77777777" w:rsidR="00E42A14" w:rsidRDefault="00000000">
      <w:r>
        <w:pict w14:anchorId="0372CA10">
          <v:rect id="_x0000_i1027" style="width:0;height:1.5pt" o:hralign="center" o:hrstd="t" o:hr="t"/>
        </w:pict>
      </w:r>
    </w:p>
    <w:p w14:paraId="1A69FE1C" w14:textId="77777777" w:rsidR="00E42A14" w:rsidRDefault="00000000">
      <w:pPr>
        <w:pStyle w:val="Nadpis3"/>
      </w:pPr>
      <w:bookmarkStart w:id="3" w:name="X1ca83235ae4c4112e99770bf04e14f43ceffdf6"/>
      <w:bookmarkEnd w:id="2"/>
      <w:r>
        <w:t>3. Číselné údaje zo súvahy a výkazu ziskov a strát</w:t>
      </w:r>
    </w:p>
    <w:p w14:paraId="6F4635EA" w14:textId="77777777" w:rsidR="00E42A14" w:rsidRDefault="00000000">
      <w:pPr>
        <w:pStyle w:val="Nadpis4"/>
      </w:pPr>
      <w:bookmarkStart w:id="4" w:name="aktíva"/>
      <w:r>
        <w:t>Aktíva</w:t>
      </w:r>
    </w:p>
    <w:p w14:paraId="738F3642" w14:textId="77777777" w:rsidR="00E42A14" w:rsidRDefault="00000000">
      <w:pPr>
        <w:pStyle w:val="Compact"/>
        <w:numPr>
          <w:ilvl w:val="0"/>
          <w:numId w:val="4"/>
        </w:numPr>
      </w:pPr>
      <w:r>
        <w:rPr>
          <w:b/>
          <w:bCs/>
        </w:rPr>
        <w:t>Neobežný majetok:</w:t>
      </w:r>
      <w:r>
        <w:t xml:space="preserve"> 8 948 EUR</w:t>
      </w:r>
      <w:r>
        <w:br/>
      </w:r>
    </w:p>
    <w:p w14:paraId="582183AD" w14:textId="77777777" w:rsidR="00E42A14" w:rsidRDefault="00000000">
      <w:pPr>
        <w:pStyle w:val="Compact"/>
        <w:numPr>
          <w:ilvl w:val="0"/>
          <w:numId w:val="4"/>
        </w:numPr>
      </w:pPr>
      <w:r>
        <w:rPr>
          <w:b/>
          <w:bCs/>
        </w:rPr>
        <w:t>Obežný majetok:</w:t>
      </w:r>
      <w:r>
        <w:t xml:space="preserve"> 15 394 EUR</w:t>
      </w:r>
    </w:p>
    <w:p w14:paraId="18C56DE0" w14:textId="77777777" w:rsidR="00E42A14" w:rsidRDefault="00000000">
      <w:pPr>
        <w:pStyle w:val="Nadpis4"/>
      </w:pPr>
      <w:bookmarkStart w:id="5" w:name="pasíva"/>
      <w:bookmarkEnd w:id="4"/>
      <w:r>
        <w:t>Pasíva</w:t>
      </w:r>
    </w:p>
    <w:p w14:paraId="6914DEAC" w14:textId="77777777" w:rsidR="00E42A14" w:rsidRDefault="00000000">
      <w:pPr>
        <w:pStyle w:val="Compact"/>
        <w:numPr>
          <w:ilvl w:val="0"/>
          <w:numId w:val="5"/>
        </w:numPr>
      </w:pPr>
      <w:r>
        <w:rPr>
          <w:b/>
          <w:bCs/>
        </w:rPr>
        <w:t>Vlastné imanie:</w:t>
      </w:r>
      <w:r>
        <w:t xml:space="preserve"> 8 282 EUR</w:t>
      </w:r>
      <w:r>
        <w:br/>
      </w:r>
    </w:p>
    <w:p w14:paraId="60AF6471" w14:textId="77777777" w:rsidR="00E42A14" w:rsidRDefault="00000000">
      <w:pPr>
        <w:pStyle w:val="Compact"/>
        <w:numPr>
          <w:ilvl w:val="0"/>
          <w:numId w:val="5"/>
        </w:numPr>
      </w:pPr>
      <w:r>
        <w:rPr>
          <w:b/>
          <w:bCs/>
        </w:rPr>
        <w:t>Záväzky (dlhodobé, krátkodobé, rezervy):</w:t>
      </w:r>
      <w:r>
        <w:t xml:space="preserve"> 16 060 EUR</w:t>
      </w:r>
    </w:p>
    <w:p w14:paraId="43AD3BD6" w14:textId="77777777" w:rsidR="00E42A14" w:rsidRDefault="00000000">
      <w:pPr>
        <w:pStyle w:val="Nadpis4"/>
      </w:pPr>
      <w:bookmarkStart w:id="6" w:name="výsledok-hospodárenia"/>
      <w:bookmarkEnd w:id="5"/>
      <w:r>
        <w:lastRenderedPageBreak/>
        <w:t>Výsledok hospodárenia</w:t>
      </w:r>
    </w:p>
    <w:p w14:paraId="67DD5316" w14:textId="77777777" w:rsidR="00E42A14" w:rsidRDefault="00000000">
      <w:pPr>
        <w:pStyle w:val="Compact"/>
        <w:numPr>
          <w:ilvl w:val="0"/>
          <w:numId w:val="6"/>
        </w:numPr>
      </w:pPr>
      <w:r>
        <w:rPr>
          <w:b/>
          <w:bCs/>
        </w:rPr>
        <w:t>Zisk po zdanení:</w:t>
      </w:r>
      <w:r>
        <w:t xml:space="preserve"> 13 173 EUR</w:t>
      </w:r>
    </w:p>
    <w:p w14:paraId="30C964BC" w14:textId="77777777" w:rsidR="00E42A14" w:rsidRDefault="00000000">
      <w:r>
        <w:pict w14:anchorId="65BE8421">
          <v:rect id="_x0000_i1028" style="width:0;height:1.5pt" o:hralign="center" o:hrstd="t" o:hr="t"/>
        </w:pict>
      </w:r>
    </w:p>
    <w:p w14:paraId="392A4FCC" w14:textId="77777777" w:rsidR="00E42A14" w:rsidRDefault="00000000">
      <w:pPr>
        <w:pStyle w:val="Nadpis3"/>
      </w:pPr>
      <w:bookmarkStart w:id="7" w:name="doplňujúce-informácie"/>
      <w:bookmarkEnd w:id="3"/>
      <w:bookmarkEnd w:id="6"/>
      <w:r>
        <w:t>4. Doplňujúce informácie</w:t>
      </w:r>
    </w:p>
    <w:p w14:paraId="2744143C" w14:textId="3CFAFC82" w:rsidR="00E42A14" w:rsidRDefault="00000000">
      <w:pPr>
        <w:pStyle w:val="Compact"/>
        <w:numPr>
          <w:ilvl w:val="0"/>
          <w:numId w:val="7"/>
        </w:numPr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 w:rsidR="0084684E">
        <w:t>eviduje</w:t>
      </w:r>
      <w:proofErr w:type="spellEnd"/>
      <w:r w:rsidR="0084684E">
        <w:t xml:space="preserve"> </w:t>
      </w:r>
      <w:proofErr w:type="spellStart"/>
      <w:r w:rsidR="0084684E">
        <w:t>nebankový</w:t>
      </w:r>
      <w:proofErr w:type="spellEnd"/>
      <w:r w:rsidR="0084684E">
        <w:t xml:space="preserve"> </w:t>
      </w:r>
      <w:proofErr w:type="spellStart"/>
      <w:r w:rsidR="0084684E">
        <w:t>úver</w:t>
      </w:r>
      <w:proofErr w:type="spellEnd"/>
      <w:r>
        <w:br/>
      </w:r>
    </w:p>
    <w:p w14:paraId="79C91471" w14:textId="77777777" w:rsidR="00E42A14" w:rsidRDefault="00000000">
      <w:pPr>
        <w:pStyle w:val="Compact"/>
        <w:numPr>
          <w:ilvl w:val="0"/>
          <w:numId w:val="7"/>
        </w:numPr>
      </w:pPr>
      <w:r>
        <w:t xml:space="preserve">Po dni, ku ktorému sa zostavuje účtovná závierka, </w:t>
      </w:r>
      <w:r>
        <w:rPr>
          <w:b/>
          <w:bCs/>
        </w:rPr>
        <w:t>nenastali žiadne udalosti</w:t>
      </w:r>
      <w:r>
        <w:t>, ktoré by mali vplyv na hospodárenie alebo finančnú situáciu spoločnosti.</w:t>
      </w:r>
      <w:bookmarkEnd w:id="0"/>
      <w:bookmarkEnd w:id="7"/>
    </w:p>
    <w:sectPr w:rsidR="00E42A14">
      <w:footnotePr>
        <w:numRestart w:val="eachSect"/>
      </w:footnotePr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A990"/>
    <w:multiLevelType w:val="multilevel"/>
    <w:tmpl w:val="3F6A2D44"/>
    <w:lvl w:ilvl="0">
      <w:numFmt w:val="bullet"/>
      <w:lvlText w:val=" "/>
      <w:lvlJc w:val="left"/>
      <w:pPr>
        <w:ind w:left="720" w:hanging="360"/>
      </w:pPr>
    </w:lvl>
    <w:lvl w:ilvl="1">
      <w:numFmt w:val="bullet"/>
      <w:lvlText w:val=" "/>
      <w:lvlJc w:val="left"/>
      <w:pPr>
        <w:ind w:left="1440" w:hanging="360"/>
      </w:pPr>
    </w:lvl>
    <w:lvl w:ilvl="2">
      <w:numFmt w:val="bullet"/>
      <w:lvlText w:val=" "/>
      <w:lvlJc w:val="left"/>
      <w:pPr>
        <w:ind w:left="2160" w:hanging="360"/>
      </w:pPr>
    </w:lvl>
    <w:lvl w:ilvl="3">
      <w:numFmt w:val="bullet"/>
      <w:lvlText w:val=" "/>
      <w:lvlJc w:val="left"/>
      <w:pPr>
        <w:ind w:left="2880" w:hanging="360"/>
      </w:pPr>
    </w:lvl>
    <w:lvl w:ilvl="4">
      <w:numFmt w:val="bullet"/>
      <w:lvlText w:val=" "/>
      <w:lvlJc w:val="left"/>
      <w:pPr>
        <w:ind w:left="3600" w:hanging="360"/>
      </w:pPr>
    </w:lvl>
    <w:lvl w:ilvl="5">
      <w:numFmt w:val="bullet"/>
      <w:lvlText w:val=" "/>
      <w:lvlJc w:val="left"/>
      <w:pPr>
        <w:ind w:left="4320" w:hanging="360"/>
      </w:pPr>
    </w:lvl>
    <w:lvl w:ilvl="6">
      <w:numFmt w:val="bullet"/>
      <w:lvlText w:val=" "/>
      <w:lvlJc w:val="left"/>
      <w:pPr>
        <w:ind w:left="5040" w:hanging="360"/>
      </w:pPr>
    </w:lvl>
    <w:lvl w:ilvl="7">
      <w:numFmt w:val="bullet"/>
      <w:lvlText w:val=" "/>
      <w:lvlJc w:val="left"/>
      <w:pPr>
        <w:ind w:left="5760" w:hanging="360"/>
      </w:pPr>
    </w:lvl>
    <w:lvl w:ilvl="8">
      <w:numFmt w:val="bullet"/>
      <w:lvlText w:val=" "/>
      <w:lvlJc w:val="left"/>
      <w:pPr>
        <w:ind w:left="6480" w:hanging="360"/>
      </w:pPr>
    </w:lvl>
  </w:abstractNum>
  <w:abstractNum w:abstractNumId="1" w15:restartNumberingAfterBreak="0">
    <w:nsid w:val="0000A991"/>
    <w:multiLevelType w:val="multilevel"/>
    <w:tmpl w:val="49DA7C80"/>
    <w:lvl w:ilvl="0"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737625686">
    <w:abstractNumId w:val="0"/>
  </w:num>
  <w:num w:numId="2" w16cid:durableId="1747144576">
    <w:abstractNumId w:val="1"/>
  </w:num>
  <w:num w:numId="3" w16cid:durableId="1689523802">
    <w:abstractNumId w:val="1"/>
  </w:num>
  <w:num w:numId="4" w16cid:durableId="1999457519">
    <w:abstractNumId w:val="1"/>
  </w:num>
  <w:num w:numId="5" w16cid:durableId="845553512">
    <w:abstractNumId w:val="1"/>
  </w:num>
  <w:num w:numId="6" w16cid:durableId="2095082011">
    <w:abstractNumId w:val="1"/>
  </w:num>
  <w:num w:numId="7" w16cid:durableId="11533285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numRestart w:val="eachSec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A14"/>
    <w:rsid w:val="0084684E"/>
    <w:rsid w:val="00D33E01"/>
    <w:rsid w:val="00E42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D501A7"/>
  <w15:docId w15:val="{7E5F56D5-7ADB-441F-ADD9-B9C8F3A45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Zkladntext"/>
    <w:link w:val="Nadpis1Char"/>
    <w:uiPriority w:val="9"/>
    <w:qFormat/>
    <w:rsid w:val="00A10F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Zkladntext"/>
    <w:link w:val="Nadpis2Char"/>
    <w:uiPriority w:val="9"/>
    <w:semiHidden/>
    <w:unhideWhenUsed/>
    <w:qFormat/>
    <w:rsid w:val="00A10F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Zkladntext"/>
    <w:link w:val="Nadpis3Char"/>
    <w:uiPriority w:val="9"/>
    <w:semiHidden/>
    <w:unhideWhenUsed/>
    <w:qFormat/>
    <w:rsid w:val="00A10F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Zkladntext"/>
    <w:link w:val="Nadpis4Char"/>
    <w:uiPriority w:val="9"/>
    <w:semiHidden/>
    <w:unhideWhenUsed/>
    <w:qFormat/>
    <w:rsid w:val="00A10F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Zkladntext"/>
    <w:link w:val="Nadpis5Char"/>
    <w:uiPriority w:val="9"/>
    <w:semiHidden/>
    <w:unhideWhenUsed/>
    <w:qFormat/>
    <w:rsid w:val="00A10F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Zkladntext"/>
    <w:link w:val="Nadpis6Char"/>
    <w:uiPriority w:val="9"/>
    <w:semiHidden/>
    <w:unhideWhenUsed/>
    <w:qFormat/>
    <w:rsid w:val="00A10F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Zkladntext"/>
    <w:link w:val="Nadpis7Char"/>
    <w:uiPriority w:val="9"/>
    <w:semiHidden/>
    <w:unhideWhenUsed/>
    <w:qFormat/>
    <w:rsid w:val="00A10F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Zkladntext"/>
    <w:link w:val="Nadpis8Char"/>
    <w:uiPriority w:val="9"/>
    <w:semiHidden/>
    <w:unhideWhenUsed/>
    <w:qFormat/>
    <w:rsid w:val="00A10F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Zkladntext"/>
    <w:link w:val="Nadpis9Char"/>
    <w:uiPriority w:val="9"/>
    <w:semiHidden/>
    <w:unhideWhenUsed/>
    <w:qFormat/>
    <w:rsid w:val="00A10F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qFormat/>
    <w:pPr>
      <w:spacing w:before="180" w:after="180"/>
    </w:pPr>
  </w:style>
  <w:style w:type="paragraph" w:customStyle="1" w:styleId="FirstParagraph">
    <w:name w:val="First Paragraph"/>
    <w:basedOn w:val="Zkladntext"/>
    <w:next w:val="Zkladntext"/>
    <w:qFormat/>
  </w:style>
  <w:style w:type="paragraph" w:customStyle="1" w:styleId="Compact">
    <w:name w:val="Compact"/>
    <w:basedOn w:val="Zkladntext"/>
    <w:qFormat/>
    <w:pPr>
      <w:spacing w:before="36" w:after="36"/>
    </w:pPr>
  </w:style>
  <w:style w:type="paragraph" w:styleId="Nzov">
    <w:name w:val="Title"/>
    <w:basedOn w:val="Normlny"/>
    <w:next w:val="Zkladntext"/>
    <w:link w:val="NzovChar"/>
    <w:uiPriority w:val="10"/>
    <w:qFormat/>
    <w:rsid w:val="00A10FD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10F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zov"/>
    <w:next w:val="Zkladntext"/>
    <w:link w:val="PodtitulChar"/>
    <w:uiPriority w:val="11"/>
    <w:qFormat/>
    <w:rsid w:val="00A10FD9"/>
    <w:pPr>
      <w:numPr>
        <w:ilvl w:val="1"/>
      </w:numPr>
    </w:pPr>
    <w:rPr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10F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customStyle="1" w:styleId="Author">
    <w:name w:val="Author"/>
    <w:next w:val="Zkladntext"/>
    <w:qFormat/>
    <w:pPr>
      <w:keepNext/>
      <w:keepLines/>
      <w:jc w:val="center"/>
    </w:pPr>
  </w:style>
  <w:style w:type="paragraph" w:styleId="Dtum">
    <w:name w:val="Date"/>
    <w:next w:val="Zkladntext"/>
    <w:qFormat/>
    <w:pPr>
      <w:keepNext/>
      <w:keepLines/>
      <w:jc w:val="center"/>
    </w:pPr>
  </w:style>
  <w:style w:type="paragraph" w:customStyle="1" w:styleId="AbstractTitle">
    <w:name w:val="Abstract Title"/>
    <w:basedOn w:val="Normlny"/>
    <w:next w:val="Abstract"/>
    <w:qFormat/>
    <w:pPr>
      <w:keepNext/>
      <w:keepLines/>
      <w:spacing w:before="300" w:after="0"/>
      <w:jc w:val="center"/>
    </w:pPr>
    <w:rPr>
      <w:b/>
      <w:sz w:val="20"/>
      <w:szCs w:val="20"/>
    </w:rPr>
  </w:style>
  <w:style w:type="paragraph" w:customStyle="1" w:styleId="Abstract">
    <w:name w:val="Abstract"/>
    <w:basedOn w:val="Normlny"/>
    <w:next w:val="Zkladntext"/>
    <w:qFormat/>
    <w:pPr>
      <w:keepNext/>
      <w:keepLines/>
      <w:spacing w:before="100" w:after="300"/>
    </w:pPr>
    <w:rPr>
      <w:sz w:val="20"/>
      <w:szCs w:val="20"/>
    </w:rPr>
  </w:style>
  <w:style w:type="paragraph" w:styleId="Bibliografia">
    <w:name w:val="Bibliography"/>
    <w:basedOn w:val="Normlny"/>
    <w:qFormat/>
  </w:style>
  <w:style w:type="character" w:customStyle="1" w:styleId="Nadpis1Char">
    <w:name w:val="Nadpis 1 Char"/>
    <w:basedOn w:val="Predvolenpsmoodseku"/>
    <w:link w:val="Nadpis1"/>
    <w:uiPriority w:val="9"/>
    <w:rsid w:val="00A10F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10F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10F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10FD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10FD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10FD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10FD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10FD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10FD9"/>
    <w:rPr>
      <w:rFonts w:eastAsiaTheme="majorEastAsia" w:cstheme="majorBidi"/>
      <w:color w:val="272727" w:themeColor="text1" w:themeTint="D8"/>
    </w:rPr>
  </w:style>
  <w:style w:type="paragraph" w:styleId="Oznaitext">
    <w:name w:val="Block Text"/>
    <w:basedOn w:val="Zkladntext"/>
    <w:next w:val="Zkladntext"/>
    <w:uiPriority w:val="9"/>
    <w:unhideWhenUsed/>
    <w:qFormat/>
    <w:pPr>
      <w:spacing w:before="100" w:after="100"/>
      <w:ind w:left="480" w:right="480"/>
    </w:pPr>
  </w:style>
  <w:style w:type="paragraph" w:styleId="Textpoznmkypodiarou">
    <w:name w:val="footnote text"/>
    <w:basedOn w:val="Normlny"/>
    <w:uiPriority w:val="9"/>
    <w:unhideWhenUsed/>
    <w:qFormat/>
  </w:style>
  <w:style w:type="paragraph" w:customStyle="1" w:styleId="FootnoteBlockText">
    <w:name w:val="Footnote Block Text"/>
    <w:basedOn w:val="Textpoznmkypodiarou"/>
    <w:next w:val="Textpoznmkypodiarou"/>
    <w:uiPriority w:val="9"/>
    <w:unhideWhenUsed/>
    <w:qFormat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lny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lny"/>
  </w:style>
  <w:style w:type="paragraph" w:styleId="Popis">
    <w:name w:val="caption"/>
    <w:basedOn w:val="Normlny"/>
    <w:link w:val="PopisChar"/>
    <w:pPr>
      <w:spacing w:after="120"/>
    </w:pPr>
    <w:rPr>
      <w:i/>
    </w:rPr>
  </w:style>
  <w:style w:type="paragraph" w:customStyle="1" w:styleId="TableCaption">
    <w:name w:val="Table Caption"/>
    <w:basedOn w:val="Popis"/>
    <w:pPr>
      <w:keepNext/>
    </w:pPr>
  </w:style>
  <w:style w:type="paragraph" w:customStyle="1" w:styleId="ImageCaption">
    <w:name w:val="Image Caption"/>
    <w:basedOn w:val="Popis"/>
  </w:style>
  <w:style w:type="paragraph" w:customStyle="1" w:styleId="Figure">
    <w:name w:val="Figure"/>
    <w:basedOn w:val="Normlny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PopisChar">
    <w:name w:val="Popis Char"/>
    <w:basedOn w:val="Predvolenpsmoodseku"/>
    <w:link w:val="Popis"/>
  </w:style>
  <w:style w:type="character" w:customStyle="1" w:styleId="VerbatimChar">
    <w:name w:val="Verbatim Char"/>
    <w:basedOn w:val="PopisChar"/>
    <w:link w:val="SourceCode"/>
    <w:rPr>
      <w:rFonts w:ascii="Consolas" w:hAnsi="Consolas"/>
      <w:sz w:val="22"/>
    </w:rPr>
  </w:style>
  <w:style w:type="character" w:customStyle="1" w:styleId="SectionNumber">
    <w:name w:val="Section Number"/>
    <w:basedOn w:val="PopisChar"/>
  </w:style>
  <w:style w:type="character" w:styleId="Odkaznapoznmkupodiarou">
    <w:name w:val="footnote reference"/>
    <w:basedOn w:val="PopisChar"/>
    <w:rPr>
      <w:vertAlign w:val="superscript"/>
    </w:rPr>
  </w:style>
  <w:style w:type="character" w:styleId="Hypertextovprepojenie">
    <w:name w:val="Hyperlink"/>
    <w:basedOn w:val="PopisChar"/>
    <w:rPr>
      <w:color w:val="156082" w:themeColor="accent1"/>
    </w:rPr>
  </w:style>
  <w:style w:type="paragraph" w:styleId="Hlavikaobsahu">
    <w:name w:val="TOC Heading"/>
    <w:basedOn w:val="Nadpis1"/>
    <w:next w:val="Zkladntext"/>
    <w:uiPriority w:val="39"/>
    <w:unhideWhenUsed/>
    <w:qFormat/>
    <w:pPr>
      <w:spacing w:before="240" w:line="259" w:lineRule="auto"/>
      <w:outlineLvl w:val="9"/>
    </w:pPr>
  </w:style>
  <w:style w:type="paragraph" w:customStyle="1" w:styleId="SourceCode">
    <w:name w:val="Source Code"/>
    <w:basedOn w:val="Normlny"/>
    <w:link w:val="VerbatimChar"/>
    <w:pPr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007020"/>
      <w:sz w:val="22"/>
    </w:rPr>
  </w:style>
  <w:style w:type="character" w:customStyle="1" w:styleId="DataTypeTok">
    <w:name w:val="DataTypeTok"/>
    <w:basedOn w:val="VerbatimChar"/>
    <w:rPr>
      <w:rFonts w:ascii="Consolas" w:hAnsi="Consolas"/>
      <w:color w:val="902000"/>
      <w:sz w:val="22"/>
    </w:rPr>
  </w:style>
  <w:style w:type="character" w:customStyle="1" w:styleId="DecValTok">
    <w:name w:val="DecValTok"/>
    <w:basedOn w:val="VerbatimChar"/>
    <w:rPr>
      <w:rFonts w:ascii="Consolas" w:hAnsi="Consolas"/>
      <w:color w:val="40A070"/>
      <w:sz w:val="22"/>
    </w:rPr>
  </w:style>
  <w:style w:type="character" w:customStyle="1" w:styleId="BaseNTok">
    <w:name w:val="BaseNTok"/>
    <w:basedOn w:val="VerbatimChar"/>
    <w:rPr>
      <w:rFonts w:ascii="Consolas" w:hAnsi="Consolas"/>
      <w:color w:val="40A070"/>
      <w:sz w:val="22"/>
    </w:rPr>
  </w:style>
  <w:style w:type="character" w:customStyle="1" w:styleId="FloatTok">
    <w:name w:val="FloatTok"/>
    <w:basedOn w:val="VerbatimChar"/>
    <w:rPr>
      <w:rFonts w:ascii="Consolas" w:hAnsi="Consolas"/>
      <w:color w:val="40A070"/>
      <w:sz w:val="22"/>
    </w:rPr>
  </w:style>
  <w:style w:type="character" w:customStyle="1" w:styleId="ConstantTok">
    <w:name w:val="ConstantTok"/>
    <w:basedOn w:val="VerbatimChar"/>
    <w:rPr>
      <w:rFonts w:ascii="Consolas" w:hAnsi="Consolas"/>
      <w:color w:val="880000"/>
      <w:sz w:val="22"/>
    </w:rPr>
  </w:style>
  <w:style w:type="character" w:customStyle="1" w:styleId="CharTok">
    <w:name w:val="CharTok"/>
    <w:basedOn w:val="VerbatimChar"/>
    <w:rPr>
      <w:rFonts w:ascii="Consolas" w:hAnsi="Consolas"/>
      <w:color w:val="4070A0"/>
      <w:sz w:val="22"/>
    </w:rPr>
  </w:style>
  <w:style w:type="character" w:customStyle="1" w:styleId="SpecialCharTok">
    <w:name w:val="SpecialCharTok"/>
    <w:basedOn w:val="VerbatimChar"/>
    <w:rPr>
      <w:rFonts w:ascii="Consolas" w:hAnsi="Consolas"/>
      <w:color w:val="4070A0"/>
      <w:sz w:val="22"/>
    </w:rPr>
  </w:style>
  <w:style w:type="character" w:customStyle="1" w:styleId="StringTok">
    <w:name w:val="StringTok"/>
    <w:basedOn w:val="VerbatimChar"/>
    <w:rPr>
      <w:rFonts w:ascii="Consolas" w:hAnsi="Consolas"/>
      <w:color w:val="4070A0"/>
      <w:sz w:val="22"/>
    </w:rPr>
  </w:style>
  <w:style w:type="character" w:customStyle="1" w:styleId="VerbatimStringTok">
    <w:name w:val="VerbatimStringTok"/>
    <w:basedOn w:val="VerbatimChar"/>
    <w:rPr>
      <w:rFonts w:ascii="Consolas" w:hAnsi="Consolas"/>
      <w:color w:val="4070A0"/>
      <w:sz w:val="22"/>
    </w:rPr>
  </w:style>
  <w:style w:type="character" w:customStyle="1" w:styleId="SpecialStringTok">
    <w:name w:val="SpecialStringTok"/>
    <w:basedOn w:val="VerbatimChar"/>
    <w:rPr>
      <w:rFonts w:ascii="Consolas" w:hAnsi="Consolas"/>
      <w:color w:val="BB6688"/>
      <w:sz w:val="22"/>
    </w:rPr>
  </w:style>
  <w:style w:type="character" w:customStyle="1" w:styleId="ImportTok">
    <w:name w:val="ImportTok"/>
    <w:basedOn w:val="VerbatimChar"/>
    <w:rPr>
      <w:rFonts w:ascii="Consolas" w:hAnsi="Consolas"/>
      <w:b/>
      <w:color w:val="008000"/>
      <w:sz w:val="22"/>
    </w:rPr>
  </w:style>
  <w:style w:type="character" w:customStyle="1" w:styleId="CommentTok">
    <w:name w:val="CommentTok"/>
    <w:basedOn w:val="VerbatimChar"/>
    <w:rPr>
      <w:rFonts w:ascii="Consolas" w:hAnsi="Consolas"/>
      <w:i/>
      <w:color w:val="60A0B0"/>
      <w:sz w:val="22"/>
    </w:rPr>
  </w:style>
  <w:style w:type="character" w:customStyle="1" w:styleId="DocumentationTok">
    <w:name w:val="DocumentationTok"/>
    <w:basedOn w:val="VerbatimChar"/>
    <w:rPr>
      <w:rFonts w:ascii="Consolas" w:hAnsi="Consolas"/>
      <w:i/>
      <w:color w:val="BA2121"/>
      <w:sz w:val="22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OtherTok">
    <w:name w:val="OtherTok"/>
    <w:basedOn w:val="VerbatimChar"/>
    <w:rPr>
      <w:rFonts w:ascii="Consolas" w:hAnsi="Consolas"/>
      <w:color w:val="007020"/>
      <w:sz w:val="22"/>
    </w:rPr>
  </w:style>
  <w:style w:type="character" w:customStyle="1" w:styleId="FunctionTok">
    <w:name w:val="FunctionTok"/>
    <w:basedOn w:val="VerbatimChar"/>
    <w:rPr>
      <w:rFonts w:ascii="Consolas" w:hAnsi="Consolas"/>
      <w:color w:val="06287E"/>
      <w:sz w:val="22"/>
    </w:rPr>
  </w:style>
  <w:style w:type="character" w:customStyle="1" w:styleId="VariableTok">
    <w:name w:val="VariableTok"/>
    <w:basedOn w:val="VerbatimChar"/>
    <w:rPr>
      <w:rFonts w:ascii="Consolas" w:hAnsi="Consolas"/>
      <w:color w:val="19177C"/>
      <w:sz w:val="22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007020"/>
      <w:sz w:val="22"/>
    </w:rPr>
  </w:style>
  <w:style w:type="character" w:customStyle="1" w:styleId="OperatorTok">
    <w:name w:val="OperatorTok"/>
    <w:basedOn w:val="VerbatimChar"/>
    <w:rPr>
      <w:rFonts w:ascii="Consolas" w:hAnsi="Consolas"/>
      <w:color w:val="666666"/>
      <w:sz w:val="22"/>
    </w:rPr>
  </w:style>
  <w:style w:type="character" w:customStyle="1" w:styleId="BuiltInTok">
    <w:name w:val="BuiltInTok"/>
    <w:basedOn w:val="VerbatimChar"/>
    <w:rPr>
      <w:rFonts w:ascii="Consolas" w:hAnsi="Consolas"/>
      <w:color w:val="008000"/>
      <w:sz w:val="22"/>
    </w:rPr>
  </w:style>
  <w:style w:type="character" w:customStyle="1" w:styleId="ExtensionTok">
    <w:name w:val="ExtensionTok"/>
    <w:basedOn w:val="VerbatimChar"/>
    <w:rPr>
      <w:rFonts w:ascii="Consolas" w:hAnsi="Consolas"/>
      <w:sz w:val="22"/>
    </w:rPr>
  </w:style>
  <w:style w:type="character" w:customStyle="1" w:styleId="PreprocessorTok">
    <w:name w:val="PreprocessorTok"/>
    <w:basedOn w:val="VerbatimChar"/>
    <w:rPr>
      <w:rFonts w:ascii="Consolas" w:hAnsi="Consolas"/>
      <w:color w:val="BC7A00"/>
      <w:sz w:val="22"/>
    </w:rPr>
  </w:style>
  <w:style w:type="character" w:customStyle="1" w:styleId="AttributeTok">
    <w:name w:val="AttributeTok"/>
    <w:basedOn w:val="VerbatimChar"/>
    <w:rPr>
      <w:rFonts w:ascii="Consolas" w:hAnsi="Consolas"/>
      <w:color w:val="7D9029"/>
      <w:sz w:val="22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AlertTok">
    <w:name w:val="AlertTok"/>
    <w:basedOn w:val="VerbatimChar"/>
    <w:rPr>
      <w:rFonts w:ascii="Consolas" w:hAnsi="Consolas"/>
      <w:b/>
      <w:color w:val="FF0000"/>
      <w:sz w:val="22"/>
    </w:rPr>
  </w:style>
  <w:style w:type="character" w:customStyle="1" w:styleId="ErrorTok">
    <w:name w:val="ErrorTok"/>
    <w:basedOn w:val="VerbatimChar"/>
    <w:rPr>
      <w:rFonts w:ascii="Consolas" w:hAnsi="Consolas"/>
      <w:b/>
      <w:color w:val="FF0000"/>
      <w:sz w:val="22"/>
    </w:rPr>
  </w:style>
  <w:style w:type="character" w:customStyle="1" w:styleId="NormalTok">
    <w:name w:val="NormalTok"/>
    <w:basedOn w:val="VerbatimChar"/>
    <w:rPr>
      <w:rFonts w:ascii="Consolas" w:hAnsi="Consolas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174</Words>
  <Characters>995</Characters>
  <Application>Microsoft Office Word</Application>
  <DocSecurity>0</DocSecurity>
  <Lines>8</Lines>
  <Paragraphs>2</Paragraphs>
  <ScaleCrop>false</ScaleCrop>
  <Company/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Hana Grešová</dc:creator>
  <cp:keywords/>
  <cp:lastModifiedBy>Hana Grešová</cp:lastModifiedBy>
  <cp:revision>2</cp:revision>
  <dcterms:created xsi:type="dcterms:W3CDTF">2025-07-17T17:39:00Z</dcterms:created>
  <dcterms:modified xsi:type="dcterms:W3CDTF">2025-07-17T17:39:00Z</dcterms:modified>
</cp:coreProperties>
</file>