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hd w:fill="E6E6E6" w:val="clear"/>
        <w:spacing w:lineRule="auto" w:line="240" w:before="0" w:after="0"/>
        <w:ind w:left="0" w:right="284" w:hanging="0"/>
        <w:jc w:val="center"/>
        <w:rPr>
          <w:b/>
          <w:i/>
          <w:i/>
          <w:sz w:val="28"/>
          <w:szCs w:val="22"/>
        </w:rPr>
      </w:pPr>
      <w:r>
        <w:rPr>
          <w:b/>
          <w:i/>
          <w:sz w:val="28"/>
          <w:szCs w:val="22"/>
        </w:rPr>
        <w:t xml:space="preserve">Čl. I.   Všeobecné informácie </w:t>
      </w:r>
    </w:p>
    <w:p>
      <w:pPr>
        <w:pStyle w:val="Odsekzoznamu"/>
        <w:keepNext w:val="true"/>
        <w:numPr>
          <w:ilvl w:val="0"/>
          <w:numId w:val="8"/>
        </w:numPr>
        <w:spacing w:lineRule="auto" w:line="240" w:before="0" w:after="0"/>
        <w:ind w:left="357" w:right="0" w:hanging="357"/>
        <w:contextualSpacing/>
        <w:jc w:val="both"/>
        <w:outlineLvl w:val="1"/>
        <w:rPr>
          <w:b/>
          <w:i/>
          <w:i/>
          <w:sz w:val="28"/>
          <w:szCs w:val="22"/>
        </w:rPr>
      </w:pPr>
      <w:r>
        <w:rPr>
          <w:b/>
          <w:i/>
          <w:sz w:val="28"/>
          <w:szCs w:val="22"/>
        </w:rPr>
      </w:r>
    </w:p>
    <w:tbl>
      <w:tblPr>
        <w:tblW w:w="9072" w:type="dxa"/>
        <w:jc w:val="left"/>
        <w:tblInd w:w="108" w:type="dxa"/>
        <w:tblLayout w:type="fixed"/>
        <w:tblCellMar>
          <w:top w:w="0" w:type="dxa"/>
          <w:left w:w="108" w:type="dxa"/>
          <w:bottom w:w="0" w:type="dxa"/>
          <w:right w:w="108" w:type="dxa"/>
        </w:tblCellMar>
      </w:tblPr>
      <w:tblGrid>
        <w:gridCol w:w="1989"/>
        <w:gridCol w:w="7083"/>
      </w:tblGrid>
      <w:tr>
        <w:trPr>
          <w:trHeight w:val="1327" w:hRule="atLeast"/>
        </w:trPr>
        <w:tc>
          <w:tcPr>
            <w:tcW w:w="1989" w:type="dxa"/>
            <w:tcBorders>
              <w:top w:val="single" w:sz="8" w:space="0" w:color="000000"/>
              <w:left w:val="single" w:sz="8" w:space="0" w:color="000000"/>
              <w:bottom w:val="single" w:sz="8" w:space="0" w:color="000000"/>
              <w:right w:val="single" w:sz="8" w:space="0" w:color="000000"/>
            </w:tcBorders>
            <w:vAlign w:val="center"/>
          </w:tcPr>
          <w:p>
            <w:pPr>
              <w:pStyle w:val="Normal"/>
              <w:spacing w:before="0" w:after="0"/>
              <w:rPr>
                <w:rFonts w:cs="Arial Narrow"/>
                <w:b/>
                <w:sz w:val="28"/>
                <w:szCs w:val="22"/>
              </w:rPr>
            </w:pPr>
            <w:r>
              <w:rPr>
                <w:rFonts w:cs="Arial Narrow"/>
                <w:b/>
                <w:sz w:val="28"/>
                <w:szCs w:val="22"/>
              </w:rPr>
              <w:t>Obchodné meno:</w:t>
            </w:r>
          </w:p>
        </w:tc>
        <w:tc>
          <w:tcPr>
            <w:tcW w:w="7083" w:type="dxa"/>
            <w:tcBorders>
              <w:top w:val="single" w:sz="8" w:space="0" w:color="000000"/>
              <w:left w:val="single" w:sz="8" w:space="0" w:color="000000"/>
              <w:bottom w:val="single" w:sz="8" w:space="0" w:color="000000"/>
              <w:right w:val="single" w:sz="8" w:space="0" w:color="000000"/>
            </w:tcBorders>
            <w:vAlign w:val="center"/>
          </w:tcPr>
          <w:p>
            <w:pPr>
              <w:pStyle w:val="Normal"/>
              <w:spacing w:before="0" w:after="0"/>
              <w:rPr>
                <w:rFonts w:cs="Arial Narrow"/>
                <w:sz w:val="28"/>
                <w:szCs w:val="22"/>
              </w:rPr>
            </w:pPr>
            <w:r>
              <w:rPr>
                <w:rFonts w:cs="Arial Narrow"/>
                <w:sz w:val="28"/>
                <w:szCs w:val="22"/>
              </w:rPr>
              <w:t xml:space="preserve">VERSUS spol.  s.r.o </w:t>
            </w:r>
          </w:p>
        </w:tc>
      </w:tr>
      <w:tr>
        <w:trPr>
          <w:trHeight w:val="340" w:hRule="atLeast"/>
        </w:trPr>
        <w:tc>
          <w:tcPr>
            <w:tcW w:w="1989" w:type="dxa"/>
            <w:tcBorders>
              <w:top w:val="single" w:sz="8" w:space="0" w:color="000000"/>
              <w:left w:val="single" w:sz="8" w:space="0" w:color="000000"/>
              <w:bottom w:val="single" w:sz="8" w:space="0" w:color="000000"/>
              <w:right w:val="single" w:sz="8" w:space="0" w:color="000000"/>
            </w:tcBorders>
            <w:vAlign w:val="center"/>
          </w:tcPr>
          <w:p>
            <w:pPr>
              <w:pStyle w:val="Normal"/>
              <w:spacing w:before="0" w:after="0"/>
              <w:rPr>
                <w:rFonts w:cs="Arial Narrow"/>
                <w:b/>
                <w:sz w:val="28"/>
                <w:szCs w:val="22"/>
              </w:rPr>
            </w:pPr>
            <w:r>
              <w:rPr>
                <w:rFonts w:cs="Arial Narrow"/>
                <w:b/>
                <w:sz w:val="28"/>
                <w:szCs w:val="22"/>
              </w:rPr>
              <w:t>Sídlo:</w:t>
            </w:r>
          </w:p>
        </w:tc>
        <w:tc>
          <w:tcPr>
            <w:tcW w:w="7083" w:type="dxa"/>
            <w:tcBorders>
              <w:top w:val="single" w:sz="8" w:space="0" w:color="000000"/>
              <w:left w:val="single" w:sz="8" w:space="0" w:color="000000"/>
              <w:bottom w:val="single" w:sz="8" w:space="0" w:color="000000"/>
              <w:right w:val="single" w:sz="8" w:space="0" w:color="000000"/>
            </w:tcBorders>
            <w:vAlign w:val="center"/>
          </w:tcPr>
          <w:p>
            <w:pPr>
              <w:pStyle w:val="Normal"/>
              <w:spacing w:before="0" w:after="0"/>
              <w:rPr>
                <w:rFonts w:cs="Arial Narrow"/>
                <w:sz w:val="28"/>
                <w:szCs w:val="22"/>
              </w:rPr>
            </w:pPr>
            <w:r>
              <w:rPr>
                <w:rFonts w:cs="Arial Narrow"/>
                <w:sz w:val="28"/>
                <w:szCs w:val="22"/>
              </w:rPr>
              <w:t>Ružová dolina 6, 824 70 Bratislava</w:t>
            </w:r>
          </w:p>
        </w:tc>
      </w:tr>
    </w:tbl>
    <w:p>
      <w:pPr>
        <w:pStyle w:val="Normal"/>
        <w:spacing w:before="0" w:after="0"/>
        <w:rPr>
          <w:b/>
          <w:i/>
          <w:i/>
          <w:sz w:val="28"/>
          <w:szCs w:val="22"/>
        </w:rPr>
      </w:pPr>
      <w:r>
        <w:rPr>
          <w:sz w:val="20"/>
          <w:szCs w:val="22"/>
        </w:rPr>
      </w:r>
    </w:p>
    <w:p>
      <w:pPr>
        <w:pStyle w:val="Normal"/>
        <w:spacing w:before="0" w:after="0"/>
        <w:rPr>
          <w:b/>
          <w:i/>
          <w:i/>
          <w:sz w:val="28"/>
          <w:szCs w:val="22"/>
        </w:rPr>
      </w:pPr>
      <w:r>
        <w:rPr>
          <w:sz w:val="20"/>
          <w:szCs w:val="22"/>
        </w:rPr>
      </w:r>
    </w:p>
    <w:p>
      <w:pPr>
        <w:pStyle w:val="Normal"/>
        <w:spacing w:before="0" w:after="0"/>
        <w:rPr>
          <w:b/>
          <w:i/>
          <w:i/>
          <w:sz w:val="28"/>
          <w:szCs w:val="22"/>
        </w:rPr>
      </w:pPr>
      <w:r>
        <w:rPr>
          <w:rFonts w:eastAsia="Arial Narrow" w:cs="Arial Narrow"/>
          <w:szCs w:val="22"/>
        </w:rPr>
        <w:t xml:space="preserve"> </w:t>
      </w:r>
      <w:r>
        <w:rPr>
          <w:szCs w:val="22"/>
        </w:rPr>
        <w:t xml:space="preserve">Spoločnosť  VERSUS  spol.   s. r. o . bola  založená  v  r. 1996   a  do Obchodného  registra  Obvodného  súdu   </w:t>
      </w:r>
    </w:p>
    <w:p>
      <w:pPr>
        <w:pStyle w:val="Normal"/>
        <w:spacing w:before="0" w:after="0"/>
        <w:rPr>
          <w:b/>
          <w:i/>
          <w:i/>
          <w:sz w:val="28"/>
          <w:szCs w:val="22"/>
        </w:rPr>
      </w:pPr>
      <w:r>
        <w:rPr>
          <w:rFonts w:eastAsia="Arial Narrow" w:cs="Arial Narrow"/>
          <w:szCs w:val="22"/>
        </w:rPr>
        <w:t xml:space="preserve"> </w:t>
      </w:r>
      <w:r>
        <w:rPr>
          <w:szCs w:val="22"/>
        </w:rPr>
        <w:t>Bratislava I.  bola zapísaná  27. novembra 1996 ( oddiel Sro, vložka č. 12264/B ).</w:t>
      </w:r>
    </w:p>
    <w:p>
      <w:pPr>
        <w:pStyle w:val="Normal"/>
        <w:spacing w:before="0" w:after="0"/>
        <w:rPr>
          <w:b/>
          <w:i/>
          <w:i/>
          <w:sz w:val="28"/>
          <w:szCs w:val="22"/>
        </w:rPr>
      </w:pPr>
      <w:r>
        <w:rPr>
          <w:szCs w:val="22"/>
        </w:rPr>
      </w:r>
    </w:p>
    <w:p>
      <w:pPr>
        <w:pStyle w:val="Normal"/>
        <w:spacing w:before="0" w:after="0"/>
        <w:rPr>
          <w:b/>
          <w:i/>
          <w:i/>
          <w:sz w:val="28"/>
          <w:szCs w:val="22"/>
        </w:rPr>
      </w:pPr>
      <w:r>
        <w:rPr>
          <w:sz w:val="20"/>
          <w:szCs w:val="22"/>
        </w:rPr>
      </w:r>
    </w:p>
    <w:p>
      <w:pPr>
        <w:pStyle w:val="Normal"/>
        <w:spacing w:before="0" w:after="0"/>
        <w:rPr>
          <w:b/>
          <w:i/>
          <w:i/>
          <w:sz w:val="28"/>
          <w:szCs w:val="22"/>
        </w:rPr>
      </w:pPr>
      <w:r>
        <w:rPr>
          <w:sz w:val="20"/>
          <w:szCs w:val="22"/>
        </w:rPr>
      </w:r>
    </w:p>
    <w:p>
      <w:pPr>
        <w:pStyle w:val="Normal"/>
        <w:jc w:val="both"/>
        <w:rPr>
          <w:b/>
          <w:i/>
          <w:i/>
          <w:sz w:val="28"/>
          <w:szCs w:val="22"/>
        </w:rPr>
      </w:pPr>
      <w:r>
        <w:rPr>
          <w:b/>
          <w:szCs w:val="22"/>
        </w:rPr>
        <w:t>Hlavnou  hospodárskou činnosťou účtovnej jednotky je</w:t>
      </w:r>
      <w:r>
        <w:rPr>
          <w:bCs/>
          <w:szCs w:val="22"/>
        </w:rPr>
        <w:t>:</w:t>
      </w:r>
    </w:p>
    <w:p>
      <w:pPr>
        <w:pStyle w:val="Normal"/>
        <w:numPr>
          <w:ilvl w:val="0"/>
          <w:numId w:val="3"/>
        </w:numPr>
        <w:jc w:val="both"/>
        <w:rPr>
          <w:bCs/>
          <w:szCs w:val="22"/>
        </w:rPr>
      </w:pPr>
      <w:r>
        <w:rPr>
          <w:bCs/>
          <w:szCs w:val="22"/>
        </w:rPr>
        <w:t xml:space="preserve">Spracovanie  účtovníctva </w:t>
      </w:r>
    </w:p>
    <w:p>
      <w:pPr>
        <w:pStyle w:val="Normal"/>
        <w:jc w:val="both"/>
        <w:rPr>
          <w:bCs/>
          <w:szCs w:val="22"/>
        </w:rPr>
      </w:pPr>
      <w:r>
        <w:rPr>
          <w:bCs/>
          <w:szCs w:val="22"/>
        </w:rPr>
      </w:r>
    </w:p>
    <w:tbl>
      <w:tblPr>
        <w:tblW w:w="9072" w:type="dxa"/>
        <w:jc w:val="left"/>
        <w:tblInd w:w="108" w:type="dxa"/>
        <w:tblLayout w:type="fixed"/>
        <w:tblCellMar>
          <w:top w:w="0" w:type="dxa"/>
          <w:left w:w="108" w:type="dxa"/>
          <w:bottom w:w="0" w:type="dxa"/>
          <w:right w:w="108" w:type="dxa"/>
        </w:tblCellMar>
      </w:tblPr>
      <w:tblGrid>
        <w:gridCol w:w="426"/>
        <w:gridCol w:w="3543"/>
        <w:gridCol w:w="3402"/>
        <w:gridCol w:w="1383"/>
        <w:gridCol w:w="318"/>
      </w:tblGrid>
      <w:tr>
        <w:trPr>
          <w:trHeight w:val="340" w:hRule="exact"/>
        </w:trPr>
        <w:tc>
          <w:tcPr>
            <w:tcW w:w="426" w:type="dxa"/>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8"/>
              </w:numPr>
              <w:snapToGrid w:val="false"/>
              <w:spacing w:lineRule="auto" w:line="240" w:before="0" w:after="0"/>
              <w:ind w:left="357" w:right="0" w:hanging="357"/>
              <w:contextualSpacing/>
              <w:jc w:val="both"/>
              <w:outlineLvl w:val="1"/>
              <w:rPr>
                <w:szCs w:val="22"/>
              </w:rPr>
            </w:pPr>
            <w:r>
              <w:rPr>
                <w:szCs w:val="22"/>
              </w:rPr>
            </w:r>
          </w:p>
          <w:p>
            <w:pPr>
              <w:pStyle w:val="Normal"/>
              <w:spacing w:lineRule="auto" w:line="240" w:before="0" w:after="0"/>
              <w:rPr>
                <w:szCs w:val="22"/>
              </w:rPr>
            </w:pPr>
            <w:r>
              <w:rPr>
                <w:sz w:val="20"/>
                <w:szCs w:val="22"/>
              </w:rPr>
            </w:r>
          </w:p>
        </w:tc>
        <w:tc>
          <w:tcPr>
            <w:tcW w:w="6945" w:type="dxa"/>
            <w:gridSpan w:val="2"/>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0"/>
              </w:numPr>
              <w:spacing w:lineRule="auto" w:line="240" w:before="0" w:after="0"/>
              <w:ind w:left="0" w:right="0" w:hanging="0"/>
              <w:contextualSpacing/>
              <w:jc w:val="both"/>
              <w:outlineLvl w:val="1"/>
              <w:rPr>
                <w:b/>
                <w:szCs w:val="22"/>
              </w:rPr>
            </w:pPr>
            <w:r>
              <w:rPr>
                <w:b/>
                <w:szCs w:val="22"/>
              </w:rPr>
              <w:t>Dátum schválenia účtovnej závierky za bezprostredne predchádzajúce  ÚO</w:t>
            </w:r>
          </w:p>
          <w:p>
            <w:pPr>
              <w:pStyle w:val="Odsekzoznamu"/>
              <w:keepNext w:val="true"/>
              <w:numPr>
                <w:ilvl w:val="0"/>
                <w:numId w:val="0"/>
              </w:numPr>
              <w:spacing w:lineRule="auto" w:line="240" w:before="0" w:after="0"/>
              <w:ind w:left="0" w:right="0" w:hanging="0"/>
              <w:contextualSpacing/>
              <w:jc w:val="both"/>
              <w:outlineLvl w:val="1"/>
              <w:rPr>
                <w:b/>
                <w:szCs w:val="22"/>
              </w:rPr>
            </w:pPr>
            <w:r>
              <w:rPr>
                <w:b/>
                <w:szCs w:val="22"/>
              </w:rPr>
            </w:r>
          </w:p>
          <w:p>
            <w:pPr>
              <w:pStyle w:val="Odsekzoznamu"/>
              <w:keepNext w:val="true"/>
              <w:numPr>
                <w:ilvl w:val="0"/>
                <w:numId w:val="0"/>
              </w:numPr>
              <w:spacing w:lineRule="auto" w:line="240" w:before="0" w:after="0"/>
              <w:ind w:left="0" w:right="0" w:hanging="0"/>
              <w:contextualSpacing/>
              <w:jc w:val="both"/>
              <w:outlineLvl w:val="1"/>
              <w:rPr>
                <w:b/>
                <w:bCs/>
                <w:szCs w:val="22"/>
              </w:rPr>
            </w:pPr>
            <w:r>
              <w:rPr>
                <w:b/>
                <w:bCs/>
                <w:szCs w:val="22"/>
              </w:rPr>
            </w:r>
          </w:p>
          <w:p>
            <w:pPr>
              <w:pStyle w:val="Normal"/>
              <w:spacing w:before="0" w:after="200"/>
              <w:rPr>
                <w:b/>
                <w:bCs/>
                <w:sz w:val="20"/>
                <w:szCs w:val="22"/>
              </w:rPr>
            </w:pPr>
            <w:r>
              <w:rPr>
                <w:b/>
                <w:bCs/>
                <w:sz w:val="20"/>
                <w:szCs w:val="22"/>
              </w:rPr>
            </w:r>
          </w:p>
        </w:tc>
        <w:tc>
          <w:tcPr>
            <w:tcW w:w="1701" w:type="dxa"/>
            <w:gridSpan w:val="2"/>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 w:val="20"/>
                <w:szCs w:val="22"/>
              </w:rPr>
            </w:pPr>
            <w:r>
              <w:rPr>
                <w:sz w:val="20"/>
                <w:szCs w:val="22"/>
              </w:rPr>
              <w:t>22.12.2024</w:t>
            </w:r>
          </w:p>
          <w:p>
            <w:pPr>
              <w:pStyle w:val="Normal"/>
              <w:spacing w:lineRule="auto" w:line="240" w:before="0" w:after="0"/>
              <w:rPr>
                <w:sz w:val="20"/>
                <w:szCs w:val="22"/>
              </w:rPr>
            </w:pPr>
            <w:r>
              <w:rPr>
                <w:sz w:val="20"/>
                <w:szCs w:val="22"/>
              </w:rPr>
            </w:r>
          </w:p>
        </w:tc>
      </w:tr>
      <w:tr>
        <w:trPr>
          <w:trHeight w:val="340" w:hRule="exact"/>
          <w:cantSplit w:val="true"/>
        </w:trPr>
        <w:tc>
          <w:tcPr>
            <w:tcW w:w="426" w:type="dxa"/>
            <w:vMerge w:val="restart"/>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8"/>
              </w:numPr>
              <w:snapToGrid w:val="false"/>
              <w:spacing w:lineRule="auto" w:line="240" w:before="0" w:after="0"/>
              <w:ind w:left="357" w:right="0" w:hanging="357"/>
              <w:contextualSpacing/>
              <w:jc w:val="both"/>
              <w:outlineLvl w:val="1"/>
              <w:rPr>
                <w:sz w:val="20"/>
                <w:szCs w:val="22"/>
              </w:rPr>
            </w:pPr>
            <w:r>
              <w:rPr>
                <w:sz w:val="20"/>
                <w:szCs w:val="22"/>
              </w:rPr>
            </w:r>
          </w:p>
        </w:tc>
        <w:tc>
          <w:tcPr>
            <w:tcW w:w="6945" w:type="dxa"/>
            <w:gridSpan w:val="2"/>
            <w:vMerge w:val="restart"/>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b/>
                <w:szCs w:val="22"/>
              </w:rPr>
            </w:pPr>
            <w:r>
              <w:rPr>
                <w:b/>
                <w:szCs w:val="22"/>
              </w:rPr>
              <w:t xml:space="preserve">Právny dôvod na zostavenie účtovnej závierky </w:t>
            </w:r>
          </w:p>
        </w:tc>
        <w:tc>
          <w:tcPr>
            <w:tcW w:w="138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Riadna</w:t>
            </w:r>
          </w:p>
        </w:tc>
        <w:tc>
          <w:tcPr>
            <w:tcW w:w="318"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jc w:val="center"/>
              <w:rPr>
                <w:szCs w:val="22"/>
              </w:rPr>
            </w:pPr>
            <w:r>
              <w:rPr>
                <w:szCs w:val="22"/>
              </w:rPr>
              <w:t>X</w:t>
            </w:r>
          </w:p>
        </w:tc>
      </w:tr>
      <w:tr>
        <w:trPr>
          <w:trHeight w:val="340" w:hRule="exact"/>
          <w:cantSplit w:val="true"/>
        </w:trPr>
        <w:tc>
          <w:tcPr>
            <w:tcW w:w="426"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6945"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138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Mimoriadna</w:t>
            </w:r>
          </w:p>
        </w:tc>
        <w:tc>
          <w:tcPr>
            <w:tcW w:w="31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jc w:val="center"/>
              <w:rPr>
                <w:szCs w:val="22"/>
              </w:rPr>
            </w:pPr>
            <w:r>
              <w:rPr>
                <w:szCs w:val="22"/>
              </w:rPr>
            </w:r>
          </w:p>
        </w:tc>
      </w:tr>
      <w:tr>
        <w:trPr>
          <w:trHeight w:val="340" w:hRule="exact"/>
          <w:cantSplit w:val="true"/>
        </w:trPr>
        <w:tc>
          <w:tcPr>
            <w:tcW w:w="426"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354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Dôvod mimoriadnej účtovnej závierky</w:t>
            </w:r>
          </w:p>
        </w:tc>
        <w:tc>
          <w:tcPr>
            <w:tcW w:w="5103" w:type="dxa"/>
            <w:gridSpan w:val="3"/>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r>
    </w:tbl>
    <w:p>
      <w:pPr>
        <w:pStyle w:val="Normal"/>
        <w:keepNext w:val="true"/>
        <w:numPr>
          <w:ilvl w:val="0"/>
          <w:numId w:val="0"/>
        </w:numPr>
        <w:spacing w:lineRule="auto" w:line="240" w:before="0" w:after="0"/>
        <w:ind w:left="0" w:right="0" w:hanging="0"/>
        <w:jc w:val="center"/>
        <w:outlineLvl w:val="1"/>
        <w:rPr>
          <w:bCs/>
          <w:szCs w:val="22"/>
        </w:rPr>
      </w:pPr>
      <w:r>
        <w:rPr>
          <w:b/>
          <w:bCs/>
          <w:szCs w:val="22"/>
        </w:rPr>
      </w:r>
    </w:p>
    <w:p>
      <w:pPr>
        <w:pStyle w:val="Normal"/>
        <w:keepNext w:val="true"/>
        <w:numPr>
          <w:ilvl w:val="0"/>
          <w:numId w:val="0"/>
        </w:numPr>
        <w:spacing w:lineRule="auto" w:line="240" w:before="0" w:after="0"/>
        <w:ind w:left="0" w:right="0" w:hanging="0"/>
        <w:jc w:val="center"/>
        <w:outlineLvl w:val="1"/>
        <w:rPr>
          <w:bCs/>
          <w:szCs w:val="22"/>
        </w:rPr>
      </w:pPr>
      <w:r>
        <w:rPr>
          <w:b/>
          <w:bCs/>
          <w:szCs w:val="22"/>
        </w:rPr>
      </w:r>
    </w:p>
    <w:p>
      <w:pPr>
        <w:pStyle w:val="Normal"/>
        <w:keepNext w:val="true"/>
        <w:numPr>
          <w:ilvl w:val="0"/>
          <w:numId w:val="0"/>
        </w:numPr>
        <w:spacing w:lineRule="auto" w:line="240" w:before="0" w:after="0"/>
        <w:ind w:left="0" w:right="0" w:hanging="0"/>
        <w:jc w:val="center"/>
        <w:outlineLvl w:val="1"/>
        <w:rPr>
          <w:bCs/>
          <w:szCs w:val="22"/>
        </w:rPr>
      </w:pPr>
      <w:r>
        <w:rPr>
          <w:b/>
          <w:bCs/>
          <w:szCs w:val="22"/>
        </w:rPr>
      </w:r>
    </w:p>
    <w:p>
      <w:pPr>
        <w:pStyle w:val="Normal"/>
        <w:keepNext w:val="true"/>
        <w:numPr>
          <w:ilvl w:val="0"/>
          <w:numId w:val="0"/>
        </w:numPr>
        <w:spacing w:lineRule="auto" w:line="240" w:before="0" w:after="0"/>
        <w:ind w:left="0" w:right="0" w:hanging="0"/>
        <w:outlineLvl w:val="1"/>
        <w:rPr>
          <w:bCs/>
          <w:szCs w:val="22"/>
        </w:rPr>
      </w:pPr>
      <w:r>
        <w:rPr>
          <w:bCs/>
          <w:szCs w:val="22"/>
        </w:rPr>
        <w:t>Účtovná  závierka  účtovnej  jednotky  bola  zostavená  ako  riadna  účtovná závierka podľa § 17 ods . 6  zákona č. 431/2002 Z z. o účtovníctve v znení neskorších predpisov, a to za účtovné obdobie od 1.1.2024 do 31.12.2024.</w:t>
      </w:r>
    </w:p>
    <w:p>
      <w:pPr>
        <w:pStyle w:val="Normal"/>
        <w:keepNext w:val="true"/>
        <w:numPr>
          <w:ilvl w:val="0"/>
          <w:numId w:val="0"/>
        </w:numPr>
        <w:spacing w:lineRule="auto" w:line="240" w:before="0" w:after="0"/>
        <w:ind w:left="0" w:right="0" w:hanging="0"/>
        <w:jc w:val="center"/>
        <w:outlineLvl w:val="1"/>
        <w:rPr>
          <w:bCs/>
          <w:szCs w:val="22"/>
        </w:rPr>
      </w:pPr>
      <w:r>
        <w:rPr>
          <w:b/>
          <w:bCs/>
          <w:szCs w:val="22"/>
        </w:rPr>
      </w:r>
    </w:p>
    <w:p>
      <w:pPr>
        <w:pStyle w:val="Normal"/>
        <w:keepNext w:val="true"/>
        <w:numPr>
          <w:ilvl w:val="0"/>
          <w:numId w:val="0"/>
        </w:numPr>
        <w:spacing w:lineRule="auto" w:line="240" w:before="0" w:after="0"/>
        <w:ind w:left="0" w:right="0" w:hanging="0"/>
        <w:jc w:val="center"/>
        <w:outlineLvl w:val="1"/>
        <w:rPr>
          <w:bCs/>
          <w:szCs w:val="22"/>
        </w:rPr>
      </w:pPr>
      <w:r>
        <w:rPr>
          <w:b/>
          <w:bCs/>
          <w:szCs w:val="22"/>
        </w:rPr>
      </w:r>
    </w:p>
    <w:p>
      <w:pPr>
        <w:pStyle w:val="Normal"/>
        <w:keepNext w:val="true"/>
        <w:numPr>
          <w:ilvl w:val="0"/>
          <w:numId w:val="0"/>
        </w:numPr>
        <w:spacing w:lineRule="auto" w:line="240" w:before="0" w:after="0"/>
        <w:ind w:left="0" w:right="0" w:hanging="0"/>
        <w:jc w:val="center"/>
        <w:outlineLvl w:val="1"/>
        <w:rPr>
          <w:bCs/>
          <w:szCs w:val="22"/>
        </w:rPr>
      </w:pPr>
      <w:r>
        <w:rPr>
          <w:b/>
          <w:bCs/>
          <w:szCs w:val="22"/>
        </w:rPr>
      </w:r>
    </w:p>
    <w:tbl>
      <w:tblPr>
        <w:tblW w:w="9072" w:type="dxa"/>
        <w:jc w:val="left"/>
        <w:tblInd w:w="70" w:type="dxa"/>
        <w:tblLayout w:type="fixed"/>
        <w:tblCellMar>
          <w:top w:w="0" w:type="dxa"/>
          <w:left w:w="70" w:type="dxa"/>
          <w:bottom w:w="0" w:type="dxa"/>
          <w:right w:w="70" w:type="dxa"/>
        </w:tblCellMar>
      </w:tblPr>
      <w:tblGrid>
        <w:gridCol w:w="426"/>
        <w:gridCol w:w="3685"/>
        <w:gridCol w:w="337"/>
        <w:gridCol w:w="4341"/>
        <w:gridCol w:w="283"/>
      </w:tblGrid>
      <w:tr>
        <w:trPr>
          <w:trHeight w:val="225" w:hRule="atLeast"/>
        </w:trPr>
        <w:tc>
          <w:tcPr>
            <w:tcW w:w="426" w:type="dxa"/>
            <w:tcBorders>
              <w:top w:val="single" w:sz="4" w:space="0" w:color="000000"/>
              <w:left w:val="single" w:sz="4" w:space="0" w:color="000000"/>
              <w:bottom w:val="single" w:sz="4" w:space="0" w:color="000000"/>
              <w:right w:val="single" w:sz="4" w:space="0" w:color="000000"/>
            </w:tcBorders>
          </w:tcPr>
          <w:p>
            <w:pPr>
              <w:pStyle w:val="Odsekzoznamu"/>
              <w:keepNext w:val="true"/>
              <w:numPr>
                <w:ilvl w:val="0"/>
                <w:numId w:val="8"/>
              </w:numPr>
              <w:snapToGrid w:val="false"/>
              <w:spacing w:before="0" w:after="0"/>
              <w:ind w:left="357" w:right="0" w:hanging="357"/>
              <w:contextualSpacing/>
              <w:jc w:val="both"/>
              <w:outlineLvl w:val="1"/>
              <w:rPr>
                <w:szCs w:val="22"/>
              </w:rPr>
            </w:pPr>
            <w:r>
              <w:rPr>
                <w:szCs w:val="22"/>
              </w:rPr>
            </w:r>
          </w:p>
        </w:tc>
        <w:tc>
          <w:tcPr>
            <w:tcW w:w="8646" w:type="dxa"/>
            <w:gridSpan w:val="4"/>
            <w:tcBorders>
              <w:top w:val="single" w:sz="4" w:space="0" w:color="000000"/>
              <w:left w:val="single" w:sz="4" w:space="0" w:color="000000"/>
              <w:bottom w:val="single" w:sz="4" w:space="0" w:color="000000"/>
              <w:right w:val="single" w:sz="4" w:space="0" w:color="000000"/>
            </w:tcBorders>
          </w:tcPr>
          <w:p>
            <w:pPr>
              <w:pStyle w:val="Odsekzoznamu"/>
              <w:keepNext w:val="true"/>
              <w:numPr>
                <w:ilvl w:val="0"/>
                <w:numId w:val="0"/>
              </w:numPr>
              <w:spacing w:before="0" w:after="0"/>
              <w:ind w:left="0" w:right="0" w:hanging="0"/>
              <w:contextualSpacing/>
              <w:jc w:val="both"/>
              <w:outlineLvl w:val="1"/>
              <w:rPr>
                <w:b/>
                <w:szCs w:val="22"/>
              </w:rPr>
            </w:pPr>
            <w:r>
              <w:rPr>
                <w:b/>
                <w:szCs w:val="22"/>
              </w:rPr>
              <w:t>Údaje o skupine účtovných jednotiek:</w:t>
            </w:r>
          </w:p>
        </w:tc>
      </w:tr>
      <w:tr>
        <w:trPr/>
        <w:tc>
          <w:tcPr>
            <w:tcW w:w="4111"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0"/>
              <w:rPr>
                <w:szCs w:val="22"/>
              </w:rPr>
            </w:pPr>
            <w:r>
              <w:rPr>
                <w:szCs w:val="22"/>
              </w:rPr>
              <w:t>ÚJ   nie je súčasťou konsolidovaného celku</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0"/>
              <w:jc w:val="center"/>
              <w:rPr>
                <w:szCs w:val="22"/>
              </w:rPr>
            </w:pPr>
            <w:r>
              <w:rPr>
                <w:szCs w:val="22"/>
              </w:rPr>
              <w:t>X</w:t>
            </w:r>
          </w:p>
        </w:tc>
        <w:tc>
          <w:tcPr>
            <w:tcW w:w="434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0"/>
              <w:rPr>
                <w:szCs w:val="22"/>
              </w:rPr>
            </w:pPr>
            <w:r>
              <w:rPr>
                <w:szCs w:val="22"/>
              </w:rPr>
              <w:t xml:space="preserve">ÚJ   je súčasťou konsolidovaného celku </w:t>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0"/>
              <w:ind w:left="56" w:right="0" w:hanging="0"/>
              <w:jc w:val="center"/>
              <w:rPr>
                <w:szCs w:val="22"/>
              </w:rPr>
            </w:pPr>
            <w:r>
              <w:rPr>
                <w:szCs w:val="22"/>
              </w:rPr>
            </w:r>
          </w:p>
        </w:tc>
      </w:tr>
      <w:tr>
        <w:trPr/>
        <w:tc>
          <w:tcPr>
            <w:tcW w:w="4111"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0"/>
              <w:rPr>
                <w:szCs w:val="22"/>
              </w:rPr>
            </w:pPr>
            <w:r>
              <w:rPr>
                <w:szCs w:val="22"/>
              </w:rPr>
              <w:t>ÚJ   nie je materskou účtovnou jednotkou</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0"/>
              <w:jc w:val="center"/>
              <w:rPr>
                <w:szCs w:val="22"/>
              </w:rPr>
            </w:pPr>
            <w:r>
              <w:rPr>
                <w:szCs w:val="22"/>
              </w:rPr>
              <w:t>X</w:t>
            </w:r>
          </w:p>
        </w:tc>
        <w:tc>
          <w:tcPr>
            <w:tcW w:w="434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0"/>
              <w:rPr>
                <w:szCs w:val="22"/>
              </w:rPr>
            </w:pPr>
            <w:r>
              <w:rPr>
                <w:szCs w:val="22"/>
              </w:rPr>
              <w:t>ÚJ  je materskou účtovnou jednotkou</w:t>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0"/>
              <w:ind w:left="56" w:right="0" w:hanging="0"/>
              <w:jc w:val="center"/>
              <w:rPr>
                <w:szCs w:val="22"/>
              </w:rPr>
            </w:pPr>
            <w:r>
              <w:rPr>
                <w:szCs w:val="22"/>
              </w:rPr>
            </w:r>
          </w:p>
        </w:tc>
      </w:tr>
    </w:tbl>
    <w:p>
      <w:pPr>
        <w:pStyle w:val="Odsekzoznamu"/>
        <w:keepNext w:val="true"/>
        <w:numPr>
          <w:ilvl w:val="0"/>
          <w:numId w:val="0"/>
        </w:numPr>
        <w:spacing w:lineRule="auto" w:line="240" w:before="0" w:after="0"/>
        <w:ind w:left="641" w:right="0" w:hanging="0"/>
        <w:contextualSpacing/>
        <w:jc w:val="both"/>
        <w:outlineLvl w:val="1"/>
        <w:rPr>
          <w:bCs/>
          <w:szCs w:val="22"/>
        </w:rPr>
      </w:pPr>
      <w:r>
        <w:rPr>
          <w:i/>
          <w:sz w:val="20"/>
          <w:szCs w:val="22"/>
        </w:rPr>
      </w:r>
    </w:p>
    <w:p>
      <w:pPr>
        <w:pStyle w:val="Normal"/>
        <w:spacing w:lineRule="auto" w:line="240" w:before="0" w:after="0"/>
        <w:rPr>
          <w:bCs/>
          <w:szCs w:val="22"/>
        </w:rPr>
      </w:pPr>
      <w:r>
        <w:rPr>
          <w:i/>
          <w:sz w:val="20"/>
          <w:szCs w:val="22"/>
        </w:rPr>
      </w:r>
    </w:p>
    <w:p>
      <w:pPr>
        <w:pStyle w:val="Normal"/>
        <w:spacing w:lineRule="auto" w:line="240" w:before="0" w:after="0"/>
        <w:rPr>
          <w:bCs/>
          <w:szCs w:val="22"/>
        </w:rPr>
      </w:pPr>
      <w:r>
        <w:rPr>
          <w:szCs w:val="22"/>
        </w:rPr>
        <w:t>Účtovná jednotka nie je súčasťou konsolidovaného celku a nie je ani materskou účtovnou jednotkou. Konsolidovanú účtovnú závierku nezostavuje.</w:t>
      </w:r>
    </w:p>
    <w:p>
      <w:pPr>
        <w:pStyle w:val="Normal"/>
        <w:tabs>
          <w:tab w:val="clear" w:pos="708"/>
          <w:tab w:val="left" w:pos="851" w:leader="none"/>
        </w:tabs>
        <w:spacing w:lineRule="auto" w:line="240" w:before="0" w:after="0"/>
        <w:ind w:left="0" w:right="0" w:firstLine="1077"/>
        <w:rPr>
          <w:bCs/>
          <w:szCs w:val="22"/>
        </w:rPr>
      </w:pPr>
      <w:r>
        <w:rPr>
          <w:i/>
          <w:sz w:val="20"/>
          <w:szCs w:val="22"/>
        </w:rPr>
      </w:r>
    </w:p>
    <w:p>
      <w:pPr>
        <w:pStyle w:val="Normal"/>
        <w:tabs>
          <w:tab w:val="clear" w:pos="708"/>
          <w:tab w:val="left" w:pos="851" w:leader="none"/>
        </w:tabs>
        <w:spacing w:lineRule="auto" w:line="240" w:before="0" w:after="0"/>
        <w:ind w:left="1077" w:right="0" w:hanging="0"/>
        <w:jc w:val="both"/>
        <w:rPr>
          <w:bCs/>
          <w:szCs w:val="22"/>
        </w:rPr>
      </w:pPr>
      <w:r>
        <w:rPr>
          <w:i/>
          <w:sz w:val="20"/>
          <w:szCs w:val="22"/>
        </w:rPr>
      </w:r>
    </w:p>
    <w:p>
      <w:pPr>
        <w:pStyle w:val="Normal"/>
        <w:tabs>
          <w:tab w:val="clear" w:pos="708"/>
          <w:tab w:val="left" w:pos="851" w:leader="none"/>
        </w:tabs>
        <w:spacing w:lineRule="auto" w:line="240" w:before="0" w:after="0"/>
        <w:ind w:left="1077" w:right="0" w:hanging="0"/>
        <w:jc w:val="both"/>
        <w:rPr>
          <w:bCs/>
          <w:szCs w:val="22"/>
        </w:rPr>
      </w:pPr>
      <w:r>
        <w:rPr>
          <w:i/>
          <w:sz w:val="20"/>
          <w:szCs w:val="22"/>
        </w:rPr>
      </w:r>
    </w:p>
    <w:tbl>
      <w:tblPr>
        <w:tblW w:w="5000" w:type="pct"/>
        <w:jc w:val="center"/>
        <w:tblInd w:w="0" w:type="dxa"/>
        <w:tblLayout w:type="fixed"/>
        <w:tblCellMar>
          <w:top w:w="0" w:type="dxa"/>
          <w:left w:w="70" w:type="dxa"/>
          <w:bottom w:w="0" w:type="dxa"/>
          <w:right w:w="70" w:type="dxa"/>
        </w:tblCellMar>
      </w:tblPr>
      <w:tblGrid>
        <w:gridCol w:w="326"/>
        <w:gridCol w:w="6927"/>
        <w:gridCol w:w="890"/>
        <w:gridCol w:w="929"/>
      </w:tblGrid>
      <w:tr>
        <w:trPr>
          <w:trHeight w:val="340" w:hRule="atLeast"/>
          <w:cantSplit w:val="true"/>
        </w:trPr>
        <w:tc>
          <w:tcPr>
            <w:tcW w:w="326" w:type="dxa"/>
            <w:vMerge w:val="restart"/>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8"/>
              </w:numPr>
              <w:snapToGrid w:val="false"/>
              <w:spacing w:lineRule="auto" w:line="240" w:before="0" w:after="0"/>
              <w:ind w:left="357" w:right="0" w:hanging="357"/>
              <w:contextualSpacing/>
              <w:jc w:val="both"/>
              <w:outlineLvl w:val="1"/>
              <w:rPr>
                <w:szCs w:val="22"/>
              </w:rPr>
            </w:pPr>
            <w:r>
              <w:rPr>
                <w:szCs w:val="22"/>
              </w:rPr>
            </w:r>
          </w:p>
        </w:tc>
        <w:tc>
          <w:tcPr>
            <w:tcW w:w="6927" w:type="dxa"/>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0"/>
              </w:numPr>
              <w:spacing w:lineRule="auto" w:line="240" w:before="0" w:after="0"/>
              <w:ind w:left="0" w:right="0" w:hanging="0"/>
              <w:contextualSpacing/>
              <w:outlineLvl w:val="1"/>
              <w:rPr/>
            </w:pPr>
            <w:r>
              <w:rPr>
                <w:b/>
                <w:szCs w:val="22"/>
              </w:rPr>
              <w:t>Priemerný prepočítaný počet zamestnancov</w:t>
            </w:r>
            <w:r>
              <w:rPr>
                <w:szCs w:val="22"/>
              </w:rPr>
              <w:t xml:space="preserve">  za bežné účtovné obdobie</w:t>
            </w:r>
          </w:p>
        </w:tc>
        <w:tc>
          <w:tcPr>
            <w:tcW w:w="890" w:type="dxa"/>
            <w:tcBorders>
              <w:top w:val="single" w:sz="4" w:space="0" w:color="000000"/>
              <w:left w:val="single" w:sz="4" w:space="0" w:color="000000"/>
              <w:bottom w:val="single" w:sz="4" w:space="0" w:color="000000"/>
              <w:right w:val="single" w:sz="4" w:space="0" w:color="000000"/>
            </w:tcBorders>
            <w:vAlign w:val="center"/>
          </w:tcPr>
          <w:p>
            <w:pPr>
              <w:pStyle w:val="Odsekzoznamu"/>
              <w:spacing w:lineRule="auto" w:line="240" w:before="0" w:after="0"/>
              <w:ind w:left="0" w:right="0" w:hanging="0"/>
              <w:contextualSpacing/>
              <w:rPr/>
            </w:pPr>
            <w:r>
              <w:rPr>
                <w:rFonts w:eastAsia="Arial Narrow" w:cs="Arial Narrow"/>
                <w:szCs w:val="22"/>
              </w:rPr>
              <w:t xml:space="preserve">   </w:t>
            </w:r>
            <w:r>
              <w:rPr>
                <w:szCs w:val="22"/>
              </w:rPr>
              <w:t>BO</w:t>
            </w:r>
          </w:p>
        </w:tc>
        <w:tc>
          <w:tcPr>
            <w:tcW w:w="929" w:type="dxa"/>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contextualSpacing/>
              <w:jc w:val="center"/>
              <w:rPr>
                <w:szCs w:val="22"/>
              </w:rPr>
            </w:pPr>
            <w:r>
              <w:rPr>
                <w:szCs w:val="22"/>
              </w:rPr>
              <w:t>1</w:t>
            </w:r>
          </w:p>
        </w:tc>
      </w:tr>
      <w:tr>
        <w:trPr>
          <w:trHeight w:val="340" w:hRule="atLeast"/>
          <w:cantSplit w:val="true"/>
        </w:trPr>
        <w:tc>
          <w:tcPr>
            <w:tcW w:w="326" w:type="dxa"/>
            <w:vMerge w:val="continue"/>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0"/>
              </w:numPr>
              <w:snapToGrid w:val="false"/>
              <w:spacing w:lineRule="auto" w:line="240" w:before="0" w:after="0"/>
              <w:ind w:left="357" w:right="0" w:hanging="0"/>
              <w:contextualSpacing/>
              <w:jc w:val="both"/>
              <w:outlineLvl w:val="1"/>
              <w:rPr>
                <w:b/>
                <w:bCs/>
                <w:szCs w:val="22"/>
              </w:rPr>
            </w:pPr>
            <w:r>
              <w:rPr>
                <w:b/>
                <w:bCs/>
                <w:szCs w:val="22"/>
              </w:rPr>
            </w:r>
          </w:p>
        </w:tc>
        <w:tc>
          <w:tcPr>
            <w:tcW w:w="6927" w:type="dxa"/>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0"/>
              </w:numPr>
              <w:spacing w:lineRule="auto" w:line="240" w:before="0" w:after="0"/>
              <w:ind w:left="0" w:right="0" w:hanging="0"/>
              <w:contextualSpacing/>
              <w:outlineLvl w:val="1"/>
              <w:rPr/>
            </w:pPr>
            <w:r>
              <w:rPr>
                <w:b/>
                <w:szCs w:val="22"/>
              </w:rPr>
              <w:t>Priemerný prepočítaný počet zamestnancov</w:t>
            </w:r>
            <w:r>
              <w:rPr>
                <w:szCs w:val="22"/>
              </w:rPr>
              <w:t xml:space="preserve">  bezprostredne predchádzajúce ÚO</w:t>
            </w:r>
          </w:p>
        </w:tc>
        <w:tc>
          <w:tcPr>
            <w:tcW w:w="890" w:type="dxa"/>
            <w:tcBorders>
              <w:top w:val="single" w:sz="4" w:space="0" w:color="000000"/>
              <w:left w:val="single" w:sz="4" w:space="0" w:color="000000"/>
              <w:bottom w:val="single" w:sz="4" w:space="0" w:color="000000"/>
              <w:right w:val="single" w:sz="4" w:space="0" w:color="000000"/>
            </w:tcBorders>
            <w:vAlign w:val="center"/>
          </w:tcPr>
          <w:p>
            <w:pPr>
              <w:pStyle w:val="Odsekzoznamu"/>
              <w:spacing w:lineRule="auto" w:line="240" w:before="0" w:after="0"/>
              <w:ind w:left="0" w:right="0" w:hanging="0"/>
              <w:contextualSpacing/>
              <w:rPr/>
            </w:pPr>
            <w:r>
              <w:rPr>
                <w:rFonts w:eastAsia="Arial Narrow" w:cs="Arial Narrow"/>
                <w:szCs w:val="22"/>
              </w:rPr>
              <w:t xml:space="preserve">   </w:t>
            </w:r>
            <w:r>
              <w:rPr>
                <w:szCs w:val="22"/>
              </w:rPr>
              <w:t>PO</w:t>
            </w:r>
          </w:p>
        </w:tc>
        <w:tc>
          <w:tcPr>
            <w:tcW w:w="929" w:type="dxa"/>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contextualSpacing/>
              <w:jc w:val="center"/>
              <w:rPr>
                <w:szCs w:val="22"/>
              </w:rPr>
            </w:pPr>
            <w:r>
              <w:rPr>
                <w:szCs w:val="22"/>
              </w:rPr>
              <w:t>1</w:t>
            </w:r>
          </w:p>
        </w:tc>
      </w:tr>
    </w:tbl>
    <w:p>
      <w:pPr>
        <w:pStyle w:val="Normal"/>
        <w:spacing w:before="0" w:after="0"/>
        <w:ind w:left="705" w:right="0" w:hanging="705"/>
        <w:jc w:val="both"/>
        <w:rPr>
          <w:bCs/>
          <w:szCs w:val="22"/>
        </w:rPr>
      </w:pPr>
      <w:r>
        <w:rPr>
          <w:i/>
          <w:szCs w:val="22"/>
        </w:rPr>
      </w:r>
    </w:p>
    <w:p>
      <w:pPr>
        <w:pStyle w:val="Normal"/>
        <w:spacing w:before="0" w:after="0"/>
        <w:ind w:left="705" w:right="0" w:hanging="705"/>
        <w:jc w:val="both"/>
        <w:rPr>
          <w:bCs/>
          <w:szCs w:val="22"/>
        </w:rPr>
      </w:pPr>
      <w:r>
        <w:rPr>
          <w:i/>
          <w:szCs w:val="22"/>
        </w:rPr>
      </w:r>
    </w:p>
    <w:p>
      <w:pPr>
        <w:pStyle w:val="Normal"/>
        <w:spacing w:before="0" w:after="0"/>
        <w:ind w:left="705" w:right="0" w:hanging="705"/>
        <w:jc w:val="both"/>
        <w:rPr>
          <w:bCs/>
          <w:szCs w:val="22"/>
        </w:rPr>
      </w:pPr>
      <w:r>
        <w:rPr>
          <w:i/>
          <w:szCs w:val="22"/>
        </w:rPr>
      </w:r>
    </w:p>
    <w:p>
      <w:pPr>
        <w:pStyle w:val="Normal"/>
        <w:spacing w:before="0" w:after="0"/>
        <w:ind w:left="705" w:right="0" w:hanging="705"/>
        <w:jc w:val="both"/>
        <w:rPr>
          <w:bCs/>
          <w:szCs w:val="22"/>
        </w:rPr>
      </w:pPr>
      <w:r>
        <w:rPr>
          <w:i/>
          <w:szCs w:val="22"/>
        </w:rPr>
      </w:r>
    </w:p>
    <w:p>
      <w:pPr>
        <w:pStyle w:val="Normal"/>
        <w:shd w:fill="E6E6E6" w:val="clear"/>
        <w:spacing w:lineRule="auto" w:line="240" w:before="0" w:after="0"/>
        <w:jc w:val="center"/>
        <w:rPr>
          <w:bCs/>
          <w:szCs w:val="22"/>
        </w:rPr>
      </w:pPr>
      <w:r>
        <w:rPr>
          <w:rFonts w:eastAsia="Arial Narrow" w:cs="Arial Narrow"/>
          <w:b/>
          <w:i/>
          <w:sz w:val="28"/>
          <w:szCs w:val="24"/>
        </w:rPr>
        <w:t xml:space="preserve"> </w:t>
      </w:r>
      <w:r>
        <w:rPr>
          <w:b/>
          <w:i/>
          <w:sz w:val="28"/>
          <w:szCs w:val="24"/>
        </w:rPr>
        <w:t>Čl. II.  Informácie o orgánoch spoločnosti</w:t>
      </w:r>
    </w:p>
    <w:p>
      <w:pPr>
        <w:pStyle w:val="Normal"/>
        <w:spacing w:lineRule="auto" w:line="240" w:before="0" w:after="0"/>
        <w:ind w:left="360" w:right="-468" w:hanging="0"/>
        <w:jc w:val="both"/>
        <w:rPr>
          <w:bCs/>
          <w:szCs w:val="22"/>
        </w:rPr>
      </w:pPr>
      <w:r>
        <w:rPr>
          <w:b/>
          <w:bCs/>
          <w:i/>
          <w:sz w:val="28"/>
          <w:szCs w:val="22"/>
        </w:rPr>
      </w:r>
    </w:p>
    <w:p>
      <w:pPr>
        <w:pStyle w:val="Normal"/>
        <w:spacing w:lineRule="auto" w:line="240" w:before="0" w:after="0"/>
        <w:ind w:left="360" w:right="-468" w:hanging="0"/>
        <w:jc w:val="both"/>
        <w:rPr>
          <w:bCs/>
          <w:szCs w:val="22"/>
        </w:rPr>
      </w:pPr>
      <w:r>
        <w:rPr>
          <w:b/>
          <w:bCs/>
          <w:i/>
          <w:sz w:val="18"/>
          <w:szCs w:val="18"/>
        </w:rPr>
      </w:r>
    </w:p>
    <w:p>
      <w:pPr>
        <w:pStyle w:val="Normal"/>
        <w:spacing w:lineRule="auto" w:line="240" w:before="0" w:after="0"/>
        <w:ind w:left="360" w:right="-468" w:hanging="0"/>
        <w:jc w:val="both"/>
        <w:rPr>
          <w:bCs/>
          <w:szCs w:val="22"/>
        </w:rPr>
      </w:pPr>
      <w:r>
        <w:rPr>
          <w:b/>
          <w:bCs/>
          <w:i/>
          <w:sz w:val="18"/>
          <w:szCs w:val="22"/>
        </w:rPr>
      </w:r>
    </w:p>
    <w:p>
      <w:pPr>
        <w:pStyle w:val="Normal"/>
        <w:spacing w:lineRule="auto" w:line="240" w:before="0" w:after="0"/>
        <w:ind w:left="360" w:right="-468" w:hanging="0"/>
        <w:jc w:val="both"/>
        <w:rPr>
          <w:bCs/>
          <w:szCs w:val="22"/>
        </w:rPr>
      </w:pPr>
      <w:r>
        <w:rPr>
          <w:b/>
          <w:bCs/>
          <w:i/>
          <w:sz w:val="18"/>
          <w:szCs w:val="22"/>
        </w:rPr>
      </w:r>
    </w:p>
    <w:tbl>
      <w:tblPr>
        <w:tblW w:w="9072" w:type="dxa"/>
        <w:jc w:val="left"/>
        <w:tblInd w:w="108" w:type="dxa"/>
        <w:tblLayout w:type="fixed"/>
        <w:tblCellMar>
          <w:top w:w="0" w:type="dxa"/>
          <w:left w:w="108" w:type="dxa"/>
          <w:bottom w:w="0" w:type="dxa"/>
          <w:right w:w="108" w:type="dxa"/>
        </w:tblCellMar>
      </w:tblPr>
      <w:tblGrid>
        <w:gridCol w:w="4154"/>
        <w:gridCol w:w="1957"/>
        <w:gridCol w:w="1818"/>
        <w:gridCol w:w="1143"/>
      </w:tblGrid>
      <w:tr>
        <w:trPr>
          <w:trHeight w:val="57" w:hRule="atLeast"/>
        </w:trPr>
        <w:tc>
          <w:tcPr>
            <w:tcW w:w="9072" w:type="dxa"/>
            <w:gridSpan w:val="4"/>
            <w:tcBorders>
              <w:top w:val="single" w:sz="4" w:space="0" w:color="000000"/>
              <w:left w:val="single" w:sz="4" w:space="0" w:color="000000"/>
              <w:bottom w:val="single" w:sz="4" w:space="0" w:color="000000"/>
              <w:right w:val="single" w:sz="4" w:space="0" w:color="000000"/>
            </w:tcBorders>
            <w:vAlign w:val="center"/>
          </w:tcPr>
          <w:p>
            <w:pPr>
              <w:pStyle w:val="Normal"/>
              <w:spacing w:before="0" w:after="0"/>
              <w:rPr>
                <w:b/>
                <w:szCs w:val="22"/>
              </w:rPr>
            </w:pPr>
            <w:r>
              <w:rPr>
                <w:szCs w:val="22"/>
              </w:rPr>
              <w:t>a)</w:t>
            </w:r>
            <w:r>
              <w:rPr>
                <w:b/>
                <w:szCs w:val="22"/>
              </w:rPr>
              <w:t xml:space="preserve">Výška jednotlivých druhov záruk alebo iných zabezpečení pre členov štatutárneho orgánu, </w:t>
            </w:r>
          </w:p>
          <w:p>
            <w:pPr>
              <w:pStyle w:val="Normal"/>
              <w:spacing w:before="0" w:after="0"/>
              <w:rPr>
                <w:b/>
                <w:szCs w:val="22"/>
              </w:rPr>
            </w:pPr>
            <w:r>
              <w:rPr>
                <w:b/>
                <w:szCs w:val="22"/>
              </w:rPr>
              <w:t>dozorného orgánu a iného orgánu ÚJ</w:t>
            </w:r>
          </w:p>
        </w:tc>
      </w:tr>
      <w:tr>
        <w:trPr>
          <w:trHeight w:val="57" w:hRule="atLeast"/>
        </w:trPr>
        <w:tc>
          <w:tcPr>
            <w:tcW w:w="4154"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Druh záruky</w:t>
            </w:r>
          </w:p>
        </w:tc>
        <w:tc>
          <w:tcPr>
            <w:tcW w:w="1957"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Štatutárny orgán</w:t>
            </w:r>
          </w:p>
        </w:tc>
        <w:tc>
          <w:tcPr>
            <w:tcW w:w="1818"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 w:val="18"/>
                <w:szCs w:val="22"/>
              </w:rPr>
            </w:pPr>
            <w:r>
              <w:rPr>
                <w:sz w:val="18"/>
                <w:szCs w:val="22"/>
              </w:rPr>
              <w:t xml:space="preserve">Bežné účtovné  </w:t>
            </w:r>
          </w:p>
          <w:p>
            <w:pPr>
              <w:pStyle w:val="Normal"/>
              <w:spacing w:before="0" w:after="0"/>
              <w:jc w:val="center"/>
              <w:rPr>
                <w:sz w:val="18"/>
                <w:szCs w:val="22"/>
              </w:rPr>
            </w:pPr>
            <w:r>
              <w:rPr>
                <w:sz w:val="18"/>
                <w:szCs w:val="22"/>
              </w:rPr>
              <w:t>obdobie</w:t>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pPr>
            <w:r>
              <w:rPr>
                <w:sz w:val="16"/>
                <w:szCs w:val="16"/>
              </w:rPr>
              <w:t xml:space="preserve">Bezprostredne predchádzajúce </w:t>
            </w:r>
            <w:r>
              <w:rPr>
                <w:sz w:val="14"/>
                <w:szCs w:val="14"/>
              </w:rPr>
              <w:t>účtovné  obdobie</w:t>
            </w:r>
            <w:r>
              <w:rPr>
                <w:szCs w:val="22"/>
              </w:rPr>
              <w:t xml:space="preserve"> </w:t>
            </w:r>
            <w:r>
              <w:rPr>
                <w:sz w:val="16"/>
                <w:szCs w:val="16"/>
              </w:rPr>
              <w:t xml:space="preserve"> </w:t>
            </w:r>
          </w:p>
        </w:tc>
      </w:tr>
      <w:tr>
        <w:trPr>
          <w:trHeight w:val="340" w:hRule="atLeast"/>
        </w:trPr>
        <w:tc>
          <w:tcPr>
            <w:tcW w:w="4154"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1957"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181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r>
    </w:tbl>
    <w:p>
      <w:pPr>
        <w:pStyle w:val="Normal"/>
        <w:spacing w:before="0" w:after="0"/>
        <w:rPr>
          <w:bCs/>
          <w:szCs w:val="22"/>
        </w:rPr>
      </w:pPr>
      <w:r>
        <w:rPr/>
      </w:r>
    </w:p>
    <w:p>
      <w:pPr>
        <w:pStyle w:val="Normal"/>
        <w:spacing w:before="0" w:after="0"/>
        <w:rPr>
          <w:bCs/>
          <w:szCs w:val="22"/>
        </w:rPr>
      </w:pPr>
      <w:r>
        <w:rPr/>
      </w:r>
    </w:p>
    <w:p>
      <w:pPr>
        <w:pStyle w:val="Normal"/>
        <w:spacing w:before="0" w:after="0"/>
        <w:rPr>
          <w:bCs/>
          <w:szCs w:val="22"/>
        </w:rPr>
      </w:pPr>
      <w:r>
        <w:rPr>
          <w:szCs w:val="22"/>
        </w:rPr>
        <w:t>Účtovnou jednotkou neboli poskytnuté žiadne záruky ani iné zabezpečenia štatutárnemu, dozornému ani inému orgánu účtovnej jednotky.</w:t>
      </w:r>
    </w:p>
    <w:p>
      <w:pPr>
        <w:pStyle w:val="Normal"/>
        <w:spacing w:before="0" w:after="0"/>
        <w:rPr>
          <w:bCs/>
          <w:szCs w:val="22"/>
        </w:rPr>
      </w:pPr>
      <w:r>
        <w:rPr>
          <w:sz w:val="24"/>
        </w:rPr>
      </w:r>
    </w:p>
    <w:p>
      <w:pPr>
        <w:pStyle w:val="Normal"/>
        <w:spacing w:before="0" w:after="0"/>
        <w:rPr>
          <w:bCs/>
          <w:szCs w:val="22"/>
        </w:rPr>
      </w:pPr>
      <w:r>
        <w:rPr>
          <w:sz w:val="24"/>
        </w:rPr>
      </w:r>
    </w:p>
    <w:p>
      <w:pPr>
        <w:pStyle w:val="Normal"/>
        <w:spacing w:before="0" w:after="0"/>
        <w:rPr>
          <w:bCs/>
          <w:szCs w:val="22"/>
        </w:rPr>
      </w:pPr>
      <w:r>
        <w:rPr>
          <w:sz w:val="24"/>
        </w:rPr>
      </w:r>
    </w:p>
    <w:tbl>
      <w:tblPr>
        <w:tblW w:w="9072" w:type="dxa"/>
        <w:jc w:val="left"/>
        <w:tblInd w:w="108" w:type="dxa"/>
        <w:tblLayout w:type="fixed"/>
        <w:tblCellMar>
          <w:top w:w="0" w:type="dxa"/>
          <w:left w:w="108" w:type="dxa"/>
          <w:bottom w:w="0" w:type="dxa"/>
          <w:right w:w="108" w:type="dxa"/>
        </w:tblCellMar>
      </w:tblPr>
      <w:tblGrid>
        <w:gridCol w:w="4034"/>
        <w:gridCol w:w="6"/>
        <w:gridCol w:w="1670"/>
        <w:gridCol w:w="971"/>
        <w:gridCol w:w="1248"/>
        <w:gridCol w:w="1143"/>
      </w:tblGrid>
      <w:tr>
        <w:trPr>
          <w:trHeight w:val="340" w:hRule="atLeast"/>
        </w:trPr>
        <w:tc>
          <w:tcPr>
            <w:tcW w:w="9072" w:type="dxa"/>
            <w:gridSpan w:val="6"/>
            <w:tcBorders>
              <w:top w:val="single" w:sz="4" w:space="0" w:color="000000"/>
              <w:left w:val="single" w:sz="4" w:space="0" w:color="000000"/>
              <w:bottom w:val="single" w:sz="4" w:space="0" w:color="000000"/>
              <w:right w:val="single" w:sz="4" w:space="0" w:color="000000"/>
            </w:tcBorders>
          </w:tcPr>
          <w:p>
            <w:pPr>
              <w:pStyle w:val="Normal"/>
              <w:spacing w:before="0" w:after="0"/>
              <w:rPr/>
            </w:pPr>
            <w:r>
              <w:rPr>
                <w:szCs w:val="22"/>
              </w:rPr>
              <w:t>b)</w:t>
            </w:r>
            <w:r>
              <w:rPr>
                <w:b/>
                <w:szCs w:val="22"/>
              </w:rPr>
              <w:t>Pôžičky poskytnuté členom štatutárneho orgánu, dozorného orgánu a iného orgánu ÚJ</w:t>
            </w:r>
          </w:p>
        </w:tc>
      </w:tr>
      <w:tr>
        <w:trPr>
          <w:trHeight w:val="340" w:hRule="atLeast"/>
        </w:trPr>
        <w:tc>
          <w:tcPr>
            <w:tcW w:w="4034" w:type="dxa"/>
            <w:tcBorders>
              <w:top w:val="single" w:sz="4" w:space="0" w:color="000000"/>
              <w:left w:val="single" w:sz="4" w:space="0" w:color="000000"/>
              <w:bottom w:val="single" w:sz="4" w:space="0" w:color="000000"/>
              <w:right w:val="single" w:sz="4" w:space="0" w:color="000000"/>
            </w:tcBorders>
          </w:tcPr>
          <w:p>
            <w:pPr>
              <w:pStyle w:val="Normal"/>
              <w:snapToGrid w:val="false"/>
              <w:spacing w:lineRule="auto" w:line="240" w:before="0" w:after="0"/>
              <w:rPr>
                <w:szCs w:val="22"/>
              </w:rPr>
            </w:pPr>
            <w:r>
              <w:rPr>
                <w:szCs w:val="22"/>
              </w:rPr>
            </w:r>
          </w:p>
        </w:tc>
        <w:tc>
          <w:tcPr>
            <w:tcW w:w="1676" w:type="dxa"/>
            <w:gridSpan w:val="2"/>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jc w:val="center"/>
              <w:rPr>
                <w:szCs w:val="22"/>
              </w:rPr>
            </w:pPr>
            <w:r>
              <w:rPr>
                <w:szCs w:val="22"/>
              </w:rPr>
              <w:t>Štatutárny orgán</w:t>
            </w:r>
          </w:p>
        </w:tc>
        <w:tc>
          <w:tcPr>
            <w:tcW w:w="971"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jc w:val="center"/>
              <w:rPr>
                <w:szCs w:val="22"/>
              </w:rPr>
            </w:pPr>
            <w:r>
              <w:rPr>
                <w:szCs w:val="22"/>
              </w:rPr>
              <w:t>Úrok v %</w:t>
            </w:r>
          </w:p>
        </w:tc>
        <w:tc>
          <w:tcPr>
            <w:tcW w:w="1248"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 w:val="18"/>
                <w:szCs w:val="22"/>
              </w:rPr>
            </w:pPr>
            <w:r>
              <w:rPr>
                <w:sz w:val="18"/>
                <w:szCs w:val="22"/>
              </w:rPr>
              <w:t xml:space="preserve">Bežné účtovné  </w:t>
            </w:r>
          </w:p>
          <w:p>
            <w:pPr>
              <w:pStyle w:val="Normal"/>
              <w:spacing w:lineRule="auto" w:line="240" w:before="0" w:after="0"/>
              <w:jc w:val="center"/>
              <w:rPr/>
            </w:pPr>
            <w:r>
              <w:rPr>
                <w:sz w:val="18"/>
                <w:szCs w:val="22"/>
              </w:rPr>
              <w:t>obdobie</w:t>
            </w:r>
            <w:r>
              <w:rPr>
                <w:szCs w:val="22"/>
              </w:rPr>
              <w:t xml:space="preserve"> </w:t>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jc w:val="center"/>
              <w:rPr/>
            </w:pPr>
            <w:r>
              <w:rPr>
                <w:sz w:val="16"/>
                <w:szCs w:val="16"/>
              </w:rPr>
              <w:t xml:space="preserve">Bezprostredne predchádzajúce </w:t>
            </w:r>
            <w:r>
              <w:rPr>
                <w:sz w:val="14"/>
                <w:szCs w:val="14"/>
              </w:rPr>
              <w:t>účtovné  obdobie</w:t>
            </w:r>
            <w:r>
              <w:rPr>
                <w:szCs w:val="22"/>
              </w:rPr>
              <w:t xml:space="preserve"> </w:t>
            </w:r>
          </w:p>
        </w:tc>
      </w:tr>
      <w:tr>
        <w:trPr>
          <w:trHeight w:val="340" w:hRule="atLeast"/>
        </w:trPr>
        <w:tc>
          <w:tcPr>
            <w:tcW w:w="9072" w:type="dxa"/>
            <w:gridSpan w:val="6"/>
            <w:tcBorders>
              <w:top w:val="single" w:sz="4" w:space="0" w:color="000000"/>
              <w:left w:val="single" w:sz="4" w:space="0" w:color="000000"/>
              <w:bottom w:val="single" w:sz="4" w:space="0" w:color="000000"/>
              <w:right w:val="single" w:sz="4" w:space="0" w:color="000000"/>
            </w:tcBorders>
          </w:tcPr>
          <w:p>
            <w:pPr>
              <w:pStyle w:val="Normal"/>
              <w:tabs>
                <w:tab w:val="clear" w:pos="708"/>
                <w:tab w:val="left" w:pos="851" w:leader="none"/>
              </w:tabs>
              <w:spacing w:lineRule="auto" w:line="240" w:before="0" w:after="0"/>
              <w:jc w:val="both"/>
              <w:rPr>
                <w:szCs w:val="22"/>
              </w:rPr>
            </w:pPr>
            <w:r>
              <w:rPr>
                <w:szCs w:val="22"/>
              </w:rPr>
              <w:t>1.Celková suma poskytnutých pôžičiek k poslednému dňu účtovného obdobia</w:t>
            </w:r>
          </w:p>
        </w:tc>
      </w:tr>
      <w:tr>
        <w:trPr>
          <w:trHeight w:val="340" w:hRule="atLeast"/>
        </w:trPr>
        <w:tc>
          <w:tcPr>
            <w:tcW w:w="4040"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167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97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124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r>
      <w:tr>
        <w:trPr>
          <w:trHeight w:val="340" w:hRule="atLeast"/>
        </w:trPr>
        <w:tc>
          <w:tcPr>
            <w:tcW w:w="9072" w:type="dxa"/>
            <w:gridSpan w:val="6"/>
            <w:tcBorders>
              <w:top w:val="single" w:sz="4" w:space="0" w:color="000000"/>
              <w:left w:val="single" w:sz="4" w:space="0" w:color="000000"/>
              <w:bottom w:val="single" w:sz="4" w:space="0" w:color="000000"/>
              <w:right w:val="single" w:sz="4" w:space="0" w:color="000000"/>
            </w:tcBorders>
          </w:tcPr>
          <w:p>
            <w:pPr>
              <w:pStyle w:val="Normal"/>
              <w:tabs>
                <w:tab w:val="clear" w:pos="708"/>
                <w:tab w:val="left" w:pos="851" w:leader="none"/>
              </w:tabs>
              <w:snapToGrid w:val="false"/>
              <w:spacing w:lineRule="auto" w:line="240" w:before="0" w:after="0"/>
              <w:rPr>
                <w:szCs w:val="22"/>
              </w:rPr>
            </w:pPr>
            <w:r>
              <w:rPr>
                <w:szCs w:val="22"/>
              </w:rPr>
            </w:r>
          </w:p>
          <w:p>
            <w:pPr>
              <w:pStyle w:val="Normal"/>
              <w:tabs>
                <w:tab w:val="clear" w:pos="708"/>
                <w:tab w:val="left" w:pos="851" w:leader="none"/>
              </w:tabs>
              <w:spacing w:lineRule="auto" w:line="240" w:before="0" w:after="0"/>
              <w:rPr>
                <w:szCs w:val="22"/>
              </w:rPr>
            </w:pPr>
            <w:r>
              <w:rPr>
                <w:szCs w:val="22"/>
              </w:rPr>
              <w:t>2.Celková suma splatených pôžičiek k poslednému dňu účtovného obdobia</w:t>
            </w:r>
          </w:p>
        </w:tc>
      </w:tr>
      <w:tr>
        <w:trPr>
          <w:trHeight w:val="368" w:hRule="atLeast"/>
        </w:trPr>
        <w:tc>
          <w:tcPr>
            <w:tcW w:w="4040" w:type="dxa"/>
            <w:gridSpan w:val="2"/>
            <w:tcBorders>
              <w:top w:val="single" w:sz="4" w:space="0" w:color="000000"/>
              <w:left w:val="single" w:sz="4" w:space="0" w:color="000000"/>
              <w:bottom w:val="single" w:sz="4" w:space="0" w:color="000000"/>
              <w:right w:val="single" w:sz="4" w:space="0" w:color="000000"/>
            </w:tcBorders>
            <w:vAlign w:val="center"/>
          </w:tcPr>
          <w:p>
            <w:pPr>
              <w:pStyle w:val="Normal"/>
              <w:tabs>
                <w:tab w:val="clear" w:pos="708"/>
                <w:tab w:val="left" w:pos="851" w:leader="none"/>
              </w:tabs>
              <w:snapToGrid w:val="false"/>
              <w:spacing w:before="0" w:after="0"/>
              <w:rPr>
                <w:szCs w:val="22"/>
              </w:rPr>
            </w:pPr>
            <w:r>
              <w:rPr>
                <w:szCs w:val="22"/>
              </w:rPr>
            </w:r>
          </w:p>
        </w:tc>
        <w:tc>
          <w:tcPr>
            <w:tcW w:w="167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97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124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r>
        <w:trPr>
          <w:trHeight w:val="340" w:hRule="atLeast"/>
        </w:trPr>
        <w:tc>
          <w:tcPr>
            <w:tcW w:w="9072" w:type="dxa"/>
            <w:gridSpan w:val="6"/>
            <w:tcBorders>
              <w:top w:val="single" w:sz="4" w:space="0" w:color="000000"/>
              <w:left w:val="single" w:sz="4" w:space="0" w:color="000000"/>
              <w:bottom w:val="single" w:sz="4" w:space="0" w:color="000000"/>
              <w:right w:val="single" w:sz="4" w:space="0" w:color="000000"/>
            </w:tcBorders>
          </w:tcPr>
          <w:p>
            <w:pPr>
              <w:pStyle w:val="Normal"/>
              <w:tabs>
                <w:tab w:val="clear" w:pos="708"/>
                <w:tab w:val="left" w:pos="851" w:leader="none"/>
              </w:tabs>
              <w:spacing w:lineRule="auto" w:line="240" w:before="0" w:after="0"/>
              <w:rPr>
                <w:szCs w:val="22"/>
              </w:rPr>
            </w:pPr>
            <w:r>
              <w:rPr>
                <w:szCs w:val="22"/>
              </w:rPr>
              <w:t>3.Celková suma odpustených pôžičiek a odpísaných pôžičiek k poslednému dňu účtovného obdobia</w:t>
            </w:r>
          </w:p>
          <w:p>
            <w:pPr>
              <w:pStyle w:val="Normal"/>
              <w:tabs>
                <w:tab w:val="clear" w:pos="708"/>
                <w:tab w:val="left" w:pos="851" w:leader="none"/>
              </w:tabs>
              <w:spacing w:lineRule="auto" w:line="240" w:before="0" w:after="0"/>
              <w:rPr>
                <w:szCs w:val="22"/>
              </w:rPr>
            </w:pPr>
            <w:r>
              <w:rPr>
                <w:szCs w:val="22"/>
              </w:rPr>
            </w:r>
          </w:p>
        </w:tc>
      </w:tr>
      <w:tr>
        <w:trPr>
          <w:trHeight w:val="422" w:hRule="atLeast"/>
        </w:trPr>
        <w:tc>
          <w:tcPr>
            <w:tcW w:w="4040" w:type="dxa"/>
            <w:gridSpan w:val="2"/>
            <w:tcBorders>
              <w:top w:val="single" w:sz="4" w:space="0" w:color="000000"/>
              <w:left w:val="single" w:sz="4" w:space="0" w:color="000000"/>
              <w:bottom w:val="single" w:sz="4" w:space="0" w:color="000000"/>
              <w:right w:val="single" w:sz="4" w:space="0" w:color="000000"/>
            </w:tcBorders>
            <w:vAlign w:val="center"/>
          </w:tcPr>
          <w:p>
            <w:pPr>
              <w:pStyle w:val="Normal"/>
              <w:tabs>
                <w:tab w:val="clear" w:pos="708"/>
                <w:tab w:val="left" w:pos="851" w:leader="none"/>
              </w:tabs>
              <w:snapToGrid w:val="false"/>
              <w:spacing w:before="0" w:after="0"/>
              <w:rPr>
                <w:szCs w:val="22"/>
              </w:rPr>
            </w:pPr>
            <w:r>
              <w:rPr>
                <w:szCs w:val="22"/>
              </w:rPr>
            </w:r>
          </w:p>
        </w:tc>
        <w:tc>
          <w:tcPr>
            <w:tcW w:w="167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97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124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bl>
    <w:p>
      <w:pPr>
        <w:pStyle w:val="Normal"/>
        <w:spacing w:before="0" w:after="0"/>
        <w:rPr>
          <w:bCs/>
          <w:szCs w:val="22"/>
        </w:rPr>
      </w:pPr>
      <w:r>
        <w:rPr>
          <w:sz w:val="24"/>
        </w:rPr>
      </w:r>
    </w:p>
    <w:p>
      <w:pPr>
        <w:pStyle w:val="Normal"/>
        <w:spacing w:before="0" w:after="0"/>
        <w:rPr>
          <w:bCs/>
          <w:szCs w:val="22"/>
        </w:rPr>
      </w:pPr>
      <w:r>
        <w:rPr>
          <w:szCs w:val="22"/>
        </w:rPr>
        <w:t>c) Účtovnou jednotkou neboli poskytnuté žiadne pôžičky  štatutárnemu, inému ani dozornému orgánu.  Účtovná jednotka  nevykazuje žiadne  pôžičky,  ku  poslednému  dňu  účtovného obdobia  nevykazuje  splatené  pôžičky.</w:t>
      </w:r>
    </w:p>
    <w:p>
      <w:pPr>
        <w:pStyle w:val="Normal"/>
        <w:spacing w:before="0" w:after="0"/>
        <w:rPr>
          <w:bCs/>
          <w:szCs w:val="22"/>
        </w:rPr>
      </w:pPr>
      <w:r>
        <w:rPr>
          <w:szCs w:val="22"/>
        </w:rPr>
      </w:r>
    </w:p>
    <w:p>
      <w:pPr>
        <w:pStyle w:val="Normal"/>
        <w:spacing w:before="0" w:after="0"/>
        <w:rPr>
          <w:bCs/>
          <w:szCs w:val="22"/>
        </w:rPr>
      </w:pPr>
      <w:r>
        <w:rPr>
          <w:szCs w:val="22"/>
        </w:rPr>
        <w:t>Účtovná jednotka  nevykazuje  ku  poslednému dňu účtovného obdobia  odpustené ani odpísané pôžičky.</w:t>
      </w:r>
    </w:p>
    <w:p>
      <w:pPr>
        <w:pStyle w:val="Normal"/>
        <w:spacing w:before="0" w:after="0"/>
        <w:rPr>
          <w:bCs/>
          <w:szCs w:val="22"/>
        </w:rPr>
      </w:pPr>
      <w:r>
        <w:rPr>
          <w:sz w:val="16"/>
          <w:szCs w:val="16"/>
        </w:rPr>
      </w:r>
    </w:p>
    <w:p>
      <w:pPr>
        <w:pStyle w:val="Normal"/>
        <w:spacing w:before="0" w:after="0"/>
        <w:rPr>
          <w:bCs/>
          <w:szCs w:val="22"/>
        </w:rPr>
      </w:pPr>
      <w:r>
        <w:rPr>
          <w:sz w:val="16"/>
          <w:szCs w:val="16"/>
        </w:rPr>
      </w:r>
    </w:p>
    <w:p>
      <w:pPr>
        <w:pStyle w:val="Normal"/>
        <w:spacing w:before="0" w:after="0"/>
        <w:rPr>
          <w:bCs/>
          <w:szCs w:val="22"/>
        </w:rPr>
      </w:pPr>
      <w:r>
        <w:rPr>
          <w:sz w:val="16"/>
          <w:szCs w:val="16"/>
        </w:rPr>
      </w:r>
    </w:p>
    <w:tbl>
      <w:tblPr>
        <w:tblW w:w="9072" w:type="dxa"/>
        <w:jc w:val="left"/>
        <w:tblInd w:w="108" w:type="dxa"/>
        <w:tblLayout w:type="fixed"/>
        <w:tblCellMar>
          <w:top w:w="0" w:type="dxa"/>
          <w:left w:w="108" w:type="dxa"/>
          <w:bottom w:w="0" w:type="dxa"/>
          <w:right w:w="108" w:type="dxa"/>
        </w:tblCellMar>
      </w:tblPr>
      <w:tblGrid>
        <w:gridCol w:w="4248"/>
        <w:gridCol w:w="1982"/>
        <w:gridCol w:w="1699"/>
        <w:gridCol w:w="1143"/>
      </w:tblGrid>
      <w:tr>
        <w:trPr>
          <w:trHeight w:val="340" w:hRule="atLeast"/>
        </w:trPr>
        <w:tc>
          <w:tcPr>
            <w:tcW w:w="9072" w:type="dxa"/>
            <w:gridSpan w:val="4"/>
            <w:tcBorders>
              <w:top w:val="single" w:sz="4" w:space="0" w:color="000000"/>
              <w:left w:val="single" w:sz="4" w:space="0" w:color="000000"/>
              <w:bottom w:val="single" w:sz="4" w:space="0" w:color="000000"/>
              <w:right w:val="single" w:sz="4" w:space="0" w:color="000000"/>
            </w:tcBorders>
          </w:tcPr>
          <w:p>
            <w:pPr>
              <w:pStyle w:val="Normal"/>
              <w:spacing w:lineRule="auto" w:line="240" w:before="0" w:after="0"/>
              <w:rPr>
                <w:b/>
                <w:szCs w:val="22"/>
              </w:rPr>
            </w:pPr>
            <w:r>
              <w:rPr>
                <w:szCs w:val="22"/>
              </w:rPr>
              <w:t>d)</w:t>
            </w:r>
            <w:r>
              <w:rPr>
                <w:b/>
                <w:szCs w:val="22"/>
              </w:rPr>
              <w:t>Celková suma použitých finančných prostriedkov alebo iného plnenia na súkromné účely členmi štatutárneho orgánu, dozorného orgánu a iného orgánu účtovnej jednotky, ktoré je potrebné vyúčtovať</w:t>
            </w:r>
          </w:p>
          <w:p>
            <w:pPr>
              <w:pStyle w:val="Normal"/>
              <w:spacing w:lineRule="auto" w:line="240" w:before="0" w:after="0"/>
              <w:rPr>
                <w:b/>
                <w:szCs w:val="22"/>
              </w:rPr>
            </w:pPr>
            <w:r>
              <w:rPr>
                <w:b/>
                <w:szCs w:val="22"/>
              </w:rPr>
            </w:r>
          </w:p>
        </w:tc>
      </w:tr>
      <w:tr>
        <w:trPr>
          <w:trHeight w:val="340" w:hRule="atLeast"/>
        </w:trPr>
        <w:tc>
          <w:tcPr>
            <w:tcW w:w="4248"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Plnenie na súkromné účely k vyúčtovaniu</w:t>
            </w:r>
          </w:p>
        </w:tc>
        <w:tc>
          <w:tcPr>
            <w:tcW w:w="1982"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jc w:val="center"/>
              <w:rPr>
                <w:szCs w:val="22"/>
              </w:rPr>
            </w:pPr>
            <w:r>
              <w:rPr>
                <w:szCs w:val="22"/>
              </w:rPr>
              <w:t>Štatutárny orgán</w:t>
            </w:r>
          </w:p>
        </w:tc>
        <w:tc>
          <w:tcPr>
            <w:tcW w:w="1699"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 w:val="18"/>
                <w:szCs w:val="22"/>
              </w:rPr>
            </w:pPr>
            <w:r>
              <w:rPr>
                <w:sz w:val="18"/>
                <w:szCs w:val="22"/>
              </w:rPr>
              <w:t xml:space="preserve">Bežné účtovné  </w:t>
            </w:r>
          </w:p>
          <w:p>
            <w:pPr>
              <w:pStyle w:val="Normal"/>
              <w:spacing w:lineRule="auto" w:line="240" w:before="0" w:after="0"/>
              <w:jc w:val="center"/>
              <w:rPr/>
            </w:pPr>
            <w:r>
              <w:rPr>
                <w:sz w:val="18"/>
                <w:szCs w:val="22"/>
              </w:rPr>
              <w:t>obdobie</w:t>
            </w:r>
            <w:r>
              <w:rPr>
                <w:szCs w:val="22"/>
              </w:rPr>
              <w:t xml:space="preserve"> </w:t>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jc w:val="center"/>
              <w:rPr/>
            </w:pPr>
            <w:r>
              <w:rPr>
                <w:sz w:val="16"/>
                <w:szCs w:val="16"/>
              </w:rPr>
              <w:t xml:space="preserve">Bezprostredne predchádzajúce </w:t>
            </w:r>
            <w:r>
              <w:rPr>
                <w:sz w:val="14"/>
                <w:szCs w:val="14"/>
              </w:rPr>
              <w:t>účtovné  obdobie</w:t>
            </w:r>
            <w:r>
              <w:rPr>
                <w:szCs w:val="22"/>
              </w:rPr>
              <w:t xml:space="preserve"> </w:t>
            </w:r>
          </w:p>
        </w:tc>
      </w:tr>
      <w:tr>
        <w:trPr>
          <w:trHeight w:val="340" w:hRule="atLeast"/>
        </w:trPr>
        <w:tc>
          <w:tcPr>
            <w:tcW w:w="424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1982"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169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r>
      <w:tr>
        <w:trPr>
          <w:trHeight w:val="340" w:hRule="atLeast"/>
        </w:trPr>
        <w:tc>
          <w:tcPr>
            <w:tcW w:w="4248"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1982"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169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1143"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r>
    </w:tbl>
    <w:p>
      <w:pPr>
        <w:pStyle w:val="Normal"/>
        <w:spacing w:lineRule="auto" w:line="240" w:before="0" w:after="0"/>
        <w:ind w:left="360" w:right="-468" w:hanging="0"/>
        <w:jc w:val="both"/>
        <w:rPr>
          <w:bCs/>
          <w:szCs w:val="22"/>
        </w:rPr>
      </w:pPr>
      <w:r>
        <w:rPr>
          <w:bCs/>
          <w:i/>
          <w:szCs w:val="22"/>
        </w:rPr>
      </w:r>
    </w:p>
    <w:p>
      <w:pPr>
        <w:pStyle w:val="Normal"/>
        <w:spacing w:lineRule="auto" w:line="240" w:before="0" w:after="0"/>
        <w:ind w:left="360" w:right="-468" w:hanging="0"/>
        <w:jc w:val="both"/>
        <w:rPr>
          <w:bCs/>
          <w:szCs w:val="22"/>
        </w:rPr>
      </w:pPr>
      <w:r>
        <w:rPr>
          <w:bCs/>
          <w:i/>
          <w:szCs w:val="22"/>
        </w:rPr>
      </w:r>
    </w:p>
    <w:p>
      <w:pPr>
        <w:pStyle w:val="Normal"/>
        <w:spacing w:lineRule="auto" w:line="240" w:before="0" w:after="0"/>
        <w:ind w:left="0" w:right="-468" w:hanging="0"/>
        <w:rPr>
          <w:bCs/>
          <w:szCs w:val="22"/>
        </w:rPr>
      </w:pPr>
      <w:r>
        <w:rPr>
          <w:szCs w:val="22"/>
        </w:rPr>
        <w:t>Účtovná jednotka  nepoužila na súkromné účely žiadne finančné prostriedky alebo iné plnenia členom štatutárneho, dozorného ani iného orgánu.</w:t>
      </w:r>
    </w:p>
    <w:p>
      <w:pPr>
        <w:pStyle w:val="Normal"/>
        <w:spacing w:lineRule="auto" w:line="240" w:before="0" w:after="0"/>
        <w:ind w:left="0" w:right="-468" w:hanging="0"/>
        <w:jc w:val="both"/>
        <w:rPr>
          <w:bCs/>
          <w:szCs w:val="22"/>
        </w:rPr>
      </w:pPr>
      <w:r>
        <w:rPr>
          <w:bCs/>
          <w:i/>
          <w:sz w:val="24"/>
          <w:szCs w:val="22"/>
        </w:rPr>
      </w:r>
    </w:p>
    <w:p>
      <w:pPr>
        <w:pStyle w:val="Normal"/>
        <w:shd w:fill="E6E6E6" w:val="clear"/>
        <w:spacing w:lineRule="auto" w:line="240" w:before="0" w:after="0"/>
        <w:jc w:val="center"/>
        <w:rPr>
          <w:bCs/>
          <w:szCs w:val="22"/>
        </w:rPr>
      </w:pPr>
      <w:r>
        <w:rPr>
          <w:b/>
          <w:i/>
          <w:sz w:val="28"/>
          <w:szCs w:val="24"/>
        </w:rPr>
        <w:t>Čl. III.   Informácie o prijatých postupoch</w:t>
      </w:r>
    </w:p>
    <w:p>
      <w:pPr>
        <w:pStyle w:val="Normal"/>
        <w:spacing w:lineRule="auto" w:line="240" w:before="0" w:after="0"/>
        <w:ind w:left="360" w:right="-468" w:hanging="0"/>
        <w:jc w:val="both"/>
        <w:rPr>
          <w:bCs/>
          <w:szCs w:val="22"/>
        </w:rPr>
      </w:pPr>
      <w:r>
        <w:rPr>
          <w:b/>
          <w:bCs/>
          <w:i/>
          <w:sz w:val="28"/>
          <w:szCs w:val="22"/>
        </w:rPr>
      </w:r>
    </w:p>
    <w:p>
      <w:pPr>
        <w:pStyle w:val="Normal"/>
        <w:spacing w:lineRule="auto" w:line="240" w:before="0" w:after="0"/>
        <w:ind w:left="0" w:right="-468" w:hanging="0"/>
        <w:jc w:val="both"/>
        <w:rPr>
          <w:bCs/>
          <w:szCs w:val="22"/>
        </w:rPr>
      </w:pPr>
      <w:r>
        <w:rPr>
          <w:b/>
          <w:bCs/>
          <w:i/>
          <w:sz w:val="18"/>
          <w:szCs w:val="18"/>
        </w:rPr>
      </w:r>
    </w:p>
    <w:tbl>
      <w:tblPr>
        <w:tblW w:w="9072" w:type="dxa"/>
        <w:jc w:val="left"/>
        <w:tblInd w:w="108" w:type="dxa"/>
        <w:tblLayout w:type="fixed"/>
        <w:tblCellMar>
          <w:top w:w="0" w:type="dxa"/>
          <w:left w:w="108" w:type="dxa"/>
          <w:bottom w:w="0" w:type="dxa"/>
          <w:right w:w="108" w:type="dxa"/>
        </w:tblCellMar>
      </w:tblPr>
      <w:tblGrid>
        <w:gridCol w:w="578"/>
        <w:gridCol w:w="6510"/>
        <w:gridCol w:w="824"/>
        <w:gridCol w:w="291"/>
        <w:gridCol w:w="578"/>
        <w:gridCol w:w="291"/>
      </w:tblGrid>
      <w:tr>
        <w:trPr>
          <w:trHeight w:val="522" w:hRule="exact"/>
        </w:trPr>
        <w:tc>
          <w:tcPr>
            <w:tcW w:w="578" w:type="dxa"/>
            <w:tcBorders>
              <w:top w:val="single" w:sz="4" w:space="0" w:color="000000"/>
              <w:left w:val="single" w:sz="4" w:space="0" w:color="000000"/>
              <w:bottom w:val="single" w:sz="4" w:space="0" w:color="000000"/>
              <w:right w:val="single" w:sz="4" w:space="0" w:color="000000"/>
            </w:tcBorders>
            <w:vAlign w:val="center"/>
          </w:tcPr>
          <w:p>
            <w:pPr>
              <w:pStyle w:val="Odsekzoznamu"/>
              <w:keepNext w:val="true"/>
              <w:numPr>
                <w:ilvl w:val="0"/>
                <w:numId w:val="2"/>
              </w:numPr>
              <w:snapToGrid w:val="false"/>
              <w:spacing w:lineRule="auto" w:line="240" w:before="0" w:after="0"/>
              <w:ind w:left="357" w:right="0" w:hanging="357"/>
              <w:contextualSpacing/>
              <w:jc w:val="both"/>
              <w:outlineLvl w:val="1"/>
              <w:rPr>
                <w:szCs w:val="22"/>
              </w:rPr>
            </w:pPr>
            <w:r>
              <w:rPr>
                <w:szCs w:val="22"/>
              </w:rPr>
            </w:r>
          </w:p>
        </w:tc>
        <w:tc>
          <w:tcPr>
            <w:tcW w:w="6510"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b/>
                <w:szCs w:val="22"/>
              </w:rPr>
            </w:pPr>
            <w:r>
              <w:rPr>
                <w:b/>
                <w:szCs w:val="22"/>
              </w:rPr>
              <w:t xml:space="preserve">Účtovná závierka bola zostavená za predpokladu, že účtovná jednotka bude nepretržite pokračovať vo svojej činnosti </w:t>
            </w:r>
          </w:p>
        </w:tc>
        <w:tc>
          <w:tcPr>
            <w:tcW w:w="824"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ÁNO</w:t>
            </w:r>
          </w:p>
        </w:tc>
        <w:tc>
          <w:tcPr>
            <w:tcW w:w="291"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X</w:t>
            </w:r>
          </w:p>
        </w:tc>
        <w:tc>
          <w:tcPr>
            <w:tcW w:w="578"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NIE</w:t>
            </w:r>
          </w:p>
        </w:tc>
        <w:tc>
          <w:tcPr>
            <w:tcW w:w="2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bl>
    <w:p>
      <w:pPr>
        <w:pStyle w:val="Odsekzoznamu"/>
        <w:spacing w:lineRule="auto" w:line="240" w:before="0" w:after="0"/>
        <w:ind w:left="0" w:right="0" w:hanging="0"/>
        <w:contextualSpacing/>
        <w:jc w:val="both"/>
        <w:rPr>
          <w:bCs/>
          <w:szCs w:val="22"/>
        </w:rPr>
      </w:pPr>
      <w:r>
        <w:rPr>
          <w:sz w:val="16"/>
          <w:szCs w:val="16"/>
        </w:rPr>
      </w:r>
    </w:p>
    <w:p>
      <w:pPr>
        <w:pStyle w:val="Odsekzoznamu"/>
        <w:spacing w:lineRule="auto" w:line="240" w:before="0" w:after="0"/>
        <w:ind w:left="357" w:right="0" w:hanging="0"/>
        <w:contextualSpacing/>
        <w:jc w:val="both"/>
        <w:rPr>
          <w:bCs/>
          <w:szCs w:val="22"/>
        </w:rPr>
      </w:pPr>
      <w:r>
        <w:rPr>
          <w:sz w:val="16"/>
          <w:szCs w:val="22"/>
        </w:rPr>
      </w:r>
    </w:p>
    <w:tbl>
      <w:tblPr>
        <w:tblW w:w="9072" w:type="dxa"/>
        <w:jc w:val="left"/>
        <w:tblInd w:w="108" w:type="dxa"/>
        <w:tblLayout w:type="fixed"/>
        <w:tblCellMar>
          <w:top w:w="0" w:type="dxa"/>
          <w:left w:w="108" w:type="dxa"/>
          <w:bottom w:w="0" w:type="dxa"/>
          <w:right w:w="108" w:type="dxa"/>
        </w:tblCellMar>
      </w:tblPr>
      <w:tblGrid>
        <w:gridCol w:w="578"/>
        <w:gridCol w:w="2116"/>
        <w:gridCol w:w="1842"/>
        <w:gridCol w:w="1560"/>
        <w:gridCol w:w="992"/>
        <w:gridCol w:w="233"/>
        <w:gridCol w:w="591"/>
        <w:gridCol w:w="291"/>
        <w:gridCol w:w="578"/>
        <w:gridCol w:w="291"/>
      </w:tblGrid>
      <w:tr>
        <w:trPr>
          <w:trHeight w:val="340" w:hRule="exact"/>
        </w:trPr>
        <w:tc>
          <w:tcPr>
            <w:tcW w:w="578" w:type="dxa"/>
            <w:tcBorders>
              <w:top w:val="single" w:sz="4" w:space="0" w:color="000000"/>
              <w:left w:val="single" w:sz="4" w:space="0" w:color="000000"/>
              <w:bottom w:val="single" w:sz="4" w:space="0" w:color="000000"/>
              <w:right w:val="single" w:sz="4" w:space="0" w:color="000000"/>
            </w:tcBorders>
            <w:vAlign w:val="center"/>
          </w:tcPr>
          <w:p>
            <w:pPr>
              <w:pStyle w:val="Normal"/>
              <w:numPr>
                <w:ilvl w:val="0"/>
                <w:numId w:val="2"/>
              </w:numPr>
              <w:snapToGrid w:val="false"/>
              <w:spacing w:lineRule="auto" w:line="240" w:before="0" w:after="0"/>
              <w:rPr>
                <w:szCs w:val="22"/>
              </w:rPr>
            </w:pPr>
            <w:r>
              <w:rPr>
                <w:szCs w:val="22"/>
              </w:rPr>
            </w:r>
          </w:p>
        </w:tc>
        <w:tc>
          <w:tcPr>
            <w:tcW w:w="6510" w:type="dxa"/>
            <w:gridSpan w:val="4"/>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b/>
                <w:szCs w:val="22"/>
              </w:rPr>
            </w:pPr>
            <w:r>
              <w:rPr>
                <w:b/>
                <w:szCs w:val="22"/>
              </w:rPr>
              <w:t>Zmeny účtovných zásad a účtovných metód</w:t>
            </w:r>
          </w:p>
        </w:tc>
        <w:tc>
          <w:tcPr>
            <w:tcW w:w="824" w:type="dxa"/>
            <w:gridSpan w:val="2"/>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ÁNO</w:t>
            </w:r>
          </w:p>
        </w:tc>
        <w:tc>
          <w:tcPr>
            <w:tcW w:w="29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lineRule="auto" w:line="240" w:before="0" w:after="0"/>
              <w:rPr>
                <w:szCs w:val="22"/>
              </w:rPr>
            </w:pPr>
            <w:r>
              <w:rPr>
                <w:szCs w:val="22"/>
              </w:rPr>
            </w:r>
          </w:p>
        </w:tc>
        <w:tc>
          <w:tcPr>
            <w:tcW w:w="578"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NIE</w:t>
            </w:r>
          </w:p>
        </w:tc>
        <w:tc>
          <w:tcPr>
            <w:tcW w:w="291"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rHeight w:val="388" w:hRule="atLeast"/>
          <w:cantSplit w:val="true"/>
        </w:trPr>
        <w:tc>
          <w:tcPr>
            <w:tcW w:w="2694" w:type="dxa"/>
            <w:gridSpan w:val="2"/>
            <w:vMerge w:val="restart"/>
            <w:tcBorders>
              <w:top w:val="single" w:sz="4" w:space="0" w:color="000000"/>
              <w:left w:val="single" w:sz="4" w:space="0" w:color="000000"/>
              <w:bottom w:val="single" w:sz="4" w:space="0" w:color="000000"/>
              <w:right w:val="single" w:sz="4" w:space="0" w:color="000000"/>
            </w:tcBorders>
          </w:tcPr>
          <w:p>
            <w:pPr>
              <w:pStyle w:val="Normal"/>
              <w:spacing w:before="0" w:after="0"/>
              <w:rPr>
                <w:szCs w:val="22"/>
              </w:rPr>
            </w:pPr>
            <w:r>
              <w:rPr>
                <w:szCs w:val="22"/>
              </w:rPr>
              <w:t>Zmena účtovných zásad a účtovných metód(popis)</w:t>
            </w:r>
          </w:p>
        </w:tc>
        <w:tc>
          <w:tcPr>
            <w:tcW w:w="1842" w:type="dxa"/>
            <w:vMerge w:val="restart"/>
            <w:tcBorders>
              <w:top w:val="single" w:sz="4" w:space="0" w:color="000000"/>
              <w:left w:val="single" w:sz="4" w:space="0" w:color="000000"/>
              <w:bottom w:val="single" w:sz="4" w:space="0" w:color="000000"/>
              <w:right w:val="single" w:sz="4" w:space="0" w:color="000000"/>
            </w:tcBorders>
          </w:tcPr>
          <w:p>
            <w:pPr>
              <w:pStyle w:val="Normal"/>
              <w:spacing w:before="0" w:after="0"/>
              <w:rPr>
                <w:szCs w:val="22"/>
              </w:rPr>
            </w:pPr>
            <w:r>
              <w:rPr>
                <w:szCs w:val="22"/>
              </w:rPr>
              <w:t>Dôvod uplatnenia</w:t>
            </w:r>
          </w:p>
        </w:tc>
        <w:tc>
          <w:tcPr>
            <w:tcW w:w="4536" w:type="dxa"/>
            <w:gridSpan w:val="7"/>
            <w:tcBorders>
              <w:top w:val="single" w:sz="4" w:space="0" w:color="000000"/>
              <w:left w:val="single" w:sz="4" w:space="0" w:color="000000"/>
              <w:bottom w:val="single" w:sz="4" w:space="0" w:color="000000"/>
              <w:right w:val="single" w:sz="4" w:space="0" w:color="000000"/>
            </w:tcBorders>
          </w:tcPr>
          <w:p>
            <w:pPr>
              <w:pStyle w:val="Normal"/>
              <w:spacing w:before="0" w:after="0"/>
              <w:rPr>
                <w:szCs w:val="22"/>
              </w:rPr>
            </w:pPr>
            <w:r>
              <w:rPr>
                <w:szCs w:val="22"/>
              </w:rPr>
              <w:t>Vplyv (+/-) zmeny na:</w:t>
            </w:r>
          </w:p>
        </w:tc>
      </w:tr>
      <w:tr>
        <w:trPr>
          <w:trHeight w:val="301" w:hRule="atLeast"/>
          <w:cantSplit w:val="true"/>
        </w:trPr>
        <w:tc>
          <w:tcPr>
            <w:tcW w:w="2694" w:type="dxa"/>
            <w:gridSpan w:val="2"/>
            <w:vMerge w:val="continue"/>
            <w:tcBorders>
              <w:top w:val="single" w:sz="4" w:space="0" w:color="000000"/>
              <w:left w:val="single" w:sz="4" w:space="0" w:color="000000"/>
              <w:bottom w:val="single" w:sz="4" w:space="0" w:color="000000"/>
              <w:right w:val="single" w:sz="4" w:space="0" w:color="000000"/>
            </w:tcBorders>
          </w:tcPr>
          <w:p>
            <w:pPr>
              <w:pStyle w:val="Normal"/>
              <w:snapToGrid w:val="false"/>
              <w:spacing w:before="0" w:after="0"/>
              <w:rPr>
                <w:szCs w:val="22"/>
              </w:rPr>
            </w:pPr>
            <w:r>
              <w:rPr>
                <w:szCs w:val="22"/>
              </w:rPr>
            </w:r>
          </w:p>
        </w:tc>
        <w:tc>
          <w:tcPr>
            <w:tcW w:w="1842" w:type="dxa"/>
            <w:vMerge w:val="continue"/>
            <w:tcBorders>
              <w:top w:val="single" w:sz="4" w:space="0" w:color="000000"/>
              <w:left w:val="single" w:sz="4" w:space="0" w:color="000000"/>
              <w:bottom w:val="single" w:sz="4" w:space="0" w:color="000000"/>
              <w:right w:val="single" w:sz="4" w:space="0" w:color="000000"/>
            </w:tcBorders>
          </w:tcPr>
          <w:p>
            <w:pPr>
              <w:pStyle w:val="Normal"/>
              <w:snapToGrid w:val="false"/>
              <w:spacing w:before="0" w:after="0"/>
              <w:rPr>
                <w:szCs w:val="22"/>
              </w:rPr>
            </w:pPr>
            <w:r>
              <w:rPr>
                <w:szCs w:val="22"/>
              </w:rPr>
            </w:r>
          </w:p>
        </w:tc>
        <w:tc>
          <w:tcPr>
            <w:tcW w:w="1560" w:type="dxa"/>
            <w:tcBorders>
              <w:top w:val="single" w:sz="4" w:space="0" w:color="000000"/>
              <w:left w:val="single" w:sz="4" w:space="0" w:color="000000"/>
              <w:bottom w:val="single" w:sz="4" w:space="0" w:color="000000"/>
              <w:right w:val="single" w:sz="4" w:space="0" w:color="000000"/>
            </w:tcBorders>
          </w:tcPr>
          <w:p>
            <w:pPr>
              <w:pStyle w:val="Normal"/>
              <w:spacing w:before="0" w:after="0"/>
              <w:rPr>
                <w:szCs w:val="22"/>
              </w:rPr>
            </w:pPr>
            <w:r>
              <w:rPr>
                <w:szCs w:val="22"/>
              </w:rPr>
              <w:t>Hodnotu majetku</w:t>
            </w:r>
          </w:p>
        </w:tc>
        <w:tc>
          <w:tcPr>
            <w:tcW w:w="1225" w:type="dxa"/>
            <w:gridSpan w:val="2"/>
            <w:tcBorders>
              <w:top w:val="single" w:sz="4" w:space="0" w:color="000000"/>
              <w:left w:val="single" w:sz="4" w:space="0" w:color="000000"/>
              <w:bottom w:val="single" w:sz="4" w:space="0" w:color="000000"/>
              <w:right w:val="single" w:sz="4" w:space="0" w:color="000000"/>
            </w:tcBorders>
          </w:tcPr>
          <w:p>
            <w:pPr>
              <w:pStyle w:val="Normal"/>
              <w:spacing w:before="0" w:after="0"/>
              <w:rPr>
                <w:szCs w:val="22"/>
              </w:rPr>
            </w:pPr>
            <w:r>
              <w:rPr>
                <w:szCs w:val="22"/>
              </w:rPr>
              <w:t>Vlastné imanie</w:t>
            </w:r>
          </w:p>
        </w:tc>
        <w:tc>
          <w:tcPr>
            <w:tcW w:w="1751" w:type="dxa"/>
            <w:gridSpan w:val="4"/>
            <w:tcBorders>
              <w:top w:val="single" w:sz="4" w:space="0" w:color="000000"/>
              <w:left w:val="single" w:sz="4" w:space="0" w:color="000000"/>
              <w:bottom w:val="single" w:sz="4" w:space="0" w:color="000000"/>
              <w:right w:val="single" w:sz="4" w:space="0" w:color="000000"/>
            </w:tcBorders>
          </w:tcPr>
          <w:p>
            <w:pPr>
              <w:pStyle w:val="Normal"/>
              <w:spacing w:before="0" w:after="0"/>
              <w:rPr>
                <w:szCs w:val="22"/>
              </w:rPr>
            </w:pPr>
            <w:r>
              <w:rPr>
                <w:szCs w:val="22"/>
              </w:rPr>
              <w:t>Výsledok hospodárenia</w:t>
            </w:r>
          </w:p>
        </w:tc>
      </w:tr>
      <w:tr>
        <w:trPr>
          <w:trHeight w:val="340" w:hRule="atLeast"/>
        </w:trPr>
        <w:tc>
          <w:tcPr>
            <w:tcW w:w="2694"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120"/>
              <w:rPr>
                <w:szCs w:val="22"/>
              </w:rPr>
            </w:pPr>
            <w:r>
              <w:rPr>
                <w:szCs w:val="22"/>
              </w:rPr>
            </w:r>
          </w:p>
        </w:tc>
        <w:tc>
          <w:tcPr>
            <w:tcW w:w="1842"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120"/>
              <w:rPr>
                <w:szCs w:val="22"/>
              </w:rPr>
            </w:pPr>
            <w:r>
              <w:rPr>
                <w:szCs w:val="22"/>
              </w:rPr>
            </w:r>
          </w:p>
        </w:tc>
        <w:tc>
          <w:tcPr>
            <w:tcW w:w="156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120"/>
              <w:rPr>
                <w:szCs w:val="22"/>
              </w:rPr>
            </w:pPr>
            <w:r>
              <w:rPr>
                <w:szCs w:val="22"/>
              </w:rPr>
            </w:r>
          </w:p>
        </w:tc>
        <w:tc>
          <w:tcPr>
            <w:tcW w:w="1225"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120"/>
              <w:rPr>
                <w:szCs w:val="22"/>
              </w:rPr>
            </w:pPr>
            <w:r>
              <w:rPr>
                <w:szCs w:val="22"/>
              </w:rPr>
            </w:r>
          </w:p>
        </w:tc>
        <w:tc>
          <w:tcPr>
            <w:tcW w:w="1751" w:type="dxa"/>
            <w:gridSpan w:val="4"/>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120"/>
              <w:rPr>
                <w:szCs w:val="22"/>
              </w:rPr>
            </w:pPr>
            <w:r>
              <w:rPr>
                <w:szCs w:val="22"/>
              </w:rPr>
            </w:r>
          </w:p>
        </w:tc>
      </w:tr>
    </w:tbl>
    <w:p>
      <w:pPr>
        <w:pStyle w:val="Normal"/>
        <w:spacing w:lineRule="auto" w:line="240" w:before="0" w:after="0"/>
        <w:ind w:left="0" w:right="-468" w:hanging="0"/>
        <w:jc w:val="both"/>
        <w:rPr>
          <w:bCs/>
          <w:szCs w:val="22"/>
        </w:rPr>
      </w:pPr>
      <w:r>
        <w:rPr>
          <w:bCs/>
          <w:i/>
          <w:szCs w:val="22"/>
        </w:rPr>
      </w:r>
    </w:p>
    <w:p>
      <w:pPr>
        <w:pStyle w:val="Normal"/>
        <w:spacing w:lineRule="auto" w:line="240" w:before="0" w:after="0"/>
        <w:ind w:left="0" w:right="-468" w:hanging="0"/>
        <w:jc w:val="both"/>
        <w:rPr>
          <w:bCs/>
          <w:szCs w:val="22"/>
        </w:rPr>
      </w:pPr>
      <w:r>
        <w:rPr>
          <w:szCs w:val="20"/>
        </w:rPr>
        <w:t>Zmeny účtovných zásad  a účtovných metód neboli účtovnou jednotkou uplatnené a údaje za bezprostredne predchádzajúce účtovné obdobie sú v jednotlivých súčastiach účtovnej závierky porovnateľné.</w:t>
      </w:r>
    </w:p>
    <w:p>
      <w:pPr>
        <w:pStyle w:val="Normal"/>
        <w:spacing w:lineRule="auto" w:line="240" w:before="0" w:after="0"/>
        <w:ind w:left="0" w:right="-468" w:hanging="0"/>
        <w:jc w:val="both"/>
        <w:rPr>
          <w:bCs/>
          <w:szCs w:val="22"/>
        </w:rPr>
      </w:pPr>
      <w:r>
        <w:rPr>
          <w:bCs/>
          <w:i/>
          <w:sz w:val="28"/>
          <w:szCs w:val="22"/>
        </w:rPr>
      </w:r>
    </w:p>
    <w:p>
      <w:pPr>
        <w:pStyle w:val="Normal"/>
        <w:spacing w:lineRule="auto" w:line="240" w:before="0" w:after="0"/>
        <w:ind w:left="0" w:right="-468" w:hanging="0"/>
        <w:jc w:val="both"/>
        <w:rPr>
          <w:bCs/>
          <w:szCs w:val="22"/>
        </w:rPr>
      </w:pPr>
      <w:r>
        <w:rPr>
          <w:bCs/>
          <w:i/>
          <w:sz w:val="28"/>
          <w:szCs w:val="22"/>
        </w:rPr>
      </w:r>
    </w:p>
    <w:p>
      <w:pPr>
        <w:pStyle w:val="Normal"/>
        <w:numPr>
          <w:ilvl w:val="0"/>
          <w:numId w:val="2"/>
        </w:numPr>
        <w:spacing w:lineRule="auto" w:line="240" w:before="0" w:after="0"/>
        <w:rPr>
          <w:i/>
          <w:i/>
          <w:sz w:val="20"/>
          <w:szCs w:val="22"/>
        </w:rPr>
      </w:pPr>
      <w:r>
        <w:rPr>
          <w:b/>
          <w:szCs w:val="22"/>
        </w:rPr>
        <w:t>Informácia o charaktere a účele transakcií, ktoré sa neuvádzajú v súvahe</w:t>
      </w:r>
    </w:p>
    <w:p>
      <w:pPr>
        <w:pStyle w:val="Normal"/>
        <w:spacing w:lineRule="auto" w:line="240" w:before="0" w:after="0"/>
        <w:ind w:left="360" w:right="0" w:hanging="0"/>
        <w:rPr>
          <w:i/>
          <w:i/>
          <w:sz w:val="20"/>
          <w:szCs w:val="22"/>
        </w:rPr>
      </w:pPr>
      <w:r>
        <w:rPr>
          <w:i/>
          <w:sz w:val="20"/>
          <w:szCs w:val="22"/>
        </w:rPr>
      </w:r>
    </w:p>
    <w:p>
      <w:pPr>
        <w:pStyle w:val="Normal"/>
        <w:spacing w:lineRule="auto" w:line="240" w:before="0" w:after="0"/>
        <w:ind w:left="360" w:right="0" w:hanging="0"/>
        <w:rPr>
          <w:i/>
          <w:i/>
          <w:sz w:val="20"/>
          <w:szCs w:val="22"/>
        </w:rPr>
      </w:pPr>
      <w:r>
        <w:rPr>
          <w:szCs w:val="22"/>
        </w:rPr>
        <w:t>Účtovná jednotka nezaznamenala v účtovnom období  žiadne transakcie, ktoré sa neuvádzajú v súvahe.</w:t>
      </w:r>
    </w:p>
    <w:p>
      <w:pPr>
        <w:pStyle w:val="Normal"/>
        <w:widowControl w:val="false"/>
        <w:autoSpaceDE w:val="false"/>
        <w:spacing w:before="0" w:after="0"/>
        <w:rPr>
          <w:i/>
          <w:i/>
          <w:sz w:val="20"/>
          <w:szCs w:val="22"/>
        </w:rPr>
      </w:pPr>
      <w:r>
        <w:rPr>
          <w:bCs/>
          <w:i/>
          <w:sz w:val="20"/>
          <w:szCs w:val="22"/>
        </w:rPr>
      </w:r>
    </w:p>
    <w:tbl>
      <w:tblPr>
        <w:tblW w:w="9072" w:type="dxa"/>
        <w:jc w:val="left"/>
        <w:tblInd w:w="108" w:type="dxa"/>
        <w:tblLayout w:type="fixed"/>
        <w:tblCellMar>
          <w:top w:w="0" w:type="dxa"/>
          <w:left w:w="108" w:type="dxa"/>
          <w:bottom w:w="0" w:type="dxa"/>
          <w:right w:w="108" w:type="dxa"/>
        </w:tblCellMar>
      </w:tblPr>
      <w:tblGrid>
        <w:gridCol w:w="578"/>
        <w:gridCol w:w="8494"/>
      </w:tblGrid>
      <w:tr>
        <w:trPr>
          <w:trHeight w:val="680" w:hRule="exact"/>
        </w:trPr>
        <w:tc>
          <w:tcPr>
            <w:tcW w:w="578" w:type="dxa"/>
            <w:tcBorders>
              <w:top w:val="single" w:sz="4" w:space="0" w:color="000000"/>
              <w:left w:val="single" w:sz="4" w:space="0" w:color="000000"/>
              <w:bottom w:val="single" w:sz="4" w:space="0" w:color="000000"/>
              <w:right w:val="single" w:sz="4" w:space="0" w:color="000000"/>
            </w:tcBorders>
            <w:vAlign w:val="center"/>
          </w:tcPr>
          <w:p>
            <w:pPr>
              <w:pStyle w:val="Normal"/>
              <w:numPr>
                <w:ilvl w:val="0"/>
                <w:numId w:val="2"/>
              </w:numPr>
              <w:snapToGrid w:val="false"/>
              <w:spacing w:lineRule="auto" w:line="240" w:before="0" w:after="0"/>
              <w:rPr>
                <w:szCs w:val="22"/>
              </w:rPr>
            </w:pPr>
            <w:r>
              <w:rPr>
                <w:szCs w:val="22"/>
              </w:rPr>
            </w:r>
          </w:p>
        </w:tc>
        <w:tc>
          <w:tcPr>
            <w:tcW w:w="8494"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b/>
                <w:szCs w:val="22"/>
              </w:rPr>
            </w:pPr>
            <w:r>
              <w:rPr>
                <w:b/>
                <w:szCs w:val="22"/>
              </w:rPr>
              <w:t>Spôsob a  určenie ocenenia majetku a záväzkov vrátane  určenia rozhodujúcich účtovných odhadov a predpokladov, pričom sa zohľadňuje zásada významnosti</w:t>
            </w:r>
          </w:p>
          <w:p>
            <w:pPr>
              <w:pStyle w:val="Normal"/>
              <w:spacing w:before="0" w:after="0"/>
              <w:jc w:val="center"/>
              <w:rPr>
                <w:b/>
                <w:szCs w:val="22"/>
              </w:rPr>
            </w:pPr>
            <w:r>
              <w:rPr>
                <w:b/>
                <w:szCs w:val="22"/>
              </w:rPr>
            </w:r>
          </w:p>
          <w:p>
            <w:pPr>
              <w:pStyle w:val="Normal"/>
              <w:spacing w:before="0" w:after="0"/>
              <w:jc w:val="center"/>
              <w:rPr>
                <w:b/>
                <w:szCs w:val="22"/>
              </w:rPr>
            </w:pPr>
            <w:r>
              <w:rPr>
                <w:rFonts w:eastAsia="Arial Narrow" w:cs="Arial Narrow"/>
                <w:b/>
                <w:szCs w:val="22"/>
              </w:rPr>
              <w:t xml:space="preserve"> </w:t>
            </w:r>
            <w:r>
              <w:rPr>
                <w:b/>
                <w:szCs w:val="22"/>
              </w:rPr>
              <w:t>odhadov</w:t>
            </w:r>
          </w:p>
          <w:p>
            <w:pPr>
              <w:pStyle w:val="Normal"/>
              <w:spacing w:before="0" w:after="0"/>
              <w:jc w:val="center"/>
              <w:rPr>
                <w:b/>
                <w:szCs w:val="22"/>
              </w:rPr>
            </w:pPr>
            <w:r>
              <w:rPr>
                <w:b/>
                <w:szCs w:val="22"/>
              </w:rPr>
            </w:r>
          </w:p>
          <w:p>
            <w:pPr>
              <w:pStyle w:val="Normal"/>
              <w:spacing w:before="0" w:after="0"/>
              <w:jc w:val="center"/>
              <w:rPr>
                <w:b/>
                <w:szCs w:val="22"/>
              </w:rPr>
            </w:pPr>
            <w:r>
              <w:rPr>
                <w:b/>
                <w:szCs w:val="22"/>
              </w:rPr>
              <w:t>odhadov a predpokladov, pričom sa zohľadňuje zásada významnosti</w:t>
            </w:r>
          </w:p>
        </w:tc>
      </w:tr>
    </w:tbl>
    <w:p>
      <w:pPr>
        <w:pStyle w:val="Odsekzoznamu"/>
        <w:numPr>
          <w:ilvl w:val="0"/>
          <w:numId w:val="11"/>
        </w:numPr>
        <w:spacing w:lineRule="auto" w:line="240" w:before="0" w:after="0"/>
        <w:ind w:left="641" w:right="0" w:hanging="284"/>
        <w:contextualSpacing/>
        <w:jc w:val="both"/>
        <w:rPr>
          <w:szCs w:val="22"/>
        </w:rPr>
      </w:pPr>
      <w:r>
        <w:rPr>
          <w:szCs w:val="22"/>
        </w:rPr>
      </w:r>
    </w:p>
    <w:tbl>
      <w:tblPr>
        <w:tblW w:w="9072" w:type="dxa"/>
        <w:jc w:val="left"/>
        <w:tblInd w:w="108" w:type="dxa"/>
        <w:tblLayout w:type="fixed"/>
        <w:tblCellMar>
          <w:top w:w="0" w:type="dxa"/>
          <w:left w:w="108" w:type="dxa"/>
          <w:bottom w:w="0" w:type="dxa"/>
          <w:right w:w="108" w:type="dxa"/>
        </w:tblCellMar>
      </w:tblPr>
      <w:tblGrid>
        <w:gridCol w:w="8789"/>
        <w:gridCol w:w="283"/>
      </w:tblGrid>
      <w:tr>
        <w:trPr/>
        <w:tc>
          <w:tcPr>
            <w:tcW w:w="9072" w:type="dxa"/>
            <w:gridSpan w:val="2"/>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jc w:val="center"/>
              <w:rPr>
                <w:szCs w:val="22"/>
              </w:rPr>
            </w:pPr>
            <w:r>
              <w:rPr>
                <w:szCs w:val="22"/>
              </w:rPr>
              <w:t>Obstarávacou cenou</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1. hmotný majetok s výnimkou hmotného majetku vytvoreného vlastnou činnosťou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2. zásoby s výnimkou zásob vytvorených vlastnou činnosťou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3. podiely na ZI obchodných spoločností, deriváty a cenné papiere okrem cenných papierov, podielov na ZI obchodných spoločností, ktoré nemajú podobu cenného papiera a derivátov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4. pohľadávky pri odplatnom nadobudnutí alebo pohľadávky nadobudnuté vkladom do ZI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5. nehmotný majetok s výnimkou nehmotného majetku vytvoreného vlastnou činnosťou,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rPr>
                <w:szCs w:val="22"/>
              </w:rPr>
            </w:pPr>
            <w:r>
              <w:rPr>
                <w:szCs w:val="22"/>
              </w:rPr>
              <w:t xml:space="preserve">6. záväzky pri ich prevzatí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bl>
    <w:p>
      <w:pPr>
        <w:pStyle w:val="Normal"/>
        <w:spacing w:before="0" w:after="0"/>
        <w:rPr>
          <w:szCs w:val="22"/>
        </w:rPr>
      </w:pPr>
      <w:r>
        <w:rPr/>
      </w:r>
    </w:p>
    <w:tbl>
      <w:tblPr>
        <w:tblW w:w="9072" w:type="dxa"/>
        <w:jc w:val="left"/>
        <w:tblInd w:w="108" w:type="dxa"/>
        <w:tblLayout w:type="fixed"/>
        <w:tblCellMar>
          <w:top w:w="0" w:type="dxa"/>
          <w:left w:w="108" w:type="dxa"/>
          <w:bottom w:w="0" w:type="dxa"/>
          <w:right w:w="108" w:type="dxa"/>
        </w:tblCellMar>
      </w:tblPr>
      <w:tblGrid>
        <w:gridCol w:w="8789"/>
        <w:gridCol w:w="283"/>
      </w:tblGrid>
      <w:tr>
        <w:trPr/>
        <w:tc>
          <w:tcPr>
            <w:tcW w:w="9072" w:type="dxa"/>
            <w:gridSpan w:val="2"/>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jc w:val="center"/>
              <w:rPr>
                <w:szCs w:val="22"/>
              </w:rPr>
            </w:pPr>
            <w:r>
              <w:rPr>
                <w:szCs w:val="22"/>
              </w:rPr>
              <w:t>Vlastnými nákladmi</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1. hmotný majetok vytvorený vlastnou činnosťou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2. zásoby vytvorené vlastnou činnosťou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3. nehmotný majetok vytvorený vlastnou činnosťou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4. príchovky a prírastky zvierat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bl>
    <w:p>
      <w:pPr>
        <w:pStyle w:val="Normal"/>
        <w:spacing w:before="0" w:after="0"/>
        <w:rPr>
          <w:szCs w:val="22"/>
        </w:rPr>
      </w:pPr>
      <w:r>
        <w:rPr/>
      </w:r>
    </w:p>
    <w:p>
      <w:pPr>
        <w:pStyle w:val="Normal"/>
        <w:spacing w:before="0" w:after="0"/>
        <w:rPr>
          <w:szCs w:val="22"/>
        </w:rPr>
      </w:pPr>
      <w:r>
        <w:rPr/>
        <w:t>Účtovná  jednotka  netvorila  vlastnou  činnosťou   dlhodobý  hmotný  majetok.  Vlastnou  činnosťou  netvorila  nehmotný  majetok,  ani  zásoby.</w:t>
      </w:r>
    </w:p>
    <w:p>
      <w:pPr>
        <w:pStyle w:val="Normal"/>
        <w:spacing w:before="0" w:after="0"/>
        <w:rPr>
          <w:szCs w:val="22"/>
        </w:rPr>
      </w:pPr>
      <w:r>
        <w:rPr/>
      </w:r>
    </w:p>
    <w:tbl>
      <w:tblPr>
        <w:tblW w:w="9072" w:type="dxa"/>
        <w:jc w:val="left"/>
        <w:tblInd w:w="108" w:type="dxa"/>
        <w:tblLayout w:type="fixed"/>
        <w:tblCellMar>
          <w:top w:w="0" w:type="dxa"/>
          <w:left w:w="108" w:type="dxa"/>
          <w:bottom w:w="0" w:type="dxa"/>
          <w:right w:w="108" w:type="dxa"/>
        </w:tblCellMar>
      </w:tblPr>
      <w:tblGrid>
        <w:gridCol w:w="8789"/>
        <w:gridCol w:w="283"/>
      </w:tblGrid>
      <w:tr>
        <w:trPr/>
        <w:tc>
          <w:tcPr>
            <w:tcW w:w="9072"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autoSpaceDE w:val="false"/>
              <w:spacing w:lineRule="auto" w:line="240" w:before="0" w:after="0"/>
              <w:jc w:val="center"/>
              <w:rPr>
                <w:szCs w:val="22"/>
              </w:rPr>
            </w:pPr>
            <w:r>
              <w:rPr>
                <w:szCs w:val="22"/>
              </w:rPr>
              <w:t>Menovitou hodnotou</w:t>
            </w:r>
          </w:p>
        </w:tc>
      </w:tr>
      <w:tr>
        <w:trPr/>
        <w:tc>
          <w:tcPr>
            <w:tcW w:w="8789" w:type="dxa"/>
            <w:tcBorders>
              <w:top w:val="single" w:sz="4" w:space="0" w:color="000000"/>
              <w:left w:val="single" w:sz="4" w:space="0" w:color="000000"/>
              <w:bottom w:val="single" w:sz="4" w:space="0" w:color="000000"/>
              <w:right w:val="single" w:sz="4" w:space="0" w:color="000000"/>
            </w:tcBorders>
          </w:tcPr>
          <w:p>
            <w:pPr>
              <w:pStyle w:val="Normal"/>
              <w:widowControl w:val="false"/>
              <w:autoSpaceDE w:val="false"/>
              <w:spacing w:lineRule="auto" w:line="240" w:before="0" w:after="0"/>
              <w:jc w:val="both"/>
              <w:rPr>
                <w:szCs w:val="22"/>
              </w:rPr>
            </w:pPr>
            <w:r>
              <w:rPr>
                <w:szCs w:val="22"/>
              </w:rPr>
              <w:t xml:space="preserve">1. peňažné prostriedky a ceniny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tcPr>
          <w:p>
            <w:pPr>
              <w:pStyle w:val="Normal"/>
              <w:widowControl w:val="false"/>
              <w:autoSpaceDE w:val="false"/>
              <w:spacing w:lineRule="auto" w:line="240" w:before="0" w:after="0"/>
              <w:jc w:val="both"/>
              <w:rPr>
                <w:szCs w:val="22"/>
              </w:rPr>
            </w:pPr>
            <w:r>
              <w:rPr>
                <w:szCs w:val="22"/>
              </w:rPr>
              <w:t xml:space="preserve">2. pohľadávky pri ich vzniku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tcPr>
          <w:p>
            <w:pPr>
              <w:pStyle w:val="Normal"/>
              <w:widowControl w:val="false"/>
              <w:autoSpaceDE w:val="false"/>
              <w:spacing w:lineRule="auto" w:line="240" w:before="0" w:after="0"/>
              <w:jc w:val="both"/>
              <w:rPr>
                <w:szCs w:val="22"/>
              </w:rPr>
            </w:pPr>
            <w:r>
              <w:rPr>
                <w:szCs w:val="22"/>
              </w:rPr>
              <w:t xml:space="preserve">3. záväzky pri ich vzniku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tcPr>
          <w:p>
            <w:pPr>
              <w:pStyle w:val="Normal"/>
              <w:widowControl w:val="false"/>
              <w:autoSpaceDE w:val="false"/>
              <w:spacing w:lineRule="auto" w:line="240" w:before="0" w:after="0"/>
              <w:jc w:val="both"/>
              <w:rPr>
                <w:szCs w:val="22"/>
              </w:rPr>
            </w:pPr>
            <w:r>
              <w:rPr>
                <w:szCs w:val="22"/>
              </w:rPr>
              <w:t xml:space="preserve">4. časové  rozlíšenie záväzky na strane aktív a pasív súvahy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bl>
    <w:p>
      <w:pPr>
        <w:pStyle w:val="Normal"/>
        <w:spacing w:before="0" w:after="0"/>
        <w:rPr>
          <w:szCs w:val="22"/>
        </w:rPr>
      </w:pPr>
      <w:r>
        <w:rPr>
          <w:sz w:val="16"/>
        </w:rPr>
      </w:r>
    </w:p>
    <w:tbl>
      <w:tblPr>
        <w:tblW w:w="9072" w:type="dxa"/>
        <w:jc w:val="left"/>
        <w:tblInd w:w="108" w:type="dxa"/>
        <w:tblLayout w:type="fixed"/>
        <w:tblCellMar>
          <w:top w:w="0" w:type="dxa"/>
          <w:left w:w="108" w:type="dxa"/>
          <w:bottom w:w="0" w:type="dxa"/>
          <w:right w:w="108" w:type="dxa"/>
        </w:tblCellMar>
      </w:tblPr>
      <w:tblGrid>
        <w:gridCol w:w="8789"/>
        <w:gridCol w:w="283"/>
      </w:tblGrid>
      <w:tr>
        <w:trPr/>
        <w:tc>
          <w:tcPr>
            <w:tcW w:w="9072" w:type="dxa"/>
            <w:gridSpan w:val="2"/>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jc w:val="center"/>
              <w:rPr>
                <w:szCs w:val="22"/>
              </w:rPr>
            </w:pPr>
            <w:r>
              <w:rPr>
                <w:szCs w:val="22"/>
              </w:rPr>
              <w:t>Reálnou hodnotou</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1. majetok a záväzky nadobudnuté kúpou podniku alebo jeho časti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pPr>
            <w:r>
              <w:rPr>
                <w:szCs w:val="22"/>
              </w:rPr>
              <w:t xml:space="preserve">2. majetok a záväzky nadobudnuté vkladom podniku, jeho časti a majetok a záväzky </w:t>
            </w:r>
            <w:r>
              <w:rPr>
                <w:sz w:val="20"/>
                <w:szCs w:val="22"/>
              </w:rPr>
              <w:t xml:space="preserve">nadobudnuté zámenou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 xml:space="preserve">3. cenné papiere, deriváty a podiely na základnom imaní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bl>
    <w:p>
      <w:pPr>
        <w:pStyle w:val="Normal"/>
        <w:spacing w:before="0" w:after="0"/>
        <w:jc w:val="both"/>
        <w:rPr>
          <w:szCs w:val="22"/>
        </w:rPr>
      </w:pPr>
      <w:r>
        <w:rPr>
          <w:szCs w:val="22"/>
        </w:rPr>
      </w:r>
    </w:p>
    <w:p>
      <w:pPr>
        <w:pStyle w:val="Normal"/>
        <w:spacing w:before="0" w:after="0"/>
        <w:jc w:val="both"/>
        <w:rPr>
          <w:szCs w:val="22"/>
        </w:rPr>
      </w:pPr>
      <w:r>
        <w:rPr/>
        <w:t>Účtovná jednotka takýto majetok nenadobudla a reálnou hodnotou majetok neoceňovala.</w:t>
      </w:r>
    </w:p>
    <w:p>
      <w:pPr>
        <w:pStyle w:val="Normal"/>
        <w:spacing w:before="0" w:after="0"/>
        <w:jc w:val="both"/>
        <w:rPr>
          <w:szCs w:val="22"/>
        </w:rPr>
      </w:pPr>
      <w:r>
        <w:rPr/>
      </w:r>
    </w:p>
    <w:p>
      <w:pPr>
        <w:pStyle w:val="Normal"/>
        <w:spacing w:before="0" w:after="0"/>
        <w:jc w:val="both"/>
        <w:rPr>
          <w:szCs w:val="22"/>
        </w:rPr>
      </w:pPr>
      <w:r>
        <w:rPr>
          <w:szCs w:val="22"/>
        </w:rPr>
      </w:r>
    </w:p>
    <w:tbl>
      <w:tblPr>
        <w:tblW w:w="9072" w:type="dxa"/>
        <w:jc w:val="left"/>
        <w:tblInd w:w="108" w:type="dxa"/>
        <w:tblLayout w:type="fixed"/>
        <w:tblCellMar>
          <w:top w:w="0" w:type="dxa"/>
          <w:left w:w="108" w:type="dxa"/>
          <w:bottom w:w="0" w:type="dxa"/>
          <w:right w:w="108" w:type="dxa"/>
        </w:tblCellMar>
      </w:tblPr>
      <w:tblGrid>
        <w:gridCol w:w="8789"/>
        <w:gridCol w:w="283"/>
      </w:tblGrid>
      <w:tr>
        <w:trPr>
          <w:trHeight w:val="227" w:hRule="atLeast"/>
        </w:trPr>
        <w:tc>
          <w:tcPr>
            <w:tcW w:w="9072" w:type="dxa"/>
            <w:gridSpan w:val="2"/>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jc w:val="center"/>
              <w:rPr>
                <w:szCs w:val="22"/>
              </w:rPr>
            </w:pPr>
            <w:r>
              <w:rPr>
                <w:szCs w:val="22"/>
              </w:rPr>
              <w:t>Úbytok zásob rovnakého druhu sa účtuje v ocenení</w:t>
            </w:r>
          </w:p>
        </w:tc>
      </w:tr>
      <w:tr>
        <w:trPr>
          <w:trHeight w:val="227" w:hRule="atLeast"/>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Cenou zistenou váženým aritmetickým priemerom</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rHeight w:val="227" w:hRule="atLeast"/>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Metódou FIFO</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rHeight w:val="227" w:hRule="atLeast"/>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rFonts w:eastAsia="Arial Narrow" w:cs="Arial Narrow"/>
                <w:szCs w:val="22"/>
              </w:rPr>
            </w:pPr>
            <w:r>
              <w:rPr>
                <w:szCs w:val="22"/>
              </w:rPr>
              <w:t>Obstarávacia cena zásob sa rozdeľuje na cenu za ktoré sa zásoby obstarali</w:t>
            </w:r>
          </w:p>
          <w:p>
            <w:pPr>
              <w:pStyle w:val="Normal"/>
              <w:widowControl w:val="false"/>
              <w:autoSpaceDE w:val="false"/>
              <w:spacing w:lineRule="auto" w:line="240" w:before="0" w:after="0"/>
              <w:rPr/>
            </w:pPr>
            <w:r>
              <w:rPr>
                <w:rFonts w:eastAsia="Arial Narrow" w:cs="Arial Narrow"/>
                <w:szCs w:val="22"/>
              </w:rPr>
              <w:t xml:space="preserve"> </w:t>
            </w:r>
            <w:r>
              <w:rPr>
                <w:szCs w:val="22"/>
              </w:rPr>
              <w:t>a náklady súvisiace s obstaraním(VON).</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rHeight w:val="227" w:hRule="atLeast"/>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rFonts w:eastAsia="Arial Narrow" w:cs="Arial Narrow"/>
                <w:szCs w:val="22"/>
              </w:rPr>
            </w:pPr>
            <w:r>
              <w:rPr>
                <w:rFonts w:eastAsia="Arial Narrow" w:cs="Arial Narrow"/>
                <w:szCs w:val="22"/>
              </w:rPr>
              <w:t xml:space="preserve">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bl>
    <w:p>
      <w:pPr>
        <w:pStyle w:val="Normal"/>
        <w:spacing w:before="0" w:after="0"/>
        <w:jc w:val="both"/>
        <w:rPr>
          <w:szCs w:val="22"/>
        </w:rPr>
      </w:pPr>
      <w:r>
        <w:rPr>
          <w:szCs w:val="22"/>
        </w:rPr>
      </w:r>
    </w:p>
    <w:p>
      <w:pPr>
        <w:pStyle w:val="Normal"/>
        <w:spacing w:before="0" w:after="0"/>
        <w:jc w:val="both"/>
        <w:rPr>
          <w:szCs w:val="22"/>
        </w:rPr>
      </w:pPr>
      <w:r>
        <w:rPr>
          <w:sz w:val="16"/>
          <w:szCs w:val="22"/>
        </w:rPr>
      </w:r>
    </w:p>
    <w:tbl>
      <w:tblPr>
        <w:tblW w:w="9072" w:type="dxa"/>
        <w:jc w:val="left"/>
        <w:tblInd w:w="108" w:type="dxa"/>
        <w:tblLayout w:type="fixed"/>
        <w:tblCellMar>
          <w:top w:w="0" w:type="dxa"/>
          <w:left w:w="108" w:type="dxa"/>
          <w:bottom w:w="0" w:type="dxa"/>
          <w:right w:w="108" w:type="dxa"/>
        </w:tblCellMar>
      </w:tblPr>
      <w:tblGrid>
        <w:gridCol w:w="8789"/>
        <w:gridCol w:w="283"/>
      </w:tblGrid>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rPr>
                <w:szCs w:val="22"/>
              </w:rPr>
            </w:pPr>
            <w:r>
              <w:rPr>
                <w:szCs w:val="22"/>
              </w:rPr>
              <w:t>Výdavky budúcich období a príjmy budúcich období  (menovitá hodnota)sa vykazujú vo výške, ktorá je potrebná na dodržanie zásady vecnej a časovej súvislosti s účtovným obdobím.</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ind w:left="0" w:right="-468" w:hanging="0"/>
              <w:rPr>
                <w:rFonts w:eastAsia="Arial Narrow" w:cs="Arial Narrow"/>
                <w:szCs w:val="22"/>
              </w:rPr>
            </w:pPr>
            <w:r>
              <w:rPr>
                <w:szCs w:val="22"/>
              </w:rPr>
              <w:t>Rezervy sú záväzky s neurčitým časovým vymedzením alebo výškou; tvoria sa na krytie známych</w:t>
            </w:r>
          </w:p>
          <w:p>
            <w:pPr>
              <w:pStyle w:val="Normal"/>
              <w:spacing w:lineRule="auto" w:line="240" w:before="0" w:after="0"/>
              <w:rPr/>
            </w:pPr>
            <w:r>
              <w:rPr>
                <w:rFonts w:eastAsia="Arial Narrow" w:cs="Arial Narrow"/>
                <w:szCs w:val="22"/>
              </w:rPr>
              <w:t xml:space="preserve"> </w:t>
            </w:r>
            <w:r>
              <w:rPr>
                <w:szCs w:val="22"/>
              </w:rPr>
              <w:t>rizík alebo strát z podnikania. Oceňujú sa v očakávanej výške záväzku.</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szCs w:val="22"/>
              </w:rPr>
            </w:pPr>
            <w:r>
              <w:rPr>
                <w:szCs w:val="22"/>
              </w:rPr>
              <w:t xml:space="preserve">Prenajatý  majetok a majetok obstaraný na základe  zmluvy o kúpe prenajatej veci - v ocenení rovnajúcom istine a náklady súvisiace s obstaraním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napToGrid w:val="false"/>
              <w:spacing w:before="0" w:after="0"/>
              <w:jc w:val="center"/>
              <w:rPr>
                <w:szCs w:val="22"/>
              </w:rPr>
            </w:pPr>
            <w:r>
              <w:rPr>
                <w:szCs w:val="22"/>
              </w:rPr>
            </w:r>
          </w:p>
        </w:tc>
      </w:tr>
      <w:tr>
        <w:trPr/>
        <w:tc>
          <w:tcPr>
            <w:tcW w:w="878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lineRule="auto" w:line="240" w:before="0" w:after="0"/>
              <w:ind w:left="0" w:right="-468" w:hanging="0"/>
              <w:rPr>
                <w:szCs w:val="22"/>
              </w:rPr>
            </w:pPr>
            <w:r>
              <w:rPr>
                <w:szCs w:val="22"/>
              </w:rPr>
              <w:t xml:space="preserve">Daň z príjmov splatná – daň sa  určuje z účtovného zisku pred zdanením, po úpravách na daňové účely </w:t>
            </w:r>
          </w:p>
          <w:p>
            <w:pPr>
              <w:pStyle w:val="Normal"/>
              <w:widowControl w:val="false"/>
              <w:autoSpaceDE w:val="false"/>
              <w:spacing w:lineRule="auto" w:line="240" w:before="0" w:after="0"/>
              <w:ind w:left="0" w:right="-468" w:hanging="0"/>
              <w:rPr>
                <w:szCs w:val="22"/>
              </w:rPr>
            </w:pPr>
            <w:r>
              <w:rPr>
                <w:szCs w:val="22"/>
              </w:rPr>
              <w:t>podľa zákona o daniach z príjmov pri sadzbe 21 %</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r>
        <w:trPr/>
        <w:tc>
          <w:tcPr>
            <w:tcW w:w="8789" w:type="dxa"/>
            <w:tcBorders>
              <w:top w:val="single" w:sz="4" w:space="0" w:color="000000"/>
              <w:left w:val="single" w:sz="4" w:space="0" w:color="000000"/>
              <w:bottom w:val="single" w:sz="4" w:space="0" w:color="000000"/>
              <w:right w:val="single" w:sz="4" w:space="0" w:color="000000"/>
            </w:tcBorders>
          </w:tcPr>
          <w:p>
            <w:pPr>
              <w:pStyle w:val="Normal"/>
              <w:spacing w:lineRule="auto" w:line="240" w:before="0" w:after="0"/>
              <w:rPr>
                <w:szCs w:val="22"/>
              </w:rPr>
            </w:pPr>
            <w:r>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autoSpaceDE w:val="false"/>
              <w:spacing w:before="0" w:after="0"/>
              <w:jc w:val="center"/>
              <w:rPr>
                <w:szCs w:val="22"/>
              </w:rPr>
            </w:pPr>
            <w:r>
              <w:rPr>
                <w:szCs w:val="22"/>
              </w:rPr>
              <w:t>X</w:t>
            </w:r>
          </w:p>
        </w:tc>
      </w:tr>
    </w:tbl>
    <w:p>
      <w:pPr>
        <w:pStyle w:val="Normal"/>
        <w:spacing w:before="0" w:after="0"/>
        <w:jc w:val="both"/>
        <w:rPr>
          <w:szCs w:val="22"/>
        </w:rPr>
      </w:pPr>
      <w:r>
        <w:rPr>
          <w:szCs w:val="22"/>
        </w:rPr>
      </w:r>
    </w:p>
    <w:p>
      <w:pPr>
        <w:pStyle w:val="Normal"/>
        <w:spacing w:before="0" w:after="0"/>
        <w:jc w:val="both"/>
        <w:rPr>
          <w:szCs w:val="22"/>
        </w:rPr>
      </w:pPr>
      <w:r>
        <w:rPr>
          <w:szCs w:val="22"/>
        </w:rPr>
      </w:r>
    </w:p>
    <w:tbl>
      <w:tblPr>
        <w:tblW w:w="9089" w:type="dxa"/>
        <w:jc w:val="left"/>
        <w:tblInd w:w="70" w:type="dxa"/>
        <w:tblLayout w:type="fixed"/>
        <w:tblCellMar>
          <w:top w:w="0" w:type="dxa"/>
          <w:left w:w="70" w:type="dxa"/>
          <w:bottom w:w="0" w:type="dxa"/>
          <w:right w:w="70" w:type="dxa"/>
        </w:tblCellMar>
      </w:tblPr>
      <w:tblGrid>
        <w:gridCol w:w="2977"/>
        <w:gridCol w:w="567"/>
        <w:gridCol w:w="5245"/>
        <w:gridCol w:w="300"/>
      </w:tblGrid>
      <w:tr>
        <w:trPr>
          <w:trHeight w:val="340" w:hRule="atLeast"/>
        </w:trPr>
        <w:tc>
          <w:tcPr>
            <w:tcW w:w="9089" w:type="dxa"/>
            <w:gridSpan w:val="4"/>
            <w:tcBorders>
              <w:top w:val="single" w:sz="4" w:space="0" w:color="000000"/>
              <w:left w:val="single" w:sz="4" w:space="0" w:color="000000"/>
              <w:bottom w:val="single" w:sz="4" w:space="0" w:color="000000"/>
              <w:right w:val="single" w:sz="4" w:space="0" w:color="000000"/>
            </w:tcBorders>
            <w:vAlign w:val="center"/>
          </w:tcPr>
          <w:p>
            <w:pPr>
              <w:pStyle w:val="Odsekzoznamu"/>
              <w:numPr>
                <w:ilvl w:val="0"/>
                <w:numId w:val="11"/>
              </w:numPr>
              <w:spacing w:lineRule="auto" w:line="240" w:before="0" w:after="0"/>
              <w:ind w:left="641" w:right="0" w:hanging="284"/>
              <w:contextualSpacing/>
              <w:rPr>
                <w:b/>
                <w:szCs w:val="22"/>
              </w:rPr>
            </w:pPr>
            <w:r>
              <w:rPr>
                <w:b/>
                <w:szCs w:val="22"/>
              </w:rPr>
              <w:t>Určenie odhadu zníženia hodnoty majetku a tvorba opravnej položky k  majetku</w:t>
            </w:r>
          </w:p>
        </w:tc>
      </w:tr>
      <w:tr>
        <w:trPr>
          <w:trHeight w:val="350" w:hRule="atLeast"/>
        </w:trPr>
        <w:tc>
          <w:tcPr>
            <w:tcW w:w="8789" w:type="dxa"/>
            <w:gridSpan w:val="3"/>
            <w:tcBorders>
              <w:top w:val="single" w:sz="4" w:space="0" w:color="000000"/>
              <w:left w:val="single" w:sz="4" w:space="0" w:color="000000"/>
              <w:bottom w:val="single" w:sz="4" w:space="0" w:color="000000"/>
              <w:right w:val="single" w:sz="4" w:space="0" w:color="000000"/>
            </w:tcBorders>
            <w:vAlign w:val="center"/>
          </w:tcPr>
          <w:p>
            <w:pPr>
              <w:pStyle w:val="Odsekzoznamu"/>
              <w:spacing w:lineRule="auto" w:line="240" w:before="0" w:after="0"/>
              <w:ind w:left="641" w:right="0" w:hanging="0"/>
              <w:contextualSpacing/>
              <w:rPr>
                <w:szCs w:val="22"/>
              </w:rPr>
            </w:pPr>
            <w:r>
              <w:rPr>
                <w:szCs w:val="22"/>
              </w:rPr>
              <w:t>Trvalé zníženie hodnoty majetku nebolo účtované</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X</w:t>
            </w:r>
          </w:p>
        </w:tc>
      </w:tr>
      <w:tr>
        <w:trPr>
          <w:trHeight w:val="340" w:hRule="atLeast"/>
          <w:cantSplit w:val="true"/>
        </w:trPr>
        <w:tc>
          <w:tcPr>
            <w:tcW w:w="2977" w:type="dxa"/>
            <w:vMerge w:val="restart"/>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p>
            <w:pPr>
              <w:pStyle w:val="Normal"/>
              <w:spacing w:before="0" w:after="0"/>
              <w:rPr>
                <w:szCs w:val="22"/>
              </w:rPr>
            </w:pPr>
            <w:r>
              <w:rPr>
                <w:szCs w:val="22"/>
              </w:rPr>
              <w:t>Opravná položka k pohľadávkam</w:t>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pacing w:before="0" w:after="0"/>
              <w:rPr>
                <w:szCs w:val="22"/>
              </w:rPr>
            </w:pPr>
            <w:r>
              <w:rPr>
                <w:szCs w:val="22"/>
              </w:rPr>
              <w:t>Podľa kritérií  definovaných v zákone o daniach z príjmov</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X</w:t>
            </w:r>
          </w:p>
        </w:tc>
      </w:tr>
      <w:tr>
        <w:trPr>
          <w:trHeight w:val="340" w:hRule="atLeast"/>
          <w:cantSplit w:val="true"/>
        </w:trPr>
        <w:tc>
          <w:tcPr>
            <w:tcW w:w="2977"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pacing w:before="0" w:after="0"/>
              <w:rPr>
                <w:szCs w:val="22"/>
              </w:rPr>
            </w:pPr>
            <w:r>
              <w:rPr>
                <w:szCs w:val="22"/>
              </w:rPr>
              <w:t xml:space="preserve">Odborným odhadom podľa opodstatneného predpokladu zníženia </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2977" w:type="dxa"/>
            <w:vMerge w:val="restart"/>
            <w:tcBorders>
              <w:top w:val="single" w:sz="4" w:space="0" w:color="000000"/>
              <w:left w:val="single" w:sz="4" w:space="0" w:color="000000"/>
              <w:bottom w:val="single" w:sz="4" w:space="0" w:color="000000"/>
              <w:right w:val="single" w:sz="4" w:space="0" w:color="000000"/>
            </w:tcBorders>
            <w:vAlign w:val="center"/>
          </w:tcPr>
          <w:p>
            <w:pPr>
              <w:pStyle w:val="Normal"/>
              <w:spacing w:before="0" w:after="0"/>
              <w:rPr>
                <w:szCs w:val="22"/>
              </w:rPr>
            </w:pPr>
            <w:r>
              <w:rPr>
                <w:szCs w:val="22"/>
              </w:rPr>
              <w:t>Opravná položka k materiálu</w:t>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pacing w:before="0" w:after="0"/>
              <w:rPr>
                <w:szCs w:val="22"/>
              </w:rPr>
            </w:pPr>
            <w:r>
              <w:rPr>
                <w:szCs w:val="22"/>
              </w:rPr>
              <w:t>Odborným odhadom</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2977"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2977" w:type="dxa"/>
            <w:vMerge w:val="restart"/>
            <w:tcBorders>
              <w:top w:val="single" w:sz="4" w:space="0" w:color="000000"/>
              <w:left w:val="single" w:sz="4" w:space="0" w:color="000000"/>
              <w:bottom w:val="single" w:sz="4" w:space="0" w:color="000000"/>
              <w:right w:val="single" w:sz="4" w:space="0" w:color="000000"/>
            </w:tcBorders>
            <w:vAlign w:val="center"/>
          </w:tcPr>
          <w:p>
            <w:pPr>
              <w:pStyle w:val="Normal"/>
              <w:spacing w:before="0" w:after="0"/>
              <w:rPr>
                <w:szCs w:val="22"/>
              </w:rPr>
            </w:pPr>
            <w:r>
              <w:rPr>
                <w:szCs w:val="22"/>
              </w:rPr>
              <w:t>Opravná položka k tovaru</w:t>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2977"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2977"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c>
          <w:tcPr>
            <w:tcW w:w="5812"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trPr>
        <w:tc>
          <w:tcPr>
            <w:tcW w:w="9089" w:type="dxa"/>
            <w:gridSpan w:val="4"/>
            <w:tcBorders>
              <w:top w:val="single" w:sz="4" w:space="0" w:color="000000"/>
              <w:left w:val="single" w:sz="4" w:space="0" w:color="000000"/>
              <w:bottom w:val="single" w:sz="4" w:space="0" w:color="000000"/>
              <w:right w:val="single" w:sz="4" w:space="0" w:color="000000"/>
            </w:tcBorders>
          </w:tcPr>
          <w:p>
            <w:pPr>
              <w:pStyle w:val="Odsekzoznamu"/>
              <w:numPr>
                <w:ilvl w:val="0"/>
                <w:numId w:val="11"/>
              </w:numPr>
              <w:spacing w:lineRule="auto" w:line="240" w:before="0" w:after="0"/>
              <w:ind w:left="641" w:right="0" w:hanging="284"/>
              <w:contextualSpacing/>
              <w:jc w:val="both"/>
              <w:rPr>
                <w:b/>
                <w:szCs w:val="22"/>
              </w:rPr>
            </w:pPr>
            <w:r>
              <w:rPr>
                <w:b/>
                <w:szCs w:val="22"/>
              </w:rPr>
              <w:t>Určenie ocenenia záväzkov, stanovenie odhadu ocenenia rezerv</w:t>
            </w:r>
          </w:p>
        </w:tc>
      </w:tr>
      <w:tr>
        <w:trPr>
          <w:trHeight w:val="340" w:hRule="atLeast"/>
        </w:trPr>
        <w:tc>
          <w:tcPr>
            <w:tcW w:w="8789" w:type="dxa"/>
            <w:gridSpan w:val="3"/>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641" w:right="0" w:hanging="0"/>
              <w:contextualSpacing/>
              <w:jc w:val="both"/>
              <w:rPr>
                <w:szCs w:val="22"/>
              </w:rPr>
            </w:pPr>
            <w:r>
              <w:rPr>
                <w:szCs w:val="22"/>
              </w:rPr>
              <w:t>Ocenenie záväzkov menovitou hodnotou</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Odsekzoznamu"/>
              <w:spacing w:lineRule="auto" w:line="240" w:before="0" w:after="0"/>
              <w:ind w:left="0" w:right="0" w:hanging="0"/>
              <w:contextualSpacing/>
              <w:jc w:val="center"/>
              <w:rPr>
                <w:szCs w:val="22"/>
              </w:rPr>
            </w:pPr>
            <w:r>
              <w:rPr>
                <w:szCs w:val="22"/>
              </w:rPr>
              <w:t>X</w:t>
            </w:r>
          </w:p>
        </w:tc>
      </w:tr>
      <w:tr>
        <w:trPr>
          <w:trHeight w:val="340" w:hRule="atLeast"/>
          <w:cantSplit w:val="true"/>
        </w:trPr>
        <w:tc>
          <w:tcPr>
            <w:tcW w:w="3544" w:type="dxa"/>
            <w:gridSpan w:val="2"/>
            <w:vMerge w:val="restart"/>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Rezervy k nevyfakturovaným dodávkam</w:t>
            </w:r>
          </w:p>
        </w:tc>
        <w:tc>
          <w:tcPr>
            <w:tcW w:w="5245"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Odborným odhadom na splnenie existujúcej povinnosti</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X</w:t>
            </w:r>
          </w:p>
        </w:tc>
      </w:tr>
      <w:tr>
        <w:trPr>
          <w:trHeight w:val="340" w:hRule="atLeast"/>
          <w:cantSplit w:val="true"/>
        </w:trPr>
        <w:tc>
          <w:tcPr>
            <w:tcW w:w="3544"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524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3544" w:type="dxa"/>
            <w:gridSpan w:val="2"/>
            <w:vMerge w:val="restart"/>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Rezervy k nevyčerpaným dovolenkám</w:t>
            </w:r>
          </w:p>
        </w:tc>
        <w:tc>
          <w:tcPr>
            <w:tcW w:w="5245"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Výpočtom  podľa stavu nevyčerpaných dovoleniek</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X</w:t>
            </w:r>
          </w:p>
        </w:tc>
      </w:tr>
      <w:tr>
        <w:trPr>
          <w:trHeight w:val="340" w:hRule="atLeast"/>
          <w:cantSplit w:val="true"/>
        </w:trPr>
        <w:tc>
          <w:tcPr>
            <w:tcW w:w="3544"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524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r>
        <w:trPr>
          <w:trHeight w:val="340" w:hRule="atLeast"/>
          <w:cantSplit w:val="true"/>
        </w:trPr>
        <w:tc>
          <w:tcPr>
            <w:tcW w:w="3544" w:type="dxa"/>
            <w:gridSpan w:val="2"/>
            <w:vMerge w:val="restart"/>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Rezervy k nevyčerpaným dovolenkám – zdravotne a sociálne poistenie</w:t>
            </w:r>
          </w:p>
        </w:tc>
        <w:tc>
          <w:tcPr>
            <w:tcW w:w="5245"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35,2% z nevyčerpaných dovoleniek</w:t>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X</w:t>
            </w:r>
          </w:p>
        </w:tc>
      </w:tr>
      <w:tr>
        <w:trPr>
          <w:trHeight w:val="340" w:hRule="atLeast"/>
          <w:cantSplit w:val="true"/>
        </w:trPr>
        <w:tc>
          <w:tcPr>
            <w:tcW w:w="3544"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524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300"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r>
    </w:tbl>
    <w:p>
      <w:pPr>
        <w:pStyle w:val="Normal"/>
        <w:spacing w:before="0" w:after="0"/>
        <w:jc w:val="both"/>
        <w:rPr>
          <w:szCs w:val="22"/>
        </w:rPr>
      </w:pPr>
      <w:r>
        <w:rPr>
          <w:szCs w:val="22"/>
        </w:rPr>
      </w:r>
    </w:p>
    <w:p>
      <w:pPr>
        <w:pStyle w:val="Odsekzoznamu"/>
        <w:numPr>
          <w:ilvl w:val="0"/>
          <w:numId w:val="11"/>
        </w:numPr>
        <w:spacing w:lineRule="auto" w:line="240" w:before="0" w:after="0"/>
        <w:ind w:left="641" w:right="0" w:hanging="284"/>
        <w:contextualSpacing/>
        <w:jc w:val="both"/>
        <w:rPr>
          <w:b/>
          <w:szCs w:val="22"/>
          <w:u w:val="single"/>
        </w:rPr>
      </w:pPr>
      <w:r>
        <w:rPr>
          <w:b/>
          <w:szCs w:val="22"/>
        </w:rPr>
        <w:t>Určenie ocenenia finančných nástrojov alebo majetku, ktorý nie je finančným nástrojom pri oceňovaní reálnou hodnotou</w:t>
      </w:r>
    </w:p>
    <w:p>
      <w:pPr>
        <w:pStyle w:val="Odsekzoznamu"/>
        <w:spacing w:lineRule="auto" w:line="240" w:before="0" w:after="0"/>
        <w:ind w:left="641" w:right="0" w:hanging="0"/>
        <w:contextualSpacing/>
        <w:jc w:val="both"/>
        <w:rPr>
          <w:b/>
          <w:szCs w:val="22"/>
          <w:u w:val="single"/>
        </w:rPr>
      </w:pPr>
      <w:r>
        <w:rPr>
          <w:b/>
          <w:szCs w:val="22"/>
          <w:u w:val="single"/>
        </w:rPr>
      </w:r>
    </w:p>
    <w:p>
      <w:pPr>
        <w:pStyle w:val="Odsekzoznamu"/>
        <w:spacing w:lineRule="auto" w:line="240" w:before="0" w:after="0"/>
        <w:ind w:left="641" w:right="0" w:hanging="0"/>
        <w:contextualSpacing/>
        <w:jc w:val="both"/>
        <w:rPr>
          <w:b/>
          <w:szCs w:val="22"/>
          <w:u w:val="single"/>
        </w:rPr>
      </w:pPr>
      <w:r>
        <w:rPr>
          <w:i/>
          <w:szCs w:val="22"/>
        </w:rPr>
        <w:t>Oceňovanie finančných nástrojov alebo majetku reálnou hodnotou nebolo účtovnou jednotkou v účtovnom období  realizované.</w:t>
      </w:r>
    </w:p>
    <w:p>
      <w:pPr>
        <w:pStyle w:val="Odsekzoznamu"/>
        <w:spacing w:lineRule="auto" w:line="240" w:before="0" w:after="0"/>
        <w:ind w:left="1068" w:right="0" w:hanging="0"/>
        <w:contextualSpacing/>
        <w:jc w:val="both"/>
        <w:rPr>
          <w:b/>
          <w:szCs w:val="22"/>
          <w:u w:val="single"/>
        </w:rPr>
      </w:pPr>
      <w:r>
        <w:rPr>
          <w:i/>
          <w:sz w:val="20"/>
          <w:szCs w:val="22"/>
          <w:highlight w:val="green"/>
          <w:u w:val="single"/>
        </w:rPr>
      </w:r>
    </w:p>
    <w:p>
      <w:pPr>
        <w:pStyle w:val="Odsekzoznamu"/>
        <w:numPr>
          <w:ilvl w:val="0"/>
          <w:numId w:val="11"/>
        </w:numPr>
        <w:spacing w:lineRule="auto" w:line="240" w:before="0" w:after="0"/>
        <w:ind w:left="641" w:right="0" w:hanging="284"/>
        <w:contextualSpacing/>
        <w:jc w:val="both"/>
        <w:rPr>
          <w:b/>
          <w:szCs w:val="22"/>
        </w:rPr>
      </w:pPr>
      <w:r>
        <w:rPr>
          <w:b/>
          <w:szCs w:val="22"/>
        </w:rPr>
        <w:t>Určenie ocenenia finančných nástrojov alebo majetku, ktorý nie je finančným nástrojom pri oceňovaní obstarávacou cenou alebo vlastnými nákladmi</w:t>
      </w:r>
    </w:p>
    <w:p>
      <w:pPr>
        <w:pStyle w:val="Odsekzoznamu"/>
        <w:spacing w:lineRule="auto" w:line="240" w:before="0" w:after="0"/>
        <w:ind w:left="641" w:right="0" w:hanging="0"/>
        <w:contextualSpacing/>
        <w:jc w:val="both"/>
        <w:rPr>
          <w:b/>
          <w:szCs w:val="22"/>
        </w:rPr>
      </w:pPr>
      <w:r>
        <w:rPr>
          <w:b/>
          <w:szCs w:val="22"/>
        </w:rPr>
      </w:r>
    </w:p>
    <w:p>
      <w:pPr>
        <w:pStyle w:val="Odsekzoznamu"/>
        <w:spacing w:lineRule="auto" w:line="240" w:before="0" w:after="0"/>
        <w:ind w:left="641" w:right="0" w:hanging="0"/>
        <w:contextualSpacing/>
        <w:jc w:val="both"/>
        <w:rPr>
          <w:b/>
          <w:szCs w:val="22"/>
        </w:rPr>
      </w:pPr>
      <w:r>
        <w:rPr>
          <w:i/>
          <w:szCs w:val="22"/>
        </w:rPr>
        <w:t xml:space="preserve">Oceňovanie finančných nástrojov alebo majetku obstarávacou cenou ani vlastnými nákladmi nebolo účtovnou jednotkou v účtovnom období  realizované. </w:t>
      </w:r>
    </w:p>
    <w:p>
      <w:pPr>
        <w:pStyle w:val="Odsekzoznamu"/>
        <w:spacing w:lineRule="auto" w:line="240" w:before="0" w:after="0"/>
        <w:ind w:left="1418" w:right="0" w:hanging="0"/>
        <w:contextualSpacing/>
        <w:jc w:val="both"/>
        <w:rPr>
          <w:b/>
          <w:szCs w:val="22"/>
        </w:rPr>
      </w:pPr>
      <w:r>
        <w:rPr>
          <w:i/>
          <w:szCs w:val="22"/>
          <w:highlight w:val="green"/>
          <w:u w:val="single"/>
        </w:rPr>
      </w:r>
    </w:p>
    <w:p>
      <w:pPr>
        <w:pStyle w:val="Odsekzoznamu"/>
        <w:numPr>
          <w:ilvl w:val="0"/>
          <w:numId w:val="11"/>
        </w:numPr>
        <w:spacing w:lineRule="auto" w:line="240" w:before="0" w:after="0"/>
        <w:ind w:left="641" w:right="0" w:hanging="284"/>
        <w:contextualSpacing/>
        <w:jc w:val="both"/>
        <w:rPr>
          <w:b/>
          <w:szCs w:val="22"/>
          <w:u w:val="single"/>
        </w:rPr>
      </w:pPr>
      <w:r>
        <w:rPr>
          <w:b/>
          <w:szCs w:val="22"/>
        </w:rPr>
        <w:t xml:space="preserve">Stanovenie metódy vlastného imania </w:t>
      </w:r>
    </w:p>
    <w:p>
      <w:pPr>
        <w:pStyle w:val="Odsekzoznamu"/>
        <w:spacing w:lineRule="auto" w:line="240" w:before="0" w:after="0"/>
        <w:ind w:left="641" w:right="0" w:hanging="0"/>
        <w:contextualSpacing/>
        <w:jc w:val="both"/>
        <w:rPr>
          <w:b/>
          <w:szCs w:val="22"/>
          <w:u w:val="single"/>
        </w:rPr>
      </w:pPr>
      <w:r>
        <w:rPr>
          <w:b/>
          <w:szCs w:val="22"/>
          <w:u w:val="single"/>
        </w:rPr>
      </w:r>
    </w:p>
    <w:p>
      <w:pPr>
        <w:pStyle w:val="Odsekzoznamu"/>
        <w:spacing w:lineRule="auto" w:line="240" w:before="0" w:after="0"/>
        <w:ind w:left="641" w:right="0" w:hanging="0"/>
        <w:contextualSpacing/>
        <w:jc w:val="both"/>
        <w:rPr>
          <w:b/>
          <w:szCs w:val="22"/>
          <w:u w:val="single"/>
        </w:rPr>
      </w:pPr>
      <w:r>
        <w:rPr>
          <w:i/>
          <w:szCs w:val="22"/>
        </w:rPr>
        <w:t>Nebolo realizované, účtovná jednotka sa nepodieľa na základnom imaní v  iných obchodných spoločnostiach</w:t>
      </w:r>
      <w:r>
        <w:rPr>
          <w:szCs w:val="22"/>
        </w:rPr>
        <w:t>.</w:t>
      </w:r>
    </w:p>
    <w:p>
      <w:pPr>
        <w:pStyle w:val="Odsekzoznamu"/>
        <w:spacing w:lineRule="auto" w:line="240" w:before="0" w:after="0"/>
        <w:ind w:left="0" w:right="0" w:hanging="0"/>
        <w:contextualSpacing/>
        <w:jc w:val="both"/>
        <w:rPr>
          <w:b/>
          <w:szCs w:val="22"/>
          <w:u w:val="single"/>
        </w:rPr>
      </w:pPr>
      <w:r>
        <w:rPr>
          <w:szCs w:val="22"/>
          <w:u w:val="single"/>
        </w:rPr>
      </w:r>
    </w:p>
    <w:tbl>
      <w:tblPr>
        <w:tblW w:w="9180" w:type="dxa"/>
        <w:jc w:val="left"/>
        <w:tblInd w:w="-38" w:type="dxa"/>
        <w:tblLayout w:type="fixed"/>
        <w:tblCellMar>
          <w:top w:w="0" w:type="dxa"/>
          <w:left w:w="70" w:type="dxa"/>
          <w:bottom w:w="0" w:type="dxa"/>
          <w:right w:w="70" w:type="dxa"/>
        </w:tblCellMar>
      </w:tblPr>
      <w:tblGrid>
        <w:gridCol w:w="3077"/>
        <w:gridCol w:w="979"/>
        <w:gridCol w:w="1179"/>
        <w:gridCol w:w="1189"/>
        <w:gridCol w:w="776"/>
        <w:gridCol w:w="233"/>
        <w:gridCol w:w="1410"/>
        <w:gridCol w:w="337"/>
      </w:tblGrid>
      <w:tr>
        <w:trPr>
          <w:trHeight w:val="538" w:hRule="atLeast"/>
        </w:trPr>
        <w:tc>
          <w:tcPr>
            <w:tcW w:w="9180" w:type="dxa"/>
            <w:gridSpan w:val="8"/>
            <w:tcBorders>
              <w:top w:val="single" w:sz="4" w:space="0" w:color="000000"/>
              <w:left w:val="single" w:sz="4" w:space="0" w:color="000000"/>
              <w:bottom w:val="single" w:sz="4" w:space="0" w:color="000000"/>
              <w:right w:val="single" w:sz="4" w:space="0" w:color="000000"/>
            </w:tcBorders>
          </w:tcPr>
          <w:p>
            <w:pPr>
              <w:pStyle w:val="Odsekzoznamu"/>
              <w:numPr>
                <w:ilvl w:val="0"/>
                <w:numId w:val="11"/>
              </w:numPr>
              <w:spacing w:lineRule="auto" w:line="240" w:before="0" w:after="0"/>
              <w:ind w:left="641" w:right="0" w:hanging="284"/>
              <w:contextualSpacing/>
              <w:jc w:val="both"/>
              <w:rPr>
                <w:b/>
                <w:bCs/>
                <w:kern w:val="2"/>
                <w:szCs w:val="22"/>
                <w:lang w:eastAsia="sk-SK"/>
              </w:rPr>
            </w:pPr>
            <w:r>
              <w:rPr>
                <w:b/>
                <w:bCs/>
                <w:kern w:val="2"/>
                <w:szCs w:val="22"/>
                <w:lang w:eastAsia="sk-SK"/>
              </w:rPr>
              <w:t>Tvorba odpisového plánu pre dlhodobý majetok, doba odpisovania, sadzby odpisov a odpisové metódy pre účtovné odpisy</w:t>
            </w:r>
          </w:p>
        </w:tc>
      </w:tr>
      <w:tr>
        <w:trPr/>
        <w:tc>
          <w:tcPr>
            <w:tcW w:w="8843" w:type="dxa"/>
            <w:gridSpan w:val="7"/>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vlastnou činnosťou spoločnosť netvorí a ani  v účtovnom období nevytvorila.</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szCs w:val="22"/>
              </w:rPr>
            </w:pPr>
            <w:r>
              <w:rPr>
                <w:szCs w:val="22"/>
              </w:rPr>
            </w:r>
          </w:p>
          <w:p>
            <w:pPr>
              <w:pStyle w:val="Normal"/>
              <w:spacing w:lineRule="auto" w:line="240" w:before="0" w:after="0"/>
              <w:jc w:val="center"/>
              <w:rPr>
                <w:szCs w:val="22"/>
              </w:rPr>
            </w:pPr>
            <w:r>
              <w:rPr>
                <w:szCs w:val="22"/>
              </w:rPr>
            </w:r>
          </w:p>
          <w:p>
            <w:pPr>
              <w:pStyle w:val="Normal"/>
              <w:spacing w:lineRule="auto" w:line="240" w:before="0" w:after="0"/>
              <w:jc w:val="center"/>
              <w:rPr>
                <w:szCs w:val="22"/>
              </w:rPr>
            </w:pPr>
            <w:r>
              <w:rPr>
                <w:szCs w:val="22"/>
              </w:rPr>
            </w:r>
          </w:p>
        </w:tc>
      </w:tr>
      <w:tr>
        <w:trPr>
          <w:trHeight w:val="963" w:hRule="atLeast"/>
        </w:trPr>
        <w:tc>
          <w:tcPr>
            <w:tcW w:w="8843" w:type="dxa"/>
            <w:gridSpan w:val="7"/>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rovnajú</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szCs w:val="22"/>
              </w:rPr>
            </w:pPr>
            <w:r>
              <w:rPr>
                <w:szCs w:val="22"/>
              </w:rPr>
            </w:r>
          </w:p>
          <w:p>
            <w:pPr>
              <w:pStyle w:val="Normal"/>
              <w:spacing w:lineRule="auto" w:line="240" w:before="0" w:after="0"/>
              <w:jc w:val="center"/>
              <w:rPr>
                <w:szCs w:val="22"/>
              </w:rPr>
            </w:pPr>
            <w:r>
              <w:rPr>
                <w:szCs w:val="22"/>
              </w:rPr>
            </w:r>
          </w:p>
          <w:p>
            <w:pPr>
              <w:pStyle w:val="Normal"/>
              <w:spacing w:lineRule="auto" w:line="240" w:before="0" w:after="0"/>
              <w:jc w:val="center"/>
              <w:rPr>
                <w:szCs w:val="22"/>
              </w:rPr>
            </w:pPr>
            <w:r>
              <w:rPr>
                <w:szCs w:val="22"/>
              </w:rPr>
            </w:r>
          </w:p>
        </w:tc>
      </w:tr>
      <w:tr>
        <w:trPr>
          <w:trHeight w:val="1217" w:hRule="atLeast"/>
        </w:trPr>
        <w:tc>
          <w:tcPr>
            <w:tcW w:w="8843" w:type="dxa"/>
            <w:gridSpan w:val="7"/>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nerovnajú</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jc w:val="center"/>
              <w:rPr>
                <w:szCs w:val="22"/>
              </w:rPr>
            </w:pPr>
            <w:r>
              <w:rPr>
                <w:szCs w:val="22"/>
              </w:rPr>
              <w:t>X</w:t>
            </w:r>
          </w:p>
        </w:tc>
      </w:tr>
      <w:tr>
        <w:trPr>
          <w:trHeight w:val="340" w:hRule="atLeast"/>
        </w:trPr>
        <w:tc>
          <w:tcPr>
            <w:tcW w:w="7200" w:type="dxa"/>
            <w:gridSpan w:val="5"/>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Dlhodobý nehmotný majetok = doba použiteľnosti viac ako rok a vstupná cena je  viac ako :</w:t>
            </w:r>
          </w:p>
        </w:tc>
        <w:tc>
          <w:tcPr>
            <w:tcW w:w="164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2400,-eur</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jc w:val="center"/>
              <w:rPr>
                <w:szCs w:val="22"/>
              </w:rPr>
            </w:pPr>
            <w:r>
              <w:rPr>
                <w:szCs w:val="22"/>
              </w:rPr>
              <w:t>X</w:t>
            </w:r>
          </w:p>
        </w:tc>
      </w:tr>
      <w:tr>
        <w:trPr>
          <w:trHeight w:val="340" w:hRule="atLeast"/>
        </w:trPr>
        <w:tc>
          <w:tcPr>
            <w:tcW w:w="7200" w:type="dxa"/>
            <w:gridSpan w:val="5"/>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Samostatné hnuteľné veci sú dlhodobým hmotným majetkom, ak doba použiteľnosti je viac ako rok a vstupná cena viac ako:</w:t>
            </w:r>
          </w:p>
        </w:tc>
        <w:tc>
          <w:tcPr>
            <w:tcW w:w="164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widowControl w:val="false"/>
              <w:autoSpaceDE w:val="false"/>
              <w:spacing w:lineRule="auto" w:line="240" w:before="0" w:after="0"/>
              <w:jc w:val="both"/>
              <w:rPr>
                <w:szCs w:val="22"/>
              </w:rPr>
            </w:pPr>
            <w:r>
              <w:rPr>
                <w:szCs w:val="22"/>
              </w:rPr>
              <w:t>1700,-eur</w:t>
            </w:r>
          </w:p>
        </w:tc>
        <w:tc>
          <w:tcPr>
            <w:tcW w:w="33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jc w:val="center"/>
              <w:rPr>
                <w:szCs w:val="22"/>
              </w:rPr>
            </w:pPr>
            <w:r>
              <w:rPr>
                <w:szCs w:val="22"/>
              </w:rPr>
              <w:t>X</w:t>
            </w:r>
          </w:p>
        </w:tc>
      </w:tr>
      <w:tr>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before="0" w:after="120"/>
              <w:rPr>
                <w:szCs w:val="22"/>
              </w:rPr>
            </w:pPr>
            <w:r>
              <w:rPr>
                <w:szCs w:val="22"/>
              </w:rPr>
              <w:t>Majetok</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before="0" w:after="120"/>
              <w:rPr>
                <w:szCs w:val="22"/>
              </w:rPr>
            </w:pPr>
            <w:r>
              <w:rPr>
                <w:szCs w:val="22"/>
              </w:rPr>
              <w:t xml:space="preserve">Odpisová skupina </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before="0" w:after="120"/>
              <w:rPr>
                <w:szCs w:val="22"/>
              </w:rPr>
            </w:pPr>
            <w:r>
              <w:rPr>
                <w:szCs w:val="22"/>
              </w:rPr>
              <w:t>Doba odpisovania</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before="0" w:after="120"/>
              <w:rPr>
                <w:szCs w:val="22"/>
              </w:rPr>
            </w:pPr>
            <w:r>
              <w:rPr>
                <w:szCs w:val="22"/>
              </w:rPr>
              <w:t>Lineárne odpisy</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before="0" w:after="120"/>
              <w:rPr>
                <w:szCs w:val="22"/>
              </w:rPr>
            </w:pPr>
            <w:r>
              <w:rPr>
                <w:szCs w:val="22"/>
              </w:rPr>
              <w:t>Zrýchlené odpisy</w:t>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Stavby</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4-6</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20-40 r.</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jc w:val="center"/>
              <w:rPr>
                <w:szCs w:val="22"/>
              </w:rPr>
            </w:pPr>
            <w:r>
              <w:rPr>
                <w:szCs w:val="22"/>
              </w:rPr>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Stroje, prístroje, zariadenia</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2</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6</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jc w:val="center"/>
              <w:rPr>
                <w:szCs w:val="22"/>
              </w:rPr>
            </w:pPr>
            <w:r>
              <w:rPr>
                <w:szCs w:val="22"/>
              </w:rPr>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 xml:space="preserve">Dopravné prostriedky </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1</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4-5</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jc w:val="center"/>
              <w:rPr>
                <w:szCs w:val="22"/>
              </w:rPr>
            </w:pPr>
            <w:r>
              <w:rPr>
                <w:szCs w:val="22"/>
              </w:rPr>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Nábytok, inventár</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2</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6</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 xml:space="preserve">Výpočtová technika </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1</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4</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jc w:val="center"/>
              <w:rPr>
                <w:szCs w:val="22"/>
              </w:rPr>
            </w:pPr>
            <w:r>
              <w:rPr>
                <w:szCs w:val="22"/>
              </w:rPr>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 xml:space="preserve">Komunikačné zariadenia </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1</w:t>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4</w:t>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jc w:val="center"/>
              <w:rPr>
                <w:szCs w:val="22"/>
              </w:rPr>
            </w:pPr>
            <w:r>
              <w:rPr>
                <w:szCs w:val="22"/>
              </w:rPr>
              <w:t>x</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jc w:val="center"/>
              <w:rPr>
                <w:szCs w:val="22"/>
              </w:rPr>
            </w:pPr>
            <w:r>
              <w:rPr>
                <w:szCs w:val="22"/>
              </w:rPr>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r>
        <w:trPr>
          <w:trHeight w:val="340" w:hRule="atLeast"/>
        </w:trPr>
        <w:tc>
          <w:tcPr>
            <w:tcW w:w="307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Drobný dlhodobý majetok</w:t>
            </w:r>
          </w:p>
        </w:tc>
        <w:tc>
          <w:tcPr>
            <w:tcW w:w="9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c>
          <w:tcPr>
            <w:tcW w:w="117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c>
          <w:tcPr>
            <w:tcW w:w="118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jednorazový</w:t>
            </w:r>
          </w:p>
        </w:tc>
        <w:tc>
          <w:tcPr>
            <w:tcW w:w="1009"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before="0" w:after="120"/>
              <w:rPr>
                <w:szCs w:val="22"/>
              </w:rPr>
            </w:pPr>
            <w:r>
              <w:rPr>
                <w:szCs w:val="22"/>
              </w:rPr>
              <w:t>odpis</w:t>
            </w:r>
          </w:p>
        </w:tc>
        <w:tc>
          <w:tcPr>
            <w:tcW w:w="174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before="0" w:after="120"/>
              <w:rPr>
                <w:szCs w:val="22"/>
              </w:rPr>
            </w:pPr>
            <w:r>
              <w:rPr>
                <w:szCs w:val="22"/>
              </w:rPr>
            </w:r>
          </w:p>
        </w:tc>
      </w:tr>
    </w:tbl>
    <w:p>
      <w:pPr>
        <w:pStyle w:val="Normal"/>
        <w:spacing w:before="0" w:after="0"/>
        <w:jc w:val="both"/>
        <w:rPr>
          <w:b/>
          <w:szCs w:val="22"/>
          <w:u w:val="single"/>
        </w:rPr>
      </w:pPr>
      <w:r>
        <w:rPr>
          <w:szCs w:val="22"/>
        </w:rPr>
      </w:r>
    </w:p>
    <w:p>
      <w:pPr>
        <w:pStyle w:val="Normal"/>
        <w:spacing w:before="0" w:after="0"/>
        <w:jc w:val="both"/>
        <w:rPr>
          <w:b/>
          <w:szCs w:val="22"/>
          <w:u w:val="single"/>
        </w:rPr>
      </w:pPr>
      <w:r>
        <w:rPr>
          <w:szCs w:val="22"/>
        </w:rPr>
        <w:t>Účtovná jednotka nepoužíva kategóriu drobného dlhodobého nehmotného  ani hmotného majetku.</w:t>
      </w:r>
    </w:p>
    <w:p>
      <w:pPr>
        <w:pStyle w:val="Normal"/>
        <w:spacing w:before="0" w:after="0"/>
        <w:jc w:val="both"/>
        <w:rPr>
          <w:b/>
          <w:szCs w:val="22"/>
          <w:u w:val="single"/>
        </w:rPr>
      </w:pPr>
      <w:r>
        <w:rPr>
          <w:szCs w:val="22"/>
        </w:rPr>
      </w:r>
    </w:p>
    <w:tbl>
      <w:tblPr>
        <w:tblW w:w="9214" w:type="dxa"/>
        <w:jc w:val="left"/>
        <w:tblInd w:w="-72" w:type="dxa"/>
        <w:tblLayout w:type="fixed"/>
        <w:tblCellMar>
          <w:top w:w="0" w:type="dxa"/>
          <w:left w:w="70" w:type="dxa"/>
          <w:bottom w:w="0" w:type="dxa"/>
          <w:right w:w="70" w:type="dxa"/>
        </w:tblCellMar>
      </w:tblPr>
      <w:tblGrid>
        <w:gridCol w:w="5223"/>
        <w:gridCol w:w="2575"/>
        <w:gridCol w:w="1416"/>
      </w:tblGrid>
      <w:tr>
        <w:trPr>
          <w:trHeight w:val="278" w:hRule="atLeast"/>
        </w:trPr>
        <w:tc>
          <w:tcPr>
            <w:tcW w:w="5223" w:type="dxa"/>
            <w:tcBorders>
              <w:top w:val="single" w:sz="4" w:space="0" w:color="000000"/>
              <w:left w:val="single" w:sz="4" w:space="0" w:color="000000"/>
              <w:bottom w:val="single" w:sz="4" w:space="0" w:color="000000"/>
              <w:right w:val="single" w:sz="4" w:space="0" w:color="000000"/>
            </w:tcBorders>
            <w:vAlign w:val="center"/>
          </w:tcPr>
          <w:p>
            <w:pPr>
              <w:pStyle w:val="Odsekzoznamu"/>
              <w:spacing w:before="0" w:after="200"/>
              <w:ind w:left="0" w:right="0" w:hanging="0"/>
              <w:contextualSpacing/>
              <w:rPr/>
            </w:pPr>
            <w:r>
              <w:rPr>
                <w:bCs/>
                <w:kern w:val="2"/>
                <w:szCs w:val="22"/>
                <w:lang w:eastAsia="sk-SK"/>
              </w:rPr>
              <w:t>h)</w:t>
            </w:r>
            <w:r>
              <w:rPr>
                <w:b/>
                <w:bCs/>
                <w:kern w:val="2"/>
                <w:szCs w:val="22"/>
                <w:lang w:eastAsia="sk-SK"/>
              </w:rPr>
              <w:t>Informácia o poskytnutých dotáciách  a ich ocenenie</w:t>
            </w:r>
          </w:p>
        </w:tc>
        <w:tc>
          <w:tcPr>
            <w:tcW w:w="2575" w:type="dxa"/>
            <w:tcBorders>
              <w:top w:val="single" w:sz="4" w:space="0" w:color="000000"/>
              <w:left w:val="single" w:sz="4" w:space="0" w:color="000000"/>
              <w:bottom w:val="single" w:sz="4" w:space="0" w:color="000000"/>
              <w:right w:val="single" w:sz="4" w:space="0" w:color="000000"/>
            </w:tcBorders>
            <w:vAlign w:val="center"/>
          </w:tcPr>
          <w:p>
            <w:pPr>
              <w:pStyle w:val="Odsekzoznamu"/>
              <w:spacing w:before="0" w:after="200"/>
              <w:ind w:left="0" w:right="0" w:hanging="0"/>
              <w:contextualSpacing/>
              <w:jc w:val="center"/>
              <w:rPr>
                <w:bCs/>
                <w:kern w:val="2"/>
                <w:sz w:val="20"/>
                <w:szCs w:val="22"/>
                <w:lang w:eastAsia="sk-SK"/>
              </w:rPr>
            </w:pPr>
            <w:r>
              <w:rPr>
                <w:bCs/>
                <w:kern w:val="2"/>
                <w:sz w:val="20"/>
                <w:szCs w:val="22"/>
                <w:lang w:eastAsia="sk-SK"/>
              </w:rPr>
              <w:t>BO</w:t>
            </w:r>
          </w:p>
        </w:tc>
        <w:tc>
          <w:tcPr>
            <w:tcW w:w="1416" w:type="dxa"/>
            <w:tcBorders>
              <w:top w:val="single" w:sz="4" w:space="0" w:color="000000"/>
              <w:left w:val="single" w:sz="4" w:space="0" w:color="000000"/>
              <w:bottom w:val="single" w:sz="4" w:space="0" w:color="000000"/>
              <w:right w:val="single" w:sz="4" w:space="0" w:color="000000"/>
            </w:tcBorders>
            <w:vAlign w:val="center"/>
          </w:tcPr>
          <w:p>
            <w:pPr>
              <w:pStyle w:val="Odsekzoznamu"/>
              <w:spacing w:before="0" w:after="200"/>
              <w:ind w:left="0" w:right="0" w:hanging="0"/>
              <w:contextualSpacing/>
              <w:jc w:val="center"/>
              <w:rPr>
                <w:bCs/>
                <w:kern w:val="2"/>
                <w:sz w:val="20"/>
                <w:szCs w:val="22"/>
                <w:lang w:eastAsia="sk-SK"/>
              </w:rPr>
            </w:pPr>
            <w:r>
              <w:rPr>
                <w:bCs/>
                <w:kern w:val="2"/>
                <w:sz w:val="20"/>
                <w:szCs w:val="22"/>
                <w:lang w:eastAsia="sk-SK"/>
              </w:rPr>
              <w:t>PO</w:t>
            </w:r>
          </w:p>
        </w:tc>
      </w:tr>
      <w:tr>
        <w:trPr>
          <w:trHeight w:val="340" w:hRule="atLeast"/>
        </w:trPr>
        <w:tc>
          <w:tcPr>
            <w:tcW w:w="522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rPr>
                <w:rFonts w:cs="Arial"/>
                <w:bCs/>
                <w:kern w:val="2"/>
                <w:sz w:val="20"/>
                <w:szCs w:val="24"/>
                <w:lang w:eastAsia="sk-SK"/>
              </w:rPr>
            </w:pPr>
            <w:r>
              <w:rPr>
                <w:rFonts w:cs="Arial"/>
                <w:bCs/>
                <w:kern w:val="2"/>
                <w:sz w:val="20"/>
                <w:szCs w:val="24"/>
                <w:lang w:eastAsia="sk-SK"/>
              </w:rPr>
            </w:r>
          </w:p>
        </w:tc>
        <w:tc>
          <w:tcPr>
            <w:tcW w:w="2575"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rPr>
                <w:rFonts w:cs="Arial"/>
                <w:bCs/>
                <w:kern w:val="2"/>
                <w:sz w:val="20"/>
                <w:szCs w:val="24"/>
                <w:lang w:eastAsia="sk-SK"/>
              </w:rPr>
            </w:pPr>
            <w:r>
              <w:rPr>
                <w:rFonts w:cs="Arial"/>
                <w:bCs/>
                <w:kern w:val="2"/>
                <w:sz w:val="20"/>
                <w:szCs w:val="24"/>
                <w:lang w:eastAsia="sk-SK"/>
              </w:rPr>
            </w:r>
          </w:p>
        </w:tc>
        <w:tc>
          <w:tcPr>
            <w:tcW w:w="1416"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rPr>
                <w:rFonts w:cs="Arial"/>
                <w:bCs/>
                <w:kern w:val="2"/>
                <w:sz w:val="20"/>
                <w:szCs w:val="24"/>
                <w:lang w:eastAsia="sk-SK"/>
              </w:rPr>
            </w:pPr>
            <w:r>
              <w:rPr>
                <w:rFonts w:cs="Arial"/>
                <w:bCs/>
                <w:kern w:val="2"/>
                <w:sz w:val="20"/>
                <w:szCs w:val="24"/>
                <w:lang w:eastAsia="sk-SK"/>
              </w:rPr>
            </w:r>
          </w:p>
        </w:tc>
      </w:tr>
    </w:tbl>
    <w:p>
      <w:pPr>
        <w:pStyle w:val="Normal"/>
        <w:spacing w:lineRule="auto" w:line="240" w:before="0" w:after="0"/>
        <w:jc w:val="both"/>
        <w:rPr>
          <w:b/>
          <w:szCs w:val="22"/>
          <w:u w:val="single"/>
        </w:rPr>
      </w:pPr>
      <w:r>
        <w:rPr>
          <w:rFonts w:cs="Arial"/>
          <w:sz w:val="16"/>
          <w:szCs w:val="24"/>
          <w:lang w:eastAsia="sk-SK"/>
        </w:rPr>
      </w:r>
    </w:p>
    <w:p>
      <w:pPr>
        <w:pStyle w:val="Normal"/>
        <w:spacing w:lineRule="auto" w:line="240" w:before="0" w:after="0"/>
        <w:jc w:val="both"/>
        <w:rPr>
          <w:b/>
          <w:szCs w:val="22"/>
          <w:u w:val="single"/>
        </w:rPr>
      </w:pPr>
      <w:r>
        <w:rPr>
          <w:rFonts w:cs="Arial"/>
          <w:szCs w:val="24"/>
          <w:lang w:eastAsia="sk-SK"/>
        </w:rPr>
        <w:t>Dotácie účtovnej jednotke neboli poskytnuté, a neboli jej poskytnuté ani v bezprostredne predchádzajúcom účtovnom období.</w:t>
      </w:r>
    </w:p>
    <w:p>
      <w:pPr>
        <w:pStyle w:val="Odsekzoznamu"/>
        <w:spacing w:lineRule="auto" w:line="240" w:before="0" w:after="0"/>
        <w:ind w:left="0" w:right="0" w:hanging="0"/>
        <w:contextualSpacing/>
        <w:jc w:val="both"/>
        <w:rPr>
          <w:b/>
          <w:szCs w:val="22"/>
          <w:u w:val="single"/>
        </w:rPr>
      </w:pPr>
      <w:r>
        <w:rPr>
          <w:rFonts w:cs="Arial"/>
          <w:bCs/>
          <w:kern w:val="2"/>
          <w:szCs w:val="22"/>
          <w:lang w:eastAsia="sk-SK"/>
        </w:rPr>
      </w:r>
    </w:p>
    <w:p>
      <w:pPr>
        <w:pStyle w:val="Odsekzoznamu"/>
        <w:spacing w:lineRule="auto" w:line="240" w:before="0" w:after="0"/>
        <w:ind w:left="641" w:right="0" w:hanging="0"/>
        <w:contextualSpacing/>
        <w:jc w:val="both"/>
        <w:rPr>
          <w:b/>
          <w:szCs w:val="22"/>
          <w:u w:val="single"/>
        </w:rPr>
      </w:pPr>
      <w:r>
        <w:rPr>
          <w:rFonts w:cs="Arial"/>
          <w:bCs/>
          <w:kern w:val="2"/>
          <w:sz w:val="16"/>
          <w:szCs w:val="22"/>
          <w:lang w:eastAsia="sk-SK"/>
        </w:rPr>
      </w:r>
    </w:p>
    <w:tbl>
      <w:tblPr>
        <w:tblW w:w="9214" w:type="dxa"/>
        <w:jc w:val="left"/>
        <w:tblInd w:w="-34" w:type="dxa"/>
        <w:tblLayout w:type="fixed"/>
        <w:tblCellMar>
          <w:top w:w="0" w:type="dxa"/>
          <w:left w:w="108" w:type="dxa"/>
          <w:bottom w:w="0" w:type="dxa"/>
          <w:right w:w="108" w:type="dxa"/>
        </w:tblCellMar>
      </w:tblPr>
      <w:tblGrid>
        <w:gridCol w:w="363"/>
        <w:gridCol w:w="3323"/>
        <w:gridCol w:w="851"/>
        <w:gridCol w:w="2126"/>
        <w:gridCol w:w="2551"/>
      </w:tblGrid>
      <w:tr>
        <w:trPr/>
        <w:tc>
          <w:tcPr>
            <w:tcW w:w="363" w:type="dxa"/>
            <w:tcBorders>
              <w:top w:val="single" w:sz="4" w:space="0" w:color="000000"/>
              <w:left w:val="single" w:sz="4" w:space="0" w:color="000000"/>
              <w:bottom w:val="single" w:sz="4" w:space="0" w:color="000000"/>
              <w:right w:val="single" w:sz="4" w:space="0" w:color="000000"/>
            </w:tcBorders>
          </w:tcPr>
          <w:p>
            <w:pPr>
              <w:pStyle w:val="Normal"/>
              <w:numPr>
                <w:ilvl w:val="0"/>
                <w:numId w:val="2"/>
              </w:numPr>
              <w:spacing w:lineRule="auto" w:line="240" w:before="0" w:after="0"/>
              <w:rPr>
                <w:b/>
                <w:szCs w:val="22"/>
                <w:lang w:eastAsia="sk-SK"/>
              </w:rPr>
            </w:pPr>
            <w:r>
              <w:rPr>
                <w:b/>
                <w:szCs w:val="22"/>
              </w:rPr>
              <w:t>;</w:t>
            </w:r>
          </w:p>
          <w:p>
            <w:pPr>
              <w:pStyle w:val="Normal"/>
              <w:spacing w:lineRule="auto" w:line="240" w:before="0" w:after="0"/>
              <w:rPr>
                <w:b/>
                <w:szCs w:val="22"/>
                <w:lang w:eastAsia="sk-SK"/>
              </w:rPr>
            </w:pPr>
            <w:r>
              <w:rPr>
                <w:b/>
                <w:szCs w:val="22"/>
                <w:lang w:eastAsia="sk-SK"/>
              </w:rPr>
            </w:r>
          </w:p>
          <w:p>
            <w:pPr>
              <w:pStyle w:val="Normal"/>
              <w:spacing w:lineRule="auto" w:line="240" w:before="0" w:after="0"/>
              <w:rPr>
                <w:b/>
                <w:szCs w:val="22"/>
                <w:lang w:eastAsia="sk-SK"/>
              </w:rPr>
            </w:pPr>
            <w:r>
              <w:rPr>
                <w:b/>
                <w:szCs w:val="22"/>
                <w:lang w:eastAsia="sk-SK"/>
              </w:rPr>
            </w:r>
          </w:p>
        </w:tc>
        <w:tc>
          <w:tcPr>
            <w:tcW w:w="8851" w:type="dxa"/>
            <w:gridSpan w:val="4"/>
            <w:tcBorders>
              <w:top w:val="single" w:sz="4" w:space="0" w:color="000000"/>
              <w:left w:val="single" w:sz="4" w:space="0" w:color="000000"/>
              <w:bottom w:val="single" w:sz="4" w:space="0" w:color="000000"/>
              <w:right w:val="single" w:sz="4" w:space="0" w:color="000000"/>
            </w:tcBorders>
          </w:tcPr>
          <w:p>
            <w:pPr>
              <w:pStyle w:val="Normal"/>
              <w:spacing w:lineRule="auto" w:line="240" w:before="0" w:after="0"/>
              <w:rPr>
                <w:b/>
                <w:szCs w:val="22"/>
                <w:lang w:eastAsia="sk-SK"/>
              </w:rPr>
            </w:pPr>
            <w:r>
              <w:rPr>
                <w:b/>
                <w:szCs w:val="22"/>
              </w:rPr>
              <w:t xml:space="preserve">Informácia o </w:t>
            </w:r>
            <w:r>
              <w:rPr>
                <w:b/>
                <w:szCs w:val="22"/>
                <w:lang w:eastAsia="sk-SK"/>
              </w:rPr>
              <w:t xml:space="preserve">oprave významných chýb minulých účtovných období účtovaných v bežnom účtovnom </w:t>
            </w:r>
          </w:p>
          <w:p>
            <w:pPr>
              <w:pStyle w:val="Normal"/>
              <w:spacing w:lineRule="auto" w:line="240" w:before="0" w:after="0"/>
              <w:rPr>
                <w:b/>
                <w:szCs w:val="22"/>
                <w:lang w:eastAsia="sk-SK"/>
              </w:rPr>
            </w:pPr>
            <w:r>
              <w:rPr>
                <w:b/>
                <w:szCs w:val="22"/>
                <w:lang w:eastAsia="sk-SK"/>
              </w:rPr>
              <w:t xml:space="preserve">období s uvedením sumy vplyvu na nerozdelený zisk minulých rokov alebo na neuhradenú stratu </w:t>
            </w:r>
          </w:p>
          <w:p>
            <w:pPr>
              <w:pStyle w:val="Normal"/>
              <w:spacing w:before="0" w:after="0"/>
              <w:rPr/>
            </w:pPr>
            <w:r>
              <w:rPr>
                <w:b/>
                <w:szCs w:val="22"/>
                <w:lang w:eastAsia="sk-SK"/>
              </w:rPr>
              <w:t>minulých rokov</w:t>
            </w:r>
            <w:r>
              <w:rPr>
                <w:szCs w:val="22"/>
                <w:lang w:eastAsia="sk-SK"/>
              </w:rPr>
              <w:t xml:space="preserve">. </w:t>
            </w:r>
          </w:p>
        </w:tc>
      </w:tr>
      <w:tr>
        <w:trPr>
          <w:trHeight w:val="397" w:hRule="atLeast"/>
        </w:trPr>
        <w:tc>
          <w:tcPr>
            <w:tcW w:w="3686" w:type="dxa"/>
            <w:gridSpan w:val="2"/>
            <w:tcBorders>
              <w:top w:val="single" w:sz="4" w:space="0" w:color="000000"/>
              <w:left w:val="single" w:sz="4" w:space="0" w:color="000000"/>
              <w:bottom w:val="single" w:sz="4" w:space="0" w:color="000000"/>
              <w:right w:val="single" w:sz="4" w:space="0" w:color="000000"/>
            </w:tcBorders>
          </w:tcPr>
          <w:p>
            <w:pPr>
              <w:pStyle w:val="Normal"/>
              <w:snapToGrid w:val="false"/>
              <w:spacing w:lineRule="auto" w:line="240" w:before="0" w:after="0"/>
              <w:ind w:left="0" w:right="-468" w:hanging="0"/>
              <w:jc w:val="both"/>
              <w:rPr>
                <w:bCs/>
                <w:szCs w:val="22"/>
              </w:rPr>
            </w:pPr>
            <w:r>
              <w:rPr>
                <w:bCs/>
                <w:szCs w:val="22"/>
              </w:rPr>
            </w:r>
          </w:p>
        </w:tc>
        <w:tc>
          <w:tcPr>
            <w:tcW w:w="851" w:type="dxa"/>
            <w:tcBorders>
              <w:top w:val="single" w:sz="4" w:space="0" w:color="000000"/>
              <w:left w:val="single" w:sz="4" w:space="0" w:color="000000"/>
              <w:bottom w:val="single" w:sz="4" w:space="0" w:color="000000"/>
              <w:right w:val="single" w:sz="4" w:space="0" w:color="000000"/>
            </w:tcBorders>
          </w:tcPr>
          <w:p>
            <w:pPr>
              <w:pStyle w:val="Normal"/>
              <w:spacing w:before="0" w:after="0"/>
              <w:jc w:val="both"/>
              <w:rPr>
                <w:szCs w:val="22"/>
              </w:rPr>
            </w:pPr>
            <w:r>
              <w:rPr>
                <w:szCs w:val="22"/>
              </w:rPr>
              <w:t>účet</w:t>
            </w:r>
          </w:p>
        </w:tc>
        <w:tc>
          <w:tcPr>
            <w:tcW w:w="2126" w:type="dxa"/>
            <w:tcBorders>
              <w:top w:val="single" w:sz="4" w:space="0" w:color="000000"/>
              <w:left w:val="single" w:sz="4" w:space="0" w:color="000000"/>
              <w:bottom w:val="single" w:sz="4" w:space="0" w:color="000000"/>
              <w:right w:val="single" w:sz="4" w:space="0" w:color="000000"/>
            </w:tcBorders>
          </w:tcPr>
          <w:p>
            <w:pPr>
              <w:pStyle w:val="Normal"/>
              <w:spacing w:before="0" w:after="0"/>
              <w:jc w:val="both"/>
              <w:rPr>
                <w:szCs w:val="22"/>
              </w:rPr>
            </w:pPr>
            <w:r>
              <w:rPr>
                <w:szCs w:val="22"/>
              </w:rPr>
              <w:t>+/- HV Bežné obdobie</w:t>
            </w:r>
          </w:p>
        </w:tc>
        <w:tc>
          <w:tcPr>
            <w:tcW w:w="2551" w:type="dxa"/>
            <w:tcBorders>
              <w:top w:val="single" w:sz="4" w:space="0" w:color="000000"/>
              <w:left w:val="single" w:sz="4" w:space="0" w:color="000000"/>
              <w:bottom w:val="single" w:sz="4" w:space="0" w:color="000000"/>
              <w:right w:val="single" w:sz="4" w:space="0" w:color="000000"/>
            </w:tcBorders>
          </w:tcPr>
          <w:p>
            <w:pPr>
              <w:pStyle w:val="Normal"/>
              <w:spacing w:before="0" w:after="0"/>
              <w:jc w:val="both"/>
              <w:rPr>
                <w:szCs w:val="22"/>
              </w:rPr>
            </w:pPr>
            <w:r>
              <w:rPr>
                <w:szCs w:val="22"/>
              </w:rPr>
              <w:t>+/- Vplyv na vlastné imanie</w:t>
            </w:r>
          </w:p>
        </w:tc>
      </w:tr>
      <w:tr>
        <w:trPr>
          <w:trHeight w:val="340" w:hRule="atLeast"/>
        </w:trPr>
        <w:tc>
          <w:tcPr>
            <w:tcW w:w="3686" w:type="dxa"/>
            <w:gridSpan w:val="2"/>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85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2126"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c>
          <w:tcPr>
            <w:tcW w:w="255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20"/>
                <w:szCs w:val="22"/>
              </w:rPr>
            </w:pPr>
            <w:r>
              <w:rPr>
                <w:sz w:val="20"/>
                <w:szCs w:val="22"/>
              </w:rPr>
            </w:r>
          </w:p>
        </w:tc>
      </w:tr>
    </w:tbl>
    <w:p>
      <w:pPr>
        <w:pStyle w:val="Normal"/>
        <w:rPr>
          <w:b/>
          <w:szCs w:val="22"/>
          <w:u w:val="single"/>
        </w:rPr>
      </w:pPr>
      <w:r>
        <w:rPr>
          <w:sz w:val="10"/>
        </w:rPr>
      </w:r>
    </w:p>
    <w:p>
      <w:pPr>
        <w:pStyle w:val="Normal"/>
        <w:rPr>
          <w:b/>
          <w:szCs w:val="22"/>
          <w:u w:val="single"/>
        </w:rPr>
      </w:pPr>
      <w:r>
        <w:rPr>
          <w:szCs w:val="22"/>
        </w:rPr>
        <w:t>Účtovná  jednotka  v bežnom  účtovnom  období  nevykonala  opravy  významných  chýb  minulých  účtovných období a neúčtovala o vplyve na účtoch nerozdeleného zisku alebo nerozdelenej strate minulých období.</w:t>
      </w:r>
    </w:p>
    <w:p>
      <w:pPr>
        <w:pStyle w:val="Normal"/>
        <w:rPr>
          <w:b/>
          <w:szCs w:val="22"/>
          <w:u w:val="single"/>
        </w:rPr>
      </w:pPr>
      <w:r>
        <w:rPr>
          <w:sz w:val="16"/>
          <w:szCs w:val="22"/>
        </w:rPr>
      </w:r>
    </w:p>
    <w:p>
      <w:pPr>
        <w:pStyle w:val="Normal"/>
        <w:shd w:fill="E6E6E6" w:val="clear"/>
        <w:spacing w:lineRule="auto" w:line="240" w:before="0" w:after="0"/>
        <w:jc w:val="center"/>
        <w:rPr>
          <w:b/>
          <w:szCs w:val="22"/>
          <w:u w:val="single"/>
        </w:rPr>
      </w:pPr>
      <w:r>
        <w:rPr>
          <w:b/>
          <w:i/>
          <w:sz w:val="32"/>
          <w:szCs w:val="24"/>
        </w:rPr>
        <w:t xml:space="preserve">Čl. IV.   </w:t>
      </w:r>
      <w:r>
        <w:rPr>
          <w:b/>
          <w:i/>
          <w:sz w:val="28"/>
          <w:szCs w:val="22"/>
        </w:rPr>
        <w:t>Informácie, ktoré vysvetľujú a dopĺňajú súvahu a výkaz ziskov a strát </w:t>
      </w:r>
    </w:p>
    <w:p>
      <w:pPr>
        <w:pStyle w:val="Normal"/>
        <w:spacing w:before="0" w:after="0"/>
        <w:rPr>
          <w:b/>
          <w:szCs w:val="22"/>
          <w:u w:val="single"/>
        </w:rPr>
      </w:pPr>
      <w:r>
        <w:rPr>
          <w:b/>
          <w:i/>
          <w:sz w:val="28"/>
          <w:szCs w:val="22"/>
        </w:rPr>
      </w:r>
    </w:p>
    <w:p>
      <w:pPr>
        <w:pStyle w:val="Odsekzoznamu"/>
        <w:numPr>
          <w:ilvl w:val="0"/>
          <w:numId w:val="5"/>
        </w:numPr>
        <w:spacing w:lineRule="auto" w:line="240" w:before="0" w:after="0"/>
        <w:ind w:left="357" w:right="0" w:hanging="357"/>
        <w:contextualSpacing/>
        <w:jc w:val="both"/>
        <w:rPr>
          <w:bCs/>
          <w:szCs w:val="22"/>
          <w:lang w:eastAsia="sk-SK"/>
        </w:rPr>
      </w:pPr>
      <w:r>
        <w:rPr>
          <w:b/>
          <w:bCs/>
          <w:szCs w:val="22"/>
          <w:lang w:eastAsia="sk-SK"/>
        </w:rPr>
        <w:t xml:space="preserve">K dlhodobému nehmotnému majetku, ktorým je goodwill alebo záporný goodwill </w:t>
      </w:r>
    </w:p>
    <w:p>
      <w:pPr>
        <w:pStyle w:val="Odsekzoznamu"/>
        <w:spacing w:lineRule="auto" w:line="240" w:before="0" w:after="0"/>
        <w:ind w:left="357" w:right="0" w:hanging="0"/>
        <w:contextualSpacing/>
        <w:jc w:val="both"/>
        <w:rPr>
          <w:bCs/>
          <w:szCs w:val="22"/>
          <w:lang w:eastAsia="sk-SK"/>
        </w:rPr>
      </w:pPr>
      <w:r>
        <w:rPr>
          <w:bCs/>
          <w:szCs w:val="22"/>
          <w:lang w:eastAsia="sk-SK"/>
        </w:rPr>
        <w:t xml:space="preserve">Účtovná jednotka takýto nehmotný majetok nemá a nevykazuje. </w:t>
      </w:r>
    </w:p>
    <w:p>
      <w:pPr>
        <w:pStyle w:val="Odsekzoznamu"/>
        <w:spacing w:lineRule="auto" w:line="240" w:before="0" w:after="0"/>
        <w:ind w:left="357" w:right="0" w:hanging="0"/>
        <w:contextualSpacing/>
        <w:jc w:val="both"/>
        <w:rPr>
          <w:bCs/>
          <w:szCs w:val="22"/>
          <w:lang w:eastAsia="sk-SK"/>
        </w:rPr>
      </w:pPr>
      <w:r>
        <w:rPr>
          <w:rFonts w:eastAsia="Arial Narrow" w:cs="Arial Narrow"/>
          <w:szCs w:val="22"/>
          <w:u w:val="single"/>
        </w:rPr>
        <w:t xml:space="preserve"> </w:t>
      </w:r>
    </w:p>
    <w:p>
      <w:pPr>
        <w:pStyle w:val="Odsekzoznamu"/>
        <w:spacing w:lineRule="auto" w:line="240" w:before="0" w:after="0"/>
        <w:ind w:left="357" w:right="0" w:hanging="0"/>
        <w:contextualSpacing/>
        <w:jc w:val="both"/>
        <w:rPr>
          <w:bCs/>
          <w:szCs w:val="22"/>
          <w:lang w:eastAsia="sk-SK"/>
        </w:rPr>
      </w:pPr>
      <w:r>
        <w:rPr>
          <w:bCs/>
          <w:sz w:val="24"/>
          <w:szCs w:val="22"/>
          <w:u w:val="single"/>
          <w:lang w:eastAsia="sk-SK"/>
        </w:rPr>
      </w:r>
    </w:p>
    <w:p>
      <w:pPr>
        <w:pStyle w:val="Odsekzoznamu"/>
        <w:numPr>
          <w:ilvl w:val="0"/>
          <w:numId w:val="5"/>
        </w:numPr>
        <w:spacing w:lineRule="auto" w:line="240" w:before="0" w:after="0"/>
        <w:ind w:left="357" w:right="0" w:hanging="357"/>
        <w:contextualSpacing/>
        <w:jc w:val="both"/>
        <w:rPr>
          <w:bCs/>
          <w:szCs w:val="22"/>
          <w:lang w:eastAsia="sk-SK"/>
        </w:rPr>
      </w:pPr>
      <w:r>
        <w:rPr>
          <w:b/>
          <w:bCs/>
          <w:szCs w:val="22"/>
          <w:lang w:eastAsia="sk-SK"/>
        </w:rPr>
        <w:t>Informácie o významných položkách derivátov, majetku a záväzkoch zabezpečených derivátmi</w:t>
      </w:r>
    </w:p>
    <w:p>
      <w:pPr>
        <w:pStyle w:val="Odsekzoznamu"/>
        <w:spacing w:lineRule="auto" w:line="240" w:before="0" w:after="0"/>
        <w:ind w:left="357" w:right="0" w:hanging="0"/>
        <w:contextualSpacing/>
        <w:jc w:val="both"/>
        <w:rPr>
          <w:bCs/>
          <w:szCs w:val="22"/>
          <w:lang w:eastAsia="sk-SK"/>
        </w:rPr>
      </w:pPr>
      <w:r>
        <w:rPr>
          <w:bCs/>
          <w:szCs w:val="22"/>
          <w:lang w:eastAsia="sk-SK"/>
        </w:rPr>
        <w:t xml:space="preserve">Účtovná jednotka deriváty, ani majetok a záväzky zabezpečené derivátmi  nemá a nevykazuje. </w:t>
      </w:r>
    </w:p>
    <w:p>
      <w:pPr>
        <w:pStyle w:val="Odsekzoznamu"/>
        <w:spacing w:lineRule="auto" w:line="240" w:before="0" w:after="0"/>
        <w:ind w:left="357" w:right="0" w:hanging="0"/>
        <w:contextualSpacing/>
        <w:jc w:val="both"/>
        <w:rPr>
          <w:bCs/>
          <w:szCs w:val="22"/>
          <w:lang w:eastAsia="sk-SK"/>
        </w:rPr>
      </w:pPr>
      <w:r>
        <w:rPr>
          <w:rFonts w:eastAsia="Arial Narrow" w:cs="Arial Narrow"/>
          <w:szCs w:val="22"/>
          <w:u w:val="single"/>
        </w:rPr>
        <w:t xml:space="preserve"> </w:t>
      </w:r>
    </w:p>
    <w:p>
      <w:pPr>
        <w:pStyle w:val="Odsekzoznamu"/>
        <w:spacing w:lineRule="auto" w:line="240" w:before="0" w:after="0"/>
        <w:ind w:left="357" w:right="0" w:hanging="0"/>
        <w:contextualSpacing/>
        <w:jc w:val="both"/>
        <w:rPr>
          <w:bCs/>
          <w:szCs w:val="22"/>
          <w:lang w:eastAsia="sk-SK"/>
        </w:rPr>
      </w:pPr>
      <w:r>
        <w:rPr>
          <w:bCs/>
          <w:sz w:val="12"/>
          <w:szCs w:val="22"/>
          <w:lang w:eastAsia="sk-SK"/>
        </w:rPr>
      </w:r>
    </w:p>
    <w:tbl>
      <w:tblPr>
        <w:tblW w:w="9180" w:type="dxa"/>
        <w:jc w:val="left"/>
        <w:tblInd w:w="-38" w:type="dxa"/>
        <w:tblLayout w:type="fixed"/>
        <w:tblCellMar>
          <w:top w:w="0" w:type="dxa"/>
          <w:left w:w="70" w:type="dxa"/>
          <w:bottom w:w="0" w:type="dxa"/>
          <w:right w:w="70" w:type="dxa"/>
        </w:tblCellMar>
      </w:tblPr>
      <w:tblGrid>
        <w:gridCol w:w="476"/>
        <w:gridCol w:w="4027"/>
        <w:gridCol w:w="2584"/>
        <w:gridCol w:w="676"/>
        <w:gridCol w:w="1417"/>
      </w:tblGrid>
      <w:tr>
        <w:trPr>
          <w:trHeight w:val="250" w:hRule="atLeast"/>
        </w:trPr>
        <w:tc>
          <w:tcPr>
            <w:tcW w:w="476" w:type="dxa"/>
            <w:tcBorders>
              <w:top w:val="single" w:sz="4" w:space="0" w:color="000000"/>
              <w:left w:val="single" w:sz="4" w:space="0" w:color="000000"/>
              <w:bottom w:val="single" w:sz="4" w:space="0" w:color="000000"/>
              <w:right w:val="single" w:sz="4" w:space="0" w:color="000000"/>
            </w:tcBorders>
          </w:tcPr>
          <w:p>
            <w:pPr>
              <w:pStyle w:val="Odsekzoznamu"/>
              <w:numPr>
                <w:ilvl w:val="0"/>
                <w:numId w:val="5"/>
              </w:numPr>
              <w:snapToGrid w:val="false"/>
              <w:spacing w:before="0" w:after="0"/>
              <w:ind w:left="465" w:right="0" w:hanging="357"/>
              <w:contextualSpacing/>
              <w:jc w:val="both"/>
              <w:rPr>
                <w:b/>
                <w:bCs/>
                <w:szCs w:val="22"/>
                <w:lang w:eastAsia="sk-SK"/>
              </w:rPr>
            </w:pPr>
            <w:r>
              <w:rPr>
                <w:b/>
                <w:bCs/>
                <w:szCs w:val="22"/>
                <w:lang w:eastAsia="sk-SK"/>
              </w:rPr>
            </w:r>
          </w:p>
        </w:tc>
        <w:tc>
          <w:tcPr>
            <w:tcW w:w="8704" w:type="dxa"/>
            <w:gridSpan w:val="4"/>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
                <w:bCs/>
                <w:szCs w:val="22"/>
                <w:lang w:eastAsia="sk-SK"/>
              </w:rPr>
            </w:pPr>
            <w:r>
              <w:rPr>
                <w:b/>
                <w:bCs/>
                <w:szCs w:val="22"/>
                <w:lang w:eastAsia="sk-SK"/>
              </w:rPr>
              <w:t>Informácie o záväzkoch</w:t>
            </w:r>
          </w:p>
        </w:tc>
      </w:tr>
      <w:tr>
        <w:trPr>
          <w:trHeight w:val="340" w:hRule="atLeast"/>
          <w:cantSplit w:val="true"/>
        </w:trPr>
        <w:tc>
          <w:tcPr>
            <w:tcW w:w="4503" w:type="dxa"/>
            <w:gridSpan w:val="2"/>
            <w:vMerge w:val="restart"/>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numPr>
                <w:ilvl w:val="0"/>
                <w:numId w:val="4"/>
              </w:numPr>
              <w:spacing w:before="0" w:after="0"/>
              <w:rPr>
                <w:bCs/>
                <w:color w:val="000000"/>
                <w:szCs w:val="22"/>
                <w:lang w:eastAsia="sk-SK"/>
              </w:rPr>
            </w:pPr>
            <w:r>
              <w:rPr>
                <w:bCs/>
                <w:color w:val="000000"/>
                <w:szCs w:val="22"/>
                <w:lang w:eastAsia="sk-SK"/>
              </w:rPr>
              <w:t>Celková sume záväzkov so zostatkovou dobou splatnosti dlhšou ako päť rokov</w:t>
            </w:r>
          </w:p>
        </w:tc>
        <w:tc>
          <w:tcPr>
            <w:tcW w:w="258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rPr>
            </w:pPr>
            <w:r>
              <w:rPr>
                <w:b w:val="false"/>
              </w:rPr>
              <w:t xml:space="preserve">Bežné obdobie </w:t>
            </w:r>
          </w:p>
        </w:tc>
        <w:tc>
          <w:tcPr>
            <w:tcW w:w="209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sz w:val="20"/>
              </w:rPr>
            </w:pPr>
            <w:r>
              <w:rPr>
                <w:b w:val="false"/>
                <w:sz w:val="20"/>
              </w:rPr>
              <w:t>Bezprostredne predchádzajúce účtovné obdobie</w:t>
            </w:r>
          </w:p>
        </w:tc>
      </w:tr>
      <w:tr>
        <w:trPr>
          <w:trHeight w:val="340" w:hRule="atLeast"/>
          <w:cantSplit w:val="true"/>
        </w:trPr>
        <w:tc>
          <w:tcPr>
            <w:tcW w:w="4503" w:type="dxa"/>
            <w:gridSpan w:val="2"/>
            <w:vMerge w:val="continue"/>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numPr>
                <w:ilvl w:val="0"/>
                <w:numId w:val="0"/>
              </w:numPr>
              <w:snapToGrid w:val="false"/>
              <w:spacing w:lineRule="auto" w:line="240" w:before="0" w:after="0"/>
              <w:ind w:left="641" w:right="0" w:hanging="0"/>
              <w:jc w:val="both"/>
              <w:rPr>
                <w:b w:val="false"/>
                <w:bCs/>
                <w:color w:val="000000"/>
                <w:szCs w:val="22"/>
                <w:lang w:eastAsia="sk-SK"/>
              </w:rPr>
            </w:pPr>
            <w:r>
              <w:rPr>
                <w:b w:val="false"/>
                <w:bCs/>
                <w:color w:val="000000"/>
                <w:szCs w:val="22"/>
                <w:lang w:eastAsia="sk-SK"/>
              </w:rPr>
            </w:r>
          </w:p>
        </w:tc>
        <w:tc>
          <w:tcPr>
            <w:tcW w:w="2584"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lineRule="auto" w:line="240" w:before="0" w:after="0"/>
              <w:rPr>
                <w:szCs w:val="22"/>
              </w:rPr>
            </w:pPr>
            <w:r>
              <w:rPr>
                <w:szCs w:val="22"/>
              </w:rPr>
              <w:t> </w:t>
            </w:r>
          </w:p>
        </w:tc>
        <w:tc>
          <w:tcPr>
            <w:tcW w:w="209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spacing w:lineRule="auto" w:line="240" w:before="0" w:after="0"/>
              <w:rPr>
                <w:szCs w:val="22"/>
              </w:rPr>
            </w:pPr>
            <w:r>
              <w:rPr>
                <w:szCs w:val="22"/>
              </w:rPr>
              <w:t> </w:t>
            </w:r>
          </w:p>
        </w:tc>
      </w:tr>
      <w:tr>
        <w:trPr>
          <w:trHeight w:val="340" w:hRule="atLeast"/>
        </w:trPr>
        <w:tc>
          <w:tcPr>
            <w:tcW w:w="9180" w:type="dxa"/>
            <w:gridSpan w:val="5"/>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numPr>
                <w:ilvl w:val="0"/>
                <w:numId w:val="4"/>
              </w:numPr>
              <w:spacing w:lineRule="auto" w:line="240" w:before="0" w:after="0"/>
              <w:jc w:val="both"/>
              <w:rPr>
                <w:bCs/>
                <w:szCs w:val="22"/>
                <w:lang w:eastAsia="sk-SK"/>
              </w:rPr>
            </w:pPr>
            <w:r>
              <w:rPr>
                <w:bCs/>
                <w:szCs w:val="22"/>
                <w:lang w:eastAsia="sk-SK"/>
              </w:rPr>
              <w:t>Celková suma zabezpečených záväzkov, opis a spôsoby zabezpečenia záväzkov</w:t>
            </w:r>
          </w:p>
        </w:tc>
      </w:tr>
      <w:tr>
        <w:trPr>
          <w:trHeight w:val="340" w:hRule="atLeast"/>
        </w:trPr>
        <w:tc>
          <w:tcPr>
            <w:tcW w:w="7763" w:type="dxa"/>
            <w:gridSpan w:val="4"/>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jc w:val="left"/>
              <w:rPr>
                <w:b w:val="false"/>
              </w:rPr>
            </w:pPr>
            <w:r>
              <w:rPr>
                <w:b w:val="false"/>
              </w:rPr>
              <w:t>Opis a spôsob zabezpečenia:                                                                   BO</w:t>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rPr>
            </w:pPr>
            <w:r>
              <w:rPr>
                <w:b w:val="false"/>
              </w:rPr>
              <w:t>PO</w:t>
            </w:r>
          </w:p>
        </w:tc>
      </w:tr>
      <w:tr>
        <w:trPr>
          <w:trHeight w:val="340" w:hRule="atLeast"/>
        </w:trPr>
        <w:tc>
          <w:tcPr>
            <w:tcW w:w="450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rPr>
                <w:bCs/>
                <w:szCs w:val="22"/>
              </w:rPr>
            </w:pPr>
            <w:r>
              <w:rPr>
                <w:bCs/>
                <w:szCs w:val="22"/>
              </w:rPr>
              <w:t>Záložné právo</w:t>
            </w:r>
          </w:p>
        </w:tc>
        <w:tc>
          <w:tcPr>
            <w:tcW w:w="3260"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bCs/>
                <w:szCs w:val="22"/>
              </w:rPr>
            </w:pPr>
            <w:r>
              <w:rPr>
                <w:bCs/>
                <w:szCs w:val="22"/>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bCs/>
                <w:szCs w:val="22"/>
              </w:rPr>
            </w:pPr>
            <w:r>
              <w:rPr>
                <w:bCs/>
                <w:szCs w:val="22"/>
              </w:rPr>
            </w:r>
          </w:p>
        </w:tc>
      </w:tr>
      <w:tr>
        <w:trPr>
          <w:trHeight w:val="340" w:hRule="atLeast"/>
        </w:trPr>
        <w:tc>
          <w:tcPr>
            <w:tcW w:w="450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rPr>
                <w:szCs w:val="22"/>
              </w:rPr>
            </w:pPr>
            <w:r>
              <w:rPr>
                <w:szCs w:val="22"/>
              </w:rPr>
              <w:t>Inak zabezpečené.........................</w:t>
            </w:r>
          </w:p>
        </w:tc>
        <w:tc>
          <w:tcPr>
            <w:tcW w:w="3260"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szCs w:val="22"/>
              </w:rPr>
            </w:pPr>
            <w:r>
              <w:rPr>
                <w:szCs w:val="22"/>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szCs w:val="22"/>
              </w:rPr>
            </w:pPr>
            <w:r>
              <w:rPr>
                <w:szCs w:val="22"/>
              </w:rPr>
            </w:r>
          </w:p>
        </w:tc>
      </w:tr>
      <w:tr>
        <w:trPr>
          <w:trHeight w:val="340" w:hRule="atLeast"/>
        </w:trPr>
        <w:tc>
          <w:tcPr>
            <w:tcW w:w="450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rPr>
                <w:szCs w:val="22"/>
              </w:rPr>
            </w:pPr>
            <w:r>
              <w:rPr>
                <w:szCs w:val="22"/>
              </w:rPr>
              <w:t>Inak zabezpečené............................</w:t>
            </w:r>
          </w:p>
        </w:tc>
        <w:tc>
          <w:tcPr>
            <w:tcW w:w="3260"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szCs w:val="22"/>
              </w:rPr>
            </w:pPr>
            <w:r>
              <w:rPr>
                <w:szCs w:val="22"/>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szCs w:val="22"/>
              </w:rPr>
            </w:pPr>
            <w:r>
              <w:rPr>
                <w:szCs w:val="22"/>
              </w:rPr>
            </w:r>
          </w:p>
        </w:tc>
      </w:tr>
      <w:tr>
        <w:trPr>
          <w:trHeight w:val="340" w:hRule="atLeast"/>
        </w:trPr>
        <w:tc>
          <w:tcPr>
            <w:tcW w:w="4503"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pacing w:lineRule="auto" w:line="240" w:before="0" w:after="0"/>
              <w:rPr>
                <w:szCs w:val="22"/>
              </w:rPr>
            </w:pPr>
            <w:r>
              <w:rPr>
                <w:szCs w:val="22"/>
              </w:rPr>
              <w:t>Iné</w:t>
            </w:r>
          </w:p>
        </w:tc>
        <w:tc>
          <w:tcPr>
            <w:tcW w:w="3260"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bCs/>
                <w:szCs w:val="22"/>
              </w:rPr>
            </w:pPr>
            <w:r>
              <w:rPr>
                <w:bCs/>
                <w:szCs w:val="22"/>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jc w:val="center"/>
              <w:rPr>
                <w:bCs/>
                <w:szCs w:val="22"/>
              </w:rPr>
            </w:pPr>
            <w:r>
              <w:rPr>
                <w:bCs/>
                <w:szCs w:val="22"/>
              </w:rPr>
            </w:r>
          </w:p>
        </w:tc>
      </w:tr>
    </w:tbl>
    <w:p>
      <w:pPr>
        <w:pStyle w:val="Odsekzoznamu"/>
        <w:spacing w:lineRule="auto" w:line="240" w:before="0" w:after="0"/>
        <w:contextualSpacing/>
        <w:jc w:val="both"/>
        <w:rPr>
          <w:bCs/>
          <w:szCs w:val="22"/>
          <w:lang w:eastAsia="sk-SK"/>
        </w:rPr>
      </w:pPr>
      <w:r>
        <w:rPr>
          <w:bCs/>
          <w:szCs w:val="22"/>
          <w:lang w:eastAsia="sk-SK"/>
        </w:rPr>
      </w:r>
    </w:p>
    <w:p>
      <w:pPr>
        <w:pStyle w:val="Odsekzoznamu"/>
        <w:spacing w:lineRule="auto" w:line="240" w:before="0" w:after="0"/>
        <w:ind w:left="426" w:right="0" w:hanging="0"/>
        <w:contextualSpacing/>
        <w:jc w:val="both"/>
        <w:rPr>
          <w:bCs/>
          <w:szCs w:val="22"/>
          <w:lang w:eastAsia="sk-SK"/>
        </w:rPr>
      </w:pPr>
      <w:r>
        <w:rPr>
          <w:bCs/>
          <w:sz w:val="10"/>
          <w:szCs w:val="22"/>
          <w:lang w:eastAsia="sk-SK"/>
        </w:rPr>
      </w:r>
    </w:p>
    <w:p>
      <w:pPr>
        <w:pStyle w:val="Odsekzoznamu"/>
        <w:spacing w:lineRule="auto" w:line="240" w:before="0" w:after="0"/>
        <w:ind w:left="426" w:right="0" w:hanging="0"/>
        <w:contextualSpacing/>
        <w:jc w:val="both"/>
        <w:rPr>
          <w:bCs/>
          <w:szCs w:val="22"/>
          <w:lang w:eastAsia="sk-SK"/>
        </w:rPr>
      </w:pPr>
      <w:r>
        <w:rPr>
          <w:bCs/>
          <w:szCs w:val="22"/>
          <w:lang w:eastAsia="sk-SK"/>
        </w:rPr>
        <w:t>Účtovná   jednotka   nemá  a  nevykazuje  záväzky  so  zostatkovou dobou  dlhšou  ako  5  rokov.  Účtovná</w:t>
      </w:r>
    </w:p>
    <w:p>
      <w:pPr>
        <w:pStyle w:val="Odsekzoznamu"/>
        <w:spacing w:lineRule="auto" w:line="240" w:before="0" w:after="0"/>
        <w:ind w:left="426" w:right="0" w:hanging="0"/>
        <w:contextualSpacing/>
        <w:jc w:val="both"/>
        <w:rPr>
          <w:bCs/>
          <w:szCs w:val="22"/>
          <w:lang w:eastAsia="sk-SK"/>
        </w:rPr>
      </w:pPr>
      <w:r>
        <w:rPr>
          <w:bCs/>
          <w:szCs w:val="22"/>
          <w:lang w:eastAsia="sk-SK"/>
        </w:rPr>
        <w:t xml:space="preserve">jednotka nemá a nevykazuje zabezpečené záväzky, ani záväzky zabezpečené záložným právom a ani inak zabezpečené. </w:t>
      </w:r>
    </w:p>
    <w:p>
      <w:pPr>
        <w:pStyle w:val="Odsekzoznamu"/>
        <w:tabs>
          <w:tab w:val="clear" w:pos="708"/>
          <w:tab w:val="left" w:pos="8647" w:leader="none"/>
        </w:tabs>
        <w:spacing w:lineRule="auto" w:line="240" w:before="0" w:after="0"/>
        <w:ind w:left="426" w:right="0" w:hanging="0"/>
        <w:contextualSpacing/>
        <w:jc w:val="both"/>
        <w:rPr>
          <w:bCs/>
          <w:szCs w:val="22"/>
          <w:lang w:eastAsia="sk-SK"/>
        </w:rPr>
      </w:pPr>
      <w:r>
        <w:rPr>
          <w:bCs/>
          <w:szCs w:val="22"/>
          <w:lang w:eastAsia="sk-SK"/>
        </w:rPr>
      </w:r>
    </w:p>
    <w:p>
      <w:pPr>
        <w:pStyle w:val="Odsekzoznamu"/>
        <w:numPr>
          <w:ilvl w:val="0"/>
          <w:numId w:val="5"/>
        </w:numPr>
        <w:spacing w:lineRule="auto" w:line="240" w:before="0" w:after="0"/>
        <w:ind w:left="357" w:right="0" w:hanging="357"/>
        <w:contextualSpacing/>
        <w:jc w:val="both"/>
        <w:rPr>
          <w:bCs/>
          <w:szCs w:val="22"/>
          <w:lang w:eastAsia="sk-SK"/>
        </w:rPr>
      </w:pPr>
      <w:r>
        <w:rPr>
          <w:b/>
          <w:bCs/>
          <w:szCs w:val="22"/>
          <w:lang w:eastAsia="sk-SK"/>
        </w:rPr>
        <w:t>Informácie o vlastných akciách</w:t>
      </w:r>
    </w:p>
    <w:p>
      <w:pPr>
        <w:pStyle w:val="Odsekzoznamu"/>
        <w:spacing w:lineRule="auto" w:line="240" w:before="0" w:after="0"/>
        <w:ind w:left="357" w:right="0" w:hanging="0"/>
        <w:contextualSpacing/>
        <w:jc w:val="both"/>
        <w:rPr>
          <w:bCs/>
          <w:szCs w:val="22"/>
          <w:lang w:eastAsia="sk-SK"/>
        </w:rPr>
      </w:pPr>
      <w:r>
        <w:rPr>
          <w:bCs/>
          <w:szCs w:val="22"/>
          <w:lang w:eastAsia="sk-SK"/>
        </w:rPr>
        <w:t xml:space="preserve">Účtovná jednotka nemá a nevlastní a nevykazuje vlastné  akcie. </w:t>
      </w:r>
    </w:p>
    <w:tbl>
      <w:tblPr>
        <w:tblW w:w="8931" w:type="dxa"/>
        <w:jc w:val="left"/>
        <w:tblInd w:w="70" w:type="dxa"/>
        <w:tblLayout w:type="fixed"/>
        <w:tblCellMar>
          <w:top w:w="0" w:type="dxa"/>
          <w:left w:w="70" w:type="dxa"/>
          <w:bottom w:w="0" w:type="dxa"/>
          <w:right w:w="70" w:type="dxa"/>
        </w:tblCellMar>
      </w:tblPr>
      <w:tblGrid>
        <w:gridCol w:w="351"/>
        <w:gridCol w:w="4469"/>
        <w:gridCol w:w="709"/>
        <w:gridCol w:w="1134"/>
        <w:gridCol w:w="426"/>
        <w:gridCol w:w="1477"/>
        <w:gridCol w:w="365"/>
      </w:tblGrid>
      <w:tr>
        <w:trPr>
          <w:trHeight w:val="751" w:hRule="atLeast"/>
        </w:trPr>
        <w:tc>
          <w:tcPr>
            <w:tcW w:w="351" w:type="dxa"/>
            <w:tcBorders>
              <w:top w:val="single" w:sz="4" w:space="0" w:color="000000"/>
              <w:left w:val="single" w:sz="4" w:space="0" w:color="000000"/>
              <w:bottom w:val="single" w:sz="4" w:space="0" w:color="000000"/>
              <w:right w:val="single" w:sz="4" w:space="0" w:color="000000"/>
            </w:tcBorders>
          </w:tcPr>
          <w:p>
            <w:pPr>
              <w:pStyle w:val="Odsekzoznamu"/>
              <w:numPr>
                <w:ilvl w:val="0"/>
                <w:numId w:val="5"/>
              </w:numPr>
              <w:snapToGrid w:val="false"/>
              <w:spacing w:before="0" w:after="0"/>
              <w:ind w:left="357" w:right="0" w:hanging="357"/>
              <w:contextualSpacing/>
              <w:jc w:val="both"/>
              <w:rPr>
                <w:b/>
                <w:bCs/>
                <w:szCs w:val="22"/>
                <w:lang w:eastAsia="sk-SK"/>
              </w:rPr>
            </w:pPr>
            <w:r>
              <w:rPr>
                <w:b/>
                <w:bCs/>
                <w:szCs w:val="22"/>
                <w:lang w:eastAsia="sk-SK"/>
              </w:rPr>
            </w:r>
          </w:p>
        </w:tc>
        <w:tc>
          <w:tcPr>
            <w:tcW w:w="4469" w:type="dxa"/>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1361" w:hanging="0"/>
              <w:contextualSpacing/>
              <w:jc w:val="both"/>
              <w:rPr>
                <w:b/>
                <w:bCs/>
                <w:szCs w:val="22"/>
                <w:lang w:eastAsia="sk-SK"/>
              </w:rPr>
            </w:pPr>
            <w:r>
              <w:rPr>
                <w:b/>
                <w:bCs/>
                <w:szCs w:val="22"/>
                <w:lang w:eastAsia="sk-SK"/>
              </w:rPr>
              <w:t>Kapitálový fond z príspevkov podľa § 123 ods.2 a </w:t>
            </w:r>
          </w:p>
          <w:p>
            <w:pPr>
              <w:pStyle w:val="Odsekzoznamu"/>
              <w:spacing w:before="0" w:after="0"/>
              <w:ind w:left="0" w:right="-1361" w:hanging="0"/>
              <w:contextualSpacing/>
              <w:jc w:val="both"/>
              <w:rPr>
                <w:b/>
                <w:bCs/>
                <w:szCs w:val="22"/>
                <w:lang w:eastAsia="sk-SK"/>
              </w:rPr>
            </w:pPr>
            <w:r>
              <w:rPr>
                <w:b/>
                <w:bCs/>
                <w:szCs w:val="22"/>
                <w:lang w:eastAsia="sk-SK"/>
              </w:rPr>
              <w:t xml:space="preserve">§217a Obchodného zákonníka  účtovná jednotka  </w:t>
            </w:r>
          </w:p>
        </w:tc>
        <w:tc>
          <w:tcPr>
            <w:tcW w:w="709" w:type="dxa"/>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Cs/>
                <w:szCs w:val="22"/>
                <w:lang w:eastAsia="sk-SK"/>
              </w:rPr>
            </w:pPr>
            <w:r>
              <w:rPr>
                <w:bCs/>
                <w:szCs w:val="22"/>
                <w:lang w:eastAsia="sk-SK"/>
              </w:rPr>
              <w:t>BO</w:t>
            </w:r>
          </w:p>
          <w:p>
            <w:pPr>
              <w:pStyle w:val="Odsekzoznamu"/>
              <w:spacing w:before="0" w:after="0"/>
              <w:ind w:left="0" w:right="0" w:hanging="0"/>
              <w:contextualSpacing/>
              <w:jc w:val="both"/>
              <w:rPr>
                <w:bCs/>
                <w:szCs w:val="22"/>
                <w:lang w:eastAsia="sk-SK"/>
              </w:rPr>
            </w:pPr>
            <w:r>
              <w:rPr>
                <w:bCs/>
                <w:szCs w:val="22"/>
                <w:lang w:eastAsia="sk-SK"/>
              </w:rPr>
              <w:t>PO</w:t>
            </w:r>
          </w:p>
        </w:tc>
        <w:tc>
          <w:tcPr>
            <w:tcW w:w="1134" w:type="dxa"/>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Cs/>
                <w:szCs w:val="22"/>
                <w:lang w:eastAsia="sk-SK"/>
              </w:rPr>
            </w:pPr>
            <w:r>
              <w:rPr>
                <w:bCs/>
                <w:szCs w:val="22"/>
                <w:lang w:eastAsia="sk-SK"/>
              </w:rPr>
              <w:t>vytvorila</w:t>
            </w:r>
          </w:p>
          <w:p>
            <w:pPr>
              <w:pStyle w:val="Odsekzoznamu"/>
              <w:spacing w:before="0" w:after="0"/>
              <w:ind w:left="0" w:right="0" w:hanging="0"/>
              <w:contextualSpacing/>
              <w:jc w:val="both"/>
              <w:rPr>
                <w:bCs/>
                <w:szCs w:val="22"/>
                <w:lang w:eastAsia="sk-SK"/>
              </w:rPr>
            </w:pPr>
            <w:r>
              <w:rPr>
                <w:bCs/>
                <w:szCs w:val="22"/>
                <w:lang w:eastAsia="sk-SK"/>
              </w:rPr>
              <w:t>vytvorila</w:t>
            </w:r>
          </w:p>
        </w:tc>
        <w:tc>
          <w:tcPr>
            <w:tcW w:w="426" w:type="dxa"/>
            <w:tcBorders>
              <w:top w:val="single" w:sz="4" w:space="0" w:color="000000"/>
              <w:left w:val="single" w:sz="4" w:space="0" w:color="000000"/>
              <w:bottom w:val="single" w:sz="4" w:space="0" w:color="000000"/>
              <w:right w:val="single" w:sz="4" w:space="0" w:color="000000"/>
            </w:tcBorders>
          </w:tcPr>
          <w:p>
            <w:pPr>
              <w:pStyle w:val="Odsekzoznamu"/>
              <w:snapToGrid w:val="false"/>
              <w:spacing w:before="0" w:after="0"/>
              <w:ind w:left="0" w:right="0" w:hanging="0"/>
              <w:contextualSpacing/>
              <w:jc w:val="both"/>
              <w:rPr>
                <w:bCs/>
                <w:szCs w:val="22"/>
                <w:lang w:eastAsia="sk-SK"/>
              </w:rPr>
            </w:pPr>
            <w:r>
              <w:rPr>
                <w:bCs/>
                <w:szCs w:val="22"/>
                <w:lang w:eastAsia="sk-SK"/>
              </w:rPr>
            </w:r>
          </w:p>
        </w:tc>
        <w:tc>
          <w:tcPr>
            <w:tcW w:w="1477" w:type="dxa"/>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Cs/>
                <w:szCs w:val="22"/>
                <w:lang w:eastAsia="sk-SK"/>
              </w:rPr>
            </w:pPr>
            <w:r>
              <w:rPr>
                <w:bCs/>
                <w:szCs w:val="22"/>
                <w:lang w:eastAsia="sk-SK"/>
              </w:rPr>
              <w:t>nevytvorila</w:t>
            </w:r>
          </w:p>
          <w:p>
            <w:pPr>
              <w:pStyle w:val="Odsekzoznamu"/>
              <w:spacing w:before="0" w:after="0"/>
              <w:ind w:left="0" w:right="0" w:hanging="0"/>
              <w:contextualSpacing/>
              <w:jc w:val="both"/>
              <w:rPr>
                <w:bCs/>
                <w:szCs w:val="22"/>
                <w:lang w:eastAsia="sk-SK"/>
              </w:rPr>
            </w:pPr>
            <w:r>
              <w:rPr>
                <w:bCs/>
                <w:szCs w:val="22"/>
                <w:lang w:eastAsia="sk-SK"/>
              </w:rPr>
              <w:t>nevytvorila</w:t>
            </w:r>
          </w:p>
        </w:tc>
        <w:tc>
          <w:tcPr>
            <w:tcW w:w="365" w:type="dxa"/>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rFonts w:eastAsia="Arial Narrow" w:cs="Arial Narrow"/>
                <w:bCs/>
                <w:szCs w:val="22"/>
                <w:lang w:eastAsia="sk-SK"/>
              </w:rPr>
            </w:pPr>
            <w:r>
              <w:rPr>
                <w:rFonts w:eastAsia="Arial Narrow" w:cs="Arial Narrow"/>
                <w:bCs/>
                <w:szCs w:val="22"/>
                <w:lang w:eastAsia="sk-SK"/>
              </w:rPr>
              <w:t xml:space="preserve"> </w:t>
            </w:r>
            <w:r>
              <w:rPr>
                <w:bCs/>
                <w:szCs w:val="22"/>
                <w:lang w:eastAsia="sk-SK"/>
              </w:rPr>
              <w:t>X</w:t>
            </w:r>
          </w:p>
          <w:p>
            <w:pPr>
              <w:pStyle w:val="Odsekzoznamu"/>
              <w:spacing w:before="0" w:after="0"/>
              <w:ind w:left="0" w:right="0" w:hanging="0"/>
              <w:contextualSpacing/>
              <w:jc w:val="both"/>
              <w:rPr/>
            </w:pPr>
            <w:r>
              <w:rPr>
                <w:rFonts w:eastAsia="Arial Narrow" w:cs="Arial Narrow"/>
                <w:bCs/>
                <w:szCs w:val="22"/>
                <w:lang w:eastAsia="sk-SK"/>
              </w:rPr>
              <w:t xml:space="preserve"> </w:t>
            </w:r>
            <w:r>
              <w:rPr>
                <w:bCs/>
                <w:szCs w:val="22"/>
                <w:lang w:eastAsia="sk-SK"/>
              </w:rPr>
              <w:t>X</w:t>
            </w:r>
          </w:p>
        </w:tc>
      </w:tr>
    </w:tbl>
    <w:p>
      <w:pPr>
        <w:pStyle w:val="TopHeader"/>
        <w:jc w:val="left"/>
        <w:rPr>
          <w:bCs/>
          <w:szCs w:val="22"/>
          <w:lang w:eastAsia="sk-SK"/>
        </w:rPr>
      </w:pPr>
      <w:r>
        <w:rPr>
          <w:rFonts w:eastAsia="Arial Narrow" w:cs="Arial Narrow"/>
          <w:b w:val="false"/>
        </w:rPr>
        <w:t xml:space="preserve">     </w:t>
      </w:r>
    </w:p>
    <w:p>
      <w:pPr>
        <w:pStyle w:val="Odsekzoznamu"/>
        <w:spacing w:lineRule="auto" w:line="240" w:before="0" w:after="0"/>
        <w:ind w:left="641" w:right="0" w:hanging="0"/>
        <w:contextualSpacing/>
        <w:jc w:val="both"/>
        <w:rPr>
          <w:bCs/>
          <w:szCs w:val="22"/>
          <w:lang w:eastAsia="sk-SK"/>
        </w:rPr>
      </w:pPr>
      <w:r>
        <w:rPr>
          <w:b/>
          <w:bCs/>
          <w:i/>
          <w:sz w:val="20"/>
          <w:szCs w:val="22"/>
          <w:lang w:eastAsia="sk-SK"/>
        </w:rPr>
      </w:r>
    </w:p>
    <w:tbl>
      <w:tblPr>
        <w:tblW w:w="8992" w:type="dxa"/>
        <w:jc w:val="left"/>
        <w:tblInd w:w="70" w:type="dxa"/>
        <w:tblLayout w:type="fixed"/>
        <w:tblCellMar>
          <w:top w:w="0" w:type="dxa"/>
          <w:left w:w="70" w:type="dxa"/>
          <w:bottom w:w="0" w:type="dxa"/>
          <w:right w:w="70" w:type="dxa"/>
        </w:tblCellMar>
      </w:tblPr>
      <w:tblGrid>
        <w:gridCol w:w="351"/>
        <w:gridCol w:w="4185"/>
        <w:gridCol w:w="3119"/>
        <w:gridCol w:w="850"/>
        <w:gridCol w:w="426"/>
        <w:gridCol w:w="61"/>
      </w:tblGrid>
      <w:tr>
        <w:trPr>
          <w:trHeight w:val="751" w:hRule="atLeast"/>
        </w:trPr>
        <w:tc>
          <w:tcPr>
            <w:tcW w:w="351" w:type="dxa"/>
            <w:tcBorders>
              <w:top w:val="single" w:sz="4" w:space="0" w:color="000000"/>
              <w:left w:val="single" w:sz="4" w:space="0" w:color="000000"/>
              <w:bottom w:val="single" w:sz="4" w:space="0" w:color="000000"/>
              <w:right w:val="single" w:sz="4" w:space="0" w:color="000000"/>
            </w:tcBorders>
          </w:tcPr>
          <w:p>
            <w:pPr>
              <w:pStyle w:val="Odsekzoznamu"/>
              <w:numPr>
                <w:ilvl w:val="0"/>
                <w:numId w:val="5"/>
              </w:numPr>
              <w:snapToGrid w:val="false"/>
              <w:spacing w:before="0" w:after="0"/>
              <w:ind w:left="357" w:right="0" w:hanging="357"/>
              <w:contextualSpacing/>
              <w:jc w:val="both"/>
              <w:rPr>
                <w:b/>
                <w:bCs/>
                <w:szCs w:val="22"/>
                <w:lang w:eastAsia="sk-SK"/>
              </w:rPr>
            </w:pPr>
            <w:r>
              <w:rPr>
                <w:b/>
                <w:bCs/>
                <w:szCs w:val="22"/>
                <w:lang w:eastAsia="sk-SK"/>
              </w:rPr>
            </w:r>
          </w:p>
          <w:p>
            <w:pPr>
              <w:pStyle w:val="Odsekzoznamu"/>
              <w:spacing w:before="0" w:after="0"/>
              <w:ind w:left="1277" w:right="0" w:hanging="0"/>
              <w:contextualSpacing/>
              <w:jc w:val="both"/>
              <w:rPr>
                <w:b/>
                <w:bCs/>
                <w:szCs w:val="22"/>
                <w:lang w:eastAsia="sk-SK"/>
              </w:rPr>
            </w:pPr>
            <w:r>
              <w:rPr>
                <w:b/>
                <w:bCs/>
                <w:szCs w:val="22"/>
                <w:lang w:eastAsia="sk-SK"/>
              </w:rPr>
            </w:r>
          </w:p>
          <w:p>
            <w:pPr>
              <w:pStyle w:val="Odsekzoznamu"/>
              <w:spacing w:before="0" w:after="0"/>
              <w:ind w:left="1277" w:right="0" w:hanging="0"/>
              <w:contextualSpacing/>
              <w:jc w:val="both"/>
              <w:rPr>
                <w:b/>
                <w:bCs/>
                <w:szCs w:val="22"/>
                <w:lang w:eastAsia="sk-SK"/>
              </w:rPr>
            </w:pPr>
            <w:r>
              <w:rPr>
                <w:b/>
                <w:bCs/>
                <w:szCs w:val="22"/>
                <w:lang w:eastAsia="sk-SK"/>
              </w:rPr>
            </w:r>
          </w:p>
        </w:tc>
        <w:tc>
          <w:tcPr>
            <w:tcW w:w="8641" w:type="dxa"/>
            <w:gridSpan w:val="5"/>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
                <w:bCs/>
                <w:szCs w:val="22"/>
                <w:lang w:eastAsia="sk-SK"/>
              </w:rPr>
            </w:pPr>
            <w:r>
              <w:rPr>
                <w:b/>
                <w:bCs/>
                <w:szCs w:val="22"/>
                <w:lang w:eastAsia="sk-SK"/>
              </w:rPr>
              <w:t xml:space="preserve">Informácia o sume a dôvodoch vzniku jednotlivých položiek nákladov alebo výnosov, ktoré majú </w:t>
            </w:r>
          </w:p>
          <w:p>
            <w:pPr>
              <w:pStyle w:val="Odsekzoznamu"/>
              <w:spacing w:before="0" w:after="0"/>
              <w:ind w:left="0" w:right="0" w:hanging="0"/>
              <w:contextualSpacing/>
              <w:jc w:val="both"/>
              <w:rPr>
                <w:bCs/>
                <w:i/>
                <w:i/>
                <w:sz w:val="20"/>
                <w:szCs w:val="22"/>
                <w:lang w:eastAsia="sk-SK"/>
              </w:rPr>
            </w:pPr>
            <w:r>
              <w:rPr>
                <w:b/>
                <w:bCs/>
                <w:szCs w:val="22"/>
                <w:lang w:eastAsia="sk-SK"/>
              </w:rPr>
              <w:t xml:space="preserve">výnimočný rozsah </w:t>
            </w:r>
            <w:r>
              <w:rPr>
                <w:bCs/>
                <w:i/>
                <w:sz w:val="20"/>
                <w:szCs w:val="22"/>
                <w:lang w:eastAsia="sk-SK"/>
              </w:rPr>
              <w:t xml:space="preserve">alebo výskyt, napríklad výnosy z predaja podniku alebo časti podniku, náklady z dôvodu </w:t>
            </w:r>
          </w:p>
          <w:p>
            <w:pPr>
              <w:pStyle w:val="Odsekzoznamu"/>
              <w:spacing w:before="0" w:after="0"/>
              <w:ind w:left="0" w:right="0" w:hanging="0"/>
              <w:contextualSpacing/>
              <w:jc w:val="both"/>
              <w:rPr>
                <w:bCs/>
                <w:i/>
                <w:i/>
                <w:sz w:val="20"/>
                <w:szCs w:val="22"/>
                <w:lang w:eastAsia="sk-SK"/>
              </w:rPr>
            </w:pPr>
            <w:r>
              <w:rPr>
                <w:bCs/>
                <w:i/>
                <w:sz w:val="20"/>
                <w:szCs w:val="22"/>
                <w:lang w:eastAsia="sk-SK"/>
              </w:rPr>
              <w:t>predaja podniku alebo časti podniku, škody z dôvodu živelných pohrôm</w:t>
            </w:r>
          </w:p>
        </w:tc>
      </w:tr>
      <w:tr>
        <w:trPr>
          <w:trHeight w:val="340" w:hRule="atLeast"/>
        </w:trPr>
        <w:tc>
          <w:tcPr>
            <w:tcW w:w="4536"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rPr>
            </w:pPr>
            <w:r>
              <w:rPr>
                <w:b w:val="false"/>
              </w:rPr>
              <w:t>Popis nákladov ,výnosov výnimočného rozsah</w:t>
            </w:r>
          </w:p>
        </w:tc>
        <w:tc>
          <w:tcPr>
            <w:tcW w:w="3119"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rPr>
            </w:pPr>
            <w:r>
              <w:rPr>
                <w:b w:val="false"/>
              </w:rPr>
              <w:t>Dôvod vzniku</w:t>
            </w:r>
          </w:p>
        </w:tc>
        <w:tc>
          <w:tcPr>
            <w:tcW w:w="850"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Odsekzoznamu"/>
              <w:snapToGrid w:val="false"/>
              <w:spacing w:before="0" w:after="0"/>
              <w:ind w:left="0" w:right="0" w:hanging="0"/>
              <w:contextualSpacing/>
              <w:jc w:val="center"/>
              <w:rPr>
                <w:b w:val="false"/>
                <w:bCs/>
                <w:sz w:val="18"/>
                <w:szCs w:val="22"/>
                <w:lang w:eastAsia="sk-SK"/>
              </w:rPr>
            </w:pPr>
            <w:r>
              <w:rPr>
                <w:b w:val="false"/>
                <w:bCs/>
                <w:sz w:val="18"/>
                <w:szCs w:val="22"/>
                <w:lang w:eastAsia="sk-SK"/>
              </w:rPr>
            </w:r>
          </w:p>
          <w:p>
            <w:pPr>
              <w:pStyle w:val="Odsekzoznamu"/>
              <w:spacing w:before="0" w:after="0"/>
              <w:ind w:left="0" w:right="0" w:hanging="0"/>
              <w:contextualSpacing/>
              <w:rPr>
                <w:bCs/>
                <w:sz w:val="18"/>
                <w:szCs w:val="22"/>
                <w:lang w:eastAsia="sk-SK"/>
              </w:rPr>
            </w:pPr>
            <w:r>
              <w:rPr>
                <w:rFonts w:eastAsia="Arial Narrow" w:cs="Arial Narrow"/>
                <w:bCs/>
                <w:sz w:val="18"/>
                <w:szCs w:val="22"/>
                <w:lang w:eastAsia="sk-SK"/>
              </w:rPr>
              <w:t xml:space="preserve">  </w:t>
            </w:r>
          </w:p>
          <w:p>
            <w:pPr>
              <w:pStyle w:val="Odsekzoznamu"/>
              <w:spacing w:before="0" w:after="0"/>
              <w:ind w:left="0" w:right="0" w:hanging="0"/>
              <w:contextualSpacing/>
              <w:rPr>
                <w:bCs/>
                <w:sz w:val="18"/>
                <w:szCs w:val="22"/>
                <w:lang w:eastAsia="sk-SK"/>
              </w:rPr>
            </w:pPr>
            <w:r>
              <w:rPr>
                <w:bCs/>
                <w:sz w:val="18"/>
                <w:szCs w:val="22"/>
                <w:lang w:eastAsia="sk-SK"/>
              </w:rPr>
              <w:t>BO</w:t>
            </w:r>
          </w:p>
        </w:tc>
        <w:tc>
          <w:tcPr>
            <w:tcW w:w="426"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Odsekzoznamu"/>
              <w:snapToGrid w:val="false"/>
              <w:spacing w:before="0" w:after="0"/>
              <w:ind w:left="0" w:right="0" w:hanging="534"/>
              <w:contextualSpacing/>
              <w:jc w:val="center"/>
              <w:rPr>
                <w:bCs/>
                <w:sz w:val="18"/>
                <w:szCs w:val="22"/>
                <w:lang w:eastAsia="sk-SK"/>
              </w:rPr>
            </w:pPr>
            <w:r>
              <w:rPr>
                <w:bCs/>
                <w:sz w:val="18"/>
                <w:szCs w:val="22"/>
                <w:lang w:eastAsia="sk-SK"/>
              </w:rPr>
            </w:r>
          </w:p>
          <w:p>
            <w:pPr>
              <w:pStyle w:val="Odsekzoznamu"/>
              <w:spacing w:before="0" w:after="0"/>
              <w:ind w:left="0" w:right="0" w:hanging="534"/>
              <w:contextualSpacing/>
              <w:jc w:val="center"/>
              <w:rPr>
                <w:bCs/>
                <w:sz w:val="16"/>
                <w:szCs w:val="22"/>
                <w:lang w:eastAsia="sk-SK"/>
              </w:rPr>
            </w:pPr>
            <w:r>
              <w:rPr>
                <w:bCs/>
                <w:sz w:val="16"/>
                <w:szCs w:val="22"/>
                <w:lang w:eastAsia="sk-SK"/>
              </w:rPr>
            </w:r>
          </w:p>
          <w:p>
            <w:pPr>
              <w:pStyle w:val="Odsekzoznamu"/>
              <w:spacing w:before="0" w:after="0"/>
              <w:ind w:left="0" w:right="0" w:hanging="534"/>
              <w:contextualSpacing/>
              <w:jc w:val="center"/>
              <w:rPr>
                <w:bCs/>
                <w:sz w:val="18"/>
                <w:szCs w:val="22"/>
                <w:lang w:eastAsia="sk-SK"/>
              </w:rPr>
            </w:pPr>
            <w:r>
              <w:rPr>
                <w:bCs/>
                <w:sz w:val="18"/>
                <w:szCs w:val="22"/>
                <w:lang w:eastAsia="sk-SK"/>
              </w:rPr>
              <w:t>POPPO</w:t>
            </w:r>
          </w:p>
        </w:tc>
        <w:tc>
          <w:tcPr>
            <w:tcW w:w="61" w:type="dxa"/>
            <w:tcBorders/>
            <w:tcMar>
              <w:left w:w="0" w:type="dxa"/>
              <w:right w:w="0" w:type="dxa"/>
            </w:tcMar>
          </w:tcPr>
          <w:p>
            <w:pPr>
              <w:pStyle w:val="Normal"/>
              <w:snapToGrid w:val="false"/>
              <w:spacing w:before="0" w:after="200"/>
              <w:rPr>
                <w:bCs/>
                <w:sz w:val="20"/>
                <w:szCs w:val="22"/>
                <w:lang w:eastAsia="sk-SK"/>
              </w:rPr>
            </w:pPr>
            <w:r>
              <w:rPr>
                <w:bCs/>
                <w:sz w:val="20"/>
                <w:szCs w:val="22"/>
                <w:lang w:eastAsia="sk-SK"/>
              </w:rPr>
            </w:r>
          </w:p>
        </w:tc>
      </w:tr>
      <w:tr>
        <w:trPr>
          <w:trHeight w:val="340" w:hRule="atLeast"/>
        </w:trPr>
        <w:tc>
          <w:tcPr>
            <w:tcW w:w="4536"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snapToGrid w:val="false"/>
              <w:jc w:val="left"/>
              <w:rPr>
                <w:b w:val="false"/>
                <w:bCs/>
                <w:sz w:val="20"/>
                <w:szCs w:val="22"/>
                <w:lang w:eastAsia="sk-SK"/>
              </w:rPr>
            </w:pPr>
            <w:r>
              <w:rPr>
                <w:b w:val="false"/>
                <w:bCs/>
                <w:sz w:val="20"/>
                <w:szCs w:val="22"/>
                <w:lang w:eastAsia="sk-SK"/>
              </w:rPr>
            </w:r>
          </w:p>
        </w:tc>
        <w:tc>
          <w:tcPr>
            <w:tcW w:w="311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snapToGrid w:val="false"/>
              <w:jc w:val="left"/>
              <w:rPr>
                <w:b w:val="false"/>
                <w:bCs/>
                <w:sz w:val="20"/>
                <w:szCs w:val="22"/>
                <w:lang w:eastAsia="sk-SK"/>
              </w:rPr>
            </w:pPr>
            <w:r>
              <w:rPr>
                <w:b w:val="false"/>
                <w:bCs/>
                <w:sz w:val="20"/>
                <w:szCs w:val="22"/>
                <w:lang w:eastAsia="sk-SK"/>
              </w:rPr>
            </w:r>
          </w:p>
        </w:tc>
        <w:tc>
          <w:tcPr>
            <w:tcW w:w="1337" w:type="dxa"/>
            <w:gridSpan w:val="3"/>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snapToGrid w:val="false"/>
              <w:jc w:val="left"/>
              <w:rPr>
                <w:b w:val="false"/>
                <w:bCs/>
                <w:sz w:val="20"/>
                <w:szCs w:val="22"/>
                <w:lang w:eastAsia="sk-SK"/>
              </w:rPr>
            </w:pPr>
            <w:r>
              <w:rPr>
                <w:b w:val="false"/>
                <w:bCs/>
                <w:sz w:val="20"/>
                <w:szCs w:val="22"/>
                <w:lang w:eastAsia="sk-SK"/>
              </w:rPr>
            </w:r>
          </w:p>
        </w:tc>
      </w:tr>
    </w:tbl>
    <w:p>
      <w:pPr>
        <w:pStyle w:val="TopHeader"/>
        <w:jc w:val="left"/>
        <w:rPr>
          <w:bCs/>
          <w:szCs w:val="22"/>
          <w:lang w:eastAsia="sk-SK"/>
        </w:rPr>
      </w:pPr>
      <w:r>
        <w:rPr>
          <w:b w:val="false"/>
        </w:rPr>
        <w:t xml:space="preserve">V účtovnej  jednotke  nenastali   také  dôvody,   ktoré   by  mali  výnimočný  rozsah   a  tým  aj  vplyv  na   vznik     </w:t>
      </w:r>
    </w:p>
    <w:p>
      <w:pPr>
        <w:pStyle w:val="TopHeader"/>
        <w:jc w:val="left"/>
        <w:rPr>
          <w:bCs/>
          <w:szCs w:val="22"/>
          <w:lang w:eastAsia="sk-SK"/>
        </w:rPr>
      </w:pPr>
      <w:r>
        <w:rPr>
          <w:b w:val="false"/>
        </w:rPr>
        <w:t xml:space="preserve">jednotlivých  položiek  nákladov  a  výnosov  výnimočného  rozsahu,   a  to  v  bežnom  účtovnom  období,  ani  </w:t>
      </w:r>
    </w:p>
    <w:p>
      <w:pPr>
        <w:pStyle w:val="TopHeader"/>
        <w:jc w:val="left"/>
        <w:rPr>
          <w:bCs/>
          <w:szCs w:val="22"/>
          <w:lang w:eastAsia="sk-SK"/>
        </w:rPr>
      </w:pPr>
      <w:r>
        <w:rPr>
          <w:b w:val="false"/>
        </w:rPr>
        <w:t>v bezprostredne predchádzajúcom účtovnom období.</w:t>
      </w:r>
    </w:p>
    <w:p>
      <w:pPr>
        <w:pStyle w:val="Normal"/>
        <w:rPr>
          <w:bCs/>
          <w:szCs w:val="22"/>
          <w:lang w:eastAsia="sk-SK"/>
        </w:rPr>
      </w:pPr>
      <w:r>
        <w:rPr>
          <w:b/>
          <w:sz w:val="24"/>
        </w:rPr>
      </w:r>
    </w:p>
    <w:p>
      <w:pPr>
        <w:pStyle w:val="Normal"/>
        <w:shd w:fill="E6E6E6" w:val="clear"/>
        <w:spacing w:lineRule="auto" w:line="240" w:before="0" w:after="0"/>
        <w:jc w:val="center"/>
        <w:rPr>
          <w:bCs/>
          <w:szCs w:val="22"/>
          <w:lang w:eastAsia="sk-SK"/>
        </w:rPr>
      </w:pPr>
      <w:r>
        <w:rPr>
          <w:b/>
          <w:i/>
          <w:sz w:val="28"/>
          <w:szCs w:val="24"/>
        </w:rPr>
        <w:t>Čl. V . Informácie o iných aktívach a iných pasívach </w:t>
      </w:r>
    </w:p>
    <w:p>
      <w:pPr>
        <w:pStyle w:val="Normal"/>
        <w:spacing w:before="0" w:after="0"/>
        <w:rPr>
          <w:bCs/>
          <w:szCs w:val="22"/>
          <w:lang w:eastAsia="sk-SK"/>
        </w:rPr>
      </w:pPr>
      <w:r>
        <w:rPr>
          <w:b/>
          <w:i/>
          <w:sz w:val="14"/>
          <w:szCs w:val="24"/>
        </w:rPr>
      </w:r>
    </w:p>
    <w:tbl>
      <w:tblPr>
        <w:tblW w:w="9214" w:type="dxa"/>
        <w:jc w:val="left"/>
        <w:tblInd w:w="70" w:type="dxa"/>
        <w:tblLayout w:type="fixed"/>
        <w:tblCellMar>
          <w:top w:w="0" w:type="dxa"/>
          <w:left w:w="70" w:type="dxa"/>
          <w:bottom w:w="0" w:type="dxa"/>
          <w:right w:w="70" w:type="dxa"/>
        </w:tblCellMar>
      </w:tblPr>
      <w:tblGrid>
        <w:gridCol w:w="375"/>
        <w:gridCol w:w="6812"/>
        <w:gridCol w:w="610"/>
        <w:gridCol w:w="1417"/>
      </w:tblGrid>
      <w:tr>
        <w:trPr>
          <w:trHeight w:val="200" w:hRule="atLeast"/>
        </w:trPr>
        <w:tc>
          <w:tcPr>
            <w:tcW w:w="375" w:type="dxa"/>
            <w:tcBorders>
              <w:top w:val="single" w:sz="4" w:space="0" w:color="000000"/>
              <w:left w:val="single" w:sz="4" w:space="0" w:color="000000"/>
              <w:bottom w:val="single" w:sz="4" w:space="0" w:color="000000"/>
              <w:right w:val="single" w:sz="4" w:space="0" w:color="000000"/>
            </w:tcBorders>
          </w:tcPr>
          <w:p>
            <w:pPr>
              <w:pStyle w:val="Odsekzoznamu"/>
              <w:numPr>
                <w:ilvl w:val="0"/>
                <w:numId w:val="10"/>
              </w:numPr>
              <w:snapToGrid w:val="false"/>
              <w:spacing w:lineRule="auto" w:line="240" w:before="0" w:after="0"/>
              <w:ind w:left="357" w:right="0" w:hanging="357"/>
              <w:contextualSpacing/>
              <w:jc w:val="both"/>
              <w:rPr>
                <w:b/>
                <w:bCs/>
                <w:szCs w:val="22"/>
                <w:lang w:eastAsia="sk-SK"/>
              </w:rPr>
            </w:pPr>
            <w:r>
              <w:rPr>
                <w:b/>
                <w:bCs/>
                <w:szCs w:val="22"/>
                <w:lang w:eastAsia="sk-SK"/>
              </w:rPr>
            </w:r>
          </w:p>
        </w:tc>
        <w:tc>
          <w:tcPr>
            <w:tcW w:w="8839" w:type="dxa"/>
            <w:gridSpan w:val="3"/>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
                <w:bCs/>
                <w:szCs w:val="22"/>
                <w:lang w:eastAsia="sk-SK"/>
              </w:rPr>
            </w:pPr>
            <w:r>
              <w:rPr>
                <w:b/>
                <w:bCs/>
                <w:szCs w:val="22"/>
                <w:lang w:eastAsia="sk-SK"/>
              </w:rPr>
              <w:t>Informácie k iným aktívam a iným pasívam</w:t>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Odsekzoznamu"/>
              <w:numPr>
                <w:ilvl w:val="0"/>
                <w:numId w:val="9"/>
              </w:numPr>
              <w:spacing w:lineRule="auto" w:line="240" w:before="0" w:after="0"/>
              <w:ind w:left="641" w:right="0" w:hanging="284"/>
              <w:contextualSpacing/>
              <w:jc w:val="both"/>
              <w:rPr>
                <w:bCs/>
                <w:szCs w:val="22"/>
                <w:lang w:eastAsia="sk-SK"/>
              </w:rPr>
            </w:pPr>
            <w:r>
              <w:rPr>
                <w:bCs/>
                <w:szCs w:val="22"/>
                <w:lang w:eastAsia="sk-SK"/>
              </w:rPr>
              <w:t>opis a hodnota podmieneného majetku</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rPr>
            </w:pPr>
            <w:r>
              <w:rPr>
                <w:b w:val="false"/>
              </w:rPr>
              <w:t>BO</w:t>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rPr>
                <w:b w:val="false"/>
              </w:rPr>
            </w:pPr>
            <w:r>
              <w:rPr>
                <w:b w:val="false"/>
              </w:rPr>
              <w:t>PO</w:t>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Práva zo servisných zmlúv</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Práva z poistných zmlúv</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Práva z licenčných zmlúv</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Iné</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sz w:val="18"/>
              </w:rPr>
            </w:pPr>
            <w:r>
              <w:rPr>
                <w:b w:val="false"/>
                <w:sz w:val="18"/>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sz w:val="18"/>
              </w:rPr>
            </w:pPr>
            <w:r>
              <w:rPr>
                <w:b w:val="false"/>
                <w:sz w:val="18"/>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Odsekzoznamu"/>
              <w:numPr>
                <w:ilvl w:val="0"/>
                <w:numId w:val="9"/>
              </w:numPr>
              <w:spacing w:lineRule="auto" w:line="240" w:before="0" w:after="0"/>
              <w:ind w:left="641" w:right="0" w:hanging="284"/>
              <w:contextualSpacing/>
              <w:jc w:val="both"/>
              <w:rPr>
                <w:bCs/>
                <w:szCs w:val="22"/>
                <w:lang w:eastAsia="sk-SK"/>
              </w:rPr>
            </w:pPr>
            <w:r>
              <w:rPr>
                <w:bCs/>
                <w:szCs w:val="22"/>
                <w:lang w:eastAsia="sk-SK"/>
              </w:rPr>
              <w:t>opis a hodnota podmienených záväzkov</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Poskytnuté záruky za úver</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 xml:space="preserve">Ručenie </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Neobmedzené ručenie v inej spoločnosti</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Žaloba -  hrozba súdneho procesu</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UJ predala pohľadávky a ručí za ich vymožiteľnosť</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r>
        <w:trPr>
          <w:trHeight w:val="340" w:hRule="atLeast"/>
        </w:trPr>
        <w:tc>
          <w:tcPr>
            <w:tcW w:w="7187" w:type="dxa"/>
            <w:gridSpan w:val="2"/>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TopHeader"/>
              <w:jc w:val="left"/>
              <w:rPr>
                <w:b w:val="false"/>
              </w:rPr>
            </w:pPr>
            <w:r>
              <w:rPr>
                <w:b w:val="false"/>
              </w:rPr>
              <w:t>Iné</w:t>
            </w:r>
          </w:p>
        </w:tc>
        <w:tc>
          <w:tcPr>
            <w:tcW w:w="610"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rPr>
                <w:b w:val="false"/>
              </w:rPr>
            </w:pPr>
            <w:r>
              <w:rPr>
                <w:b w:val="false"/>
              </w:rPr>
            </w:r>
          </w:p>
        </w:tc>
        <w:tc>
          <w:tcPr>
            <w:tcW w:w="1417"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TopHeader"/>
              <w:snapToGrid w:val="false"/>
              <w:jc w:val="left"/>
              <w:rPr>
                <w:b w:val="false"/>
              </w:rPr>
            </w:pPr>
            <w:r>
              <w:rPr>
                <w:b w:val="false"/>
              </w:rPr>
            </w:r>
          </w:p>
        </w:tc>
      </w:tr>
    </w:tbl>
    <w:p>
      <w:pPr>
        <w:pStyle w:val="Odsekzoznamu"/>
        <w:spacing w:lineRule="auto" w:line="240" w:before="0" w:after="0"/>
        <w:ind w:left="0" w:right="0" w:hanging="0"/>
        <w:contextualSpacing/>
        <w:jc w:val="both"/>
        <w:rPr>
          <w:bCs/>
          <w:szCs w:val="22"/>
          <w:lang w:eastAsia="sk-SK"/>
        </w:rPr>
      </w:pPr>
      <w:r>
        <w:rPr>
          <w:bCs/>
          <w:szCs w:val="22"/>
          <w:lang w:eastAsia="sk-SK"/>
        </w:rPr>
      </w:r>
    </w:p>
    <w:p>
      <w:pPr>
        <w:pStyle w:val="Odsekzoznamu"/>
        <w:spacing w:lineRule="auto" w:line="240" w:before="0" w:after="0"/>
        <w:ind w:left="0" w:right="0" w:hanging="0"/>
        <w:contextualSpacing/>
        <w:jc w:val="both"/>
        <w:rPr>
          <w:bCs/>
          <w:szCs w:val="22"/>
          <w:lang w:eastAsia="sk-SK"/>
        </w:rPr>
      </w:pPr>
      <w:r>
        <w:rPr>
          <w:bCs/>
          <w:szCs w:val="22"/>
          <w:lang w:eastAsia="sk-SK"/>
        </w:rPr>
        <w:t xml:space="preserve">Účtovná jednotka  nemá  a  nevykazuje práva z podmieneného majetku a nemá a nevykazuje ani podmienené záväzky. Neposkytla záruky za úver, neručí ani za iné záruky, neposkytla neobmedzené ručenie v inej spoločnosti  a neočakáva ani hrozby súdnych procesov, ktoré by mali vplyv na posúdenie finančnej situácie účtovnej jednotky.  </w:t>
      </w:r>
    </w:p>
    <w:p>
      <w:pPr>
        <w:pStyle w:val="Odsekzoznamu"/>
        <w:spacing w:lineRule="auto" w:line="240" w:before="0" w:after="0"/>
        <w:ind w:left="0" w:right="0" w:hanging="0"/>
        <w:contextualSpacing/>
        <w:jc w:val="both"/>
        <w:rPr>
          <w:bCs/>
          <w:szCs w:val="22"/>
          <w:lang w:eastAsia="sk-SK"/>
        </w:rPr>
      </w:pPr>
      <w:r>
        <w:rPr>
          <w:bCs/>
          <w:sz w:val="20"/>
          <w:szCs w:val="22"/>
          <w:lang w:eastAsia="sk-SK"/>
        </w:rPr>
      </w:r>
    </w:p>
    <w:tbl>
      <w:tblPr>
        <w:tblW w:w="9214" w:type="dxa"/>
        <w:jc w:val="left"/>
        <w:tblInd w:w="108" w:type="dxa"/>
        <w:tblLayout w:type="fixed"/>
        <w:tblCellMar>
          <w:top w:w="0" w:type="dxa"/>
          <w:left w:w="108" w:type="dxa"/>
          <w:bottom w:w="0" w:type="dxa"/>
          <w:right w:w="108" w:type="dxa"/>
        </w:tblCellMar>
      </w:tblPr>
      <w:tblGrid>
        <w:gridCol w:w="401"/>
        <w:gridCol w:w="6829"/>
        <w:gridCol w:w="425"/>
        <w:gridCol w:w="1559"/>
      </w:tblGrid>
      <w:tr>
        <w:trPr/>
        <w:tc>
          <w:tcPr>
            <w:tcW w:w="401" w:type="dxa"/>
            <w:tcBorders>
              <w:top w:val="single" w:sz="4" w:space="0" w:color="000000"/>
              <w:left w:val="single" w:sz="4" w:space="0" w:color="000000"/>
              <w:bottom w:val="single" w:sz="4" w:space="0" w:color="000000"/>
              <w:right w:val="single" w:sz="4" w:space="0" w:color="000000"/>
            </w:tcBorders>
          </w:tcPr>
          <w:p>
            <w:pPr>
              <w:pStyle w:val="Odsekzoznamu"/>
              <w:numPr>
                <w:ilvl w:val="0"/>
                <w:numId w:val="10"/>
              </w:numPr>
              <w:snapToGrid w:val="false"/>
              <w:spacing w:lineRule="auto" w:line="240" w:before="0" w:after="0"/>
              <w:ind w:left="357" w:right="0" w:hanging="357"/>
              <w:contextualSpacing/>
              <w:jc w:val="both"/>
              <w:rPr>
                <w:b/>
                <w:bCs/>
                <w:szCs w:val="22"/>
                <w:lang w:eastAsia="sk-SK"/>
              </w:rPr>
            </w:pPr>
            <w:r>
              <w:rPr>
                <w:b/>
                <w:bCs/>
                <w:szCs w:val="22"/>
                <w:lang w:eastAsia="sk-SK"/>
              </w:rPr>
            </w:r>
          </w:p>
        </w:tc>
        <w:tc>
          <w:tcPr>
            <w:tcW w:w="8813" w:type="dxa"/>
            <w:gridSpan w:val="3"/>
            <w:tcBorders>
              <w:top w:val="single" w:sz="4" w:space="0" w:color="000000"/>
              <w:left w:val="single" w:sz="4" w:space="0" w:color="000000"/>
              <w:bottom w:val="single" w:sz="4" w:space="0" w:color="000000"/>
              <w:right w:val="single" w:sz="4" w:space="0" w:color="000000"/>
            </w:tcBorders>
          </w:tcPr>
          <w:p>
            <w:pPr>
              <w:pStyle w:val="Odsekzoznamu"/>
              <w:spacing w:before="0" w:after="0"/>
              <w:ind w:left="0" w:right="0" w:hanging="0"/>
              <w:contextualSpacing/>
              <w:jc w:val="both"/>
              <w:rPr>
                <w:b/>
                <w:bCs/>
                <w:szCs w:val="22"/>
                <w:lang w:eastAsia="sk-SK"/>
              </w:rPr>
            </w:pPr>
            <w:r>
              <w:rPr>
                <w:b/>
                <w:bCs/>
                <w:szCs w:val="22"/>
                <w:lang w:eastAsia="sk-SK"/>
              </w:rPr>
              <w:t>Významné položky ostatných finančných povinností, ktoré sa nevykazujú v účtovných výkazoch</w:t>
            </w:r>
          </w:p>
        </w:tc>
      </w:tr>
      <w:tr>
        <w:trPr>
          <w:trHeight w:val="340" w:hRule="atLeast"/>
        </w:trPr>
        <w:tc>
          <w:tcPr>
            <w:tcW w:w="7230" w:type="dxa"/>
            <w:gridSpan w:val="2"/>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szCs w:val="22"/>
              </w:rPr>
            </w:pPr>
            <w:r>
              <w:rPr>
                <w:szCs w:val="22"/>
              </w:rPr>
              <w:t>Uzatvorená zmluva o úvere(peniaze ešte neboli poskytnuté)</w:t>
            </w:r>
          </w:p>
        </w:tc>
        <w:tc>
          <w:tcPr>
            <w:tcW w:w="42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155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r>
        <w:trPr>
          <w:trHeight w:val="340" w:hRule="atLeast"/>
        </w:trPr>
        <w:tc>
          <w:tcPr>
            <w:tcW w:w="7230" w:type="dxa"/>
            <w:gridSpan w:val="2"/>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szCs w:val="22"/>
              </w:rPr>
            </w:pPr>
            <w:r>
              <w:rPr>
                <w:szCs w:val="22"/>
              </w:rPr>
              <w:t>Zmluvná povinnosť odobrať množstvo produktu</w:t>
            </w:r>
          </w:p>
        </w:tc>
        <w:tc>
          <w:tcPr>
            <w:tcW w:w="42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155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r>
        <w:trPr>
          <w:trHeight w:val="340" w:hRule="atLeast"/>
        </w:trPr>
        <w:tc>
          <w:tcPr>
            <w:tcW w:w="7230" w:type="dxa"/>
            <w:gridSpan w:val="2"/>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szCs w:val="22"/>
              </w:rPr>
            </w:pPr>
            <w:r>
              <w:rPr>
                <w:szCs w:val="22"/>
              </w:rPr>
              <w:t>Pripravované generálne  opravy</w:t>
            </w:r>
          </w:p>
        </w:tc>
        <w:tc>
          <w:tcPr>
            <w:tcW w:w="42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155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r>
        <w:trPr>
          <w:trHeight w:val="340" w:hRule="atLeast"/>
        </w:trPr>
        <w:tc>
          <w:tcPr>
            <w:tcW w:w="7230" w:type="dxa"/>
            <w:gridSpan w:val="2"/>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szCs w:val="22"/>
              </w:rPr>
            </w:pPr>
            <w:r>
              <w:rPr>
                <w:szCs w:val="22"/>
              </w:rPr>
              <w:t xml:space="preserve">Pripravované investície </w:t>
            </w:r>
          </w:p>
        </w:tc>
        <w:tc>
          <w:tcPr>
            <w:tcW w:w="42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155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r>
        <w:trPr>
          <w:trHeight w:val="340" w:hRule="atLeast"/>
        </w:trPr>
        <w:tc>
          <w:tcPr>
            <w:tcW w:w="7230" w:type="dxa"/>
            <w:gridSpan w:val="2"/>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szCs w:val="22"/>
              </w:rPr>
            </w:pPr>
            <w:r>
              <w:rPr>
                <w:szCs w:val="22"/>
              </w:rPr>
              <w:t>Uzatvorené zmluvy s dodávateľmi o dodávkach v budúcnosti</w:t>
            </w:r>
          </w:p>
        </w:tc>
        <w:tc>
          <w:tcPr>
            <w:tcW w:w="42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Cs w:val="22"/>
              </w:rPr>
            </w:pPr>
            <w:r>
              <w:rPr>
                <w:szCs w:val="22"/>
              </w:rPr>
            </w:r>
          </w:p>
        </w:tc>
        <w:tc>
          <w:tcPr>
            <w:tcW w:w="155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Cs w:val="22"/>
              </w:rPr>
            </w:pPr>
            <w:r>
              <w:rPr>
                <w:szCs w:val="22"/>
              </w:rPr>
            </w:r>
          </w:p>
        </w:tc>
      </w:tr>
      <w:tr>
        <w:trPr>
          <w:trHeight w:val="340" w:hRule="atLeast"/>
        </w:trPr>
        <w:tc>
          <w:tcPr>
            <w:tcW w:w="7230" w:type="dxa"/>
            <w:gridSpan w:val="2"/>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pPr>
            <w:r>
              <w:rPr/>
              <w:t>Iné</w:t>
            </w:r>
          </w:p>
        </w:tc>
        <w:tc>
          <w:tcPr>
            <w:tcW w:w="425"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jc w:val="center"/>
              <w:rPr>
                <w:sz w:val="16"/>
                <w:szCs w:val="22"/>
              </w:rPr>
            </w:pPr>
            <w:r>
              <w:rPr>
                <w:sz w:val="16"/>
                <w:szCs w:val="22"/>
              </w:rPr>
            </w:r>
          </w:p>
        </w:tc>
        <w:tc>
          <w:tcPr>
            <w:tcW w:w="1559"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sz w:val="16"/>
                <w:szCs w:val="22"/>
              </w:rPr>
            </w:pPr>
            <w:r>
              <w:rPr>
                <w:sz w:val="16"/>
                <w:szCs w:val="22"/>
              </w:rPr>
            </w:r>
          </w:p>
        </w:tc>
      </w:tr>
    </w:tbl>
    <w:p>
      <w:pPr>
        <w:pStyle w:val="Odsekzoznamu"/>
        <w:spacing w:lineRule="auto" w:line="240" w:before="0" w:after="0"/>
        <w:ind w:left="357" w:right="0" w:hanging="0"/>
        <w:contextualSpacing/>
        <w:jc w:val="both"/>
        <w:rPr>
          <w:bCs/>
          <w:szCs w:val="22"/>
          <w:lang w:eastAsia="sk-SK"/>
        </w:rPr>
      </w:pPr>
      <w:r>
        <w:rPr>
          <w:bCs/>
          <w:szCs w:val="22"/>
          <w:lang w:eastAsia="sk-SK"/>
        </w:rPr>
      </w:r>
    </w:p>
    <w:p>
      <w:pPr>
        <w:pStyle w:val="Odsekzoznamu"/>
        <w:spacing w:lineRule="auto" w:line="240" w:before="0" w:after="0"/>
        <w:ind w:left="0" w:right="0" w:hanging="0"/>
        <w:contextualSpacing/>
        <w:jc w:val="both"/>
        <w:rPr>
          <w:bCs/>
          <w:szCs w:val="22"/>
          <w:lang w:eastAsia="sk-SK"/>
        </w:rPr>
      </w:pPr>
      <w:r>
        <w:rPr>
          <w:bCs/>
          <w:szCs w:val="22"/>
          <w:lang w:eastAsia="sk-SK"/>
        </w:rPr>
        <w:t xml:space="preserve">Účtovná jednotka  nemá  a  nevykazuje také finančné povinnosti, ktoré </w:t>
      </w:r>
      <w:r>
        <w:rPr/>
        <w:t>sa nevykazujú v účtovných výkazoch.</w:t>
      </w:r>
    </w:p>
    <w:tbl>
      <w:tblPr>
        <w:tblW w:w="8931" w:type="dxa"/>
        <w:jc w:val="left"/>
        <w:tblInd w:w="108" w:type="dxa"/>
        <w:tblLayout w:type="fixed"/>
        <w:tblCellMar>
          <w:top w:w="0" w:type="dxa"/>
          <w:left w:w="108" w:type="dxa"/>
          <w:bottom w:w="0" w:type="dxa"/>
          <w:right w:w="108" w:type="dxa"/>
        </w:tblCellMar>
      </w:tblPr>
      <w:tblGrid>
        <w:gridCol w:w="401"/>
        <w:gridCol w:w="5269"/>
        <w:gridCol w:w="1276"/>
        <w:gridCol w:w="851"/>
        <w:gridCol w:w="1134"/>
      </w:tblGrid>
      <w:tr>
        <w:trPr/>
        <w:tc>
          <w:tcPr>
            <w:tcW w:w="401" w:type="dxa"/>
            <w:tcBorders>
              <w:top w:val="single" w:sz="4" w:space="0" w:color="000000"/>
              <w:left w:val="single" w:sz="4" w:space="0" w:color="000000"/>
              <w:bottom w:val="single" w:sz="4" w:space="0" w:color="000000"/>
              <w:right w:val="single" w:sz="4" w:space="0" w:color="000000"/>
            </w:tcBorders>
          </w:tcPr>
          <w:p>
            <w:pPr>
              <w:pStyle w:val="Odsekzoznamu"/>
              <w:numPr>
                <w:ilvl w:val="0"/>
                <w:numId w:val="10"/>
              </w:numPr>
              <w:snapToGrid w:val="false"/>
              <w:spacing w:lineRule="auto" w:line="240" w:before="0" w:after="0"/>
              <w:ind w:left="357" w:right="0" w:hanging="357"/>
              <w:contextualSpacing/>
              <w:jc w:val="both"/>
              <w:rPr>
                <w:b/>
                <w:bCs/>
                <w:szCs w:val="22"/>
                <w:lang w:eastAsia="sk-SK"/>
              </w:rPr>
            </w:pPr>
            <w:r>
              <w:rPr>
                <w:b/>
                <w:bCs/>
                <w:szCs w:val="22"/>
                <w:lang w:eastAsia="sk-SK"/>
              </w:rPr>
            </w:r>
          </w:p>
          <w:p>
            <w:pPr>
              <w:pStyle w:val="Odsekzoznamu"/>
              <w:spacing w:lineRule="auto" w:line="240" w:before="0" w:after="0"/>
              <w:ind w:left="108" w:right="0" w:hanging="0"/>
              <w:contextualSpacing/>
              <w:jc w:val="both"/>
              <w:rPr>
                <w:b/>
                <w:bCs/>
                <w:szCs w:val="22"/>
                <w:lang w:eastAsia="sk-SK"/>
              </w:rPr>
            </w:pPr>
            <w:r>
              <w:rPr>
                <w:b/>
                <w:bCs/>
                <w:szCs w:val="22"/>
                <w:lang w:eastAsia="sk-SK"/>
              </w:rPr>
            </w:r>
          </w:p>
        </w:tc>
        <w:tc>
          <w:tcPr>
            <w:tcW w:w="8530" w:type="dxa"/>
            <w:gridSpan w:val="4"/>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bCs/>
                <w:szCs w:val="22"/>
                <w:lang w:eastAsia="sk-SK"/>
              </w:rPr>
            </w:pPr>
            <w:r>
              <w:rPr>
                <w:b/>
                <w:bCs/>
                <w:szCs w:val="22"/>
                <w:lang w:eastAsia="sk-SK"/>
              </w:rPr>
              <w:t>Podsúvahové účty</w:t>
            </w:r>
            <w:r>
              <w:rPr>
                <w:bCs/>
                <w:szCs w:val="22"/>
                <w:lang w:eastAsia="sk-SK"/>
              </w:rPr>
              <w:t xml:space="preserve"> - Informácie o významných položkách prenajatého majetku, majetku prijatého do </w:t>
            </w:r>
          </w:p>
          <w:p>
            <w:pPr>
              <w:pStyle w:val="Odsekzoznamu"/>
              <w:spacing w:before="0" w:after="0"/>
              <w:ind w:left="0" w:right="0" w:hanging="0"/>
              <w:contextualSpacing/>
              <w:jc w:val="both"/>
              <w:rPr>
                <w:bCs/>
                <w:szCs w:val="22"/>
                <w:lang w:eastAsia="sk-SK"/>
              </w:rPr>
            </w:pPr>
            <w:r>
              <w:rPr>
                <w:bCs/>
                <w:szCs w:val="22"/>
                <w:lang w:eastAsia="sk-SK"/>
              </w:rPr>
              <w:t>úschovy, o pohľadávkach a záväzkoch z opcií, odpísaných pohľadávkach a podobne</w:t>
            </w:r>
          </w:p>
        </w:tc>
      </w:tr>
      <w:tr>
        <w:trPr>
          <w:trHeight w:val="340" w:hRule="atLeast"/>
        </w:trPr>
        <w:tc>
          <w:tcPr>
            <w:tcW w:w="5670" w:type="dxa"/>
            <w:gridSpan w:val="2"/>
            <w:tcBorders>
              <w:top w:val="single" w:sz="4" w:space="0" w:color="000000"/>
              <w:left w:val="single" w:sz="4" w:space="0" w:color="000000"/>
              <w:bottom w:val="single" w:sz="4" w:space="0" w:color="000000"/>
              <w:right w:val="single" w:sz="4" w:space="0" w:color="000000"/>
            </w:tcBorders>
            <w:vAlign w:val="center"/>
          </w:tcPr>
          <w:p>
            <w:pPr>
              <w:pStyle w:val="Odsekzoznamu"/>
              <w:snapToGrid w:val="false"/>
              <w:spacing w:lineRule="auto" w:line="240" w:before="0" w:after="0"/>
              <w:ind w:left="0" w:right="0" w:hanging="0"/>
              <w:contextualSpacing/>
              <w:rPr>
                <w:bCs/>
                <w:szCs w:val="22"/>
                <w:lang w:eastAsia="sk-SK"/>
              </w:rPr>
            </w:pPr>
            <w:r>
              <w:rPr>
                <w:bCs/>
                <w:szCs w:val="22"/>
                <w:lang w:eastAsia="sk-SK"/>
              </w:rPr>
            </w:r>
          </w:p>
        </w:tc>
        <w:tc>
          <w:tcPr>
            <w:tcW w:w="1276"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Cs w:val="22"/>
              </w:rPr>
            </w:pPr>
            <w:r>
              <w:rPr>
                <w:szCs w:val="22"/>
              </w:rPr>
              <w:t>Účet</w:t>
            </w:r>
          </w:p>
        </w:tc>
        <w:tc>
          <w:tcPr>
            <w:tcW w:w="851" w:type="dxa"/>
            <w:tcBorders>
              <w:top w:val="single" w:sz="4" w:space="0" w:color="000000"/>
              <w:left w:val="single" w:sz="4" w:space="0" w:color="000000"/>
              <w:bottom w:val="single" w:sz="4" w:space="0" w:color="000000"/>
              <w:right w:val="single" w:sz="4" w:space="0" w:color="000000"/>
            </w:tcBorders>
            <w:vAlign w:val="center"/>
          </w:tcPr>
          <w:p>
            <w:pPr>
              <w:pStyle w:val="Normal"/>
              <w:spacing w:before="0" w:after="0"/>
              <w:jc w:val="center"/>
              <w:rPr>
                <w:sz w:val="20"/>
                <w:szCs w:val="22"/>
              </w:rPr>
            </w:pPr>
            <w:r>
              <w:rPr>
                <w:sz w:val="20"/>
                <w:szCs w:val="22"/>
              </w:rPr>
              <w:t>BO</w:t>
            </w:r>
          </w:p>
        </w:tc>
        <w:tc>
          <w:tcPr>
            <w:tcW w:w="1134" w:type="dxa"/>
            <w:tcBorders>
              <w:top w:val="single" w:sz="4" w:space="0" w:color="000000"/>
              <w:left w:val="single" w:sz="4" w:space="0" w:color="000000"/>
              <w:bottom w:val="single" w:sz="4" w:space="0" w:color="000000"/>
              <w:right w:val="single" w:sz="4" w:space="0" w:color="000000"/>
            </w:tcBorders>
          </w:tcPr>
          <w:p>
            <w:pPr>
              <w:pStyle w:val="Normal"/>
              <w:spacing w:before="0" w:after="0"/>
              <w:jc w:val="center"/>
              <w:rPr>
                <w:sz w:val="20"/>
                <w:szCs w:val="22"/>
              </w:rPr>
            </w:pPr>
            <w:r>
              <w:rPr>
                <w:sz w:val="20"/>
                <w:szCs w:val="22"/>
              </w:rPr>
              <w:t>PO</w:t>
            </w:r>
          </w:p>
        </w:tc>
      </w:tr>
      <w:tr>
        <w:trPr>
          <w:trHeight w:val="340" w:hRule="atLeast"/>
        </w:trPr>
        <w:tc>
          <w:tcPr>
            <w:tcW w:w="5670" w:type="dxa"/>
            <w:gridSpan w:val="2"/>
            <w:tcBorders>
              <w:top w:val="single" w:sz="4" w:space="0" w:color="000000"/>
              <w:left w:val="single" w:sz="4" w:space="0" w:color="000000"/>
              <w:bottom w:val="single" w:sz="4" w:space="0" w:color="000000"/>
              <w:right w:val="single" w:sz="4" w:space="0" w:color="000000"/>
            </w:tcBorders>
            <w:vAlign w:val="center"/>
          </w:tcPr>
          <w:p>
            <w:pPr>
              <w:pStyle w:val="Odsekzoznamu"/>
              <w:snapToGrid w:val="false"/>
              <w:spacing w:lineRule="auto" w:line="240" w:before="0" w:after="0"/>
              <w:ind w:left="0" w:right="0" w:hanging="0"/>
              <w:contextualSpacing/>
              <w:rPr>
                <w:b/>
                <w:bCs/>
                <w:sz w:val="14"/>
                <w:szCs w:val="22"/>
              </w:rPr>
            </w:pPr>
            <w:r>
              <w:rPr>
                <w:b/>
                <w:bCs/>
                <w:sz w:val="14"/>
                <w:szCs w:val="22"/>
              </w:rPr>
            </w:r>
          </w:p>
        </w:tc>
        <w:tc>
          <w:tcPr>
            <w:tcW w:w="1276"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b/>
                <w:bCs/>
                <w:sz w:val="14"/>
                <w:szCs w:val="22"/>
              </w:rPr>
            </w:pPr>
            <w:r>
              <w:rPr>
                <w:b/>
                <w:bCs/>
                <w:sz w:val="14"/>
                <w:szCs w:val="22"/>
              </w:rPr>
            </w:r>
          </w:p>
        </w:tc>
        <w:tc>
          <w:tcPr>
            <w:tcW w:w="851" w:type="dxa"/>
            <w:tcBorders>
              <w:top w:val="single" w:sz="4" w:space="0" w:color="000000"/>
              <w:left w:val="single" w:sz="4" w:space="0" w:color="000000"/>
              <w:bottom w:val="single" w:sz="4" w:space="0" w:color="000000"/>
              <w:right w:val="single" w:sz="4" w:space="0" w:color="000000"/>
            </w:tcBorders>
            <w:vAlign w:val="center"/>
          </w:tcPr>
          <w:p>
            <w:pPr>
              <w:pStyle w:val="Normal"/>
              <w:snapToGrid w:val="false"/>
              <w:spacing w:before="0" w:after="0"/>
              <w:rPr>
                <w:b/>
                <w:bCs/>
                <w:sz w:val="14"/>
                <w:szCs w:val="22"/>
              </w:rPr>
            </w:pPr>
            <w:r>
              <w:rPr>
                <w:b/>
                <w:bCs/>
                <w:sz w:val="14"/>
                <w:szCs w:val="22"/>
              </w:rPr>
            </w:r>
          </w:p>
        </w:tc>
        <w:tc>
          <w:tcPr>
            <w:tcW w:w="1134" w:type="dxa"/>
            <w:tcBorders>
              <w:top w:val="single" w:sz="4" w:space="0" w:color="000000"/>
              <w:left w:val="single" w:sz="4" w:space="0" w:color="000000"/>
              <w:bottom w:val="single" w:sz="4" w:space="0" w:color="000000"/>
              <w:right w:val="single" w:sz="4" w:space="0" w:color="000000"/>
            </w:tcBorders>
          </w:tcPr>
          <w:p>
            <w:pPr>
              <w:pStyle w:val="Normal"/>
              <w:snapToGrid w:val="false"/>
              <w:spacing w:before="0" w:after="0"/>
              <w:rPr>
                <w:b/>
                <w:bCs/>
                <w:sz w:val="14"/>
                <w:szCs w:val="22"/>
              </w:rPr>
            </w:pPr>
            <w:r>
              <w:rPr>
                <w:b/>
                <w:bCs/>
                <w:sz w:val="14"/>
                <w:szCs w:val="22"/>
              </w:rPr>
            </w:r>
          </w:p>
        </w:tc>
      </w:tr>
    </w:tbl>
    <w:p>
      <w:pPr>
        <w:pStyle w:val="Normal"/>
        <w:rPr>
          <w:bCs/>
          <w:szCs w:val="22"/>
          <w:lang w:eastAsia="sk-SK"/>
        </w:rPr>
      </w:pPr>
      <w:r>
        <w:rPr>
          <w:sz w:val="12"/>
          <w:szCs w:val="16"/>
        </w:rPr>
      </w:r>
    </w:p>
    <w:p>
      <w:pPr>
        <w:pStyle w:val="Odsekzoznamu"/>
        <w:spacing w:lineRule="auto" w:line="240" w:before="0" w:after="0"/>
        <w:ind w:left="0" w:right="0" w:hanging="0"/>
        <w:contextualSpacing/>
        <w:jc w:val="both"/>
        <w:rPr>
          <w:bCs/>
          <w:szCs w:val="22"/>
          <w:lang w:eastAsia="sk-SK"/>
        </w:rPr>
      </w:pPr>
      <w:r>
        <w:rPr>
          <w:bCs/>
          <w:szCs w:val="22"/>
          <w:lang w:eastAsia="sk-SK"/>
        </w:rPr>
        <w:t>Účtovná jednotka  nemá a  nevykazuje  na podsúvahových účtoch záväzky z prenájmu, z majetku prijatého do úschovy, pohľadávky ani záväzky z opcií ani iné  finančné povinnosti, ktoré sa neuvádzajú v súvahe.</w:t>
      </w:r>
    </w:p>
    <w:p>
      <w:pPr>
        <w:pStyle w:val="Normal"/>
        <w:rPr>
          <w:bCs/>
          <w:szCs w:val="22"/>
          <w:lang w:eastAsia="sk-SK"/>
        </w:rPr>
      </w:pPr>
      <w:r>
        <w:rPr>
          <w:b/>
          <w:bCs/>
          <w:sz w:val="16"/>
          <w:szCs w:val="16"/>
          <w:lang w:eastAsia="sk-SK"/>
        </w:rPr>
      </w:r>
    </w:p>
    <w:p>
      <w:pPr>
        <w:pStyle w:val="Normal"/>
        <w:rPr>
          <w:bCs/>
          <w:szCs w:val="22"/>
          <w:lang w:eastAsia="sk-SK"/>
        </w:rPr>
      </w:pPr>
      <w:r>
        <w:rPr>
          <w:b/>
          <w:bCs/>
          <w:sz w:val="16"/>
          <w:szCs w:val="16"/>
          <w:lang w:eastAsia="sk-SK"/>
        </w:rPr>
      </w:r>
    </w:p>
    <w:p>
      <w:pPr>
        <w:pStyle w:val="Normal"/>
        <w:shd w:fill="E6E6E6" w:val="clear"/>
        <w:spacing w:lineRule="auto" w:line="240" w:before="0" w:after="0"/>
        <w:jc w:val="center"/>
        <w:rPr>
          <w:bCs/>
          <w:szCs w:val="22"/>
          <w:lang w:eastAsia="sk-SK"/>
        </w:rPr>
      </w:pPr>
      <w:r>
        <w:rPr>
          <w:b/>
          <w:i/>
          <w:sz w:val="24"/>
          <w:szCs w:val="24"/>
        </w:rPr>
        <w:t>Čl. VI .  Udalosti, ktoré nastali po dni, ku ktorému sa zostavuje účtovná závierka </w:t>
      </w:r>
    </w:p>
    <w:p>
      <w:pPr>
        <w:pStyle w:val="Odsekzoznamu"/>
        <w:spacing w:lineRule="auto" w:line="240" w:before="0" w:after="0"/>
        <w:ind w:left="0" w:right="0" w:hanging="0"/>
        <w:contextualSpacing/>
        <w:jc w:val="both"/>
        <w:rPr>
          <w:bCs/>
          <w:szCs w:val="22"/>
          <w:lang w:eastAsia="sk-SK"/>
        </w:rPr>
      </w:pPr>
      <w:r>
        <w:rPr>
          <w:b/>
          <w:bCs/>
          <w:i/>
          <w:sz w:val="24"/>
          <w:szCs w:val="24"/>
          <w:lang w:eastAsia="sk-SK"/>
        </w:rPr>
      </w:r>
    </w:p>
    <w:p>
      <w:pPr>
        <w:pStyle w:val="Odsekzoznamu"/>
        <w:spacing w:lineRule="auto" w:line="240" w:before="0" w:after="0"/>
        <w:ind w:left="0" w:right="0" w:hanging="0"/>
        <w:contextualSpacing/>
        <w:jc w:val="both"/>
        <w:rPr>
          <w:bCs/>
          <w:szCs w:val="22"/>
          <w:lang w:eastAsia="sk-SK"/>
        </w:rPr>
      </w:pPr>
      <w:r>
        <w:rPr>
          <w:b/>
          <w:bCs/>
          <w:i/>
          <w:sz w:val="24"/>
          <w:szCs w:val="22"/>
          <w:lang w:eastAsia="sk-SK"/>
        </w:rPr>
      </w:r>
    </w:p>
    <w:tbl>
      <w:tblPr>
        <w:tblW w:w="9214" w:type="dxa"/>
        <w:jc w:val="left"/>
        <w:tblInd w:w="70" w:type="dxa"/>
        <w:tblLayout w:type="fixed"/>
        <w:tblCellMar>
          <w:top w:w="0" w:type="dxa"/>
          <w:left w:w="70" w:type="dxa"/>
          <w:bottom w:w="0" w:type="dxa"/>
          <w:right w:w="70" w:type="dxa"/>
        </w:tblCellMar>
      </w:tblPr>
      <w:tblGrid>
        <w:gridCol w:w="5529"/>
        <w:gridCol w:w="3402"/>
        <w:gridCol w:w="283"/>
      </w:tblGrid>
      <w:tr>
        <w:trPr>
          <w:trHeight w:val="538" w:hRule="atLeast"/>
        </w:trPr>
        <w:tc>
          <w:tcPr>
            <w:tcW w:w="9214" w:type="dxa"/>
            <w:gridSpan w:val="3"/>
            <w:tcBorders>
              <w:top w:val="single" w:sz="4" w:space="0" w:color="000000"/>
              <w:left w:val="single" w:sz="4" w:space="0" w:color="000000"/>
              <w:bottom w:val="single" w:sz="4" w:space="0" w:color="000000"/>
              <w:right w:val="single" w:sz="4" w:space="0" w:color="000000"/>
            </w:tcBorders>
          </w:tcPr>
          <w:p>
            <w:pPr>
              <w:pStyle w:val="Odsekzoznamu"/>
              <w:spacing w:lineRule="auto" w:line="240" w:before="0" w:after="0"/>
              <w:ind w:left="0" w:right="0" w:hanging="0"/>
              <w:contextualSpacing/>
              <w:jc w:val="both"/>
              <w:rPr/>
            </w:pPr>
            <w:r>
              <w:rPr>
                <w:b/>
                <w:bCs/>
                <w:szCs w:val="22"/>
                <w:lang w:eastAsia="sk-SK"/>
              </w:rPr>
              <w:t>Charakter a finančný vplyv významných udalostí, ktoré nastali po dni, ku ktorému sa zostavuje účtovná závierka</w:t>
            </w:r>
            <w:r>
              <w:rPr>
                <w:bCs/>
                <w:szCs w:val="22"/>
                <w:lang w:eastAsia="sk-SK"/>
              </w:rPr>
              <w:t xml:space="preserve"> do dňa zostavenia účtovnej závierky a ktoré nie sú zohľadnené v súvahe alebo vo výkaze ziskov a strát. </w:t>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pokles alebo zvýšenie trhovej ceny finančného majetku</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 xml:space="preserve">dôvody pre zmenu výšky rezerv </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dôvody pre zmenu výšky opravných položiek</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zmena spoločníkov účtovnej jednotky,</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prijatie rozhodnutia o predaji ÚJ alebo jej časti,</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zmeny významných položiek dlhodobého finančného majetku,</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 xml:space="preserve">začatie alebo ukončení činnosti časti ÚJ </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vydanie dlhopisov a iných cenných papierov</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zlúčenie, splynutie, rozdelenie a zmena právnej formy účtovnej jednotky,</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mimoriadne udalosti - živelná pohroma</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r>
        <w:trPr/>
        <w:tc>
          <w:tcPr>
            <w:tcW w:w="5529" w:type="dxa"/>
            <w:tcBorders>
              <w:top w:val="single" w:sz="4" w:space="0" w:color="000000"/>
              <w:left w:val="single" w:sz="4" w:space="0" w:color="000000"/>
              <w:bottom w:val="single" w:sz="4" w:space="0" w:color="000000"/>
              <w:right w:val="single" w:sz="4" w:space="0" w:color="000000"/>
            </w:tcBorders>
            <w:tcMar>
              <w:left w:w="108" w:type="dxa"/>
              <w:right w:w="108" w:type="dxa"/>
            </w:tcMar>
          </w:tcPr>
          <w:p>
            <w:pPr>
              <w:pStyle w:val="Normal"/>
              <w:numPr>
                <w:ilvl w:val="0"/>
                <w:numId w:val="7"/>
              </w:numPr>
              <w:spacing w:lineRule="auto" w:line="240" w:before="0" w:after="0"/>
              <w:ind w:left="641" w:right="0" w:hanging="284"/>
              <w:jc w:val="both"/>
              <w:rPr>
                <w:bCs/>
                <w:szCs w:val="22"/>
                <w:lang w:eastAsia="sk-SK"/>
              </w:rPr>
            </w:pPr>
            <w:r>
              <w:rPr>
                <w:bCs/>
                <w:szCs w:val="22"/>
                <w:lang w:eastAsia="sk-SK"/>
              </w:rPr>
              <w:t>získanie alebo odobratie licencií, iných povolení.</w:t>
            </w:r>
          </w:p>
        </w:tc>
        <w:tc>
          <w:tcPr>
            <w:tcW w:w="3402"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rPr>
                <w:bCs/>
                <w:szCs w:val="22"/>
                <w:lang w:eastAsia="sk-SK"/>
              </w:rPr>
            </w:pPr>
            <w:r>
              <w:rPr>
                <w:bCs/>
                <w:szCs w:val="22"/>
                <w:lang w:eastAsia="sk-SK"/>
              </w:rPr>
            </w:r>
          </w:p>
        </w:tc>
        <w:tc>
          <w:tcPr>
            <w:tcW w:w="28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pPr>
              <w:pStyle w:val="Normal"/>
              <w:snapToGrid w:val="false"/>
              <w:spacing w:lineRule="auto" w:line="240" w:before="0" w:after="0"/>
              <w:ind w:left="641" w:right="0" w:hanging="0"/>
              <w:jc w:val="center"/>
              <w:rPr>
                <w:bCs/>
                <w:szCs w:val="22"/>
                <w:lang w:eastAsia="sk-SK"/>
              </w:rPr>
            </w:pPr>
            <w:r>
              <w:rPr>
                <w:bCs/>
                <w:szCs w:val="22"/>
                <w:lang w:eastAsia="sk-SK"/>
              </w:rPr>
            </w:r>
          </w:p>
        </w:tc>
      </w:tr>
    </w:tbl>
    <w:p>
      <w:pPr>
        <w:pStyle w:val="Nadpis"/>
        <w:spacing w:before="0" w:after="0"/>
        <w:ind w:left="360" w:right="0" w:hanging="0"/>
        <w:jc w:val="left"/>
        <w:rPr>
          <w:bCs/>
          <w:szCs w:val="22"/>
          <w:lang w:eastAsia="sk-SK"/>
        </w:rPr>
      </w:pPr>
      <w:r>
        <w:rPr>
          <w:szCs w:val="22"/>
        </w:rPr>
      </w:r>
    </w:p>
    <w:p>
      <w:pPr>
        <w:pStyle w:val="Normal"/>
        <w:rPr>
          <w:bCs/>
          <w:szCs w:val="22"/>
          <w:lang w:eastAsia="sk-SK"/>
        </w:rPr>
      </w:pPr>
      <w:r>
        <w:rPr/>
        <w:t>V účtovnej  jednotke nenastali  po dni, ku  ktorému  sa  zostavuje  účtovná závierka do  dňa zostavenie  účtovnej závierky  také významné udalosti, ktoré  by  mali  významný  vplyv  na  verné zobrazenie  skutočností,  ktoré  sú predmetom účtovníctva.</w:t>
      </w:r>
    </w:p>
    <w:p>
      <w:pPr>
        <w:pStyle w:val="Normal"/>
        <w:shd w:fill="E6E6E6" w:val="clear"/>
        <w:spacing w:lineRule="auto" w:line="240" w:before="0" w:after="0"/>
        <w:jc w:val="center"/>
        <w:rPr>
          <w:bCs/>
          <w:szCs w:val="22"/>
          <w:lang w:eastAsia="sk-SK"/>
        </w:rPr>
      </w:pPr>
      <w:r>
        <w:rPr>
          <w:b/>
          <w:i/>
          <w:sz w:val="28"/>
          <w:szCs w:val="24"/>
        </w:rPr>
        <w:t>Čl. VII.  Ostatné  informácie</w:t>
      </w:r>
    </w:p>
    <w:p>
      <w:pPr>
        <w:pStyle w:val="Normal"/>
        <w:spacing w:before="0" w:after="0"/>
        <w:rPr>
          <w:bCs/>
          <w:szCs w:val="22"/>
          <w:lang w:eastAsia="sk-SK"/>
        </w:rPr>
      </w:pPr>
      <w:r>
        <w:rPr>
          <w:b/>
          <w:i/>
          <w:sz w:val="24"/>
          <w:szCs w:val="24"/>
        </w:rPr>
      </w:r>
    </w:p>
    <w:p>
      <w:pPr>
        <w:pStyle w:val="Normal"/>
        <w:numPr>
          <w:ilvl w:val="0"/>
          <w:numId w:val="6"/>
        </w:numPr>
        <w:spacing w:lineRule="auto" w:line="240" w:before="0" w:after="0"/>
        <w:ind w:left="357" w:right="0" w:hanging="357"/>
        <w:jc w:val="both"/>
        <w:rPr>
          <w:szCs w:val="22"/>
        </w:rPr>
      </w:pPr>
      <w:r>
        <w:rPr>
          <w:szCs w:val="22"/>
        </w:rPr>
        <w:t>Informácia o udelení výlučného práva alebo osobitného práva, ktorým sa udelilo právo poskytovať služby vo verejnom záujme, pričom sa uvádza náhrada za túto činnosť v akejkoľvek forme</w:t>
      </w:r>
    </w:p>
    <w:p>
      <w:pPr>
        <w:pStyle w:val="Normal"/>
        <w:spacing w:lineRule="auto" w:line="240" w:before="0" w:after="0"/>
        <w:ind w:left="357" w:right="0" w:hanging="0"/>
        <w:jc w:val="both"/>
        <w:rPr>
          <w:szCs w:val="22"/>
        </w:rPr>
      </w:pPr>
      <w:r>
        <w:rPr>
          <w:szCs w:val="22"/>
        </w:rPr>
      </w:r>
    </w:p>
    <w:p>
      <w:pPr>
        <w:pStyle w:val="Normal"/>
        <w:spacing w:lineRule="auto" w:line="240" w:before="0" w:after="0"/>
        <w:ind w:left="357" w:right="0" w:hanging="0"/>
        <w:jc w:val="both"/>
        <w:rPr>
          <w:szCs w:val="22"/>
        </w:rPr>
      </w:pPr>
      <w:r>
        <w:rPr>
          <w:bCs/>
          <w:szCs w:val="22"/>
          <w:lang w:eastAsia="sk-SK"/>
        </w:rPr>
        <w:t>Účtovná jednotka nemá udelené výlučné právo alebo osobité právo poskytovať služby vo verejnom záujme.</w:t>
      </w:r>
    </w:p>
    <w:p>
      <w:pPr>
        <w:pStyle w:val="Normal"/>
        <w:spacing w:lineRule="auto" w:line="240" w:before="0" w:after="0"/>
        <w:ind w:left="641" w:right="0" w:hanging="0"/>
        <w:jc w:val="both"/>
        <w:rPr>
          <w:szCs w:val="22"/>
        </w:rPr>
      </w:pPr>
      <w:r>
        <w:rPr>
          <w:bCs/>
          <w:szCs w:val="22"/>
          <w:lang w:eastAsia="sk-SK"/>
        </w:rPr>
      </w:r>
    </w:p>
    <w:p>
      <w:pPr>
        <w:pStyle w:val="Normal"/>
        <w:numPr>
          <w:ilvl w:val="0"/>
          <w:numId w:val="6"/>
        </w:numPr>
        <w:spacing w:lineRule="auto" w:line="240" w:before="0" w:after="0"/>
        <w:ind w:left="357" w:right="0" w:hanging="357"/>
        <w:jc w:val="both"/>
        <w:rPr>
          <w:rFonts w:cs="Arial"/>
          <w:szCs w:val="22"/>
        </w:rPr>
      </w:pPr>
      <w:r>
        <w:rPr>
          <w:szCs w:val="22"/>
        </w:rPr>
        <w:t>Informácie  účtovnej jednotky, na ktorú sa vzťahuje</w:t>
      </w:r>
      <w:r>
        <w:rPr>
          <w:rFonts w:cs="Arial"/>
          <w:szCs w:val="22"/>
        </w:rPr>
        <w:t xml:space="preserve"> § 23d ods. 6 zákona</w:t>
      </w:r>
    </w:p>
    <w:p>
      <w:pPr>
        <w:pStyle w:val="Normal"/>
        <w:spacing w:lineRule="auto" w:line="240" w:before="0" w:after="0"/>
        <w:ind w:left="357" w:right="0" w:hanging="0"/>
        <w:jc w:val="both"/>
        <w:rPr>
          <w:rFonts w:cs="Arial"/>
          <w:szCs w:val="22"/>
        </w:rPr>
      </w:pPr>
      <w:r>
        <w:rPr>
          <w:rFonts w:cs="Arial"/>
          <w:szCs w:val="22"/>
        </w:rPr>
      </w:r>
    </w:p>
    <w:p>
      <w:pPr>
        <w:pStyle w:val="Normal"/>
        <w:spacing w:lineRule="auto" w:line="240" w:before="0" w:after="0"/>
        <w:ind w:left="357" w:right="0" w:hanging="0"/>
        <w:jc w:val="both"/>
        <w:rPr>
          <w:rFonts w:cs="Arial"/>
          <w:szCs w:val="22"/>
        </w:rPr>
      </w:pPr>
      <w:r>
        <w:rPr>
          <w:bCs/>
          <w:szCs w:val="22"/>
          <w:lang w:eastAsia="sk-SK"/>
        </w:rPr>
        <w:t xml:space="preserve">Činnosť účtovnej jednotky nie je zaradená do kategórie priemyselnej výroby podľa osobitného predpisu, na ktorý sa vzťahuje § 26  ods. 6 platného zákona č.431/2002 Z. z. o účtovníctve. </w:t>
      </w:r>
    </w:p>
    <w:p>
      <w:pPr>
        <w:pStyle w:val="Normal"/>
        <w:spacing w:lineRule="auto" w:line="240" w:before="0" w:after="0"/>
        <w:jc w:val="both"/>
        <w:rPr>
          <w:rFonts w:cs="Arial"/>
          <w:szCs w:val="22"/>
        </w:rPr>
      </w:pPr>
      <w:r>
        <w:rPr>
          <w:rFonts w:cs="Arial"/>
          <w:bCs/>
          <w:szCs w:val="22"/>
          <w:lang w:eastAsia="sk-SK"/>
        </w:rPr>
      </w:r>
    </w:p>
    <w:p>
      <w:pPr>
        <w:pStyle w:val="Normal"/>
        <w:numPr>
          <w:ilvl w:val="0"/>
          <w:numId w:val="6"/>
        </w:numPr>
        <w:spacing w:lineRule="auto" w:line="240" w:before="0" w:after="0"/>
        <w:ind w:left="357" w:right="0" w:hanging="357"/>
        <w:jc w:val="both"/>
        <w:rPr>
          <w:rFonts w:cs="Arial"/>
          <w:szCs w:val="22"/>
        </w:rPr>
      </w:pPr>
      <w:r>
        <w:rPr>
          <w:szCs w:val="22"/>
        </w:rPr>
        <w:t>Informácie  účtovnej jednotky, na ktorú sa vzťahuje</w:t>
      </w:r>
      <w:r>
        <w:rPr>
          <w:rFonts w:cs="Arial"/>
          <w:szCs w:val="22"/>
        </w:rPr>
        <w:t xml:space="preserve"> § 23d ods. 6 zákona</w:t>
      </w:r>
    </w:p>
    <w:p>
      <w:pPr>
        <w:pStyle w:val="Normal"/>
        <w:spacing w:lineRule="auto" w:line="240" w:before="0" w:after="0"/>
        <w:rPr>
          <w:rFonts w:cs="Arial"/>
          <w:szCs w:val="22"/>
        </w:rPr>
      </w:pPr>
      <w:r>
        <w:rPr>
          <w:rFonts w:cs="Arial"/>
          <w:szCs w:val="22"/>
        </w:rPr>
      </w:r>
    </w:p>
    <w:p>
      <w:pPr>
        <w:pStyle w:val="Normal"/>
        <w:spacing w:lineRule="auto" w:line="240" w:before="0" w:after="0"/>
        <w:ind w:left="357" w:right="0" w:hanging="0"/>
        <w:jc w:val="both"/>
        <w:rPr>
          <w:rFonts w:cs="Arial"/>
          <w:szCs w:val="22"/>
        </w:rPr>
      </w:pPr>
      <w:r>
        <w:rPr>
          <w:bCs/>
          <w:szCs w:val="22"/>
          <w:lang w:eastAsia="sk-SK"/>
        </w:rPr>
        <w:t>Činnosť účtovnej jednotky nie je zaradená do kategórie priemyselnej výroby podľa osobitného predpisu, na ktorý sa vzťahuje  § 26  ods. 6 platného zákona č. 431/2002 Z. z. o účtovníctve  a  z  tohto dôvodu nie je opodstatnenie vykazovať informácie o finančných vzťahoch s orgánom štátnej moci.</w:t>
      </w:r>
    </w:p>
    <w:p>
      <w:pPr>
        <w:pStyle w:val="Normal"/>
        <w:spacing w:lineRule="auto" w:line="240" w:before="0" w:after="0"/>
        <w:rPr>
          <w:rFonts w:cs="Arial"/>
          <w:szCs w:val="22"/>
        </w:rPr>
      </w:pPr>
      <w:r>
        <w:rPr>
          <w:bCs/>
          <w:szCs w:val="22"/>
          <w:lang w:eastAsia="sk-SK"/>
        </w:rPr>
      </w:r>
    </w:p>
    <w:p>
      <w:pPr>
        <w:pStyle w:val="Normal"/>
        <w:spacing w:lineRule="auto" w:line="240" w:before="0" w:after="0"/>
        <w:rPr>
          <w:rFonts w:cs="Arial"/>
          <w:szCs w:val="22"/>
        </w:rPr>
      </w:pPr>
      <w:r>
        <w:rPr>
          <w:i/>
          <w:szCs w:val="22"/>
        </w:rPr>
        <w:t>Použité  skratky:</w:t>
      </w:r>
    </w:p>
    <w:p>
      <w:pPr>
        <w:pStyle w:val="Normal"/>
        <w:spacing w:lineRule="auto" w:line="240" w:before="0" w:after="0"/>
        <w:rPr>
          <w:rFonts w:cs="Arial"/>
          <w:szCs w:val="22"/>
        </w:rPr>
      </w:pPr>
      <w:r>
        <w:rPr>
          <w:i/>
          <w:szCs w:val="22"/>
        </w:rPr>
        <w:t>ÚJ - účtovná jednotka</w:t>
      </w:r>
    </w:p>
    <w:p>
      <w:pPr>
        <w:pStyle w:val="Normal"/>
        <w:spacing w:lineRule="auto" w:line="240" w:before="0" w:after="0"/>
        <w:rPr>
          <w:rFonts w:cs="Arial"/>
          <w:szCs w:val="22"/>
        </w:rPr>
      </w:pPr>
      <w:r>
        <w:rPr>
          <w:i/>
          <w:szCs w:val="22"/>
        </w:rPr>
        <w:t>ÚO - účtovné obdobie</w:t>
      </w:r>
    </w:p>
    <w:p>
      <w:pPr>
        <w:pStyle w:val="Normal"/>
        <w:spacing w:lineRule="auto" w:line="240" w:before="0" w:after="0"/>
        <w:rPr>
          <w:rFonts w:cs="Arial"/>
          <w:szCs w:val="22"/>
        </w:rPr>
      </w:pPr>
      <w:r>
        <w:rPr>
          <w:i/>
          <w:szCs w:val="22"/>
        </w:rPr>
        <w:t>X - položka sa vzťahuje na účtovnú jednotku</w:t>
      </w:r>
    </w:p>
    <w:p>
      <w:pPr>
        <w:pStyle w:val="Normal"/>
        <w:spacing w:lineRule="auto" w:line="240" w:before="0" w:after="0"/>
        <w:rPr>
          <w:rFonts w:cs="Arial"/>
          <w:szCs w:val="22"/>
        </w:rPr>
      </w:pPr>
      <w:r>
        <w:rPr>
          <w:i/>
          <w:szCs w:val="22"/>
        </w:rPr>
      </w:r>
    </w:p>
    <w:sectPr>
      <w:headerReference w:type="default" r:id="rId2"/>
      <w:footerReference w:type="default" r:id="rId3"/>
      <w:type w:val="nextPage"/>
      <w:pgSz w:w="11906" w:h="16838"/>
      <w:pgMar w:left="1417" w:right="1417" w:gutter="0" w:header="709" w:top="1417" w:footer="709" w:bottom="141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Arial Narrow">
    <w:charset w:val="ee"/>
    <w:family w:val="swiss"/>
    <w:pitch w:val="variable"/>
  </w:font>
  <w:font w:name="Cambria">
    <w:charset w:val="ee"/>
    <w:family w:val="roman"/>
    <w:pitch w:val="variable"/>
  </w:font>
  <w:font w:name="Times New Roman">
    <w:charset w:val="ee"/>
    <w:family w:val="roman"/>
    <w:pitch w:val="variable"/>
  </w:font>
  <w:font w:name="Courier New">
    <w:charset w:val="ee"/>
    <w:family w:val="modern"/>
    <w:pitch w:val="default"/>
  </w:font>
  <w:font w:name="Wingdings">
    <w:charset w:val="02"/>
    <w:family w:val="auto"/>
    <w:pitch w:val="variable"/>
  </w:font>
  <w:font w:name="Tahoma">
    <w:charset w:val="ee"/>
    <w:family w:val="swiss"/>
    <w:pitch w:val="variable"/>
  </w:font>
  <w:font w:name="Segoe UI">
    <w:charset w:val="ee"/>
    <w:family w:val="swiss"/>
    <w:pitch w:val="variable"/>
  </w:font>
  <w:font w:name="EUAlbertina">
    <w:altName w:val="Times New Roman"/>
    <w:charset w:val="00"/>
    <w:family w:val="roman"/>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Pta"/>
      <w:jc w:val="center"/>
      <w:rPr/>
    </w:pPr>
    <w:r>
      <w:rPr/>
      <w:fldChar w:fldCharType="begin"/>
    </w:r>
    <w:r>
      <w:rPr/>
      <w:instrText xml:space="preserve"> PAGE </w:instrText>
    </w:r>
    <w:r>
      <w:rPr/>
      <w:fldChar w:fldCharType="separate"/>
    </w:r>
    <w:r>
      <w:rPr/>
      <w:t>9</w:t>
    </w:r>
    <w:r>
      <w:rPr/>
      <w:fldChar w:fldCharType="end"/>
    </w:r>
  </w:p>
  <w:p>
    <w:pPr>
      <w:pStyle w:val="Pt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lavika"/>
      <w:rPr/>
    </w:pPr>
    <w:r>
      <w:rPr/>
    </w:r>
  </w:p>
  <w:tbl>
    <w:tblPr>
      <w:tblW w:w="8957" w:type="dxa"/>
      <w:jc w:val="left"/>
      <w:tblInd w:w="93" w:type="dxa"/>
      <w:tblLayout w:type="fixed"/>
      <w:tblCellMar>
        <w:top w:w="0" w:type="dxa"/>
        <w:left w:w="70" w:type="dxa"/>
        <w:bottom w:w="0" w:type="dxa"/>
        <w:right w:w="70" w:type="dxa"/>
      </w:tblCellMar>
    </w:tblPr>
    <w:tblGrid>
      <w:gridCol w:w="2245"/>
      <w:gridCol w:w="1701"/>
      <w:gridCol w:w="2410"/>
      <w:gridCol w:w="444"/>
      <w:gridCol w:w="2157"/>
    </w:tblGrid>
    <w:tr>
      <w:trPr>
        <w:trHeight w:val="326" w:hRule="atLeast"/>
      </w:trPr>
      <w:tc>
        <w:tcPr>
          <w:tcW w:w="2245" w:type="dxa"/>
          <w:tcBorders>
            <w:top w:val="single" w:sz="4" w:space="0" w:color="000000"/>
            <w:left w:val="single" w:sz="4" w:space="0" w:color="000000"/>
            <w:bottom w:val="single" w:sz="4" w:space="0" w:color="000000"/>
            <w:right w:val="single" w:sz="4" w:space="0" w:color="000000"/>
          </w:tcBorders>
          <w:vAlign w:val="center"/>
        </w:tcPr>
        <w:p>
          <w:pPr>
            <w:pStyle w:val="Hlavika"/>
            <w:rPr/>
          </w:pPr>
          <w:r>
            <w:rPr/>
            <w:t>Poznámky Úč POD 3-01</w:t>
          </w:r>
        </w:p>
      </w:tc>
      <w:tc>
        <w:tcPr>
          <w:tcW w:w="1701" w:type="dxa"/>
          <w:tcBorders>
            <w:left w:val="single" w:sz="4" w:space="0" w:color="000000"/>
            <w:right w:val="single" w:sz="4" w:space="0" w:color="000000"/>
          </w:tcBorders>
          <w:vAlign w:val="center"/>
        </w:tcPr>
        <w:p>
          <w:pPr>
            <w:pStyle w:val="Normal"/>
            <w:snapToGrid w:val="false"/>
            <w:spacing w:lineRule="auto" w:line="240" w:before="0" w:after="0"/>
            <w:rPr/>
          </w:pPr>
          <w:r>
            <w:rPr/>
          </w:r>
        </w:p>
      </w:tc>
      <w:tc>
        <w:tcPr>
          <w:tcW w:w="2410"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pPr>
          <w:r>
            <w:rPr/>
            <w:t>IČO:35704284</w:t>
          </w:r>
        </w:p>
      </w:tc>
      <w:tc>
        <w:tcPr>
          <w:tcW w:w="444" w:type="dxa"/>
          <w:tcBorders>
            <w:left w:val="single" w:sz="4" w:space="0" w:color="000000"/>
            <w:right w:val="single" w:sz="4" w:space="0" w:color="000000"/>
          </w:tcBorders>
          <w:vAlign w:val="center"/>
        </w:tcPr>
        <w:p>
          <w:pPr>
            <w:pStyle w:val="Normal"/>
            <w:snapToGrid w:val="false"/>
            <w:spacing w:lineRule="auto" w:line="240" w:before="0" w:after="0"/>
            <w:rPr/>
          </w:pPr>
          <w:r>
            <w:rPr/>
          </w:r>
        </w:p>
      </w:tc>
      <w:tc>
        <w:tcPr>
          <w:tcW w:w="2157" w:type="dxa"/>
          <w:tcBorders>
            <w:top w:val="single" w:sz="4" w:space="0" w:color="000000"/>
            <w:left w:val="single" w:sz="4" w:space="0" w:color="000000"/>
            <w:bottom w:val="single" w:sz="4" w:space="0" w:color="000000"/>
            <w:right w:val="single" w:sz="4" w:space="0" w:color="000000"/>
          </w:tcBorders>
          <w:vAlign w:val="center"/>
        </w:tcPr>
        <w:p>
          <w:pPr>
            <w:pStyle w:val="Normal"/>
            <w:spacing w:lineRule="auto" w:line="240" w:before="0" w:after="0"/>
            <w:rPr/>
          </w:pPr>
          <w:r>
            <w:rPr/>
            <w:t>DIČ:2021392626</w:t>
          </w:r>
        </w:p>
      </w:tc>
    </w:tr>
  </w:tbl>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Nadpis1"/>
      <w:numFmt w:val="none"/>
      <w:suff w:val="nothing"/>
      <w:lvlText w:val=""/>
      <w:lvlJc w:val="left"/>
      <w:pPr>
        <w:tabs>
          <w:tab w:val="num" w:pos="0"/>
        </w:tabs>
        <w:ind w:left="0" w:hanging="0"/>
      </w:pPr>
    </w:lvl>
    <w:lvl w:ilvl="1">
      <w:start w:val="1"/>
      <w:pStyle w:val="Nadpis2"/>
      <w:numFmt w:val="none"/>
      <w:suff w:val="nothing"/>
      <w:lvlText w:val=""/>
      <w:lvlJc w:val="left"/>
      <w:pPr>
        <w:tabs>
          <w:tab w:val="num" w:pos="0"/>
        </w:tabs>
        <w:ind w:left="0" w:hanging="0"/>
      </w:pPr>
    </w:lvl>
    <w:lvl w:ilvl="2">
      <w:start w:val="1"/>
      <w:pStyle w:val="Nadpis3"/>
      <w:numFmt w:val="none"/>
      <w:suff w:val="nothing"/>
      <w:lvlText w:val=""/>
      <w:lvlJc w:val="left"/>
      <w:pPr>
        <w:tabs>
          <w:tab w:val="num" w:pos="0"/>
        </w:tabs>
        <w:ind w:left="0" w:hanging="0"/>
      </w:pPr>
    </w:lvl>
    <w:lvl w:ilvl="3">
      <w:start w:val="1"/>
      <w:pStyle w:val="Nadpis4"/>
      <w:numFmt w:val="none"/>
      <w:suff w:val="nothing"/>
      <w:lvlText w:val=""/>
      <w:lvlJc w:val="left"/>
      <w:pPr>
        <w:tabs>
          <w:tab w:val="num" w:pos="0"/>
        </w:tabs>
        <w:ind w:left="0" w:hanging="0"/>
      </w:pPr>
    </w:lvl>
    <w:lvl w:ilvl="4">
      <w:start w:val="1"/>
      <w:pStyle w:val="Nadpis5"/>
      <w:numFmt w:val="none"/>
      <w:suff w:val="nothing"/>
      <w:lvlText w:val=""/>
      <w:lvlJc w:val="left"/>
      <w:pPr>
        <w:tabs>
          <w:tab w:val="num" w:pos="0"/>
        </w:tabs>
        <w:ind w:left="0" w:hanging="0"/>
      </w:pPr>
    </w:lvl>
    <w:lvl w:ilvl="5">
      <w:start w:val="1"/>
      <w:pStyle w:val="Nadpis6"/>
      <w:numFmt w:val="none"/>
      <w:suff w:val="nothing"/>
      <w:lvlText w:val=""/>
      <w:lvlJc w:val="left"/>
      <w:pPr>
        <w:tabs>
          <w:tab w:val="num" w:pos="0"/>
        </w:tabs>
        <w:ind w:left="0" w:hanging="0"/>
      </w:pPr>
    </w:lvl>
    <w:lvl w:ilvl="6">
      <w:start w:val="1"/>
      <w:pStyle w:val="Nadpis7"/>
      <w:numFmt w:val="none"/>
      <w:suff w:val="nothing"/>
      <w:lvlText w:val=""/>
      <w:lvlJc w:val="left"/>
      <w:pPr>
        <w:tabs>
          <w:tab w:val="num" w:pos="0"/>
        </w:tabs>
        <w:ind w:left="0" w:hanging="0"/>
      </w:pPr>
    </w:lvl>
    <w:lvl w:ilvl="7">
      <w:start w:val="1"/>
      <w:pStyle w:val="Nadpis8"/>
      <w:numFmt w:val="none"/>
      <w:suff w:val="nothing"/>
      <w:lvlText w:val=""/>
      <w:lvlJc w:val="left"/>
      <w:pPr>
        <w:tabs>
          <w:tab w:val="num" w:pos="0"/>
        </w:tabs>
        <w:ind w:left="0" w:hanging="0"/>
      </w:pPr>
    </w:lvl>
    <w:lvl w:ilvl="8">
      <w:start w:val="1"/>
      <w:pStyle w:val="Nadpis9"/>
      <w:numFmt w:val="none"/>
      <w:suff w:val="nothing"/>
      <w:lvlText w:val=""/>
      <w:lvlJc w:val="left"/>
      <w:pPr>
        <w:tabs>
          <w:tab w:val="num" w:pos="0"/>
        </w:tabs>
        <w:ind w:left="0" w:hanging="0"/>
      </w:pPr>
    </w:lvl>
  </w:abstractNum>
  <w:abstractNum w:abstractNumId="2">
    <w:lvl w:ilvl="0">
      <w:start w:val="1"/>
      <w:numFmt w:val="decimal"/>
      <w:lvlText w:val="(%1)"/>
      <w:lvlJc w:val="left"/>
      <w:pPr>
        <w:tabs>
          <w:tab w:val="num" w:pos="0"/>
        </w:tabs>
        <w:ind w:left="360" w:hanging="360"/>
      </w:pPr>
      <w:rPr>
        <w:sz w:val="20"/>
        <w:b/>
        <w:szCs w:val="20"/>
      </w:rPr>
    </w:lvl>
  </w:abstractNum>
  <w:abstractNum w:abstractNumId="3">
    <w:lvl w:ilvl="0">
      <w:start w:val="6"/>
      <w:numFmt w:val="bullet"/>
      <w:lvlText w:val="-"/>
      <w:lvlJc w:val="left"/>
      <w:pPr>
        <w:tabs>
          <w:tab w:val="num" w:pos="0"/>
        </w:tabs>
        <w:ind w:left="720" w:hanging="360"/>
      </w:pPr>
      <w:rPr>
        <w:rFonts w:ascii="Arial Narrow" w:hAnsi="Arial Narrow" w:cs="Arial Narrow" w:hint="default"/>
      </w:rPr>
    </w:lvl>
  </w:abstractNum>
  <w:abstractNum w:abstractNumId="4">
    <w:lvl w:ilvl="0">
      <w:start w:val="1"/>
      <w:numFmt w:val="lowerLetter"/>
      <w:lvlText w:val="%1)"/>
      <w:lvlJc w:val="left"/>
      <w:pPr>
        <w:ind w:left="641" w:hanging="284"/>
      </w:pPr>
      <w:rPr>
        <w:b w:val="false"/>
      </w:rPr>
    </w:lvl>
  </w:abstractNum>
  <w:abstractNum w:abstractNumId="5">
    <w:lvl w:ilvl="0">
      <w:start w:val="1"/>
      <w:numFmt w:val="decimal"/>
      <w:lvlText w:val="(%1)"/>
      <w:lvlJc w:val="left"/>
      <w:pPr>
        <w:tabs>
          <w:tab w:val="num" w:pos="0"/>
        </w:tabs>
        <w:ind w:left="1637" w:hanging="360"/>
      </w:pPr>
      <w:rPr>
        <w:sz w:val="20"/>
        <w:b/>
      </w:rPr>
    </w:lvl>
  </w:abstractNum>
  <w:abstractNum w:abstractNumId="6">
    <w:lvl w:ilvl="0">
      <w:start w:val="1"/>
      <w:numFmt w:val="decimal"/>
      <w:lvlText w:val="(%1)"/>
      <w:lvlJc w:val="left"/>
      <w:pPr>
        <w:tabs>
          <w:tab w:val="num" w:pos="0"/>
        </w:tabs>
        <w:ind w:left="1481" w:hanging="360"/>
      </w:pPr>
      <w:rPr>
        <w:sz w:val="20"/>
        <w:i w:val="false"/>
        <w:b w:val="false"/>
        <w:szCs w:val="24"/>
        <w:rFonts w:ascii="Times New Roman" w:hAnsi="Times New Roman" w:cs="Times New Roman"/>
      </w:rPr>
    </w:lvl>
  </w:abstractNum>
  <w:abstractNum w:abstractNumId="7">
    <w:lvl w:ilvl="0">
      <w:start w:val="1"/>
      <w:numFmt w:val="lowerLetter"/>
      <w:lvlText w:val="%1)"/>
      <w:lvlJc w:val="left"/>
      <w:pPr>
        <w:ind w:left="284" w:hanging="284"/>
      </w:pPr>
      <w:rPr>
        <w:rFonts w:cs="Times New Roman"/>
      </w:rPr>
    </w:lvl>
  </w:abstractNum>
  <w:abstractNum w:abstractNumId="8">
    <w:lvl w:ilvl="0">
      <w:start w:val="1"/>
      <w:numFmt w:val="decimal"/>
      <w:lvlText w:val="(%1)"/>
      <w:lvlJc w:val="left"/>
      <w:pPr>
        <w:tabs>
          <w:tab w:val="num" w:pos="0"/>
        </w:tabs>
        <w:ind w:left="360" w:hanging="360"/>
      </w:pPr>
      <w:rPr>
        <w:sz w:val="20"/>
        <w:b/>
        <w:szCs w:val="20"/>
      </w:rPr>
    </w:lvl>
  </w:abstractNum>
  <w:abstractNum w:abstractNumId="9">
    <w:lvl w:ilvl="0">
      <w:start w:val="1"/>
      <w:numFmt w:val="lowerLetter"/>
      <w:lvlText w:val="%1)"/>
      <w:lvlJc w:val="left"/>
      <w:pPr>
        <w:tabs>
          <w:tab w:val="num" w:pos="0"/>
        </w:tabs>
        <w:ind w:left="1080" w:hanging="360"/>
      </w:pPr>
      <w:rPr>
        <w:b w:val="false"/>
      </w:rPr>
    </w:lvl>
  </w:abstractNum>
  <w:abstractNum w:abstractNumId="10">
    <w:lvl w:ilvl="0">
      <w:start w:val="1"/>
      <w:numFmt w:val="decimal"/>
      <w:lvlText w:val="(%1)"/>
      <w:lvlJc w:val="left"/>
      <w:pPr>
        <w:tabs>
          <w:tab w:val="num" w:pos="0"/>
        </w:tabs>
        <w:ind w:left="468" w:hanging="360"/>
      </w:pPr>
      <w:rPr>
        <w:sz w:val="20"/>
      </w:rPr>
    </w:lvl>
  </w:abstractNum>
  <w:abstractNum w:abstractNumId="11">
    <w:lvl w:ilvl="0">
      <w:start w:val="1"/>
      <w:numFmt w:val="lowerLetter"/>
      <w:lvlText w:val="%1)"/>
      <w:lvlJc w:val="left"/>
      <w:pPr>
        <w:tabs>
          <w:tab w:val="num" w:pos="0"/>
        </w:tabs>
        <w:ind w:left="965" w:hanging="360"/>
      </w:pPr>
      <w:rPr>
        <w:sz w:val="22"/>
        <w:b w:val="false"/>
        <w:rFonts w:ascii="Arial Narrow" w:hAnsi="Arial Narrow" w:cs="Times New Roman"/>
      </w:rPr>
    </w:lvl>
  </w:abstractNum>
  <w:abstractNum w:abstractNumId="12">
    <w:lvl w:ilvl="0">
      <w:start w:val="1"/>
      <w:numFmt w:val="lowerLetter"/>
      <w:lvlText w:val="(%1)"/>
      <w:lvlJc w:val="left"/>
      <w:pPr>
        <w:tabs>
          <w:tab w:val="num" w:pos="360"/>
        </w:tabs>
        <w:ind w:left="360" w:hanging="360"/>
      </w:pPr>
      <w:rPr>
        <w:rFonts w:cs="Times New Roman"/>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sz w:val="24"/>
        <w:szCs w:val="24"/>
        <w:lang w:val="sk-SK" w:eastAsia="zh-CN" w:bidi="hi-IN"/>
      </w:rPr>
    </w:rPrDefault>
    <w:pPrDefault>
      <w:pPr>
        <w:suppressAutoHyphens w:val="true"/>
      </w:pPr>
    </w:pPrDefault>
  </w:docDefaults>
  <w:style w:type="paragraph" w:styleId="Normal">
    <w:name w:val="Normal"/>
    <w:qFormat/>
    <w:pPr>
      <w:widowControl/>
      <w:suppressAutoHyphens w:val="true"/>
      <w:bidi w:val="0"/>
      <w:spacing w:lineRule="auto" w:line="276" w:before="0" w:after="200"/>
    </w:pPr>
    <w:rPr>
      <w:rFonts w:ascii="Arial Narrow" w:hAnsi="Arial Narrow" w:eastAsia="Times New Roman" w:cs="Times New Roman"/>
      <w:color w:val="auto"/>
      <w:sz w:val="22"/>
      <w:szCs w:val="36"/>
      <w:lang w:val="sk-SK" w:eastAsia="zh-CN" w:bidi="ar-SA"/>
    </w:rPr>
  </w:style>
  <w:style w:type="paragraph" w:styleId="Nadpis1">
    <w:name w:val="Heading 1"/>
    <w:basedOn w:val="Normal"/>
    <w:next w:val="Normal"/>
    <w:qFormat/>
    <w:pPr>
      <w:keepNext w:val="true"/>
      <w:numPr>
        <w:ilvl w:val="0"/>
        <w:numId w:val="1"/>
      </w:numPr>
      <w:spacing w:lineRule="auto" w:line="240" w:before="240" w:after="60"/>
      <w:outlineLvl w:val="0"/>
    </w:pPr>
    <w:rPr>
      <w:rFonts w:ascii="Cambria" w:hAnsi="Cambria" w:cs="Cambria"/>
      <w:b/>
      <w:bCs/>
      <w:kern w:val="2"/>
      <w:sz w:val="32"/>
      <w:szCs w:val="32"/>
    </w:rPr>
  </w:style>
  <w:style w:type="paragraph" w:styleId="Nadpis2">
    <w:name w:val="Heading 2"/>
    <w:basedOn w:val="Normal"/>
    <w:next w:val="Normal"/>
    <w:qFormat/>
    <w:pPr>
      <w:keepNext w:val="true"/>
      <w:numPr>
        <w:ilvl w:val="1"/>
        <w:numId w:val="1"/>
      </w:numPr>
      <w:spacing w:lineRule="auto" w:line="240" w:before="240" w:after="60"/>
      <w:outlineLvl w:val="1"/>
    </w:pPr>
    <w:rPr>
      <w:rFonts w:ascii="Cambria" w:hAnsi="Cambria" w:cs="Cambria"/>
      <w:b/>
      <w:bCs/>
      <w:i/>
      <w:iCs/>
      <w:sz w:val="28"/>
      <w:szCs w:val="28"/>
    </w:rPr>
  </w:style>
  <w:style w:type="paragraph" w:styleId="Nadpis3">
    <w:name w:val="Heading 3"/>
    <w:basedOn w:val="Normal"/>
    <w:next w:val="Normal"/>
    <w:qFormat/>
    <w:pPr>
      <w:keepNext w:val="true"/>
      <w:numPr>
        <w:ilvl w:val="2"/>
        <w:numId w:val="1"/>
      </w:numPr>
      <w:spacing w:lineRule="auto" w:line="240" w:before="240" w:after="60"/>
      <w:outlineLvl w:val="2"/>
    </w:pPr>
    <w:rPr>
      <w:rFonts w:ascii="Cambria" w:hAnsi="Cambria" w:cs="Cambria"/>
      <w:b/>
      <w:bCs/>
      <w:sz w:val="26"/>
      <w:szCs w:val="26"/>
    </w:rPr>
  </w:style>
  <w:style w:type="paragraph" w:styleId="Nadpis4">
    <w:name w:val="Heading 4"/>
    <w:basedOn w:val="Normal"/>
    <w:next w:val="Normal"/>
    <w:qFormat/>
    <w:pPr>
      <w:keepNext w:val="true"/>
      <w:numPr>
        <w:ilvl w:val="3"/>
        <w:numId w:val="1"/>
      </w:numPr>
      <w:spacing w:lineRule="auto" w:line="240" w:before="240" w:after="60"/>
      <w:outlineLvl w:val="3"/>
    </w:pPr>
    <w:rPr>
      <w:b/>
      <w:bCs/>
      <w:sz w:val="28"/>
      <w:szCs w:val="28"/>
    </w:rPr>
  </w:style>
  <w:style w:type="paragraph" w:styleId="Nadpis5">
    <w:name w:val="Heading 5"/>
    <w:basedOn w:val="Normal"/>
    <w:next w:val="Normal"/>
    <w:qFormat/>
    <w:pPr>
      <w:numPr>
        <w:ilvl w:val="4"/>
        <w:numId w:val="1"/>
      </w:numPr>
      <w:spacing w:lineRule="auto" w:line="240" w:before="240" w:after="60"/>
      <w:outlineLvl w:val="4"/>
    </w:pPr>
    <w:rPr>
      <w:b/>
      <w:bCs/>
      <w:i/>
      <w:iCs/>
      <w:sz w:val="26"/>
      <w:szCs w:val="26"/>
    </w:rPr>
  </w:style>
  <w:style w:type="paragraph" w:styleId="Nadpis6">
    <w:name w:val="Heading 6"/>
    <w:basedOn w:val="Normal"/>
    <w:next w:val="Normal"/>
    <w:qFormat/>
    <w:pPr>
      <w:numPr>
        <w:ilvl w:val="5"/>
        <w:numId w:val="1"/>
      </w:numPr>
      <w:spacing w:lineRule="auto" w:line="240" w:before="240" w:after="60"/>
      <w:outlineLvl w:val="5"/>
    </w:pPr>
    <w:rPr>
      <w:b/>
      <w:bCs/>
      <w:szCs w:val="22"/>
    </w:rPr>
  </w:style>
  <w:style w:type="paragraph" w:styleId="Nadpis7">
    <w:name w:val="Heading 7"/>
    <w:basedOn w:val="Normal"/>
    <w:next w:val="Normal"/>
    <w:qFormat/>
    <w:pPr>
      <w:numPr>
        <w:ilvl w:val="6"/>
        <w:numId w:val="1"/>
      </w:numPr>
      <w:spacing w:lineRule="auto" w:line="240" w:before="240" w:after="60"/>
      <w:outlineLvl w:val="6"/>
    </w:pPr>
    <w:rPr>
      <w:szCs w:val="24"/>
    </w:rPr>
  </w:style>
  <w:style w:type="paragraph" w:styleId="Nadpis8">
    <w:name w:val="Heading 8"/>
    <w:basedOn w:val="Normal"/>
    <w:next w:val="Normal"/>
    <w:qFormat/>
    <w:pPr>
      <w:numPr>
        <w:ilvl w:val="7"/>
        <w:numId w:val="1"/>
      </w:numPr>
      <w:spacing w:lineRule="auto" w:line="240" w:before="240" w:after="60"/>
      <w:outlineLvl w:val="7"/>
    </w:pPr>
    <w:rPr>
      <w:i/>
      <w:iCs/>
      <w:szCs w:val="24"/>
    </w:rPr>
  </w:style>
  <w:style w:type="paragraph" w:styleId="Nadpis9">
    <w:name w:val="Heading 9"/>
    <w:basedOn w:val="Normal"/>
    <w:next w:val="Normal"/>
    <w:qFormat/>
    <w:pPr>
      <w:numPr>
        <w:ilvl w:val="8"/>
        <w:numId w:val="1"/>
      </w:numPr>
      <w:spacing w:lineRule="auto" w:line="240" w:before="240" w:after="60"/>
      <w:outlineLvl w:val="8"/>
    </w:pPr>
    <w:rPr>
      <w:rFonts w:ascii="Cambria" w:hAnsi="Cambria" w:cs="Cambria"/>
      <w:szCs w:val="22"/>
    </w:rPr>
  </w:style>
  <w:style w:type="character" w:styleId="WW8Num2z0">
    <w:name w:val="WW8Num2z0"/>
    <w:qFormat/>
    <w:rPr>
      <w:b/>
      <w:sz w:val="20"/>
      <w:szCs w:val="20"/>
    </w:rPr>
  </w:style>
  <w:style w:type="character" w:styleId="WW8Num3z0">
    <w:name w:val="WW8Num3z0"/>
    <w:qFormat/>
    <w:rPr>
      <w:rFonts w:ascii="Arial Narrow" w:hAnsi="Arial Narrow" w:cs="Times New Roman"/>
    </w:rPr>
  </w:style>
  <w:style w:type="character" w:styleId="WW8Num4z0">
    <w:name w:val="WW8Num4z0"/>
    <w:qFormat/>
    <w:rPr>
      <w:b w:val="false"/>
    </w:rPr>
  </w:style>
  <w:style w:type="character" w:styleId="WW8Num5z0">
    <w:name w:val="WW8Num5z0"/>
    <w:qFormat/>
    <w:rPr>
      <w:b/>
      <w:sz w:val="20"/>
    </w:rPr>
  </w:style>
  <w:style w:type="character" w:styleId="WW8Num6z0">
    <w:name w:val="WW8Num6z0"/>
    <w:qFormat/>
    <w:rPr>
      <w:rFonts w:ascii="Times New Roman" w:hAnsi="Times New Roman" w:cs="Times New Roman"/>
      <w:b w:val="false"/>
      <w:i w:val="false"/>
      <w:sz w:val="20"/>
      <w:szCs w:val="24"/>
    </w:rPr>
  </w:style>
  <w:style w:type="character" w:styleId="WW8Num7z0">
    <w:name w:val="WW8Num7z0"/>
    <w:qFormat/>
    <w:rPr>
      <w:rFonts w:cs="Times New Roman"/>
    </w:rPr>
  </w:style>
  <w:style w:type="character" w:styleId="WW8Num8z0">
    <w:name w:val="WW8Num8z0"/>
    <w:qFormat/>
    <w:rPr>
      <w:b/>
      <w:sz w:val="20"/>
      <w:szCs w:val="20"/>
    </w:rPr>
  </w:style>
  <w:style w:type="character" w:styleId="WW8Num9z0">
    <w:name w:val="WW8Num9z0"/>
    <w:qFormat/>
    <w:rPr>
      <w:b w:val="false"/>
    </w:rPr>
  </w:style>
  <w:style w:type="character" w:styleId="WW8Num10z0">
    <w:name w:val="WW8Num10z0"/>
    <w:qFormat/>
    <w:rPr>
      <w:sz w:val="20"/>
    </w:rPr>
  </w:style>
  <w:style w:type="character" w:styleId="WW8Num11z0">
    <w:name w:val="WW8Num11z0"/>
    <w:qFormat/>
    <w:rPr>
      <w:rFonts w:ascii="Arial Narrow" w:hAnsi="Arial Narrow" w:cs="Times New Roman"/>
      <w:b w:val="false"/>
      <w:sz w:val="22"/>
    </w:rPr>
  </w:style>
  <w:style w:type="character" w:styleId="WW8Num12z0">
    <w:name w:val="WW8Num12z0"/>
    <w:qFormat/>
    <w:rPr>
      <w:rFonts w:cs="Times New Roman"/>
    </w:rPr>
  </w:style>
  <w:style w:type="character" w:styleId="WW8Num3z1">
    <w:name w:val="WW8Num3z1"/>
    <w:qFormat/>
    <w:rPr>
      <w:rFonts w:ascii="Courier New" w:hAnsi="Courier New" w:cs="Courier New"/>
    </w:rPr>
  </w:style>
  <w:style w:type="character" w:styleId="WW8Num3z2">
    <w:name w:val="WW8Num3z2"/>
    <w:qFormat/>
    <w:rPr>
      <w:rFonts w:ascii="Wingdings" w:hAnsi="Wingdings" w:cs="Wingdings"/>
    </w:rPr>
  </w:style>
  <w:style w:type="character" w:styleId="WW8Num3z3">
    <w:name w:val="WW8Num3z3"/>
    <w:qFormat/>
    <w:rPr>
      <w:rFonts w:ascii="Symbol" w:hAnsi="Symbol" w:cs="Symbol"/>
    </w:rPr>
  </w:style>
  <w:style w:type="character" w:styleId="WW8Num7z1">
    <w:name w:val="WW8Num7z1"/>
    <w:qFormat/>
    <w:rPr>
      <w:rFonts w:cs="Times New Roman"/>
    </w:rPr>
  </w:style>
  <w:style w:type="character" w:styleId="WW8Num9z1">
    <w:name w:val="WW8Num9z1"/>
    <w:qFormat/>
    <w:rPr>
      <w:rFonts w:cs="Times New Roman"/>
    </w:rPr>
  </w:style>
  <w:style w:type="character" w:styleId="WW8Num14z0">
    <w:name w:val="WW8Num14z0"/>
    <w:qFormat/>
    <w:rPr>
      <w:b w:val="false"/>
    </w:rPr>
  </w:style>
  <w:style w:type="character" w:styleId="WW8Num16z0">
    <w:name w:val="WW8Num16z0"/>
    <w:qFormat/>
    <w:rPr>
      <w:sz w:val="20"/>
    </w:rPr>
  </w:style>
  <w:style w:type="character" w:styleId="WW8Num18z0">
    <w:name w:val="WW8Num18z0"/>
    <w:qFormat/>
    <w:rPr>
      <w:rFonts w:ascii="Arial Narrow" w:hAnsi="Arial Narrow" w:cs="Times New Roman"/>
      <w:sz w:val="22"/>
      <w:szCs w:val="22"/>
    </w:rPr>
  </w:style>
  <w:style w:type="character" w:styleId="WW8Num19z0">
    <w:name w:val="WW8Num19z0"/>
    <w:qFormat/>
    <w:rPr>
      <w:rFonts w:ascii="Wingdings" w:hAnsi="Wingdings" w:cs="Wingdings"/>
    </w:rPr>
  </w:style>
  <w:style w:type="character" w:styleId="WW8Num19z1">
    <w:name w:val="WW8Num19z1"/>
    <w:qFormat/>
    <w:rPr>
      <w:rFonts w:ascii="Courier New" w:hAnsi="Courier New" w:cs="Courier New"/>
    </w:rPr>
  </w:style>
  <w:style w:type="character" w:styleId="WW8Num19z3">
    <w:name w:val="WW8Num19z3"/>
    <w:qFormat/>
    <w:rPr>
      <w:rFonts w:ascii="Symbol" w:hAnsi="Symbol" w:cs="Symbol"/>
    </w:rPr>
  </w:style>
  <w:style w:type="character" w:styleId="WW8Num20z0">
    <w:name w:val="WW8Num20z0"/>
    <w:qFormat/>
    <w:rPr/>
  </w:style>
  <w:style w:type="character" w:styleId="WW8Num21z0">
    <w:name w:val="WW8Num21z0"/>
    <w:qFormat/>
    <w:rPr>
      <w:b w:val="false"/>
    </w:rPr>
  </w:style>
  <w:style w:type="character" w:styleId="WW8Num22z0">
    <w:name w:val="WW8Num22z0"/>
    <w:qFormat/>
    <w:rPr>
      <w:rFonts w:ascii="Arial Narrow" w:hAnsi="Arial Narrow" w:cs="Times New Roman"/>
      <w:b w:val="false"/>
      <w:sz w:val="22"/>
    </w:rPr>
  </w:style>
  <w:style w:type="character" w:styleId="WW8Num23z0">
    <w:name w:val="WW8Num23z0"/>
    <w:qFormat/>
    <w:rPr>
      <w:rFonts w:cs="Times New Roman"/>
    </w:rPr>
  </w:style>
  <w:style w:type="character" w:styleId="Predvolenpsmoodseku">
    <w:name w:val="Predvolené písmo odseku"/>
    <w:qFormat/>
    <w:rPr/>
  </w:style>
  <w:style w:type="character" w:styleId="Nadpis1Char">
    <w:name w:val="Nadpis 1 Char"/>
    <w:qFormat/>
    <w:rPr>
      <w:rFonts w:ascii="Cambria" w:hAnsi="Cambria" w:cs="Times New Roman"/>
      <w:b/>
      <w:bCs/>
      <w:kern w:val="2"/>
      <w:sz w:val="32"/>
      <w:szCs w:val="32"/>
    </w:rPr>
  </w:style>
  <w:style w:type="character" w:styleId="Nadpis2Char">
    <w:name w:val="Nadpis 2 Char"/>
    <w:qFormat/>
    <w:rPr>
      <w:rFonts w:ascii="Cambria" w:hAnsi="Cambria" w:cs="Times New Roman"/>
      <w:b/>
      <w:bCs/>
      <w:i/>
      <w:iCs/>
      <w:sz w:val="28"/>
      <w:szCs w:val="28"/>
    </w:rPr>
  </w:style>
  <w:style w:type="character" w:styleId="Nadpis3Char">
    <w:name w:val="Nadpis 3 Char"/>
    <w:qFormat/>
    <w:rPr>
      <w:rFonts w:ascii="Cambria" w:hAnsi="Cambria" w:cs="Times New Roman"/>
      <w:b/>
      <w:bCs/>
      <w:sz w:val="26"/>
      <w:szCs w:val="26"/>
    </w:rPr>
  </w:style>
  <w:style w:type="character" w:styleId="Nadpis4Char">
    <w:name w:val="Nadpis 4 Char"/>
    <w:qFormat/>
    <w:rPr>
      <w:rFonts w:eastAsia="Times New Roman" w:cs="Times New Roman"/>
      <w:b/>
      <w:bCs/>
      <w:sz w:val="28"/>
      <w:szCs w:val="28"/>
    </w:rPr>
  </w:style>
  <w:style w:type="character" w:styleId="Nadpis5Char">
    <w:name w:val="Nadpis 5 Char"/>
    <w:qFormat/>
    <w:rPr>
      <w:rFonts w:eastAsia="Times New Roman" w:cs="Times New Roman"/>
      <w:b/>
      <w:bCs/>
      <w:i/>
      <w:iCs/>
      <w:sz w:val="26"/>
      <w:szCs w:val="26"/>
    </w:rPr>
  </w:style>
  <w:style w:type="character" w:styleId="Nadpis6Char">
    <w:name w:val="Nadpis 6 Char"/>
    <w:qFormat/>
    <w:rPr>
      <w:rFonts w:eastAsia="Times New Roman" w:cs="Times New Roman"/>
      <w:b/>
      <w:bCs/>
      <w:sz w:val="22"/>
      <w:szCs w:val="22"/>
    </w:rPr>
  </w:style>
  <w:style w:type="character" w:styleId="Nadpis7Char">
    <w:name w:val="Nadpis 7 Char"/>
    <w:qFormat/>
    <w:rPr>
      <w:rFonts w:eastAsia="Times New Roman" w:cs="Times New Roman"/>
      <w:sz w:val="24"/>
      <w:szCs w:val="24"/>
    </w:rPr>
  </w:style>
  <w:style w:type="character" w:styleId="Nadpis8Char">
    <w:name w:val="Nadpis 8 Char"/>
    <w:qFormat/>
    <w:rPr>
      <w:rFonts w:eastAsia="Times New Roman" w:cs="Times New Roman"/>
      <w:i/>
      <w:iCs/>
      <w:sz w:val="24"/>
      <w:szCs w:val="24"/>
    </w:rPr>
  </w:style>
  <w:style w:type="character" w:styleId="Nadpis9Char">
    <w:name w:val="Nadpis 9 Char"/>
    <w:qFormat/>
    <w:rPr>
      <w:rFonts w:ascii="Cambria" w:hAnsi="Cambria" w:cs="Times New Roman"/>
      <w:sz w:val="22"/>
      <w:szCs w:val="22"/>
    </w:rPr>
  </w:style>
  <w:style w:type="character" w:styleId="HlavikaChar">
    <w:name w:val="Hlavička Char"/>
    <w:qFormat/>
    <w:rPr>
      <w:rFonts w:cs="Times New Roman"/>
    </w:rPr>
  </w:style>
  <w:style w:type="character" w:styleId="PtaChar">
    <w:name w:val="Päta Char"/>
    <w:qFormat/>
    <w:rPr>
      <w:rFonts w:cs="Times New Roman"/>
    </w:rPr>
  </w:style>
  <w:style w:type="character" w:styleId="TextpoznmkypodiarouChar128">
    <w:name w:val="Text poznámky pod čiarou Char128"/>
    <w:qFormat/>
    <w:rPr>
      <w:rFonts w:cs="Times New Roman"/>
      <w:sz w:val="20"/>
      <w:szCs w:val="20"/>
    </w:rPr>
  </w:style>
  <w:style w:type="character" w:styleId="TextpoznmkypodiarouChar">
    <w:name w:val="Text poznámky pod čiarou Char"/>
    <w:qFormat/>
    <w:rPr>
      <w:rFonts w:cs="Times New Roman"/>
      <w:sz w:val="20"/>
      <w:szCs w:val="20"/>
    </w:rPr>
  </w:style>
  <w:style w:type="character" w:styleId="TextpoznmkypodiarouChar127">
    <w:name w:val="Text poznámky pod čiarou Char127"/>
    <w:qFormat/>
    <w:rPr>
      <w:rFonts w:cs="Times New Roman"/>
      <w:sz w:val="20"/>
      <w:szCs w:val="20"/>
    </w:rPr>
  </w:style>
  <w:style w:type="character" w:styleId="TextpoznmkypodiarouChar126">
    <w:name w:val="Text poznámky pod čiarou Char126"/>
    <w:qFormat/>
    <w:rPr>
      <w:rFonts w:cs="Times New Roman"/>
      <w:sz w:val="20"/>
      <w:szCs w:val="20"/>
    </w:rPr>
  </w:style>
  <w:style w:type="character" w:styleId="TextpoznmkypodiarouChar125">
    <w:name w:val="Text poznámky pod čiarou Char125"/>
    <w:qFormat/>
    <w:rPr>
      <w:rFonts w:cs="Times New Roman"/>
      <w:sz w:val="20"/>
      <w:szCs w:val="20"/>
    </w:rPr>
  </w:style>
  <w:style w:type="character" w:styleId="TextpoznmkypodiarouChar124">
    <w:name w:val="Text poznámky pod čiarou Char124"/>
    <w:qFormat/>
    <w:rPr>
      <w:rFonts w:cs="Times New Roman"/>
      <w:sz w:val="20"/>
      <w:szCs w:val="20"/>
    </w:rPr>
  </w:style>
  <w:style w:type="character" w:styleId="TextpoznmkypodiarouChar123">
    <w:name w:val="Text poznámky pod čiarou Char123"/>
    <w:qFormat/>
    <w:rPr>
      <w:rFonts w:cs="Times New Roman"/>
      <w:sz w:val="20"/>
      <w:szCs w:val="20"/>
    </w:rPr>
  </w:style>
  <w:style w:type="character" w:styleId="TextpoznmkypodiarouChar122">
    <w:name w:val="Text poznámky pod čiarou Char122"/>
    <w:qFormat/>
    <w:rPr>
      <w:rFonts w:cs="Times New Roman"/>
      <w:sz w:val="20"/>
      <w:szCs w:val="20"/>
    </w:rPr>
  </w:style>
  <w:style w:type="character" w:styleId="TextpoznmkypodiarouChar121">
    <w:name w:val="Text poznámky pod čiarou Char121"/>
    <w:qFormat/>
    <w:rPr>
      <w:rFonts w:cs="Times New Roman"/>
      <w:sz w:val="20"/>
      <w:szCs w:val="20"/>
    </w:rPr>
  </w:style>
  <w:style w:type="character" w:styleId="TextpoznmkypodiarouChar120">
    <w:name w:val="Text poznámky pod čiarou Char120"/>
    <w:qFormat/>
    <w:rPr>
      <w:rFonts w:cs="Times New Roman"/>
      <w:sz w:val="20"/>
      <w:szCs w:val="20"/>
    </w:rPr>
  </w:style>
  <w:style w:type="character" w:styleId="TextpoznmkypodiarouChar119">
    <w:name w:val="Text poznámky pod čiarou Char119"/>
    <w:qFormat/>
    <w:rPr>
      <w:rFonts w:cs="Times New Roman"/>
      <w:sz w:val="20"/>
      <w:szCs w:val="20"/>
    </w:rPr>
  </w:style>
  <w:style w:type="character" w:styleId="TextpoznmkypodiarouChar118">
    <w:name w:val="Text poznámky pod čiarou Char118"/>
    <w:qFormat/>
    <w:rPr>
      <w:rFonts w:cs="Times New Roman"/>
      <w:sz w:val="20"/>
      <w:szCs w:val="20"/>
    </w:rPr>
  </w:style>
  <w:style w:type="character" w:styleId="TextpoznmkypodiarouChar117">
    <w:name w:val="Text poznámky pod čiarou Char117"/>
    <w:qFormat/>
    <w:rPr>
      <w:rFonts w:cs="Times New Roman"/>
      <w:sz w:val="20"/>
      <w:szCs w:val="20"/>
    </w:rPr>
  </w:style>
  <w:style w:type="character" w:styleId="TextpoznmkypodiarouChar116">
    <w:name w:val="Text poznámky pod čiarou Char116"/>
    <w:qFormat/>
    <w:rPr>
      <w:rFonts w:cs="Times New Roman"/>
      <w:sz w:val="20"/>
      <w:szCs w:val="20"/>
    </w:rPr>
  </w:style>
  <w:style w:type="character" w:styleId="TextpoznmkypodiarouChar115">
    <w:name w:val="Text poznámky pod čiarou Char115"/>
    <w:qFormat/>
    <w:rPr>
      <w:rFonts w:cs="Times New Roman"/>
      <w:sz w:val="20"/>
      <w:szCs w:val="20"/>
    </w:rPr>
  </w:style>
  <w:style w:type="character" w:styleId="TextpoznmkypodiarouChar114">
    <w:name w:val="Text poznámky pod čiarou Char114"/>
    <w:qFormat/>
    <w:rPr>
      <w:rFonts w:cs="Times New Roman"/>
      <w:sz w:val="20"/>
      <w:szCs w:val="20"/>
    </w:rPr>
  </w:style>
  <w:style w:type="character" w:styleId="TextpoznmkypodiarouChar113">
    <w:name w:val="Text poznámky pod čiarou Char113"/>
    <w:qFormat/>
    <w:rPr>
      <w:rFonts w:cs="Times New Roman"/>
      <w:sz w:val="20"/>
      <w:szCs w:val="20"/>
    </w:rPr>
  </w:style>
  <w:style w:type="character" w:styleId="TextpoznmkypodiarouChar112">
    <w:name w:val="Text poznámky pod čiarou Char112"/>
    <w:qFormat/>
    <w:rPr>
      <w:rFonts w:cs="Times New Roman"/>
      <w:sz w:val="20"/>
      <w:szCs w:val="20"/>
    </w:rPr>
  </w:style>
  <w:style w:type="character" w:styleId="TextpoznmkypodiarouChar111">
    <w:name w:val="Text poznámky pod čiarou Char111"/>
    <w:qFormat/>
    <w:rPr>
      <w:rFonts w:cs="Times New Roman"/>
      <w:sz w:val="20"/>
      <w:szCs w:val="20"/>
    </w:rPr>
  </w:style>
  <w:style w:type="character" w:styleId="TextpoznmkypodiarouChar110">
    <w:name w:val="Text poznámky pod čiarou Char110"/>
    <w:qFormat/>
    <w:rPr>
      <w:rFonts w:cs="Times New Roman"/>
      <w:sz w:val="20"/>
      <w:szCs w:val="20"/>
    </w:rPr>
  </w:style>
  <w:style w:type="character" w:styleId="TextpoznmkypodiarouChar19">
    <w:name w:val="Text poznámky pod čiarou Char19"/>
    <w:qFormat/>
    <w:rPr>
      <w:rFonts w:cs="Times New Roman"/>
      <w:sz w:val="20"/>
      <w:szCs w:val="20"/>
    </w:rPr>
  </w:style>
  <w:style w:type="character" w:styleId="TextpoznmkypodiarouChar18">
    <w:name w:val="Text poznámky pod čiarou Char18"/>
    <w:qFormat/>
    <w:rPr>
      <w:rFonts w:cs="Times New Roman"/>
      <w:sz w:val="20"/>
      <w:szCs w:val="20"/>
    </w:rPr>
  </w:style>
  <w:style w:type="character" w:styleId="TextpoznmkypodiarouChar17">
    <w:name w:val="Text poznámky pod čiarou Char17"/>
    <w:qFormat/>
    <w:rPr>
      <w:rFonts w:cs="Times New Roman"/>
      <w:sz w:val="20"/>
      <w:szCs w:val="20"/>
    </w:rPr>
  </w:style>
  <w:style w:type="character" w:styleId="TextpoznmkypodiarouChar16">
    <w:name w:val="Text poznámky pod čiarou Char16"/>
    <w:qFormat/>
    <w:rPr>
      <w:rFonts w:cs="Times New Roman"/>
      <w:sz w:val="20"/>
      <w:szCs w:val="20"/>
    </w:rPr>
  </w:style>
  <w:style w:type="character" w:styleId="TextpoznmkypodiarouChar15">
    <w:name w:val="Text poznámky pod čiarou Char15"/>
    <w:qFormat/>
    <w:rPr>
      <w:rFonts w:cs="Times New Roman"/>
      <w:sz w:val="20"/>
      <w:szCs w:val="20"/>
    </w:rPr>
  </w:style>
  <w:style w:type="character" w:styleId="TextpoznmkypodiarouChar14">
    <w:name w:val="Text poznámky pod čiarou Char14"/>
    <w:qFormat/>
    <w:rPr>
      <w:rFonts w:cs="Times New Roman"/>
      <w:sz w:val="20"/>
      <w:szCs w:val="20"/>
    </w:rPr>
  </w:style>
  <w:style w:type="character" w:styleId="TextpoznmkypodiarouChar13">
    <w:name w:val="Text poznámky pod čiarou Char13"/>
    <w:qFormat/>
    <w:rPr>
      <w:rFonts w:cs="Times New Roman"/>
      <w:sz w:val="20"/>
      <w:szCs w:val="20"/>
    </w:rPr>
  </w:style>
  <w:style w:type="character" w:styleId="TextpoznmkypodiarouChar12">
    <w:name w:val="Text poznámky pod čiarou Char12"/>
    <w:qFormat/>
    <w:rPr>
      <w:rFonts w:cs="Times New Roman"/>
      <w:sz w:val="20"/>
      <w:szCs w:val="20"/>
    </w:rPr>
  </w:style>
  <w:style w:type="character" w:styleId="TextpoznmkypodiarouChar11">
    <w:name w:val="Text poznámky pod čiarou Char11"/>
    <w:qFormat/>
    <w:rPr>
      <w:rFonts w:cs="Times New Roman"/>
      <w:sz w:val="20"/>
      <w:szCs w:val="20"/>
    </w:rPr>
  </w:style>
  <w:style w:type="character" w:styleId="NzovChar128">
    <w:name w:val="Názov Char128"/>
    <w:qFormat/>
    <w:rPr>
      <w:rFonts w:ascii="Cambria" w:hAnsi="Cambria" w:eastAsia="Times New Roman" w:cs="Times New Roman"/>
      <w:b/>
      <w:bCs/>
      <w:kern w:val="2"/>
      <w:sz w:val="32"/>
      <w:szCs w:val="32"/>
    </w:rPr>
  </w:style>
  <w:style w:type="character" w:styleId="NzovChar">
    <w:name w:val="Názov Char"/>
    <w:qFormat/>
    <w:rPr>
      <w:rFonts w:ascii="Cambria" w:hAnsi="Cambria" w:eastAsia="Times New Roman" w:cs="Times New Roman"/>
      <w:b/>
      <w:bCs/>
      <w:kern w:val="2"/>
      <w:sz w:val="32"/>
      <w:szCs w:val="32"/>
    </w:rPr>
  </w:style>
  <w:style w:type="character" w:styleId="NzovChar127">
    <w:name w:val="Názov Char127"/>
    <w:qFormat/>
    <w:rPr>
      <w:rFonts w:ascii="Cambria" w:hAnsi="Cambria" w:eastAsia="Times New Roman" w:cs="Times New Roman"/>
      <w:b/>
      <w:bCs/>
      <w:kern w:val="2"/>
      <w:sz w:val="32"/>
      <w:szCs w:val="32"/>
    </w:rPr>
  </w:style>
  <w:style w:type="character" w:styleId="NzovChar126">
    <w:name w:val="Názov Char126"/>
    <w:qFormat/>
    <w:rPr>
      <w:rFonts w:ascii="Cambria" w:hAnsi="Cambria" w:eastAsia="Times New Roman" w:cs="Times New Roman"/>
      <w:b/>
      <w:bCs/>
      <w:kern w:val="2"/>
      <w:sz w:val="32"/>
      <w:szCs w:val="32"/>
    </w:rPr>
  </w:style>
  <w:style w:type="character" w:styleId="NzovChar125">
    <w:name w:val="Názov Char125"/>
    <w:qFormat/>
    <w:rPr>
      <w:rFonts w:ascii="Cambria" w:hAnsi="Cambria" w:eastAsia="Times New Roman" w:cs="Times New Roman"/>
      <w:b/>
      <w:bCs/>
      <w:kern w:val="2"/>
      <w:sz w:val="32"/>
      <w:szCs w:val="32"/>
    </w:rPr>
  </w:style>
  <w:style w:type="character" w:styleId="NzovChar124">
    <w:name w:val="Názov Char124"/>
    <w:qFormat/>
    <w:rPr>
      <w:rFonts w:ascii="Cambria" w:hAnsi="Cambria" w:eastAsia="Times New Roman" w:cs="Times New Roman"/>
      <w:b/>
      <w:bCs/>
      <w:kern w:val="2"/>
      <w:sz w:val="32"/>
      <w:szCs w:val="32"/>
    </w:rPr>
  </w:style>
  <w:style w:type="character" w:styleId="NzovChar123">
    <w:name w:val="Názov Char123"/>
    <w:qFormat/>
    <w:rPr>
      <w:rFonts w:ascii="Cambria" w:hAnsi="Cambria" w:eastAsia="Times New Roman" w:cs="Times New Roman"/>
      <w:b/>
      <w:bCs/>
      <w:kern w:val="2"/>
      <w:sz w:val="32"/>
      <w:szCs w:val="32"/>
    </w:rPr>
  </w:style>
  <w:style w:type="character" w:styleId="NzovChar122">
    <w:name w:val="Názov Char122"/>
    <w:qFormat/>
    <w:rPr>
      <w:rFonts w:ascii="Cambria" w:hAnsi="Cambria" w:eastAsia="Times New Roman" w:cs="Times New Roman"/>
      <w:b/>
      <w:bCs/>
      <w:kern w:val="2"/>
      <w:sz w:val="32"/>
      <w:szCs w:val="32"/>
    </w:rPr>
  </w:style>
  <w:style w:type="character" w:styleId="NzovChar121">
    <w:name w:val="Názov Char121"/>
    <w:qFormat/>
    <w:rPr>
      <w:rFonts w:ascii="Cambria" w:hAnsi="Cambria" w:eastAsia="Times New Roman" w:cs="Times New Roman"/>
      <w:b/>
      <w:bCs/>
      <w:kern w:val="2"/>
      <w:sz w:val="32"/>
      <w:szCs w:val="32"/>
    </w:rPr>
  </w:style>
  <w:style w:type="character" w:styleId="NzovChar120">
    <w:name w:val="Názov Char120"/>
    <w:qFormat/>
    <w:rPr>
      <w:rFonts w:ascii="Cambria" w:hAnsi="Cambria" w:eastAsia="Times New Roman" w:cs="Times New Roman"/>
      <w:b/>
      <w:bCs/>
      <w:kern w:val="2"/>
      <w:sz w:val="32"/>
      <w:szCs w:val="32"/>
    </w:rPr>
  </w:style>
  <w:style w:type="character" w:styleId="NzovChar119">
    <w:name w:val="Názov Char119"/>
    <w:qFormat/>
    <w:rPr>
      <w:rFonts w:ascii="Cambria" w:hAnsi="Cambria" w:eastAsia="Times New Roman" w:cs="Times New Roman"/>
      <w:b/>
      <w:bCs/>
      <w:kern w:val="2"/>
      <w:sz w:val="32"/>
      <w:szCs w:val="32"/>
    </w:rPr>
  </w:style>
  <w:style w:type="character" w:styleId="NzovChar118">
    <w:name w:val="Názov Char118"/>
    <w:qFormat/>
    <w:rPr>
      <w:rFonts w:ascii="Cambria" w:hAnsi="Cambria" w:eastAsia="Times New Roman" w:cs="Times New Roman"/>
      <w:b/>
      <w:bCs/>
      <w:kern w:val="2"/>
      <w:sz w:val="32"/>
      <w:szCs w:val="32"/>
    </w:rPr>
  </w:style>
  <w:style w:type="character" w:styleId="NzovChar117">
    <w:name w:val="Názov Char117"/>
    <w:qFormat/>
    <w:rPr>
      <w:rFonts w:ascii="Cambria" w:hAnsi="Cambria" w:eastAsia="Times New Roman" w:cs="Times New Roman"/>
      <w:b/>
      <w:bCs/>
      <w:kern w:val="2"/>
      <w:sz w:val="32"/>
      <w:szCs w:val="32"/>
    </w:rPr>
  </w:style>
  <w:style w:type="character" w:styleId="NzovChar116">
    <w:name w:val="Názov Char116"/>
    <w:qFormat/>
    <w:rPr>
      <w:rFonts w:ascii="Cambria" w:hAnsi="Cambria" w:eastAsia="Times New Roman" w:cs="Times New Roman"/>
      <w:b/>
      <w:bCs/>
      <w:kern w:val="2"/>
      <w:sz w:val="32"/>
      <w:szCs w:val="32"/>
    </w:rPr>
  </w:style>
  <w:style w:type="character" w:styleId="NzovChar115">
    <w:name w:val="Názov Char115"/>
    <w:qFormat/>
    <w:rPr>
      <w:rFonts w:ascii="Cambria" w:hAnsi="Cambria" w:eastAsia="Times New Roman" w:cs="Times New Roman"/>
      <w:b/>
      <w:bCs/>
      <w:kern w:val="2"/>
      <w:sz w:val="32"/>
      <w:szCs w:val="32"/>
    </w:rPr>
  </w:style>
  <w:style w:type="character" w:styleId="NzovChar114">
    <w:name w:val="Názov Char114"/>
    <w:qFormat/>
    <w:rPr>
      <w:rFonts w:ascii="Cambria" w:hAnsi="Cambria" w:eastAsia="Times New Roman" w:cs="Times New Roman"/>
      <w:b/>
      <w:bCs/>
      <w:kern w:val="2"/>
      <w:sz w:val="32"/>
      <w:szCs w:val="32"/>
    </w:rPr>
  </w:style>
  <w:style w:type="character" w:styleId="NzovChar113">
    <w:name w:val="Názov Char113"/>
    <w:qFormat/>
    <w:rPr>
      <w:rFonts w:ascii="Cambria" w:hAnsi="Cambria" w:eastAsia="Times New Roman" w:cs="Times New Roman"/>
      <w:b/>
      <w:bCs/>
      <w:kern w:val="2"/>
      <w:sz w:val="32"/>
      <w:szCs w:val="32"/>
    </w:rPr>
  </w:style>
  <w:style w:type="character" w:styleId="NzovChar112">
    <w:name w:val="Názov Char112"/>
    <w:qFormat/>
    <w:rPr>
      <w:rFonts w:ascii="Cambria" w:hAnsi="Cambria" w:eastAsia="Times New Roman" w:cs="Times New Roman"/>
      <w:b/>
      <w:bCs/>
      <w:kern w:val="2"/>
      <w:sz w:val="32"/>
      <w:szCs w:val="32"/>
    </w:rPr>
  </w:style>
  <w:style w:type="character" w:styleId="NzovChar111">
    <w:name w:val="Názov Char111"/>
    <w:qFormat/>
    <w:rPr>
      <w:rFonts w:ascii="Cambria" w:hAnsi="Cambria" w:eastAsia="Times New Roman" w:cs="Times New Roman"/>
      <w:b/>
      <w:bCs/>
      <w:kern w:val="2"/>
      <w:sz w:val="32"/>
      <w:szCs w:val="32"/>
    </w:rPr>
  </w:style>
  <w:style w:type="character" w:styleId="NzovChar110">
    <w:name w:val="Názov Char110"/>
    <w:qFormat/>
    <w:rPr>
      <w:rFonts w:ascii="Cambria" w:hAnsi="Cambria" w:eastAsia="Times New Roman" w:cs="Times New Roman"/>
      <w:b/>
      <w:bCs/>
      <w:kern w:val="2"/>
      <w:sz w:val="32"/>
      <w:szCs w:val="32"/>
    </w:rPr>
  </w:style>
  <w:style w:type="character" w:styleId="NzovChar19">
    <w:name w:val="Názov Char19"/>
    <w:qFormat/>
    <w:rPr>
      <w:rFonts w:ascii="Cambria" w:hAnsi="Cambria" w:eastAsia="Times New Roman" w:cs="Times New Roman"/>
      <w:b/>
      <w:bCs/>
      <w:kern w:val="2"/>
      <w:sz w:val="32"/>
      <w:szCs w:val="32"/>
    </w:rPr>
  </w:style>
  <w:style w:type="character" w:styleId="NzovChar18">
    <w:name w:val="Názov Char18"/>
    <w:qFormat/>
    <w:rPr>
      <w:rFonts w:ascii="Cambria" w:hAnsi="Cambria" w:eastAsia="Times New Roman" w:cs="Times New Roman"/>
      <w:b/>
      <w:bCs/>
      <w:kern w:val="2"/>
      <w:sz w:val="32"/>
      <w:szCs w:val="32"/>
    </w:rPr>
  </w:style>
  <w:style w:type="character" w:styleId="NzovChar17">
    <w:name w:val="Názov Char17"/>
    <w:qFormat/>
    <w:rPr>
      <w:rFonts w:ascii="Cambria" w:hAnsi="Cambria" w:eastAsia="Times New Roman" w:cs="Times New Roman"/>
      <w:b/>
      <w:bCs/>
      <w:kern w:val="2"/>
      <w:sz w:val="32"/>
      <w:szCs w:val="32"/>
    </w:rPr>
  </w:style>
  <w:style w:type="character" w:styleId="NzovChar16">
    <w:name w:val="Názov Char16"/>
    <w:qFormat/>
    <w:rPr>
      <w:rFonts w:ascii="Cambria" w:hAnsi="Cambria" w:eastAsia="Times New Roman" w:cs="Times New Roman"/>
      <w:b/>
      <w:bCs/>
      <w:kern w:val="2"/>
      <w:sz w:val="32"/>
      <w:szCs w:val="32"/>
    </w:rPr>
  </w:style>
  <w:style w:type="character" w:styleId="NzovChar15">
    <w:name w:val="Názov Char15"/>
    <w:qFormat/>
    <w:rPr>
      <w:rFonts w:ascii="Cambria" w:hAnsi="Cambria" w:eastAsia="Times New Roman" w:cs="Times New Roman"/>
      <w:b/>
      <w:bCs/>
      <w:kern w:val="2"/>
      <w:sz w:val="32"/>
      <w:szCs w:val="32"/>
    </w:rPr>
  </w:style>
  <w:style w:type="character" w:styleId="NzovChar14">
    <w:name w:val="Názov Char14"/>
    <w:qFormat/>
    <w:rPr>
      <w:rFonts w:ascii="Cambria" w:hAnsi="Cambria" w:eastAsia="Times New Roman" w:cs="Times New Roman"/>
      <w:b/>
      <w:bCs/>
      <w:kern w:val="2"/>
      <w:sz w:val="32"/>
      <w:szCs w:val="32"/>
    </w:rPr>
  </w:style>
  <w:style w:type="character" w:styleId="NzovChar13">
    <w:name w:val="Názov Char13"/>
    <w:qFormat/>
    <w:rPr>
      <w:rFonts w:ascii="Cambria" w:hAnsi="Cambria" w:eastAsia="Times New Roman" w:cs="Times New Roman"/>
      <w:b/>
      <w:bCs/>
      <w:kern w:val="2"/>
      <w:sz w:val="32"/>
      <w:szCs w:val="32"/>
    </w:rPr>
  </w:style>
  <w:style w:type="character" w:styleId="NzovChar12">
    <w:name w:val="Názov Char12"/>
    <w:qFormat/>
    <w:rPr>
      <w:rFonts w:ascii="Cambria" w:hAnsi="Cambria" w:eastAsia="Times New Roman" w:cs="Times New Roman"/>
      <w:b/>
      <w:bCs/>
      <w:kern w:val="2"/>
      <w:sz w:val="32"/>
      <w:szCs w:val="32"/>
    </w:rPr>
  </w:style>
  <w:style w:type="character" w:styleId="NzovChar11">
    <w:name w:val="Názov Char11"/>
    <w:qFormat/>
    <w:rPr>
      <w:rFonts w:ascii="Cambria" w:hAnsi="Cambria" w:eastAsia="Times New Roman" w:cs="Times New Roman"/>
      <w:b/>
      <w:bCs/>
      <w:kern w:val="2"/>
      <w:sz w:val="32"/>
      <w:szCs w:val="32"/>
    </w:rPr>
  </w:style>
  <w:style w:type="character" w:styleId="ZkladntextChar128">
    <w:name w:val="Základný text Char128"/>
    <w:qFormat/>
    <w:rPr>
      <w:rFonts w:cs="Times New Roman"/>
      <w:sz w:val="36"/>
      <w:szCs w:val="36"/>
    </w:rPr>
  </w:style>
  <w:style w:type="character" w:styleId="ZkladntextChar">
    <w:name w:val="Základný text Char"/>
    <w:qFormat/>
    <w:rPr>
      <w:rFonts w:cs="Times New Roman"/>
      <w:sz w:val="36"/>
      <w:szCs w:val="36"/>
    </w:rPr>
  </w:style>
  <w:style w:type="character" w:styleId="ZkladntextChar127">
    <w:name w:val="Základný text Char127"/>
    <w:qFormat/>
    <w:rPr>
      <w:rFonts w:cs="Times New Roman"/>
      <w:sz w:val="36"/>
      <w:szCs w:val="36"/>
    </w:rPr>
  </w:style>
  <w:style w:type="character" w:styleId="ZkladntextChar126">
    <w:name w:val="Základný text Char126"/>
    <w:qFormat/>
    <w:rPr>
      <w:rFonts w:cs="Times New Roman"/>
      <w:sz w:val="36"/>
      <w:szCs w:val="36"/>
    </w:rPr>
  </w:style>
  <w:style w:type="character" w:styleId="ZkladntextChar125">
    <w:name w:val="Základný text Char125"/>
    <w:qFormat/>
    <w:rPr>
      <w:rFonts w:cs="Times New Roman"/>
      <w:sz w:val="36"/>
      <w:szCs w:val="36"/>
    </w:rPr>
  </w:style>
  <w:style w:type="character" w:styleId="ZkladntextChar124">
    <w:name w:val="Základný text Char124"/>
    <w:qFormat/>
    <w:rPr>
      <w:rFonts w:cs="Times New Roman"/>
      <w:sz w:val="36"/>
      <w:szCs w:val="36"/>
    </w:rPr>
  </w:style>
  <w:style w:type="character" w:styleId="ZkladntextChar123">
    <w:name w:val="Základný text Char123"/>
    <w:qFormat/>
    <w:rPr>
      <w:rFonts w:cs="Times New Roman"/>
      <w:sz w:val="36"/>
      <w:szCs w:val="36"/>
    </w:rPr>
  </w:style>
  <w:style w:type="character" w:styleId="ZkladntextChar122">
    <w:name w:val="Základný text Char122"/>
    <w:qFormat/>
    <w:rPr>
      <w:rFonts w:cs="Times New Roman"/>
      <w:sz w:val="36"/>
      <w:szCs w:val="36"/>
    </w:rPr>
  </w:style>
  <w:style w:type="character" w:styleId="ZkladntextChar121">
    <w:name w:val="Základný text Char121"/>
    <w:qFormat/>
    <w:rPr>
      <w:rFonts w:cs="Times New Roman"/>
      <w:sz w:val="36"/>
      <w:szCs w:val="36"/>
    </w:rPr>
  </w:style>
  <w:style w:type="character" w:styleId="ZkladntextChar120">
    <w:name w:val="Základný text Char120"/>
    <w:qFormat/>
    <w:rPr>
      <w:rFonts w:cs="Times New Roman"/>
      <w:sz w:val="36"/>
      <w:szCs w:val="36"/>
    </w:rPr>
  </w:style>
  <w:style w:type="character" w:styleId="ZkladntextChar119">
    <w:name w:val="Základný text Char119"/>
    <w:qFormat/>
    <w:rPr>
      <w:rFonts w:cs="Times New Roman"/>
      <w:sz w:val="36"/>
      <w:szCs w:val="36"/>
    </w:rPr>
  </w:style>
  <w:style w:type="character" w:styleId="ZkladntextChar118">
    <w:name w:val="Základný text Char118"/>
    <w:qFormat/>
    <w:rPr>
      <w:rFonts w:cs="Times New Roman"/>
      <w:sz w:val="36"/>
      <w:szCs w:val="36"/>
    </w:rPr>
  </w:style>
  <w:style w:type="character" w:styleId="ZkladntextChar117">
    <w:name w:val="Základný text Char117"/>
    <w:qFormat/>
    <w:rPr>
      <w:rFonts w:cs="Times New Roman"/>
      <w:sz w:val="36"/>
      <w:szCs w:val="36"/>
    </w:rPr>
  </w:style>
  <w:style w:type="character" w:styleId="ZkladntextChar116">
    <w:name w:val="Základný text Char116"/>
    <w:qFormat/>
    <w:rPr>
      <w:rFonts w:cs="Times New Roman"/>
      <w:sz w:val="36"/>
      <w:szCs w:val="36"/>
    </w:rPr>
  </w:style>
  <w:style w:type="character" w:styleId="ZkladntextChar115">
    <w:name w:val="Základný text Char115"/>
    <w:qFormat/>
    <w:rPr>
      <w:rFonts w:cs="Times New Roman"/>
      <w:sz w:val="36"/>
      <w:szCs w:val="36"/>
    </w:rPr>
  </w:style>
  <w:style w:type="character" w:styleId="ZkladntextChar114">
    <w:name w:val="Základný text Char114"/>
    <w:qFormat/>
    <w:rPr>
      <w:rFonts w:cs="Times New Roman"/>
      <w:sz w:val="36"/>
      <w:szCs w:val="36"/>
    </w:rPr>
  </w:style>
  <w:style w:type="character" w:styleId="ZkladntextChar113">
    <w:name w:val="Základný text Char113"/>
    <w:qFormat/>
    <w:rPr>
      <w:rFonts w:cs="Times New Roman"/>
      <w:sz w:val="36"/>
      <w:szCs w:val="36"/>
    </w:rPr>
  </w:style>
  <w:style w:type="character" w:styleId="ZkladntextChar112">
    <w:name w:val="Základný text Char112"/>
    <w:qFormat/>
    <w:rPr>
      <w:rFonts w:cs="Times New Roman"/>
      <w:sz w:val="36"/>
      <w:szCs w:val="36"/>
    </w:rPr>
  </w:style>
  <w:style w:type="character" w:styleId="ZkladntextChar111">
    <w:name w:val="Základný text Char111"/>
    <w:qFormat/>
    <w:rPr>
      <w:rFonts w:cs="Times New Roman"/>
      <w:sz w:val="36"/>
      <w:szCs w:val="36"/>
    </w:rPr>
  </w:style>
  <w:style w:type="character" w:styleId="ZkladntextChar110">
    <w:name w:val="Základný text Char110"/>
    <w:qFormat/>
    <w:rPr>
      <w:rFonts w:cs="Times New Roman"/>
      <w:sz w:val="36"/>
      <w:szCs w:val="36"/>
    </w:rPr>
  </w:style>
  <w:style w:type="character" w:styleId="ZkladntextChar19">
    <w:name w:val="Základný text Char19"/>
    <w:qFormat/>
    <w:rPr>
      <w:rFonts w:cs="Times New Roman"/>
      <w:sz w:val="36"/>
      <w:szCs w:val="36"/>
    </w:rPr>
  </w:style>
  <w:style w:type="character" w:styleId="ZkladntextChar18">
    <w:name w:val="Základný text Char18"/>
    <w:qFormat/>
    <w:rPr>
      <w:rFonts w:cs="Times New Roman"/>
      <w:sz w:val="36"/>
      <w:szCs w:val="36"/>
    </w:rPr>
  </w:style>
  <w:style w:type="character" w:styleId="ZkladntextChar17">
    <w:name w:val="Základný text Char17"/>
    <w:qFormat/>
    <w:rPr>
      <w:rFonts w:cs="Times New Roman"/>
      <w:sz w:val="36"/>
      <w:szCs w:val="36"/>
    </w:rPr>
  </w:style>
  <w:style w:type="character" w:styleId="ZkladntextChar16">
    <w:name w:val="Základný text Char16"/>
    <w:qFormat/>
    <w:rPr>
      <w:rFonts w:cs="Times New Roman"/>
      <w:sz w:val="36"/>
      <w:szCs w:val="36"/>
    </w:rPr>
  </w:style>
  <w:style w:type="character" w:styleId="ZkladntextChar15">
    <w:name w:val="Základný text Char15"/>
    <w:qFormat/>
    <w:rPr>
      <w:rFonts w:cs="Times New Roman"/>
      <w:sz w:val="36"/>
      <w:szCs w:val="36"/>
    </w:rPr>
  </w:style>
  <w:style w:type="character" w:styleId="ZkladntextChar14">
    <w:name w:val="Základný text Char14"/>
    <w:qFormat/>
    <w:rPr>
      <w:rFonts w:cs="Times New Roman"/>
      <w:sz w:val="36"/>
      <w:szCs w:val="36"/>
    </w:rPr>
  </w:style>
  <w:style w:type="character" w:styleId="ZkladntextChar13">
    <w:name w:val="Základný text Char13"/>
    <w:qFormat/>
    <w:rPr>
      <w:rFonts w:cs="Times New Roman"/>
      <w:sz w:val="36"/>
      <w:szCs w:val="36"/>
    </w:rPr>
  </w:style>
  <w:style w:type="character" w:styleId="ZkladntextChar12">
    <w:name w:val="Základný text Char12"/>
    <w:qFormat/>
    <w:rPr>
      <w:rFonts w:cs="Times New Roman"/>
      <w:sz w:val="36"/>
      <w:szCs w:val="36"/>
    </w:rPr>
  </w:style>
  <w:style w:type="character" w:styleId="ZkladntextChar11">
    <w:name w:val="Základný text Char11"/>
    <w:qFormat/>
    <w:rPr>
      <w:rFonts w:cs="Times New Roman"/>
      <w:sz w:val="36"/>
      <w:szCs w:val="36"/>
    </w:rPr>
  </w:style>
  <w:style w:type="character" w:styleId="PodtitulChar128">
    <w:name w:val="Podtitul Char128"/>
    <w:qFormat/>
    <w:rPr>
      <w:rFonts w:ascii="Cambria" w:hAnsi="Cambria" w:eastAsia="Times New Roman" w:cs="Times New Roman"/>
      <w:sz w:val="24"/>
      <w:szCs w:val="24"/>
    </w:rPr>
  </w:style>
  <w:style w:type="character" w:styleId="PodtitulChar">
    <w:name w:val="Podtitul Char"/>
    <w:qFormat/>
    <w:rPr>
      <w:rFonts w:ascii="Cambria" w:hAnsi="Cambria" w:eastAsia="Times New Roman" w:cs="Times New Roman"/>
      <w:sz w:val="24"/>
      <w:szCs w:val="24"/>
    </w:rPr>
  </w:style>
  <w:style w:type="character" w:styleId="PodtitulChar127">
    <w:name w:val="Podtitul Char127"/>
    <w:qFormat/>
    <w:rPr>
      <w:rFonts w:ascii="Cambria" w:hAnsi="Cambria" w:eastAsia="Times New Roman" w:cs="Times New Roman"/>
      <w:sz w:val="24"/>
      <w:szCs w:val="24"/>
    </w:rPr>
  </w:style>
  <w:style w:type="character" w:styleId="PodtitulChar126">
    <w:name w:val="Podtitul Char126"/>
    <w:qFormat/>
    <w:rPr>
      <w:rFonts w:ascii="Cambria" w:hAnsi="Cambria" w:eastAsia="Times New Roman" w:cs="Times New Roman"/>
      <w:sz w:val="24"/>
      <w:szCs w:val="24"/>
    </w:rPr>
  </w:style>
  <w:style w:type="character" w:styleId="PodtitulChar125">
    <w:name w:val="Podtitul Char125"/>
    <w:qFormat/>
    <w:rPr>
      <w:rFonts w:ascii="Cambria" w:hAnsi="Cambria" w:eastAsia="Times New Roman" w:cs="Times New Roman"/>
      <w:sz w:val="24"/>
      <w:szCs w:val="24"/>
    </w:rPr>
  </w:style>
  <w:style w:type="character" w:styleId="PodtitulChar124">
    <w:name w:val="Podtitul Char124"/>
    <w:qFormat/>
    <w:rPr>
      <w:rFonts w:ascii="Cambria" w:hAnsi="Cambria" w:eastAsia="Times New Roman" w:cs="Times New Roman"/>
      <w:sz w:val="24"/>
      <w:szCs w:val="24"/>
    </w:rPr>
  </w:style>
  <w:style w:type="character" w:styleId="PodtitulChar123">
    <w:name w:val="Podtitul Char123"/>
    <w:qFormat/>
    <w:rPr>
      <w:rFonts w:ascii="Cambria" w:hAnsi="Cambria" w:eastAsia="Times New Roman" w:cs="Times New Roman"/>
      <w:sz w:val="24"/>
      <w:szCs w:val="24"/>
    </w:rPr>
  </w:style>
  <w:style w:type="character" w:styleId="PodtitulChar122">
    <w:name w:val="Podtitul Char122"/>
    <w:qFormat/>
    <w:rPr>
      <w:rFonts w:ascii="Cambria" w:hAnsi="Cambria" w:eastAsia="Times New Roman" w:cs="Times New Roman"/>
      <w:sz w:val="24"/>
      <w:szCs w:val="24"/>
    </w:rPr>
  </w:style>
  <w:style w:type="character" w:styleId="PodtitulChar121">
    <w:name w:val="Podtitul Char121"/>
    <w:qFormat/>
    <w:rPr>
      <w:rFonts w:ascii="Cambria" w:hAnsi="Cambria" w:eastAsia="Times New Roman" w:cs="Times New Roman"/>
      <w:sz w:val="24"/>
      <w:szCs w:val="24"/>
    </w:rPr>
  </w:style>
  <w:style w:type="character" w:styleId="PodtitulChar120">
    <w:name w:val="Podtitul Char120"/>
    <w:qFormat/>
    <w:rPr>
      <w:rFonts w:ascii="Cambria" w:hAnsi="Cambria" w:eastAsia="Times New Roman" w:cs="Times New Roman"/>
      <w:sz w:val="24"/>
      <w:szCs w:val="24"/>
    </w:rPr>
  </w:style>
  <w:style w:type="character" w:styleId="PodtitulChar119">
    <w:name w:val="Podtitul Char119"/>
    <w:qFormat/>
    <w:rPr>
      <w:rFonts w:ascii="Cambria" w:hAnsi="Cambria" w:eastAsia="Times New Roman" w:cs="Times New Roman"/>
      <w:sz w:val="24"/>
      <w:szCs w:val="24"/>
    </w:rPr>
  </w:style>
  <w:style w:type="character" w:styleId="PodtitulChar118">
    <w:name w:val="Podtitul Char118"/>
    <w:qFormat/>
    <w:rPr>
      <w:rFonts w:ascii="Cambria" w:hAnsi="Cambria" w:eastAsia="Times New Roman" w:cs="Times New Roman"/>
      <w:sz w:val="24"/>
      <w:szCs w:val="24"/>
    </w:rPr>
  </w:style>
  <w:style w:type="character" w:styleId="PodtitulChar117">
    <w:name w:val="Podtitul Char117"/>
    <w:qFormat/>
    <w:rPr>
      <w:rFonts w:ascii="Cambria" w:hAnsi="Cambria" w:eastAsia="Times New Roman" w:cs="Times New Roman"/>
      <w:sz w:val="24"/>
      <w:szCs w:val="24"/>
    </w:rPr>
  </w:style>
  <w:style w:type="character" w:styleId="PodtitulChar116">
    <w:name w:val="Podtitul Char116"/>
    <w:qFormat/>
    <w:rPr>
      <w:rFonts w:ascii="Cambria" w:hAnsi="Cambria" w:eastAsia="Times New Roman" w:cs="Times New Roman"/>
      <w:sz w:val="24"/>
      <w:szCs w:val="24"/>
    </w:rPr>
  </w:style>
  <w:style w:type="character" w:styleId="PodtitulChar115">
    <w:name w:val="Podtitul Char115"/>
    <w:qFormat/>
    <w:rPr>
      <w:rFonts w:ascii="Cambria" w:hAnsi="Cambria" w:eastAsia="Times New Roman" w:cs="Times New Roman"/>
      <w:sz w:val="24"/>
      <w:szCs w:val="24"/>
    </w:rPr>
  </w:style>
  <w:style w:type="character" w:styleId="PodtitulChar114">
    <w:name w:val="Podtitul Char114"/>
    <w:qFormat/>
    <w:rPr>
      <w:rFonts w:ascii="Cambria" w:hAnsi="Cambria" w:eastAsia="Times New Roman" w:cs="Times New Roman"/>
      <w:sz w:val="24"/>
      <w:szCs w:val="24"/>
    </w:rPr>
  </w:style>
  <w:style w:type="character" w:styleId="PodtitulChar113">
    <w:name w:val="Podtitul Char113"/>
    <w:qFormat/>
    <w:rPr>
      <w:rFonts w:ascii="Cambria" w:hAnsi="Cambria" w:eastAsia="Times New Roman" w:cs="Times New Roman"/>
      <w:sz w:val="24"/>
      <w:szCs w:val="24"/>
    </w:rPr>
  </w:style>
  <w:style w:type="character" w:styleId="PodtitulChar112">
    <w:name w:val="Podtitul Char112"/>
    <w:qFormat/>
    <w:rPr>
      <w:rFonts w:ascii="Cambria" w:hAnsi="Cambria" w:eastAsia="Times New Roman" w:cs="Times New Roman"/>
      <w:sz w:val="24"/>
      <w:szCs w:val="24"/>
    </w:rPr>
  </w:style>
  <w:style w:type="character" w:styleId="PodtitulChar111">
    <w:name w:val="Podtitul Char111"/>
    <w:qFormat/>
    <w:rPr>
      <w:rFonts w:ascii="Cambria" w:hAnsi="Cambria" w:eastAsia="Times New Roman" w:cs="Times New Roman"/>
      <w:sz w:val="24"/>
      <w:szCs w:val="24"/>
    </w:rPr>
  </w:style>
  <w:style w:type="character" w:styleId="PodtitulChar110">
    <w:name w:val="Podtitul Char110"/>
    <w:qFormat/>
    <w:rPr>
      <w:rFonts w:ascii="Cambria" w:hAnsi="Cambria" w:eastAsia="Times New Roman" w:cs="Times New Roman"/>
      <w:sz w:val="24"/>
      <w:szCs w:val="24"/>
    </w:rPr>
  </w:style>
  <w:style w:type="character" w:styleId="PodtitulChar19">
    <w:name w:val="Podtitul Char19"/>
    <w:qFormat/>
    <w:rPr>
      <w:rFonts w:ascii="Cambria" w:hAnsi="Cambria" w:eastAsia="Times New Roman" w:cs="Times New Roman"/>
      <w:sz w:val="24"/>
      <w:szCs w:val="24"/>
    </w:rPr>
  </w:style>
  <w:style w:type="character" w:styleId="PodtitulChar18">
    <w:name w:val="Podtitul Char18"/>
    <w:qFormat/>
    <w:rPr>
      <w:rFonts w:ascii="Cambria" w:hAnsi="Cambria" w:eastAsia="Times New Roman" w:cs="Times New Roman"/>
      <w:sz w:val="24"/>
      <w:szCs w:val="24"/>
    </w:rPr>
  </w:style>
  <w:style w:type="character" w:styleId="PodtitulChar17">
    <w:name w:val="Podtitul Char17"/>
    <w:qFormat/>
    <w:rPr>
      <w:rFonts w:ascii="Cambria" w:hAnsi="Cambria" w:eastAsia="Times New Roman" w:cs="Times New Roman"/>
      <w:sz w:val="24"/>
      <w:szCs w:val="24"/>
    </w:rPr>
  </w:style>
  <w:style w:type="character" w:styleId="PodtitulChar16">
    <w:name w:val="Podtitul Char16"/>
    <w:qFormat/>
    <w:rPr>
      <w:rFonts w:ascii="Cambria" w:hAnsi="Cambria" w:eastAsia="Times New Roman" w:cs="Times New Roman"/>
      <w:sz w:val="24"/>
      <w:szCs w:val="24"/>
    </w:rPr>
  </w:style>
  <w:style w:type="character" w:styleId="PodtitulChar15">
    <w:name w:val="Podtitul Char15"/>
    <w:qFormat/>
    <w:rPr>
      <w:rFonts w:ascii="Cambria" w:hAnsi="Cambria" w:eastAsia="Times New Roman" w:cs="Times New Roman"/>
      <w:sz w:val="24"/>
      <w:szCs w:val="24"/>
    </w:rPr>
  </w:style>
  <w:style w:type="character" w:styleId="PodtitulChar14">
    <w:name w:val="Podtitul Char14"/>
    <w:qFormat/>
    <w:rPr>
      <w:rFonts w:ascii="Cambria" w:hAnsi="Cambria" w:eastAsia="Times New Roman" w:cs="Times New Roman"/>
      <w:sz w:val="24"/>
      <w:szCs w:val="24"/>
    </w:rPr>
  </w:style>
  <w:style w:type="character" w:styleId="PodtitulChar13">
    <w:name w:val="Podtitul Char13"/>
    <w:qFormat/>
    <w:rPr>
      <w:rFonts w:ascii="Cambria" w:hAnsi="Cambria" w:eastAsia="Times New Roman" w:cs="Times New Roman"/>
      <w:sz w:val="24"/>
      <w:szCs w:val="24"/>
    </w:rPr>
  </w:style>
  <w:style w:type="character" w:styleId="PodtitulChar12">
    <w:name w:val="Podtitul Char12"/>
    <w:qFormat/>
    <w:rPr>
      <w:rFonts w:ascii="Cambria" w:hAnsi="Cambria" w:eastAsia="Times New Roman" w:cs="Times New Roman"/>
      <w:sz w:val="24"/>
      <w:szCs w:val="24"/>
    </w:rPr>
  </w:style>
  <w:style w:type="character" w:styleId="PodtitulChar11">
    <w:name w:val="Podtitul Char11"/>
    <w:qFormat/>
    <w:rPr>
      <w:rFonts w:ascii="Cambria" w:hAnsi="Cambria" w:eastAsia="Times New Roman" w:cs="Times New Roman"/>
      <w:sz w:val="24"/>
      <w:szCs w:val="24"/>
    </w:rPr>
  </w:style>
  <w:style w:type="character" w:styleId="Zkladntext2Char128">
    <w:name w:val="Základný text 2 Char128"/>
    <w:qFormat/>
    <w:rPr>
      <w:rFonts w:cs="Times New Roman"/>
      <w:sz w:val="36"/>
      <w:szCs w:val="36"/>
    </w:rPr>
  </w:style>
  <w:style w:type="character" w:styleId="Zkladntext2Char">
    <w:name w:val="Základný text 2 Char"/>
    <w:qFormat/>
    <w:rPr>
      <w:rFonts w:cs="Times New Roman"/>
      <w:sz w:val="36"/>
      <w:szCs w:val="36"/>
    </w:rPr>
  </w:style>
  <w:style w:type="character" w:styleId="Zkladntext2Char127">
    <w:name w:val="Základný text 2 Char127"/>
    <w:qFormat/>
    <w:rPr>
      <w:rFonts w:cs="Times New Roman"/>
      <w:sz w:val="36"/>
      <w:szCs w:val="36"/>
    </w:rPr>
  </w:style>
  <w:style w:type="character" w:styleId="Zkladntext2Char126">
    <w:name w:val="Základný text 2 Char126"/>
    <w:qFormat/>
    <w:rPr>
      <w:rFonts w:cs="Times New Roman"/>
      <w:sz w:val="36"/>
      <w:szCs w:val="36"/>
    </w:rPr>
  </w:style>
  <w:style w:type="character" w:styleId="Zkladntext2Char125">
    <w:name w:val="Základný text 2 Char125"/>
    <w:qFormat/>
    <w:rPr>
      <w:rFonts w:cs="Times New Roman"/>
      <w:sz w:val="36"/>
      <w:szCs w:val="36"/>
    </w:rPr>
  </w:style>
  <w:style w:type="character" w:styleId="Zkladntext2Char124">
    <w:name w:val="Základný text 2 Char124"/>
    <w:qFormat/>
    <w:rPr>
      <w:rFonts w:cs="Times New Roman"/>
      <w:sz w:val="36"/>
      <w:szCs w:val="36"/>
    </w:rPr>
  </w:style>
  <w:style w:type="character" w:styleId="Zkladntext2Char123">
    <w:name w:val="Základný text 2 Char123"/>
    <w:qFormat/>
    <w:rPr>
      <w:rFonts w:cs="Times New Roman"/>
      <w:sz w:val="36"/>
      <w:szCs w:val="36"/>
    </w:rPr>
  </w:style>
  <w:style w:type="character" w:styleId="Zkladntext2Char122">
    <w:name w:val="Základný text 2 Char122"/>
    <w:qFormat/>
    <w:rPr>
      <w:rFonts w:cs="Times New Roman"/>
      <w:sz w:val="36"/>
      <w:szCs w:val="36"/>
    </w:rPr>
  </w:style>
  <w:style w:type="character" w:styleId="Zkladntext2Char121">
    <w:name w:val="Základný text 2 Char121"/>
    <w:qFormat/>
    <w:rPr>
      <w:rFonts w:cs="Times New Roman"/>
      <w:sz w:val="36"/>
      <w:szCs w:val="36"/>
    </w:rPr>
  </w:style>
  <w:style w:type="character" w:styleId="Zkladntext2Char120">
    <w:name w:val="Základný text 2 Char120"/>
    <w:qFormat/>
    <w:rPr>
      <w:rFonts w:cs="Times New Roman"/>
      <w:sz w:val="36"/>
      <w:szCs w:val="36"/>
    </w:rPr>
  </w:style>
  <w:style w:type="character" w:styleId="Zkladntext2Char119">
    <w:name w:val="Základný text 2 Char119"/>
    <w:qFormat/>
    <w:rPr>
      <w:rFonts w:cs="Times New Roman"/>
      <w:sz w:val="36"/>
      <w:szCs w:val="36"/>
    </w:rPr>
  </w:style>
  <w:style w:type="character" w:styleId="Zkladntext2Char118">
    <w:name w:val="Základný text 2 Char118"/>
    <w:qFormat/>
    <w:rPr>
      <w:rFonts w:cs="Times New Roman"/>
      <w:sz w:val="36"/>
      <w:szCs w:val="36"/>
    </w:rPr>
  </w:style>
  <w:style w:type="character" w:styleId="Zkladntext2Char117">
    <w:name w:val="Základný text 2 Char117"/>
    <w:qFormat/>
    <w:rPr>
      <w:rFonts w:cs="Times New Roman"/>
      <w:sz w:val="36"/>
      <w:szCs w:val="36"/>
    </w:rPr>
  </w:style>
  <w:style w:type="character" w:styleId="Zkladntext2Char116">
    <w:name w:val="Základný text 2 Char116"/>
    <w:qFormat/>
    <w:rPr>
      <w:rFonts w:cs="Times New Roman"/>
      <w:sz w:val="36"/>
      <w:szCs w:val="36"/>
    </w:rPr>
  </w:style>
  <w:style w:type="character" w:styleId="Zkladntext2Char115">
    <w:name w:val="Základný text 2 Char115"/>
    <w:qFormat/>
    <w:rPr>
      <w:rFonts w:cs="Times New Roman"/>
      <w:sz w:val="36"/>
      <w:szCs w:val="36"/>
    </w:rPr>
  </w:style>
  <w:style w:type="character" w:styleId="Zkladntext2Char114">
    <w:name w:val="Základný text 2 Char114"/>
    <w:qFormat/>
    <w:rPr>
      <w:rFonts w:cs="Times New Roman"/>
      <w:sz w:val="36"/>
      <w:szCs w:val="36"/>
    </w:rPr>
  </w:style>
  <w:style w:type="character" w:styleId="Zkladntext2Char113">
    <w:name w:val="Základný text 2 Char113"/>
    <w:qFormat/>
    <w:rPr>
      <w:rFonts w:cs="Times New Roman"/>
      <w:sz w:val="36"/>
      <w:szCs w:val="36"/>
    </w:rPr>
  </w:style>
  <w:style w:type="character" w:styleId="Zkladntext2Char112">
    <w:name w:val="Základný text 2 Char112"/>
    <w:qFormat/>
    <w:rPr>
      <w:rFonts w:cs="Times New Roman"/>
      <w:sz w:val="36"/>
      <w:szCs w:val="36"/>
    </w:rPr>
  </w:style>
  <w:style w:type="character" w:styleId="Zkladntext2Char111">
    <w:name w:val="Základný text 2 Char111"/>
    <w:qFormat/>
    <w:rPr>
      <w:rFonts w:cs="Times New Roman"/>
      <w:sz w:val="36"/>
      <w:szCs w:val="36"/>
    </w:rPr>
  </w:style>
  <w:style w:type="character" w:styleId="Zkladntext2Char110">
    <w:name w:val="Základný text 2 Char110"/>
    <w:qFormat/>
    <w:rPr>
      <w:rFonts w:cs="Times New Roman"/>
      <w:sz w:val="36"/>
      <w:szCs w:val="36"/>
    </w:rPr>
  </w:style>
  <w:style w:type="character" w:styleId="Zkladntext2Char19">
    <w:name w:val="Základný text 2 Char19"/>
    <w:qFormat/>
    <w:rPr>
      <w:rFonts w:cs="Times New Roman"/>
      <w:sz w:val="36"/>
      <w:szCs w:val="36"/>
    </w:rPr>
  </w:style>
  <w:style w:type="character" w:styleId="Zkladntext2Char18">
    <w:name w:val="Základný text 2 Char18"/>
    <w:qFormat/>
    <w:rPr>
      <w:rFonts w:cs="Times New Roman"/>
      <w:sz w:val="36"/>
      <w:szCs w:val="36"/>
    </w:rPr>
  </w:style>
  <w:style w:type="character" w:styleId="Zkladntext2Char17">
    <w:name w:val="Základný text 2 Char17"/>
    <w:qFormat/>
    <w:rPr>
      <w:rFonts w:cs="Times New Roman"/>
      <w:sz w:val="36"/>
      <w:szCs w:val="36"/>
    </w:rPr>
  </w:style>
  <w:style w:type="character" w:styleId="Zkladntext2Char16">
    <w:name w:val="Základný text 2 Char16"/>
    <w:qFormat/>
    <w:rPr>
      <w:rFonts w:cs="Times New Roman"/>
      <w:sz w:val="36"/>
      <w:szCs w:val="36"/>
    </w:rPr>
  </w:style>
  <w:style w:type="character" w:styleId="Zkladntext2Char15">
    <w:name w:val="Základný text 2 Char15"/>
    <w:qFormat/>
    <w:rPr>
      <w:rFonts w:cs="Times New Roman"/>
      <w:sz w:val="36"/>
      <w:szCs w:val="36"/>
    </w:rPr>
  </w:style>
  <w:style w:type="character" w:styleId="Zkladntext2Char14">
    <w:name w:val="Základný text 2 Char14"/>
    <w:qFormat/>
    <w:rPr>
      <w:rFonts w:cs="Times New Roman"/>
      <w:sz w:val="36"/>
      <w:szCs w:val="36"/>
    </w:rPr>
  </w:style>
  <w:style w:type="character" w:styleId="Zkladntext2Char13">
    <w:name w:val="Základný text 2 Char13"/>
    <w:qFormat/>
    <w:rPr>
      <w:rFonts w:cs="Times New Roman"/>
      <w:sz w:val="36"/>
      <w:szCs w:val="36"/>
    </w:rPr>
  </w:style>
  <w:style w:type="character" w:styleId="Zkladntext2Char12">
    <w:name w:val="Základný text 2 Char12"/>
    <w:qFormat/>
    <w:rPr>
      <w:rFonts w:cs="Times New Roman"/>
      <w:sz w:val="36"/>
      <w:szCs w:val="36"/>
    </w:rPr>
  </w:style>
  <w:style w:type="character" w:styleId="Zkladntext2Char11">
    <w:name w:val="Základný text 2 Char11"/>
    <w:qFormat/>
    <w:rPr>
      <w:rFonts w:cs="Times New Roman"/>
      <w:sz w:val="36"/>
      <w:szCs w:val="36"/>
    </w:rPr>
  </w:style>
  <w:style w:type="character" w:styleId="Zarkazkladnhotextu2Char128">
    <w:name w:val="Zarážka základného textu 2 Char128"/>
    <w:qFormat/>
    <w:rPr>
      <w:rFonts w:cs="Times New Roman"/>
      <w:sz w:val="36"/>
      <w:szCs w:val="36"/>
    </w:rPr>
  </w:style>
  <w:style w:type="character" w:styleId="Zarkazkladnhotextu2Char">
    <w:name w:val="Zarážka základného textu 2 Char"/>
    <w:qFormat/>
    <w:rPr>
      <w:rFonts w:cs="Times New Roman"/>
      <w:sz w:val="36"/>
      <w:szCs w:val="36"/>
    </w:rPr>
  </w:style>
  <w:style w:type="character" w:styleId="Zarkazkladnhotextu2Char127">
    <w:name w:val="Zarážka základného textu 2 Char127"/>
    <w:qFormat/>
    <w:rPr>
      <w:rFonts w:cs="Times New Roman"/>
      <w:sz w:val="36"/>
      <w:szCs w:val="36"/>
    </w:rPr>
  </w:style>
  <w:style w:type="character" w:styleId="Zarkazkladnhotextu2Char126">
    <w:name w:val="Zarážka základného textu 2 Char126"/>
    <w:qFormat/>
    <w:rPr>
      <w:rFonts w:cs="Times New Roman"/>
      <w:sz w:val="36"/>
      <w:szCs w:val="36"/>
    </w:rPr>
  </w:style>
  <w:style w:type="character" w:styleId="Zarkazkladnhotextu2Char125">
    <w:name w:val="Zarážka základného textu 2 Char125"/>
    <w:qFormat/>
    <w:rPr>
      <w:rFonts w:cs="Times New Roman"/>
      <w:sz w:val="36"/>
      <w:szCs w:val="36"/>
    </w:rPr>
  </w:style>
  <w:style w:type="character" w:styleId="Zarkazkladnhotextu2Char124">
    <w:name w:val="Zarážka základného textu 2 Char124"/>
    <w:qFormat/>
    <w:rPr>
      <w:rFonts w:cs="Times New Roman"/>
      <w:sz w:val="36"/>
      <w:szCs w:val="36"/>
    </w:rPr>
  </w:style>
  <w:style w:type="character" w:styleId="Zarkazkladnhotextu2Char123">
    <w:name w:val="Zarážka základného textu 2 Char123"/>
    <w:qFormat/>
    <w:rPr>
      <w:rFonts w:cs="Times New Roman"/>
      <w:sz w:val="36"/>
      <w:szCs w:val="36"/>
    </w:rPr>
  </w:style>
  <w:style w:type="character" w:styleId="Zarkazkladnhotextu2Char122">
    <w:name w:val="Zarážka základného textu 2 Char122"/>
    <w:qFormat/>
    <w:rPr>
      <w:rFonts w:cs="Times New Roman"/>
      <w:sz w:val="36"/>
      <w:szCs w:val="36"/>
    </w:rPr>
  </w:style>
  <w:style w:type="character" w:styleId="Zarkazkladnhotextu2Char121">
    <w:name w:val="Zarážka základného textu 2 Char121"/>
    <w:qFormat/>
    <w:rPr>
      <w:rFonts w:cs="Times New Roman"/>
      <w:sz w:val="36"/>
      <w:szCs w:val="36"/>
    </w:rPr>
  </w:style>
  <w:style w:type="character" w:styleId="Zarkazkladnhotextu2Char120">
    <w:name w:val="Zarážka základného textu 2 Char120"/>
    <w:qFormat/>
    <w:rPr>
      <w:rFonts w:cs="Times New Roman"/>
      <w:sz w:val="36"/>
      <w:szCs w:val="36"/>
    </w:rPr>
  </w:style>
  <w:style w:type="character" w:styleId="Zarkazkladnhotextu2Char119">
    <w:name w:val="Zarážka základného textu 2 Char119"/>
    <w:qFormat/>
    <w:rPr>
      <w:rFonts w:cs="Times New Roman"/>
      <w:sz w:val="36"/>
      <w:szCs w:val="36"/>
    </w:rPr>
  </w:style>
  <w:style w:type="character" w:styleId="Zarkazkladnhotextu2Char118">
    <w:name w:val="Zarážka základného textu 2 Char118"/>
    <w:qFormat/>
    <w:rPr>
      <w:rFonts w:cs="Times New Roman"/>
      <w:sz w:val="36"/>
      <w:szCs w:val="36"/>
    </w:rPr>
  </w:style>
  <w:style w:type="character" w:styleId="Zarkazkladnhotextu2Char117">
    <w:name w:val="Zarážka základného textu 2 Char117"/>
    <w:qFormat/>
    <w:rPr>
      <w:rFonts w:cs="Times New Roman"/>
      <w:sz w:val="36"/>
      <w:szCs w:val="36"/>
    </w:rPr>
  </w:style>
  <w:style w:type="character" w:styleId="Zarkazkladnhotextu2Char116">
    <w:name w:val="Zarážka základného textu 2 Char116"/>
    <w:qFormat/>
    <w:rPr>
      <w:rFonts w:cs="Times New Roman"/>
      <w:sz w:val="36"/>
      <w:szCs w:val="36"/>
    </w:rPr>
  </w:style>
  <w:style w:type="character" w:styleId="Zarkazkladnhotextu2Char115">
    <w:name w:val="Zarážka základného textu 2 Char115"/>
    <w:qFormat/>
    <w:rPr>
      <w:rFonts w:cs="Times New Roman"/>
      <w:sz w:val="36"/>
      <w:szCs w:val="36"/>
    </w:rPr>
  </w:style>
  <w:style w:type="character" w:styleId="Zarkazkladnhotextu2Char114">
    <w:name w:val="Zarážka základného textu 2 Char114"/>
    <w:qFormat/>
    <w:rPr>
      <w:rFonts w:cs="Times New Roman"/>
      <w:sz w:val="36"/>
      <w:szCs w:val="36"/>
    </w:rPr>
  </w:style>
  <w:style w:type="character" w:styleId="Zarkazkladnhotextu2Char113">
    <w:name w:val="Zarážka základného textu 2 Char113"/>
    <w:qFormat/>
    <w:rPr>
      <w:rFonts w:cs="Times New Roman"/>
      <w:sz w:val="36"/>
      <w:szCs w:val="36"/>
    </w:rPr>
  </w:style>
  <w:style w:type="character" w:styleId="Zarkazkladnhotextu2Char112">
    <w:name w:val="Zarážka základného textu 2 Char112"/>
    <w:qFormat/>
    <w:rPr>
      <w:rFonts w:cs="Times New Roman"/>
      <w:sz w:val="36"/>
      <w:szCs w:val="36"/>
    </w:rPr>
  </w:style>
  <w:style w:type="character" w:styleId="Zarkazkladnhotextu2Char111">
    <w:name w:val="Zarážka základného textu 2 Char111"/>
    <w:qFormat/>
    <w:rPr>
      <w:rFonts w:cs="Times New Roman"/>
      <w:sz w:val="36"/>
      <w:szCs w:val="36"/>
    </w:rPr>
  </w:style>
  <w:style w:type="character" w:styleId="Zarkazkladnhotextu2Char110">
    <w:name w:val="Zarážka základného textu 2 Char110"/>
    <w:qFormat/>
    <w:rPr>
      <w:rFonts w:cs="Times New Roman"/>
      <w:sz w:val="36"/>
      <w:szCs w:val="36"/>
    </w:rPr>
  </w:style>
  <w:style w:type="character" w:styleId="Zarkazkladnhotextu2Char19">
    <w:name w:val="Zarážka základného textu 2 Char19"/>
    <w:qFormat/>
    <w:rPr>
      <w:rFonts w:cs="Times New Roman"/>
      <w:sz w:val="36"/>
      <w:szCs w:val="36"/>
    </w:rPr>
  </w:style>
  <w:style w:type="character" w:styleId="Zarkazkladnhotextu2Char18">
    <w:name w:val="Zarážka základného textu 2 Char18"/>
    <w:qFormat/>
    <w:rPr>
      <w:rFonts w:cs="Times New Roman"/>
      <w:sz w:val="36"/>
      <w:szCs w:val="36"/>
    </w:rPr>
  </w:style>
  <w:style w:type="character" w:styleId="Zarkazkladnhotextu2Char17">
    <w:name w:val="Zarážka základného textu 2 Char17"/>
    <w:qFormat/>
    <w:rPr>
      <w:rFonts w:cs="Times New Roman"/>
      <w:sz w:val="36"/>
      <w:szCs w:val="36"/>
    </w:rPr>
  </w:style>
  <w:style w:type="character" w:styleId="Zarkazkladnhotextu2Char16">
    <w:name w:val="Zarážka základného textu 2 Char16"/>
    <w:qFormat/>
    <w:rPr>
      <w:rFonts w:cs="Times New Roman"/>
      <w:sz w:val="36"/>
      <w:szCs w:val="36"/>
    </w:rPr>
  </w:style>
  <w:style w:type="character" w:styleId="Zarkazkladnhotextu2Char15">
    <w:name w:val="Zarážka základného textu 2 Char15"/>
    <w:qFormat/>
    <w:rPr>
      <w:rFonts w:cs="Times New Roman"/>
      <w:sz w:val="36"/>
      <w:szCs w:val="36"/>
    </w:rPr>
  </w:style>
  <w:style w:type="character" w:styleId="Zarkazkladnhotextu2Char14">
    <w:name w:val="Zarážka základného textu 2 Char14"/>
    <w:qFormat/>
    <w:rPr>
      <w:rFonts w:cs="Times New Roman"/>
      <w:sz w:val="36"/>
      <w:szCs w:val="36"/>
    </w:rPr>
  </w:style>
  <w:style w:type="character" w:styleId="Zarkazkladnhotextu2Char13">
    <w:name w:val="Zarážka základného textu 2 Char13"/>
    <w:qFormat/>
    <w:rPr>
      <w:rFonts w:cs="Times New Roman"/>
      <w:sz w:val="36"/>
      <w:szCs w:val="36"/>
    </w:rPr>
  </w:style>
  <w:style w:type="character" w:styleId="Zarkazkladnhotextu2Char12">
    <w:name w:val="Zarážka základného textu 2 Char12"/>
    <w:qFormat/>
    <w:rPr>
      <w:rFonts w:cs="Times New Roman"/>
      <w:sz w:val="36"/>
      <w:szCs w:val="36"/>
    </w:rPr>
  </w:style>
  <w:style w:type="character" w:styleId="Zarkazkladnhotextu2Char11">
    <w:name w:val="Zarážka základného textu 2 Char11"/>
    <w:qFormat/>
    <w:rPr>
      <w:rFonts w:cs="Times New Roman"/>
      <w:sz w:val="36"/>
      <w:szCs w:val="36"/>
    </w:rPr>
  </w:style>
  <w:style w:type="character" w:styleId="Zarkazkladnhotextu3Char128">
    <w:name w:val="Zarážka základného textu 3 Char128"/>
    <w:qFormat/>
    <w:rPr>
      <w:rFonts w:cs="Times New Roman"/>
      <w:sz w:val="16"/>
      <w:szCs w:val="16"/>
    </w:rPr>
  </w:style>
  <w:style w:type="character" w:styleId="Zarkazkladnhotextu3Char">
    <w:name w:val="Zarážka základného textu 3 Char"/>
    <w:qFormat/>
    <w:rPr>
      <w:rFonts w:cs="Times New Roman"/>
      <w:sz w:val="16"/>
      <w:szCs w:val="16"/>
    </w:rPr>
  </w:style>
  <w:style w:type="character" w:styleId="Zarkazkladnhotextu3Char127">
    <w:name w:val="Zarážka základného textu 3 Char127"/>
    <w:qFormat/>
    <w:rPr>
      <w:rFonts w:cs="Times New Roman"/>
      <w:sz w:val="16"/>
      <w:szCs w:val="16"/>
    </w:rPr>
  </w:style>
  <w:style w:type="character" w:styleId="Zarkazkladnhotextu3Char126">
    <w:name w:val="Zarážka základného textu 3 Char126"/>
    <w:qFormat/>
    <w:rPr>
      <w:rFonts w:cs="Times New Roman"/>
      <w:sz w:val="16"/>
      <w:szCs w:val="16"/>
    </w:rPr>
  </w:style>
  <w:style w:type="character" w:styleId="Zarkazkladnhotextu3Char125">
    <w:name w:val="Zarážka základného textu 3 Char125"/>
    <w:qFormat/>
    <w:rPr>
      <w:rFonts w:cs="Times New Roman"/>
      <w:sz w:val="16"/>
      <w:szCs w:val="16"/>
    </w:rPr>
  </w:style>
  <w:style w:type="character" w:styleId="Zarkazkladnhotextu3Char124">
    <w:name w:val="Zarážka základného textu 3 Char124"/>
    <w:qFormat/>
    <w:rPr>
      <w:rFonts w:cs="Times New Roman"/>
      <w:sz w:val="16"/>
      <w:szCs w:val="16"/>
    </w:rPr>
  </w:style>
  <w:style w:type="character" w:styleId="Zarkazkladnhotextu3Char123">
    <w:name w:val="Zarážka základného textu 3 Char123"/>
    <w:qFormat/>
    <w:rPr>
      <w:rFonts w:cs="Times New Roman"/>
      <w:sz w:val="16"/>
      <w:szCs w:val="16"/>
    </w:rPr>
  </w:style>
  <w:style w:type="character" w:styleId="Zarkazkladnhotextu3Char122">
    <w:name w:val="Zarážka základného textu 3 Char122"/>
    <w:qFormat/>
    <w:rPr>
      <w:rFonts w:cs="Times New Roman"/>
      <w:sz w:val="16"/>
      <w:szCs w:val="16"/>
    </w:rPr>
  </w:style>
  <w:style w:type="character" w:styleId="Zarkazkladnhotextu3Char121">
    <w:name w:val="Zarážka základného textu 3 Char121"/>
    <w:qFormat/>
    <w:rPr>
      <w:rFonts w:cs="Times New Roman"/>
      <w:sz w:val="16"/>
      <w:szCs w:val="16"/>
    </w:rPr>
  </w:style>
  <w:style w:type="character" w:styleId="Zarkazkladnhotextu3Char120">
    <w:name w:val="Zarážka základného textu 3 Char120"/>
    <w:qFormat/>
    <w:rPr>
      <w:rFonts w:cs="Times New Roman"/>
      <w:sz w:val="16"/>
      <w:szCs w:val="16"/>
    </w:rPr>
  </w:style>
  <w:style w:type="character" w:styleId="Zarkazkladnhotextu3Char119">
    <w:name w:val="Zarážka základného textu 3 Char119"/>
    <w:qFormat/>
    <w:rPr>
      <w:rFonts w:cs="Times New Roman"/>
      <w:sz w:val="16"/>
      <w:szCs w:val="16"/>
    </w:rPr>
  </w:style>
  <w:style w:type="character" w:styleId="Zarkazkladnhotextu3Char118">
    <w:name w:val="Zarážka základného textu 3 Char118"/>
    <w:qFormat/>
    <w:rPr>
      <w:rFonts w:cs="Times New Roman"/>
      <w:sz w:val="16"/>
      <w:szCs w:val="16"/>
    </w:rPr>
  </w:style>
  <w:style w:type="character" w:styleId="Zarkazkladnhotextu3Char117">
    <w:name w:val="Zarážka základného textu 3 Char117"/>
    <w:qFormat/>
    <w:rPr>
      <w:rFonts w:cs="Times New Roman"/>
      <w:sz w:val="16"/>
      <w:szCs w:val="16"/>
    </w:rPr>
  </w:style>
  <w:style w:type="character" w:styleId="Zarkazkladnhotextu3Char116">
    <w:name w:val="Zarážka základného textu 3 Char116"/>
    <w:qFormat/>
    <w:rPr>
      <w:rFonts w:cs="Times New Roman"/>
      <w:sz w:val="16"/>
      <w:szCs w:val="16"/>
    </w:rPr>
  </w:style>
  <w:style w:type="character" w:styleId="Zarkazkladnhotextu3Char115">
    <w:name w:val="Zarážka základného textu 3 Char115"/>
    <w:qFormat/>
    <w:rPr>
      <w:rFonts w:cs="Times New Roman"/>
      <w:sz w:val="16"/>
      <w:szCs w:val="16"/>
    </w:rPr>
  </w:style>
  <w:style w:type="character" w:styleId="Zarkazkladnhotextu3Char114">
    <w:name w:val="Zarážka základného textu 3 Char114"/>
    <w:qFormat/>
    <w:rPr>
      <w:rFonts w:cs="Times New Roman"/>
      <w:sz w:val="16"/>
      <w:szCs w:val="16"/>
    </w:rPr>
  </w:style>
  <w:style w:type="character" w:styleId="Zarkazkladnhotextu3Char113">
    <w:name w:val="Zarážka základného textu 3 Char113"/>
    <w:qFormat/>
    <w:rPr>
      <w:rFonts w:cs="Times New Roman"/>
      <w:sz w:val="16"/>
      <w:szCs w:val="16"/>
    </w:rPr>
  </w:style>
  <w:style w:type="character" w:styleId="Zarkazkladnhotextu3Char112">
    <w:name w:val="Zarážka základného textu 3 Char112"/>
    <w:qFormat/>
    <w:rPr>
      <w:rFonts w:cs="Times New Roman"/>
      <w:sz w:val="16"/>
      <w:szCs w:val="16"/>
    </w:rPr>
  </w:style>
  <w:style w:type="character" w:styleId="Zarkazkladnhotextu3Char111">
    <w:name w:val="Zarážka základného textu 3 Char111"/>
    <w:qFormat/>
    <w:rPr>
      <w:rFonts w:cs="Times New Roman"/>
      <w:sz w:val="16"/>
      <w:szCs w:val="16"/>
    </w:rPr>
  </w:style>
  <w:style w:type="character" w:styleId="Zarkazkladnhotextu3Char110">
    <w:name w:val="Zarážka základného textu 3 Char110"/>
    <w:qFormat/>
    <w:rPr>
      <w:rFonts w:cs="Times New Roman"/>
      <w:sz w:val="16"/>
      <w:szCs w:val="16"/>
    </w:rPr>
  </w:style>
  <w:style w:type="character" w:styleId="Zarkazkladnhotextu3Char19">
    <w:name w:val="Zarážka základného textu 3 Char19"/>
    <w:qFormat/>
    <w:rPr>
      <w:rFonts w:cs="Times New Roman"/>
      <w:sz w:val="16"/>
      <w:szCs w:val="16"/>
    </w:rPr>
  </w:style>
  <w:style w:type="character" w:styleId="Zarkazkladnhotextu3Char18">
    <w:name w:val="Zarážka základného textu 3 Char18"/>
    <w:qFormat/>
    <w:rPr>
      <w:rFonts w:cs="Times New Roman"/>
      <w:sz w:val="16"/>
      <w:szCs w:val="16"/>
    </w:rPr>
  </w:style>
  <w:style w:type="character" w:styleId="Zarkazkladnhotextu3Char17">
    <w:name w:val="Zarážka základného textu 3 Char17"/>
    <w:qFormat/>
    <w:rPr>
      <w:rFonts w:cs="Times New Roman"/>
      <w:sz w:val="16"/>
      <w:szCs w:val="16"/>
    </w:rPr>
  </w:style>
  <w:style w:type="character" w:styleId="Zarkazkladnhotextu3Char16">
    <w:name w:val="Zarážka základného textu 3 Char16"/>
    <w:qFormat/>
    <w:rPr>
      <w:rFonts w:cs="Times New Roman"/>
      <w:sz w:val="16"/>
      <w:szCs w:val="16"/>
    </w:rPr>
  </w:style>
  <w:style w:type="character" w:styleId="Zarkazkladnhotextu3Char15">
    <w:name w:val="Zarážka základného textu 3 Char15"/>
    <w:qFormat/>
    <w:rPr>
      <w:rFonts w:cs="Times New Roman"/>
      <w:sz w:val="16"/>
      <w:szCs w:val="16"/>
    </w:rPr>
  </w:style>
  <w:style w:type="character" w:styleId="Zarkazkladnhotextu3Char14">
    <w:name w:val="Zarážka základného textu 3 Char14"/>
    <w:qFormat/>
    <w:rPr>
      <w:rFonts w:cs="Times New Roman"/>
      <w:sz w:val="16"/>
      <w:szCs w:val="16"/>
    </w:rPr>
  </w:style>
  <w:style w:type="character" w:styleId="Zarkazkladnhotextu3Char13">
    <w:name w:val="Zarážka základného textu 3 Char13"/>
    <w:qFormat/>
    <w:rPr>
      <w:rFonts w:cs="Times New Roman"/>
      <w:sz w:val="16"/>
      <w:szCs w:val="16"/>
    </w:rPr>
  </w:style>
  <w:style w:type="character" w:styleId="Zarkazkladnhotextu3Char12">
    <w:name w:val="Zarážka základného textu 3 Char12"/>
    <w:qFormat/>
    <w:rPr>
      <w:rFonts w:cs="Times New Roman"/>
      <w:sz w:val="16"/>
      <w:szCs w:val="16"/>
    </w:rPr>
  </w:style>
  <w:style w:type="character" w:styleId="Zarkazkladnhotextu3Char11">
    <w:name w:val="Zarážka základného textu 3 Char11"/>
    <w:qFormat/>
    <w:rPr>
      <w:rFonts w:cs="Times New Roman"/>
      <w:sz w:val="16"/>
      <w:szCs w:val="16"/>
    </w:rPr>
  </w:style>
  <w:style w:type="character" w:styleId="TextbublinyChar128">
    <w:name w:val="Text bubliny Char128"/>
    <w:qFormat/>
    <w:rPr>
      <w:rFonts w:ascii="Tahoma" w:hAnsi="Tahoma" w:cs="Tahoma"/>
      <w:sz w:val="16"/>
      <w:szCs w:val="16"/>
    </w:rPr>
  </w:style>
  <w:style w:type="character" w:styleId="TextbublinyChar">
    <w:name w:val="Text bubliny Char"/>
    <w:qFormat/>
    <w:rPr>
      <w:rFonts w:ascii="Tahoma" w:hAnsi="Tahoma" w:cs="Tahoma"/>
      <w:sz w:val="16"/>
      <w:szCs w:val="16"/>
    </w:rPr>
  </w:style>
  <w:style w:type="character" w:styleId="TextbublinyChar127">
    <w:name w:val="Text bubliny Char127"/>
    <w:qFormat/>
    <w:rPr>
      <w:rFonts w:ascii="Tahoma" w:hAnsi="Tahoma" w:cs="Tahoma"/>
      <w:sz w:val="16"/>
      <w:szCs w:val="16"/>
    </w:rPr>
  </w:style>
  <w:style w:type="character" w:styleId="TextbublinyChar126">
    <w:name w:val="Text bubliny Char126"/>
    <w:qFormat/>
    <w:rPr>
      <w:rFonts w:ascii="Tahoma" w:hAnsi="Tahoma" w:cs="Tahoma"/>
      <w:sz w:val="16"/>
      <w:szCs w:val="16"/>
    </w:rPr>
  </w:style>
  <w:style w:type="character" w:styleId="TextbublinyChar125">
    <w:name w:val="Text bubliny Char125"/>
    <w:qFormat/>
    <w:rPr>
      <w:rFonts w:ascii="Tahoma" w:hAnsi="Tahoma" w:cs="Tahoma"/>
      <w:sz w:val="16"/>
      <w:szCs w:val="16"/>
    </w:rPr>
  </w:style>
  <w:style w:type="character" w:styleId="TextbublinyChar124">
    <w:name w:val="Text bubliny Char124"/>
    <w:qFormat/>
    <w:rPr>
      <w:rFonts w:ascii="Tahoma" w:hAnsi="Tahoma" w:cs="Tahoma"/>
      <w:sz w:val="16"/>
      <w:szCs w:val="16"/>
    </w:rPr>
  </w:style>
  <w:style w:type="character" w:styleId="TextbublinyChar123">
    <w:name w:val="Text bubliny Char123"/>
    <w:qFormat/>
    <w:rPr>
      <w:rFonts w:ascii="Tahoma" w:hAnsi="Tahoma" w:cs="Tahoma"/>
      <w:sz w:val="16"/>
      <w:szCs w:val="16"/>
    </w:rPr>
  </w:style>
  <w:style w:type="character" w:styleId="TextbublinyChar122">
    <w:name w:val="Text bubliny Char122"/>
    <w:qFormat/>
    <w:rPr>
      <w:rFonts w:ascii="Tahoma" w:hAnsi="Tahoma" w:cs="Tahoma"/>
      <w:sz w:val="16"/>
      <w:szCs w:val="16"/>
    </w:rPr>
  </w:style>
  <w:style w:type="character" w:styleId="TextbublinyChar121">
    <w:name w:val="Text bubliny Char121"/>
    <w:qFormat/>
    <w:rPr>
      <w:rFonts w:ascii="Tahoma" w:hAnsi="Tahoma" w:cs="Tahoma"/>
      <w:sz w:val="16"/>
      <w:szCs w:val="16"/>
    </w:rPr>
  </w:style>
  <w:style w:type="character" w:styleId="TextbublinyChar120">
    <w:name w:val="Text bubliny Char120"/>
    <w:qFormat/>
    <w:rPr>
      <w:rFonts w:ascii="Tahoma" w:hAnsi="Tahoma" w:cs="Tahoma"/>
      <w:sz w:val="16"/>
      <w:szCs w:val="16"/>
    </w:rPr>
  </w:style>
  <w:style w:type="character" w:styleId="TextbublinyChar119">
    <w:name w:val="Text bubliny Char119"/>
    <w:qFormat/>
    <w:rPr>
      <w:rFonts w:ascii="Tahoma" w:hAnsi="Tahoma" w:cs="Tahoma"/>
      <w:sz w:val="16"/>
      <w:szCs w:val="16"/>
    </w:rPr>
  </w:style>
  <w:style w:type="character" w:styleId="TextbublinyChar118">
    <w:name w:val="Text bubliny Char118"/>
    <w:qFormat/>
    <w:rPr>
      <w:rFonts w:ascii="Segoe UI" w:hAnsi="Segoe UI" w:cs="Segoe UI"/>
      <w:sz w:val="18"/>
      <w:szCs w:val="18"/>
    </w:rPr>
  </w:style>
  <w:style w:type="character" w:styleId="TextbublinyChar117">
    <w:name w:val="Text bubliny Char117"/>
    <w:qFormat/>
    <w:rPr>
      <w:rFonts w:ascii="Tahoma" w:hAnsi="Tahoma" w:cs="Tahoma"/>
      <w:sz w:val="16"/>
      <w:szCs w:val="16"/>
    </w:rPr>
  </w:style>
  <w:style w:type="character" w:styleId="TextbublinyChar116">
    <w:name w:val="Text bubliny Char116"/>
    <w:qFormat/>
    <w:rPr>
      <w:rFonts w:ascii="Tahoma" w:hAnsi="Tahoma" w:cs="Tahoma"/>
      <w:sz w:val="16"/>
      <w:szCs w:val="16"/>
    </w:rPr>
  </w:style>
  <w:style w:type="character" w:styleId="TextbublinyChar115">
    <w:name w:val="Text bubliny Char115"/>
    <w:qFormat/>
    <w:rPr>
      <w:rFonts w:ascii="Segoe UI" w:hAnsi="Segoe UI" w:cs="Segoe UI"/>
      <w:sz w:val="18"/>
      <w:szCs w:val="18"/>
    </w:rPr>
  </w:style>
  <w:style w:type="character" w:styleId="TextbublinyChar114">
    <w:name w:val="Text bubliny Char114"/>
    <w:qFormat/>
    <w:rPr>
      <w:rFonts w:ascii="Segoe UI" w:hAnsi="Segoe UI" w:cs="Segoe UI"/>
      <w:sz w:val="18"/>
      <w:szCs w:val="18"/>
    </w:rPr>
  </w:style>
  <w:style w:type="character" w:styleId="TextbublinyChar113">
    <w:name w:val="Text bubliny Char113"/>
    <w:qFormat/>
    <w:rPr>
      <w:rFonts w:ascii="Tahoma" w:hAnsi="Tahoma" w:cs="Tahoma"/>
      <w:sz w:val="16"/>
      <w:szCs w:val="16"/>
    </w:rPr>
  </w:style>
  <w:style w:type="character" w:styleId="TextbublinyChar112">
    <w:name w:val="Text bubliny Char112"/>
    <w:qFormat/>
    <w:rPr>
      <w:rFonts w:ascii="Tahoma" w:hAnsi="Tahoma" w:cs="Tahoma"/>
      <w:sz w:val="16"/>
      <w:szCs w:val="16"/>
    </w:rPr>
  </w:style>
  <w:style w:type="character" w:styleId="TextbublinyChar111">
    <w:name w:val="Text bubliny Char111"/>
    <w:qFormat/>
    <w:rPr>
      <w:rFonts w:ascii="Tahoma" w:hAnsi="Tahoma" w:cs="Tahoma"/>
      <w:sz w:val="16"/>
      <w:szCs w:val="16"/>
    </w:rPr>
  </w:style>
  <w:style w:type="character" w:styleId="TextbublinyChar110">
    <w:name w:val="Text bubliny Char110"/>
    <w:qFormat/>
    <w:rPr>
      <w:rFonts w:ascii="Tahoma" w:hAnsi="Tahoma" w:cs="Tahoma"/>
      <w:sz w:val="16"/>
      <w:szCs w:val="16"/>
    </w:rPr>
  </w:style>
  <w:style w:type="character" w:styleId="TextbublinyChar19">
    <w:name w:val="Text bubliny Char19"/>
    <w:qFormat/>
    <w:rPr>
      <w:rFonts w:ascii="Tahoma" w:hAnsi="Tahoma" w:cs="Tahoma"/>
      <w:sz w:val="16"/>
      <w:szCs w:val="16"/>
    </w:rPr>
  </w:style>
  <w:style w:type="character" w:styleId="TextbublinyChar18">
    <w:name w:val="Text bubliny Char18"/>
    <w:qFormat/>
    <w:rPr>
      <w:rFonts w:ascii="Tahoma" w:hAnsi="Tahoma" w:cs="Tahoma"/>
      <w:sz w:val="16"/>
      <w:szCs w:val="16"/>
    </w:rPr>
  </w:style>
  <w:style w:type="character" w:styleId="TextbublinyChar17">
    <w:name w:val="Text bubliny Char17"/>
    <w:qFormat/>
    <w:rPr>
      <w:rFonts w:ascii="Tahoma" w:hAnsi="Tahoma" w:cs="Tahoma"/>
      <w:sz w:val="16"/>
      <w:szCs w:val="16"/>
    </w:rPr>
  </w:style>
  <w:style w:type="character" w:styleId="TextbublinyChar16">
    <w:name w:val="Text bubliny Char16"/>
    <w:qFormat/>
    <w:rPr>
      <w:rFonts w:ascii="Tahoma" w:hAnsi="Tahoma" w:cs="Tahoma"/>
      <w:sz w:val="16"/>
      <w:szCs w:val="16"/>
    </w:rPr>
  </w:style>
  <w:style w:type="character" w:styleId="TextbublinyChar15">
    <w:name w:val="Text bubliny Char15"/>
    <w:qFormat/>
    <w:rPr>
      <w:rFonts w:ascii="Tahoma" w:hAnsi="Tahoma" w:cs="Tahoma"/>
      <w:sz w:val="16"/>
      <w:szCs w:val="16"/>
    </w:rPr>
  </w:style>
  <w:style w:type="character" w:styleId="TextbublinyChar14">
    <w:name w:val="Text bubliny Char14"/>
    <w:qFormat/>
    <w:rPr>
      <w:rFonts w:ascii="Tahoma" w:hAnsi="Tahoma" w:cs="Tahoma"/>
      <w:sz w:val="16"/>
      <w:szCs w:val="16"/>
    </w:rPr>
  </w:style>
  <w:style w:type="character" w:styleId="TextbublinyChar13">
    <w:name w:val="Text bubliny Char13"/>
    <w:qFormat/>
    <w:rPr>
      <w:rFonts w:ascii="Tahoma" w:hAnsi="Tahoma" w:cs="Tahoma"/>
      <w:sz w:val="16"/>
      <w:szCs w:val="16"/>
    </w:rPr>
  </w:style>
  <w:style w:type="character" w:styleId="TextbublinyChar12">
    <w:name w:val="Text bubliny Char12"/>
    <w:qFormat/>
    <w:rPr>
      <w:rFonts w:ascii="Tahoma" w:hAnsi="Tahoma" w:cs="Tahoma"/>
      <w:sz w:val="16"/>
      <w:szCs w:val="16"/>
    </w:rPr>
  </w:style>
  <w:style w:type="character" w:styleId="TextbublinyChar11">
    <w:name w:val="Text bubliny Char11"/>
    <w:qFormat/>
    <w:rPr>
      <w:rFonts w:ascii="Tahoma" w:hAnsi="Tahoma" w:cs="Tahoma"/>
      <w:sz w:val="16"/>
      <w:szCs w:val="16"/>
    </w:rPr>
  </w:style>
  <w:style w:type="character" w:styleId="Znakyprepoznmkupodiarou">
    <w:name w:val="Znaky pre poznámku pod čiarou"/>
    <w:qFormat/>
    <w:rPr>
      <w:vertAlign w:val="superscript"/>
    </w:rPr>
  </w:style>
  <w:style w:type="paragraph" w:styleId="Nadpis">
    <w:name w:val="Nadpis"/>
    <w:basedOn w:val="Normal"/>
    <w:next w:val="Normal"/>
    <w:qFormat/>
    <w:pPr>
      <w:keepNext w:val="true"/>
      <w:spacing w:lineRule="auto" w:line="240" w:before="280" w:after="220"/>
      <w:jc w:val="center"/>
      <w:outlineLvl w:val="0"/>
    </w:pPr>
    <w:rPr>
      <w:b/>
      <w:bCs/>
      <w:kern w:val="2"/>
      <w:szCs w:val="32"/>
    </w:rPr>
  </w:style>
  <w:style w:type="paragraph" w:styleId="Telotextu">
    <w:name w:val="Body Text"/>
    <w:basedOn w:val="Normal"/>
    <w:pPr>
      <w:spacing w:lineRule="auto" w:line="240" w:before="0" w:after="0"/>
      <w:jc w:val="both"/>
    </w:pPr>
    <w:rPr>
      <w:rFonts w:ascii="Times New Roman" w:hAnsi="Times New Roman" w:cs="Times New Roman"/>
      <w:b/>
      <w:bCs/>
      <w:sz w:val="24"/>
      <w:szCs w:val="24"/>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Hlavikaapta">
    <w:name w:val="Hlavička a päta"/>
    <w:basedOn w:val="Normal"/>
    <w:qFormat/>
    <w:pPr>
      <w:suppressLineNumbers/>
      <w:tabs>
        <w:tab w:val="clear" w:pos="708"/>
        <w:tab w:val="center" w:pos="4819" w:leader="none"/>
        <w:tab w:val="right" w:pos="9638" w:leader="none"/>
      </w:tabs>
    </w:pPr>
    <w:rPr/>
  </w:style>
  <w:style w:type="paragraph" w:styleId="Hlavika">
    <w:name w:val="Header"/>
    <w:basedOn w:val="Normal"/>
    <w:pPr>
      <w:tabs>
        <w:tab w:val="clear" w:pos="708"/>
        <w:tab w:val="center" w:pos="4536" w:leader="none"/>
        <w:tab w:val="right" w:pos="9072" w:leader="none"/>
      </w:tabs>
      <w:spacing w:lineRule="auto" w:line="240" w:before="0" w:after="0"/>
    </w:pPr>
    <w:rPr/>
  </w:style>
  <w:style w:type="paragraph" w:styleId="Pta">
    <w:name w:val="Footer"/>
    <w:basedOn w:val="Normal"/>
    <w:pPr>
      <w:tabs>
        <w:tab w:val="clear" w:pos="708"/>
        <w:tab w:val="center" w:pos="4536" w:leader="none"/>
        <w:tab w:val="right" w:pos="9072" w:leader="none"/>
      </w:tabs>
      <w:spacing w:lineRule="auto" w:line="240" w:before="0" w:after="0"/>
    </w:pPr>
    <w:rPr/>
  </w:style>
  <w:style w:type="paragraph" w:styleId="Poznmkapodiarou">
    <w:name w:val="Footnote Text"/>
    <w:basedOn w:val="Normal"/>
    <w:pPr>
      <w:spacing w:lineRule="auto" w:line="240" w:before="0" w:after="0"/>
    </w:pPr>
    <w:rPr>
      <w:rFonts w:ascii="Times New Roman" w:hAnsi="Times New Roman" w:cs="Times New Roman"/>
      <w:sz w:val="20"/>
      <w:szCs w:val="20"/>
    </w:rPr>
  </w:style>
  <w:style w:type="paragraph" w:styleId="Podnzov">
    <w:name w:val="Subtitle"/>
    <w:basedOn w:val="Normal"/>
    <w:next w:val="Normal"/>
    <w:qFormat/>
    <w:pPr>
      <w:spacing w:lineRule="auto" w:line="240" w:before="0" w:after="60"/>
      <w:jc w:val="center"/>
      <w:outlineLvl w:val="1"/>
    </w:pPr>
    <w:rPr>
      <w:rFonts w:ascii="Cambria" w:hAnsi="Cambria" w:cs="Cambria"/>
      <w:szCs w:val="24"/>
    </w:rPr>
  </w:style>
  <w:style w:type="paragraph" w:styleId="Zkladntext2">
    <w:name w:val="Základný text 2"/>
    <w:basedOn w:val="Normal"/>
    <w:qFormat/>
    <w:pPr>
      <w:spacing w:lineRule="auto" w:line="240" w:before="0" w:after="0"/>
      <w:ind w:left="2124" w:right="0" w:hanging="2124"/>
      <w:jc w:val="both"/>
    </w:pPr>
    <w:rPr>
      <w:rFonts w:ascii="Times New Roman" w:hAnsi="Times New Roman" w:cs="Times New Roman"/>
      <w:sz w:val="24"/>
      <w:szCs w:val="24"/>
    </w:rPr>
  </w:style>
  <w:style w:type="paragraph" w:styleId="Zarkazkladnhotextu2">
    <w:name w:val="Zarážka základného textu 2"/>
    <w:basedOn w:val="Normal"/>
    <w:qFormat/>
    <w:pPr>
      <w:spacing w:lineRule="auto" w:line="240" w:before="0" w:after="0"/>
      <w:ind w:left="0" w:right="0" w:firstLine="708"/>
      <w:jc w:val="both"/>
    </w:pPr>
    <w:rPr>
      <w:rFonts w:ascii="Times New Roman" w:hAnsi="Times New Roman" w:cs="Times New Roman"/>
      <w:sz w:val="24"/>
      <w:szCs w:val="24"/>
    </w:rPr>
  </w:style>
  <w:style w:type="paragraph" w:styleId="Zarkazkladnhotextu3">
    <w:name w:val="Zarážka základného textu 3"/>
    <w:basedOn w:val="Normal"/>
    <w:qFormat/>
    <w:pPr>
      <w:spacing w:lineRule="auto" w:line="240" w:before="0" w:after="0"/>
      <w:ind w:left="708" w:right="0" w:firstLine="708"/>
      <w:jc w:val="both"/>
    </w:pPr>
    <w:rPr>
      <w:rFonts w:ascii="Times New Roman" w:hAnsi="Times New Roman" w:cs="Times New Roman"/>
      <w:sz w:val="24"/>
      <w:szCs w:val="24"/>
    </w:rPr>
  </w:style>
  <w:style w:type="paragraph" w:styleId="Textbubliny">
    <w:name w:val="Text bubliny"/>
    <w:basedOn w:val="Normal"/>
    <w:qFormat/>
    <w:pPr>
      <w:spacing w:lineRule="auto" w:line="240" w:before="0" w:after="0"/>
    </w:pPr>
    <w:rPr>
      <w:rFonts w:ascii="Tahoma" w:hAnsi="Tahoma" w:cs="Tahoma"/>
      <w:sz w:val="16"/>
      <w:szCs w:val="16"/>
    </w:rPr>
  </w:style>
  <w:style w:type="paragraph" w:styleId="Odsekzoznamu">
    <w:name w:val="Odsek zoznamu"/>
    <w:basedOn w:val="Normal"/>
    <w:qFormat/>
    <w:pPr>
      <w:spacing w:before="0" w:after="200"/>
      <w:ind w:left="720" w:right="0" w:hanging="0"/>
      <w:contextualSpacing/>
    </w:pPr>
    <w:rPr/>
  </w:style>
  <w:style w:type="paragraph" w:styleId="TopHeader">
    <w:name w:val="Top Header"/>
    <w:basedOn w:val="Normal"/>
    <w:qFormat/>
    <w:pPr>
      <w:spacing w:lineRule="auto" w:line="240" w:before="0" w:after="0"/>
      <w:jc w:val="center"/>
    </w:pPr>
    <w:rPr>
      <w:b/>
      <w:bCs/>
      <w:szCs w:val="22"/>
    </w:rPr>
  </w:style>
  <w:style w:type="paragraph" w:styleId="Normlnywebov">
    <w:name w:val="Normálny (webový)"/>
    <w:basedOn w:val="Normal"/>
    <w:qFormat/>
    <w:pPr>
      <w:spacing w:lineRule="auto" w:line="240" w:before="280" w:after="280"/>
    </w:pPr>
    <w:rPr>
      <w:rFonts w:ascii="Times New Roman" w:hAnsi="Times New Roman" w:eastAsia="Times New Roman" w:cs="Times New Roman"/>
      <w:sz w:val="24"/>
      <w:szCs w:val="24"/>
    </w:rPr>
  </w:style>
  <w:style w:type="paragraph" w:styleId="Default">
    <w:name w:val="Default"/>
    <w:qFormat/>
    <w:pPr>
      <w:widowControl/>
      <w:suppressAutoHyphens w:val="true"/>
      <w:autoSpaceDE w:val="false"/>
      <w:bidi w:val="0"/>
    </w:pPr>
    <w:rPr>
      <w:rFonts w:ascii="EUAlbertina;Times New Roman" w:hAnsi="EUAlbertina;Times New Roman" w:eastAsia="Times New Roman" w:cs="EUAlbertina;Times New Roman"/>
      <w:color w:val="000000"/>
      <w:sz w:val="24"/>
      <w:szCs w:val="24"/>
      <w:lang w:val="sk-SK" w:eastAsia="zh-CN" w:bidi="ar-SA"/>
    </w:rPr>
  </w:style>
  <w:style w:type="paragraph" w:styleId="Pismenka">
    <w:name w:val="Pismenka"/>
    <w:basedOn w:val="Telotextu"/>
    <w:qFormat/>
    <w:pPr>
      <w:numPr>
        <w:ilvl w:val="0"/>
        <w:numId w:val="12"/>
      </w:numPr>
    </w:pPr>
    <w:rPr>
      <w:bCs w:val="false"/>
      <w:sz w:val="18"/>
      <w:szCs w:val="20"/>
    </w:rPr>
  </w:style>
  <w:style w:type="paragraph" w:styleId="Obsahtabuky">
    <w:name w:val="Obsah tabuľky"/>
    <w:basedOn w:val="Normal"/>
    <w:qFormat/>
    <w:pPr>
      <w:widowControl w:val="false"/>
      <w:suppressLineNumbers/>
    </w:pPr>
    <w:rPr/>
  </w:style>
  <w:style w:type="paragraph" w:styleId="Zhlavietabuky">
    <w:name w:val="Záhlavie tabuľky"/>
    <w:basedOn w:val="Obsahtabuky"/>
    <w:qFormat/>
    <w:pPr>
      <w:suppressLineNumbers/>
      <w:jc w:val="center"/>
    </w:pPr>
    <w:rPr>
      <w:b/>
      <w:bCs/>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Normal_x0000_</Template>
  <TotalTime>6</TotalTime>
  <Application>LibreOffice/7.5.2.2$Windows_X86_64 LibreOffice_project/53bb9681a964705cf672590721dbc85eb4d0c3a2</Application>
  <AppVersion>15.0000</AppVersion>
  <Pages>9</Pages>
  <Words>721</Words>
  <Characters>4196</Characters>
  <CharactersWithSpaces>5000</CharactersWithSpaces>
  <Paragraphs>94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2024-06-30T18:45:00Z</dcterms:created>
  <dc:creator>EK</dc:creator>
  <dc:description/>
  <dc:language>sk-SK</dc:language>
  <cp:lastModifiedBy/>
  <cp:lastPrinted>2024-06-30T18:40:00Z</cp:lastPrinted>
  <dcterms:modified xsi:type="dcterms:W3CDTF">2025-06-30T19:02:35Z</dcterms:modified>
  <cp:revision>4</cp:revision>
  <dc:subject/>
  <dc:title>Všeobecné informácie</dc:title>
</cp:coreProperties>
</file>