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146" w:type="dxa"/>
        <w:jc w:val="left"/>
        <w:tblInd w:w="5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097"/>
        <w:gridCol w:w="1171"/>
        <w:gridCol w:w="2006"/>
        <w:gridCol w:w="2529"/>
        <w:gridCol w:w="196"/>
        <w:gridCol w:w="146"/>
      </w:tblGrid>
      <w:tr>
        <w:trPr>
          <w:trHeight w:val="420" w:hRule="atLeast"/>
        </w:trPr>
        <w:tc>
          <w:tcPr>
            <w:tcW w:w="8999" w:type="dxa"/>
            <w:gridSpan w:val="5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  <w:tc>
          <w:tcPr>
            <w:tcW w:w="146" w:type="dxa"/>
            <w:tcBorders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8999" w:type="dxa"/>
            <w:gridSpan w:val="5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  zostavenej k 31.12.202</w:t>
            </w:r>
            <w:r>
              <w:rPr>
                <w:rFonts w:eastAsia="Times New Roman" w:cs="Times New Roman"/>
                <w:b/>
                <w:bCs/>
                <w:color w:val="000000"/>
                <w:sz w:val="26"/>
                <w:szCs w:val="26"/>
                <w:lang w:eastAsia="sk-SK"/>
              </w:rPr>
              <w:t>4</w:t>
            </w:r>
          </w:p>
        </w:tc>
        <w:tc>
          <w:tcPr>
            <w:tcW w:w="146" w:type="dxa"/>
            <w:tcBorders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300" w:hRule="atLeast"/>
        </w:trPr>
        <w:tc>
          <w:tcPr>
            <w:tcW w:w="3097" w:type="dxa"/>
            <w:tcBorders/>
            <w:vAlign w:val="bottom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3177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2725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146" w:type="dxa"/>
            <w:tcBorders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8999" w:type="dxa"/>
            <w:gridSpan w:val="5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eastAsia="Times New Roman" w:cs="Times New Roman"/>
                <w:bCs/>
                <w:color w:val="000000"/>
                <w:sz w:val="24"/>
                <w:szCs w:val="24"/>
                <w:lang w:eastAsia="sk-SK"/>
              </w:rPr>
              <w:t>1. Informácie o účtovnej jednotke</w:t>
            </w:r>
          </w:p>
        </w:tc>
        <w:tc>
          <w:tcPr>
            <w:tcW w:w="146" w:type="dxa"/>
            <w:tcBorders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8999" w:type="dxa"/>
            <w:gridSpan w:val="5"/>
            <w:tcBorders/>
            <w:vAlign w:val="center"/>
          </w:tcPr>
          <w:tbl>
            <w:tblPr>
              <w:tblW w:w="8860" w:type="dxa"/>
              <w:jc w:val="left"/>
              <w:tblInd w:w="0" w:type="dxa"/>
              <w:tblLayout w:type="fixed"/>
              <w:tblCellMar>
                <w:top w:w="0" w:type="dxa"/>
                <w:left w:w="70" w:type="dxa"/>
                <w:bottom w:w="0" w:type="dxa"/>
                <w:right w:w="70" w:type="dxa"/>
              </w:tblCellMar>
              <w:tblLook w:firstRow="1" w:noVBand="1" w:lastRow="0" w:firstColumn="1" w:lastColumn="0" w:noHBand="0" w:val="04a0"/>
            </w:tblPr>
            <w:tblGrid>
              <w:gridCol w:w="8088"/>
              <w:gridCol w:w="385"/>
              <w:gridCol w:w="387"/>
            </w:tblGrid>
            <w:tr>
              <w:trPr>
                <w:trHeight w:val="390" w:hRule="atLeast"/>
              </w:trPr>
              <w:tc>
                <w:tcPr>
                  <w:tcW w:w="8860" w:type="dxa"/>
                  <w:gridSpan w:val="3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>
              <w:trPr>
                <w:trHeight w:val="315" w:hRule="atLeast"/>
              </w:trPr>
              <w:tc>
                <w:tcPr>
                  <w:tcW w:w="8473" w:type="dxa"/>
                  <w:gridSpan w:val="2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MVLight s.r.o.</w:t>
                  </w:r>
                </w:p>
              </w:tc>
              <w:tc>
                <w:tcPr>
                  <w:tcW w:w="387" w:type="dxa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>
              <w:trPr>
                <w:trHeight w:val="375" w:hRule="atLeast"/>
              </w:trPr>
              <w:tc>
                <w:tcPr>
                  <w:tcW w:w="8473" w:type="dxa"/>
                  <w:gridSpan w:val="2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Horný rad 538/13</w:t>
                  </w:r>
                </w:p>
              </w:tc>
              <w:tc>
                <w:tcPr>
                  <w:tcW w:w="387" w:type="dxa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>
              <w:trPr>
                <w:trHeight w:val="315" w:hRule="atLeast"/>
              </w:trPr>
              <w:tc>
                <w:tcPr>
                  <w:tcW w:w="8088" w:type="dxa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906 13 Brezová pod Bradlom</w:t>
                  </w:r>
                </w:p>
              </w:tc>
              <w:tc>
                <w:tcPr>
                  <w:tcW w:w="385" w:type="dxa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7" w:type="dxa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8088" w:type="dxa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5" w:type="dxa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7" w:type="dxa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>
              <w:trPr>
                <w:trHeight w:val="315" w:hRule="atLeast"/>
              </w:trPr>
              <w:tc>
                <w:tcPr>
                  <w:tcW w:w="8860" w:type="dxa"/>
                  <w:gridSpan w:val="3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Dátum založenia spoločnosti: 02.12.2020</w:t>
                  </w:r>
                </w:p>
              </w:tc>
            </w:tr>
            <w:tr>
              <w:trPr>
                <w:trHeight w:val="315" w:hRule="atLeast"/>
              </w:trPr>
              <w:tc>
                <w:tcPr>
                  <w:tcW w:w="8860" w:type="dxa"/>
                  <w:gridSpan w:val="3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Dátum zápisu do obchodného registra: 02.12.2020</w:t>
                  </w:r>
                </w:p>
              </w:tc>
            </w:tr>
            <w:tr>
              <w:trPr>
                <w:trHeight w:val="315" w:hRule="atLeast"/>
              </w:trPr>
              <w:tc>
                <w:tcPr>
                  <w:tcW w:w="8860" w:type="dxa"/>
                  <w:gridSpan w:val="3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Identifikačné číslo organizácie: </w:t>
                  </w:r>
                  <w:r>
                    <w:rPr>
                      <w:rFonts w:cs="Calibri" w:cstheme="minorHAnsi"/>
                      <w:color w:val="000000"/>
                      <w:sz w:val="24"/>
                      <w:szCs w:val="24"/>
                      <w:shd w:fill="FFFFFF" w:val="clear"/>
                    </w:rPr>
                    <w:t>53 460 995</w:t>
                  </w:r>
                </w:p>
              </w:tc>
            </w:tr>
            <w:tr>
              <w:trPr>
                <w:trHeight w:val="315" w:hRule="atLeast"/>
              </w:trPr>
              <w:tc>
                <w:tcPr>
                  <w:tcW w:w="8860" w:type="dxa"/>
                  <w:gridSpan w:val="3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Spoločnosť nemá povinnosť overenia účtovnej závierky audítorom.</w:t>
                  </w:r>
                </w:p>
              </w:tc>
            </w:tr>
            <w:tr>
              <w:trPr>
                <w:trHeight w:val="315" w:hRule="atLeast"/>
              </w:trPr>
              <w:tc>
                <w:tcPr>
                  <w:tcW w:w="8088" w:type="dxa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5" w:type="dxa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7" w:type="dxa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>
              <w:trPr>
                <w:trHeight w:val="315" w:hRule="atLeast"/>
              </w:trPr>
              <w:tc>
                <w:tcPr>
                  <w:tcW w:w="8860" w:type="dxa"/>
                  <w:gridSpan w:val="3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>
              <w:trPr>
                <w:trHeight w:val="315" w:hRule="atLeast"/>
              </w:trPr>
              <w:tc>
                <w:tcPr>
                  <w:tcW w:w="8088" w:type="dxa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eastAsia="Times New Roman" w:cs="Calibri" w:cs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cs="Calibri" w:cstheme="minorHAnsi"/>
                      <w:color w:val="000000"/>
                      <w:sz w:val="24"/>
                      <w:szCs w:val="24"/>
                      <w:shd w:fill="FFFFFF" w:val="clear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385" w:type="dxa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7" w:type="dxa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>
              <w:trPr>
                <w:trHeight w:val="315" w:hRule="atLeast"/>
              </w:trPr>
              <w:tc>
                <w:tcPr>
                  <w:tcW w:w="8088" w:type="dxa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5" w:type="dxa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7" w:type="dxa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>
              <w:trPr>
                <w:trHeight w:val="315" w:hRule="atLeast"/>
              </w:trPr>
              <w:tc>
                <w:tcPr>
                  <w:tcW w:w="8860" w:type="dxa"/>
                  <w:gridSpan w:val="3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>
              <w:trPr>
                <w:trHeight w:val="315" w:hRule="atLeast"/>
              </w:trPr>
              <w:tc>
                <w:tcPr>
                  <w:tcW w:w="8860" w:type="dxa"/>
                  <w:gridSpan w:val="3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Spoločník:   Michal Vicen, Horný rad 538/13, 906 13 Brezová pod Bradlom</w:t>
                  </w:r>
                </w:p>
              </w:tc>
            </w:tr>
            <w:tr>
              <w:trPr>
                <w:trHeight w:val="315" w:hRule="atLeast"/>
              </w:trPr>
              <w:tc>
                <w:tcPr>
                  <w:tcW w:w="8860" w:type="dxa"/>
                  <w:gridSpan w:val="3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Konateľ:   Michal Vicen, Horný rad 538/13, 906 13 Brezová pod Bradlom</w:t>
                  </w:r>
                </w:p>
              </w:tc>
            </w:tr>
            <w:tr>
              <w:trPr>
                <w:trHeight w:val="315" w:hRule="atLeast"/>
              </w:trPr>
              <w:tc>
                <w:tcPr>
                  <w:tcW w:w="8860" w:type="dxa"/>
                  <w:gridSpan w:val="3"/>
                  <w:tcBorders/>
                  <w:shd w:color="auto" w:fill="FFFFFF" w:val="clear"/>
                  <w:vAlign w:val="bottom"/>
                </w:tcPr>
                <w:p>
                  <w:pPr>
                    <w:pStyle w:val="Normal"/>
                    <w:widowControl w:val="false"/>
                    <w:spacing w:lineRule="auto" w:line="240" w:before="0" w:after="0"/>
                    <w:rPr>
                      <w:rFonts w:ascii="Calibri" w:hAnsi="Calibri"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sz w:val="24"/>
                      <w:szCs w:val="24"/>
                      <w:lang w:eastAsia="sk-SK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2. Informácie o počte zamestnancov</w:t>
            </w:r>
          </w:p>
        </w:tc>
        <w:tc>
          <w:tcPr>
            <w:tcW w:w="146" w:type="dxa"/>
            <w:tcBorders/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268" w:hRule="atLeast"/>
        </w:trPr>
        <w:tc>
          <w:tcPr>
            <w:tcW w:w="426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19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146" w:type="dxa"/>
            <w:tcBorders/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172" w:hRule="exact"/>
        </w:trPr>
        <w:tc>
          <w:tcPr>
            <w:tcW w:w="4268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453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196" w:type="dxa"/>
            <w:tcBorders>
              <w:bottom w:val="single" w:sz="4" w:space="0" w:color="000000"/>
              <w:right w:val="single" w:sz="12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146" w:type="dxa"/>
            <w:tcBorders/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496" w:hRule="atLeast"/>
        </w:trPr>
        <w:tc>
          <w:tcPr>
            <w:tcW w:w="4268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závierka.</w:t>
            </w:r>
          </w:p>
        </w:tc>
        <w:tc>
          <w:tcPr>
            <w:tcW w:w="4535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6" w:type="dxa"/>
            <w:tcBorders>
              <w:bottom w:val="single" w:sz="4" w:space="0" w:color="000000"/>
              <w:right w:val="single" w:sz="12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146" w:type="dxa"/>
            <w:tcBorders/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178" w:hRule="exact"/>
        </w:trPr>
        <w:tc>
          <w:tcPr>
            <w:tcW w:w="426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45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196" w:type="dxa"/>
            <w:tcBorders>
              <w:bottom w:val="single" w:sz="12" w:space="0" w:color="000000"/>
              <w:right w:val="single" w:sz="12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146" w:type="dxa"/>
            <w:tcBorders/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</w:tbl>
    <w:p>
      <w:pPr>
        <w:pStyle w:val="Normal"/>
        <w:rPr>
          <w:rFonts w:ascii="Calibri" w:hAnsi="Calibri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Calibri" w:hAnsi="Calibri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/>
          <w:color w:val="000000"/>
          <w:sz w:val="24"/>
          <w:szCs w:val="24"/>
          <w:lang w:eastAsia="sk-SK"/>
        </w:rPr>
        <w:t>3. Informácie o štruktúre spoločníkov ku dňu, ku ktorému sa zostavuje účtovná závierka</w:t>
      </w:r>
    </w:p>
    <w:tbl>
      <w:tblPr>
        <w:tblW w:w="9087" w:type="dxa"/>
        <w:jc w:val="left"/>
        <w:tblInd w:w="5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560"/>
        <w:gridCol w:w="581"/>
        <w:gridCol w:w="1219"/>
        <w:gridCol w:w="380"/>
        <w:gridCol w:w="1419"/>
        <w:gridCol w:w="1659"/>
        <w:gridCol w:w="2268"/>
      </w:tblGrid>
      <w:tr>
        <w:trPr>
          <w:trHeight w:val="80" w:hRule="exact"/>
        </w:trPr>
        <w:tc>
          <w:tcPr>
            <w:tcW w:w="156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1799" w:type="dxa"/>
            <w:gridSpan w:val="2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3927" w:type="dxa"/>
            <w:gridSpan w:val="2"/>
            <w:tcBorders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487" w:hRule="atLeast"/>
        </w:trPr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599" w:type="dxa"/>
            <w:gridSpan w:val="4"/>
            <w:tcBorders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gridSpan w:val="2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>
        <w:trPr>
          <w:trHeight w:val="140" w:hRule="atLeast"/>
        </w:trPr>
        <w:tc>
          <w:tcPr>
            <w:tcW w:w="156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color w:val="000000"/>
                <w:sz w:val="24"/>
                <w:szCs w:val="24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799" w:type="dxa"/>
            <w:gridSpan w:val="2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3927" w:type="dxa"/>
            <w:gridSpan w:val="2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color w:val="000000"/>
                <w:sz w:val="24"/>
                <w:szCs w:val="24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Michal Vicen</w:t>
            </w:r>
          </w:p>
        </w:tc>
        <w:tc>
          <w:tcPr>
            <w:tcW w:w="1800" w:type="dxa"/>
            <w:gridSpan w:val="2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5000</w:t>
            </w:r>
          </w:p>
        </w:tc>
        <w:tc>
          <w:tcPr>
            <w:tcW w:w="1799" w:type="dxa"/>
            <w:gridSpan w:val="2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gridSpan w:val="2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100</w:t>
            </w:r>
          </w:p>
        </w:tc>
      </w:tr>
      <w:tr>
        <w:trPr>
          <w:trHeight w:val="77" w:hRule="exact"/>
        </w:trPr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1800" w:type="dxa"/>
            <w:gridSpan w:val="2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1799" w:type="dxa"/>
            <w:gridSpan w:val="2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3927" w:type="dxa"/>
            <w:gridSpan w:val="2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4110" w:hRule="atLeast"/>
        </w:trPr>
        <w:tc>
          <w:tcPr>
            <w:tcW w:w="9086" w:type="dxa"/>
            <w:gridSpan w:val="7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4. Dôvod pre zostavenie účtovnej závierky: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Účtovná závierka je zostavená z dôvodu ukončenia účtovného obdobia roka 2023 ako riadna účtovná závierka. Účtovná závierka bola zostavená za predpokladu nepretržitého pokračovania činnosti spoločnosti.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5. Valné zhromaždenie v súlade s Obchodným zákonníkom schválilo účtovnú závierku zostavenú za predchádzajúce obdobie r. 202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 xml:space="preserve"> dňa 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01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.0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7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.202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4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6. Informácie o dlhodobom hmotnom majetku:</w:t>
            </w:r>
          </w:p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Calibri" w:hAnsi="Calibri" w:cs="Calibri" w:asciiTheme="minorHAnsi" w:cstheme="minorHAnsi" w:hAnsiTheme="minorHAnsi"/>
              </w:rPr>
            </w:pPr>
            <w:r>
              <w:rPr>
                <w:rFonts w:cs="Calibri" w:ascii="Calibri" w:hAnsi="Calibri" w:asciiTheme="minorHAnsi" w:cstheme="minorHAnsi" w:hAnsiTheme="minorHAnsi"/>
              </w:rPr>
              <w:t xml:space="preserve">Spôsob </w:t>
            </w:r>
            <w:r>
              <w:rPr>
                <w:rFonts w:cs="Calibri" w:ascii="Calibri" w:hAnsi="Calibri" w:asciiTheme="minorHAnsi" w:cstheme="minorHAnsi" w:hAnsiTheme="minorHAnsi"/>
                <w:spacing w:val="1"/>
              </w:rPr>
              <w:t>z</w:t>
            </w:r>
            <w:r>
              <w:rPr>
                <w:rFonts w:cs="Calibri" w:ascii="Calibri" w:hAnsi="Calibri" w:asciiTheme="minorHAnsi" w:cstheme="minorHAnsi" w:hAnsiTheme="minorHAnsi"/>
              </w:rPr>
              <w:t>o</w:t>
            </w:r>
            <w:r>
              <w:rPr>
                <w:rFonts w:cs="Calibri" w:ascii="Calibri" w:hAnsi="Calibri" w:asciiTheme="minorHAnsi" w:cstheme="minorHAnsi" w:hAnsiTheme="minorHAnsi"/>
                <w:spacing w:val="-3"/>
              </w:rPr>
              <w:t>s</w:t>
            </w:r>
            <w:r>
              <w:rPr>
                <w:rFonts w:cs="Calibri" w:ascii="Calibri" w:hAnsi="Calibri" w:asciiTheme="minorHAnsi" w:cstheme="minorHAnsi" w:hAnsiTheme="minorHAnsi"/>
              </w:rPr>
              <w:t>tav</w:t>
            </w:r>
            <w:r>
              <w:rPr>
                <w:rFonts w:cs="Calibri" w:ascii="Calibri" w:hAnsi="Calibri" w:asciiTheme="minorHAnsi" w:cstheme="minorHAnsi" w:hAnsiTheme="minorHAnsi"/>
                <w:spacing w:val="-2"/>
              </w:rPr>
              <w:t>e</w:t>
            </w:r>
            <w:r>
              <w:rPr>
                <w:rFonts w:cs="Calibri" w:ascii="Calibri" w:hAnsi="Calibri" w:asciiTheme="minorHAnsi" w:cstheme="minorHAnsi" w:hAnsiTheme="minorHAnsi"/>
              </w:rPr>
              <w:t xml:space="preserve">nia </w:t>
            </w:r>
            <w:r>
              <w:rPr>
                <w:rFonts w:cs="Calibri" w:ascii="Calibri" w:hAnsi="Calibri" w:asciiTheme="minorHAnsi" w:cstheme="minorHAnsi" w:hAnsiTheme="minorHAnsi"/>
                <w:u w:val="single"/>
              </w:rPr>
              <w:t>odpisov</w:t>
            </w:r>
            <w:r>
              <w:rPr>
                <w:rFonts w:cs="Calibri" w:ascii="Calibri" w:hAnsi="Calibri" w:asciiTheme="minorHAnsi" w:cstheme="minorHAnsi" w:hAnsiTheme="minorHAnsi"/>
                <w:spacing w:val="-1"/>
                <w:u w:val="single"/>
              </w:rPr>
              <w:t>é</w:t>
            </w:r>
            <w:r>
              <w:rPr>
                <w:rFonts w:cs="Calibri" w:ascii="Calibri" w:hAnsi="Calibri" w:asciiTheme="minorHAnsi" w:cstheme="minorHAnsi" w:hAnsiTheme="minorHAnsi"/>
                <w:u w:val="single"/>
              </w:rPr>
              <w:t xml:space="preserve">ho plánu </w:t>
            </w:r>
            <w:r>
              <w:rPr>
                <w:rFonts w:cs="Calibri" w:ascii="Calibri" w:hAnsi="Calibri" w:asciiTheme="minorHAnsi" w:cstheme="minorHAnsi" w:hAnsiTheme="minorHAnsi"/>
              </w:rPr>
              <w:t>p</w:t>
            </w:r>
            <w:r>
              <w:rPr>
                <w:rFonts w:cs="Calibri" w:ascii="Calibri" w:hAnsi="Calibri" w:asciiTheme="minorHAnsi" w:cstheme="minorHAnsi" w:hAnsiTheme="minorHAnsi"/>
                <w:spacing w:val="-1"/>
              </w:rPr>
              <w:t>r</w:t>
            </w:r>
            <w:r>
              <w:rPr>
                <w:rFonts w:cs="Calibri" w:ascii="Calibri" w:hAnsi="Calibri" w:asciiTheme="minorHAnsi" w:cstheme="minorHAnsi" w:hAnsiTheme="minorHAnsi"/>
              </w:rPr>
              <w:t>e jednotlivé d</w:t>
            </w:r>
            <w:r>
              <w:rPr>
                <w:rFonts w:cs="Calibri" w:ascii="Calibri" w:hAnsi="Calibri" w:asciiTheme="minorHAnsi" w:cstheme="minorHAnsi" w:hAnsiTheme="minorHAnsi"/>
                <w:spacing w:val="-1"/>
              </w:rPr>
              <w:t>r</w:t>
            </w:r>
            <w:r>
              <w:rPr>
                <w:rFonts w:cs="Calibri" w:ascii="Calibri" w:hAnsi="Calibri" w:asciiTheme="minorHAnsi" w:cstheme="minorHAnsi" w:hAnsiTheme="minorHAnsi"/>
                <w:spacing w:val="3"/>
              </w:rPr>
              <w:t>u</w:t>
            </w:r>
            <w:r>
              <w:rPr>
                <w:rFonts w:cs="Calibri" w:ascii="Calibri" w:hAnsi="Calibri" w:asciiTheme="minorHAnsi" w:cstheme="minorHAnsi" w:hAnsiTheme="minorHAnsi"/>
                <w:spacing w:val="2"/>
              </w:rPr>
              <w:t>h</w:t>
            </w:r>
            <w:r>
              <w:rPr>
                <w:rFonts w:cs="Calibri" w:ascii="Calibri" w:hAnsi="Calibri" w:asciiTheme="minorHAnsi" w:cstheme="minorHAnsi" w:hAnsiTheme="minorHAnsi"/>
              </w:rPr>
              <w:t xml:space="preserve">y dlhodobého </w:t>
            </w:r>
            <w:r>
              <w:rPr>
                <w:rFonts w:cs="Calibri" w:ascii="Calibri" w:hAnsi="Calibri" w:asciiTheme="minorHAnsi" w:cstheme="minorHAnsi" w:hAnsiTheme="minorHAnsi"/>
                <w:spacing w:val="2"/>
              </w:rPr>
              <w:t>h</w:t>
            </w:r>
            <w:r>
              <w:rPr>
                <w:rFonts w:cs="Calibri" w:ascii="Calibri" w:hAnsi="Calibri" w:asciiTheme="minorHAnsi" w:cstheme="minorHAnsi" w:hAnsiTheme="minorHAnsi"/>
              </w:rPr>
              <w:t>motn</w:t>
            </w:r>
            <w:r>
              <w:rPr>
                <w:rFonts w:cs="Calibri" w:ascii="Calibri" w:hAnsi="Calibri" w:asciiTheme="minorHAnsi" w:cstheme="minorHAnsi" w:hAnsiTheme="minorHAnsi"/>
                <w:spacing w:val="-1"/>
              </w:rPr>
              <w:t>é</w:t>
            </w:r>
            <w:r>
              <w:rPr>
                <w:rFonts w:cs="Calibri" w:ascii="Calibri" w:hAnsi="Calibri" w:asciiTheme="minorHAnsi" w:cstheme="minorHAnsi" w:hAnsiTheme="minorHAnsi"/>
              </w:rPr>
              <w:t>ho maj</w:t>
            </w:r>
            <w:r>
              <w:rPr>
                <w:rFonts w:cs="Calibri" w:ascii="Calibri" w:hAnsi="Calibri" w:asciiTheme="minorHAnsi" w:cstheme="minorHAnsi" w:hAnsiTheme="minorHAnsi"/>
                <w:spacing w:val="-1"/>
              </w:rPr>
              <w:t>e</w:t>
            </w:r>
            <w:r>
              <w:rPr>
                <w:rFonts w:cs="Calibri" w:ascii="Calibri" w:hAnsi="Calibri" w:asciiTheme="minorHAnsi" w:cstheme="minorHAnsi" w:hAnsiTheme="minorHAnsi"/>
              </w:rPr>
              <w:t>tku a dlhodobého n</w:t>
            </w:r>
            <w:r>
              <w:rPr>
                <w:rFonts w:cs="Calibri" w:ascii="Calibri" w:hAnsi="Calibri" w:asciiTheme="minorHAnsi" w:cstheme="minorHAnsi" w:hAnsiTheme="minorHAnsi"/>
                <w:spacing w:val="-1"/>
              </w:rPr>
              <w:t>e</w:t>
            </w:r>
            <w:r>
              <w:rPr>
                <w:rFonts w:cs="Calibri" w:ascii="Calibri" w:hAnsi="Calibri" w:asciiTheme="minorHAnsi" w:cstheme="minorHAnsi" w:hAnsiTheme="minorHAnsi"/>
              </w:rPr>
              <w:t>hmotn</w:t>
            </w:r>
            <w:r>
              <w:rPr>
                <w:rFonts w:cs="Calibri" w:ascii="Calibri" w:hAnsi="Calibri" w:asciiTheme="minorHAnsi" w:cstheme="minorHAnsi" w:hAnsiTheme="minorHAnsi"/>
                <w:spacing w:val="1"/>
              </w:rPr>
              <w:t>é</w:t>
            </w:r>
            <w:r>
              <w:rPr>
                <w:rFonts w:cs="Calibri" w:ascii="Calibri" w:hAnsi="Calibri" w:asciiTheme="minorHAnsi" w:cstheme="minorHAnsi" w:hAnsiTheme="minorHAnsi"/>
              </w:rPr>
              <w:t>ho maj</w:t>
            </w:r>
            <w:r>
              <w:rPr>
                <w:rFonts w:cs="Calibri" w:ascii="Calibri" w:hAnsi="Calibri" w:asciiTheme="minorHAnsi" w:cstheme="minorHAnsi" w:hAnsiTheme="minorHAnsi"/>
                <w:spacing w:val="-1"/>
              </w:rPr>
              <w:t>e</w:t>
            </w:r>
            <w:r>
              <w:rPr>
                <w:rFonts w:cs="Calibri" w:ascii="Calibri" w:hAnsi="Calibri" w:asciiTheme="minorHAnsi" w:cstheme="minorHAnsi" w:hAnsiTheme="minorHAnsi"/>
              </w:rPr>
              <w:t>tku, p</w:t>
            </w:r>
            <w:r>
              <w:rPr>
                <w:rFonts w:cs="Calibri" w:ascii="Calibri" w:hAnsi="Calibri" w:asciiTheme="minorHAnsi" w:cstheme="minorHAnsi" w:hAnsiTheme="minorHAnsi"/>
                <w:spacing w:val="-1"/>
              </w:rPr>
              <w:t>r</w:t>
            </w:r>
            <w:r>
              <w:rPr>
                <w:rFonts w:cs="Calibri" w:ascii="Calibri" w:hAnsi="Calibri" w:asciiTheme="minorHAnsi" w:cstheme="minorHAnsi" w:hAnsiTheme="minorHAnsi"/>
              </w:rPr>
              <w:t xml:space="preserve">ičom sa </w:t>
            </w:r>
            <w:r>
              <w:rPr>
                <w:rFonts w:cs="Calibri" w:ascii="Calibri" w:hAnsi="Calibri" w:asciiTheme="minorHAnsi" w:cstheme="minorHAnsi" w:hAnsiTheme="minorHAnsi"/>
                <w:spacing w:val="2"/>
              </w:rPr>
              <w:t>u</w:t>
            </w:r>
            <w:r>
              <w:rPr>
                <w:rFonts w:cs="Calibri" w:ascii="Calibri" w:hAnsi="Calibri" w:asciiTheme="minorHAnsi" w:cstheme="minorHAnsi" w:hAnsiTheme="minorHAnsi"/>
              </w:rPr>
              <w:t>v</w:t>
            </w:r>
            <w:r>
              <w:rPr>
                <w:rFonts w:cs="Calibri" w:ascii="Calibri" w:hAnsi="Calibri" w:asciiTheme="minorHAnsi" w:cstheme="minorHAnsi" w:hAnsiTheme="minorHAnsi"/>
                <w:spacing w:val="-1"/>
              </w:rPr>
              <w:t>á</w:t>
            </w:r>
            <w:r>
              <w:rPr>
                <w:rFonts w:cs="Calibri" w:ascii="Calibri" w:hAnsi="Calibri" w:asciiTheme="minorHAnsi" w:cstheme="minorHAnsi" w:hAnsiTheme="minorHAnsi"/>
              </w:rPr>
              <w:t>d</w:t>
            </w:r>
            <w:r>
              <w:rPr>
                <w:rFonts w:cs="Calibri" w:ascii="Calibri" w:hAnsi="Calibri" w:asciiTheme="minorHAnsi" w:cstheme="minorHAnsi" w:hAnsiTheme="minorHAnsi"/>
                <w:spacing w:val="1"/>
              </w:rPr>
              <w:t>z</w:t>
            </w:r>
            <w:r>
              <w:rPr>
                <w:rFonts w:cs="Calibri" w:ascii="Calibri" w:hAnsi="Calibri" w:asciiTheme="minorHAnsi" w:cstheme="minorHAnsi" w:hAnsiTheme="minorHAnsi"/>
              </w:rPr>
              <w:t>a doba odpisov</w:t>
            </w:r>
            <w:r>
              <w:rPr>
                <w:rFonts w:cs="Calibri" w:ascii="Calibri" w:hAnsi="Calibri" w:asciiTheme="minorHAnsi" w:cstheme="minorHAnsi" w:hAnsiTheme="minorHAnsi"/>
                <w:spacing w:val="-1"/>
              </w:rPr>
              <w:t>a</w:t>
            </w:r>
            <w:r>
              <w:rPr>
                <w:rFonts w:cs="Calibri" w:ascii="Calibri" w:hAnsi="Calibri" w:asciiTheme="minorHAnsi" w:cstheme="minorHAnsi" w:hAnsiTheme="minorHAnsi"/>
              </w:rPr>
              <w:t>nia, pou</w:t>
            </w:r>
            <w:r>
              <w:rPr>
                <w:rFonts w:cs="Calibri" w:ascii="Calibri" w:hAnsi="Calibri" w:asciiTheme="minorHAnsi" w:cstheme="minorHAnsi" w:hAnsiTheme="minorHAnsi"/>
                <w:spacing w:val="1"/>
              </w:rPr>
              <w:t>ž</w:t>
            </w:r>
            <w:r>
              <w:rPr>
                <w:rFonts w:cs="Calibri" w:ascii="Calibri" w:hAnsi="Calibri" w:asciiTheme="minorHAnsi" w:cstheme="minorHAnsi" w:hAnsiTheme="minorHAnsi"/>
              </w:rPr>
              <w:t>ité s</w:t>
            </w:r>
            <w:r>
              <w:rPr>
                <w:rFonts w:cs="Calibri" w:ascii="Calibri" w:hAnsi="Calibri" w:asciiTheme="minorHAnsi" w:cstheme="minorHAnsi" w:hAnsiTheme="minorHAnsi"/>
                <w:spacing w:val="-1"/>
              </w:rPr>
              <w:t>a</w:t>
            </w:r>
            <w:r>
              <w:rPr>
                <w:rFonts w:cs="Calibri" w:ascii="Calibri" w:hAnsi="Calibri" w:asciiTheme="minorHAnsi" w:cstheme="minorHAnsi" w:hAnsiTheme="minorHAnsi"/>
              </w:rPr>
              <w:t>d</w:t>
            </w:r>
            <w:r>
              <w:rPr>
                <w:rFonts w:cs="Calibri" w:ascii="Calibri" w:hAnsi="Calibri" w:asciiTheme="minorHAnsi" w:cstheme="minorHAnsi" w:hAnsiTheme="minorHAnsi"/>
                <w:spacing w:val="1"/>
              </w:rPr>
              <w:t>z</w:t>
            </w:r>
            <w:r>
              <w:rPr>
                <w:rFonts w:cs="Calibri" w:ascii="Calibri" w:hAnsi="Calibri" w:asciiTheme="minorHAnsi" w:cstheme="minorHAnsi" w:hAnsiTheme="minorHAnsi"/>
                <w:spacing w:val="2"/>
              </w:rPr>
              <w:t>b</w:t>
            </w:r>
            <w:r>
              <w:rPr>
                <w:rFonts w:cs="Calibri" w:ascii="Calibri" w:hAnsi="Calibri" w:asciiTheme="minorHAnsi" w:cstheme="minorHAnsi" w:hAnsiTheme="minorHAnsi"/>
              </w:rPr>
              <w:t>y odpisov a odpisové metó</w:t>
            </w:r>
            <w:r>
              <w:rPr>
                <w:rFonts w:cs="Calibri" w:ascii="Calibri" w:hAnsi="Calibri" w:asciiTheme="minorHAnsi" w:cstheme="minorHAnsi" w:hAnsiTheme="minorHAnsi"/>
                <w:spacing w:val="2"/>
              </w:rPr>
              <w:t>d</w:t>
            </w:r>
            <w:r>
              <w:rPr>
                <w:rFonts w:cs="Calibri" w:ascii="Calibri" w:hAnsi="Calibri" w:asciiTheme="minorHAnsi" w:cstheme="minorHAnsi" w:hAnsiTheme="minorHAnsi"/>
              </w:rPr>
              <w:t>y pri u</w:t>
            </w:r>
            <w:r>
              <w:rPr>
                <w:rFonts w:cs="Calibri" w:ascii="Calibri" w:hAnsi="Calibri" w:asciiTheme="minorHAnsi" w:cstheme="minorHAnsi" w:hAnsiTheme="minorHAnsi"/>
                <w:spacing w:val="1"/>
              </w:rPr>
              <w:t>r</w:t>
            </w:r>
            <w:r>
              <w:rPr>
                <w:rFonts w:cs="Calibri" w:ascii="Calibri" w:hAnsi="Calibri" w:asciiTheme="minorHAnsi" w:cstheme="minorHAnsi" w:hAnsiTheme="minorHAnsi"/>
                <w:spacing w:val="-1"/>
              </w:rPr>
              <w:t>če</w:t>
            </w:r>
            <w:r>
              <w:rPr>
                <w:rFonts w:cs="Calibri" w:ascii="Calibri" w:hAnsi="Calibri" w:asciiTheme="minorHAnsi" w:cstheme="minorHAnsi" w:hAnsiTheme="minorHAnsi"/>
              </w:rPr>
              <w:t>ní odpisov: v zmysle ustanovenia § 26 a 28 zák. o dani z príjmov, ÚJ vlastní majetok ktorý sa odpisuje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 w:cs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Calibri" w:cstheme="minorHAnsi"/>
                <w:color w:val="000000"/>
                <w:sz w:val="24"/>
                <w:szCs w:val="24"/>
                <w:lang w:eastAsia="sk-SK"/>
              </w:rPr>
              <w:t>Spôsob odpisovania dlhodobého majetku je rovnomerný.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</w:tc>
      </w:tr>
      <w:tr>
        <w:trPr>
          <w:trHeight w:val="345" w:hRule="atLeast"/>
        </w:trPr>
        <w:tc>
          <w:tcPr>
            <w:tcW w:w="2141" w:type="dxa"/>
            <w:gridSpan w:val="2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94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435" w:hRule="atLeast"/>
        </w:trPr>
        <w:tc>
          <w:tcPr>
            <w:tcW w:w="2141" w:type="dxa"/>
            <w:gridSpan w:val="2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99" w:type="dxa"/>
            <w:gridSpan w:val="2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078" w:type="dxa"/>
            <w:gridSpan w:val="2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2268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>
        <w:trPr>
          <w:trHeight w:val="247" w:hRule="atLeast"/>
        </w:trPr>
        <w:tc>
          <w:tcPr>
            <w:tcW w:w="90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>
        <w:trPr>
          <w:trHeight w:val="364" w:hRule="atLeast"/>
        </w:trPr>
        <w:tc>
          <w:tcPr>
            <w:tcW w:w="214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9" w:type="dxa"/>
            <w:gridSpan w:val="2"/>
            <w:tcBorders>
              <w:top w:val="single" w:sz="12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8" w:type="dxa"/>
            <w:gridSpan w:val="2"/>
            <w:tcBorders>
              <w:top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24833,33</w:t>
            </w:r>
          </w:p>
        </w:tc>
        <w:tc>
          <w:tcPr>
            <w:tcW w:w="2268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24833,33</w:t>
            </w:r>
          </w:p>
        </w:tc>
      </w:tr>
      <w:tr>
        <w:trPr>
          <w:trHeight w:val="316" w:hRule="atLeast"/>
        </w:trPr>
        <w:tc>
          <w:tcPr>
            <w:tcW w:w="214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9" w:type="dxa"/>
            <w:gridSpan w:val="2"/>
            <w:tcBorders>
              <w:top w:val="single" w:sz="12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3078" w:type="dxa"/>
            <w:gridSpan w:val="2"/>
            <w:tcBorders>
              <w:top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2268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268" w:hRule="atLeast"/>
        </w:trPr>
        <w:tc>
          <w:tcPr>
            <w:tcW w:w="2141" w:type="dxa"/>
            <w:gridSpan w:val="2"/>
            <w:tcBorders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3078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387" w:hRule="atLeast"/>
        </w:trPr>
        <w:tc>
          <w:tcPr>
            <w:tcW w:w="214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8" w:type="dxa"/>
            <w:gridSpan w:val="2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24833,33</w:t>
            </w:r>
          </w:p>
        </w:tc>
        <w:tc>
          <w:tcPr>
            <w:tcW w:w="226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24833,33</w:t>
            </w:r>
          </w:p>
        </w:tc>
      </w:tr>
      <w:tr>
        <w:trPr>
          <w:trHeight w:val="206" w:hRule="atLeast"/>
        </w:trPr>
        <w:tc>
          <w:tcPr>
            <w:tcW w:w="90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>
        <w:trPr>
          <w:trHeight w:val="438" w:hRule="atLeast"/>
        </w:trPr>
        <w:tc>
          <w:tcPr>
            <w:tcW w:w="2141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9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8" w:type="dxa"/>
            <w:gridSpan w:val="2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12934</w:t>
            </w:r>
          </w:p>
        </w:tc>
        <w:tc>
          <w:tcPr>
            <w:tcW w:w="226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12934</w:t>
            </w:r>
          </w:p>
        </w:tc>
      </w:tr>
      <w:tr>
        <w:trPr>
          <w:trHeight w:val="268" w:hRule="atLeast"/>
        </w:trPr>
        <w:tc>
          <w:tcPr>
            <w:tcW w:w="2141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9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</w:tc>
        <w:tc>
          <w:tcPr>
            <w:tcW w:w="3078" w:type="dxa"/>
            <w:gridSpan w:val="2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  <w:t>6208</w:t>
            </w:r>
          </w:p>
        </w:tc>
        <w:tc>
          <w:tcPr>
            <w:tcW w:w="226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6208</w:t>
            </w:r>
          </w:p>
        </w:tc>
      </w:tr>
      <w:tr>
        <w:trPr>
          <w:trHeight w:val="244" w:hRule="atLeast"/>
        </w:trPr>
        <w:tc>
          <w:tcPr>
            <w:tcW w:w="2141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9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8" w:type="dxa"/>
            <w:gridSpan w:val="2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226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518" w:hRule="atLeast"/>
        </w:trPr>
        <w:tc>
          <w:tcPr>
            <w:tcW w:w="2141" w:type="dxa"/>
            <w:gridSpan w:val="2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8" w:type="dxa"/>
            <w:gridSpan w:val="2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19142</w:t>
            </w:r>
          </w:p>
        </w:tc>
        <w:tc>
          <w:tcPr>
            <w:tcW w:w="2268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19142</w:t>
            </w:r>
          </w:p>
        </w:tc>
      </w:tr>
      <w:tr>
        <w:trPr>
          <w:trHeight w:val="322" w:hRule="atLeast"/>
        </w:trPr>
        <w:tc>
          <w:tcPr>
            <w:tcW w:w="90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>
        <w:trPr>
          <w:trHeight w:val="398" w:hRule="atLeast"/>
        </w:trPr>
        <w:tc>
          <w:tcPr>
            <w:tcW w:w="214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8" w:type="dxa"/>
            <w:gridSpan w:val="2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11899</w:t>
            </w:r>
          </w:p>
        </w:tc>
        <w:tc>
          <w:tcPr>
            <w:tcW w:w="226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1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1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8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99</w:t>
            </w:r>
          </w:p>
        </w:tc>
      </w:tr>
      <w:tr>
        <w:trPr>
          <w:trHeight w:val="350" w:hRule="atLeast"/>
        </w:trPr>
        <w:tc>
          <w:tcPr>
            <w:tcW w:w="214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8" w:type="dxa"/>
            <w:gridSpan w:val="2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5691</w:t>
            </w:r>
          </w:p>
        </w:tc>
        <w:tc>
          <w:tcPr>
            <w:tcW w:w="226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5691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7. Informácie o pohľadávkach k 31.12.202</w:t>
      </w:r>
      <w:r>
        <w:rPr/>
        <w:t>4</w:t>
      </w:r>
    </w:p>
    <w:tbl>
      <w:tblPr>
        <w:tblW w:w="9142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239"/>
        <w:gridCol w:w="1960"/>
        <w:gridCol w:w="1970"/>
        <w:gridCol w:w="2972"/>
      </w:tblGrid>
      <w:tr>
        <w:trPr>
          <w:trHeight w:val="80" w:hRule="exact"/>
        </w:trPr>
        <w:tc>
          <w:tcPr>
            <w:tcW w:w="2239" w:type="dxa"/>
            <w:tcBorders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1960" w:type="dxa"/>
            <w:tcBorders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1970" w:type="dxa"/>
            <w:tcBorders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2972" w:type="dxa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391" w:hRule="atLeast"/>
        </w:trPr>
        <w:tc>
          <w:tcPr>
            <w:tcW w:w="223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6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color w:val="000000"/>
                <w:sz w:val="24"/>
                <w:szCs w:val="24"/>
                <w:lang w:eastAsia="sk-SK"/>
              </w:rPr>
            </w: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color w:val="000000"/>
                <w:sz w:val="24"/>
                <w:szCs w:val="24"/>
                <w:lang w:eastAsia="sk-SK"/>
              </w:rPr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color w:val="000000"/>
                <w:sz w:val="24"/>
                <w:szCs w:val="24"/>
                <w:lang w:eastAsia="sk-SK"/>
              </w:rPr>
              <w:t>Spolu pohľadávky</w:t>
            </w:r>
          </w:p>
        </w:tc>
      </w:tr>
      <w:tr>
        <w:trPr>
          <w:trHeight w:val="315" w:hRule="atLeast"/>
        </w:trPr>
        <w:tc>
          <w:tcPr>
            <w:tcW w:w="914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>
        <w:trPr>
          <w:trHeight w:val="454" w:hRule="atLeast"/>
        </w:trPr>
        <w:tc>
          <w:tcPr>
            <w:tcW w:w="22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196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</w:r>
          </w:p>
        </w:tc>
        <w:tc>
          <w:tcPr>
            <w:tcW w:w="197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</w:tc>
        <w:tc>
          <w:tcPr>
            <w:tcW w:w="297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3516</w:t>
            </w:r>
          </w:p>
        </w:tc>
      </w:tr>
      <w:tr>
        <w:trPr>
          <w:trHeight w:val="315" w:hRule="atLeast"/>
        </w:trPr>
        <w:tc>
          <w:tcPr>
            <w:tcW w:w="22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sz w:val="24"/>
                <w:szCs w:val="24"/>
                <w:lang w:eastAsia="sk-SK"/>
              </w:rPr>
            </w:pPr>
            <w:r>
              <w:rPr>
                <w:rFonts w:eastAsia="" w:cs="Times New Roman" w:eastAsiaTheme="minorEastAsia"/>
                <w:sz w:val="24"/>
                <w:szCs w:val="24"/>
                <w:lang w:eastAsia="sk-SK"/>
              </w:rPr>
              <w:t>Pohľadávky voči spoločníkom</w:t>
            </w:r>
          </w:p>
        </w:tc>
        <w:tc>
          <w:tcPr>
            <w:tcW w:w="1960" w:type="dxa"/>
            <w:tcBorders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2972" w:type="dxa"/>
            <w:tcBorders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eastAsia="" w:cs="Times New Roman" w:eastAsiaTheme="minorEastAsia"/>
                <w:sz w:val="24"/>
                <w:szCs w:val="24"/>
                <w:lang w:eastAsia="sk-SK"/>
              </w:rPr>
            </w:pPr>
            <w:r>
              <w:rPr>
                <w:rFonts w:eastAsia="" w:cs="Times New Roman" w:eastAsiaTheme="minorEastAsia"/>
                <w:sz w:val="24"/>
                <w:szCs w:val="24"/>
                <w:lang w:eastAsia="sk-SK"/>
              </w:rPr>
              <w:t>4068</w:t>
            </w:r>
          </w:p>
        </w:tc>
      </w:tr>
      <w:tr>
        <w:trPr>
          <w:trHeight w:val="324" w:hRule="atLeast"/>
        </w:trPr>
        <w:tc>
          <w:tcPr>
            <w:tcW w:w="22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196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</w:tc>
        <w:tc>
          <w:tcPr>
            <w:tcW w:w="197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7584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8. Informácie o krátkodobom finančnom majetku k 31.12.202</w:t>
      </w:r>
      <w:r>
        <w:rPr/>
        <w:t>4</w:t>
      </w:r>
    </w:p>
    <w:tbl>
      <w:tblPr>
        <w:tblW w:w="9087" w:type="dxa"/>
        <w:jc w:val="left"/>
        <w:tblInd w:w="5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59"/>
        <w:gridCol w:w="6168"/>
        <w:gridCol w:w="160"/>
      </w:tblGrid>
      <w:tr>
        <w:trPr>
          <w:trHeight w:val="960" w:hRule="atLeast"/>
        </w:trPr>
        <w:tc>
          <w:tcPr>
            <w:tcW w:w="27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61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315" w:hRule="atLeast"/>
        </w:trPr>
        <w:tc>
          <w:tcPr>
            <w:tcW w:w="27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616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1781,03</w:t>
            </w:r>
          </w:p>
        </w:tc>
        <w:tc>
          <w:tcPr>
            <w:tcW w:w="160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328" w:hRule="atLeast"/>
        </w:trPr>
        <w:tc>
          <w:tcPr>
            <w:tcW w:w="27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Bežné účty v banke</w:t>
            </w:r>
          </w:p>
        </w:tc>
        <w:tc>
          <w:tcPr>
            <w:tcW w:w="616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1323,42</w:t>
            </w:r>
          </w:p>
        </w:tc>
        <w:tc>
          <w:tcPr>
            <w:tcW w:w="160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27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61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3104,45</w:t>
            </w:r>
          </w:p>
        </w:tc>
        <w:tc>
          <w:tcPr>
            <w:tcW w:w="160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9. Informácie o hospodárskom výsledku</w:t>
      </w:r>
    </w:p>
    <w:tbl>
      <w:tblPr>
        <w:tblW w:w="9236" w:type="dxa"/>
        <w:jc w:val="left"/>
        <w:tblInd w:w="5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916"/>
        <w:gridCol w:w="5319"/>
      </w:tblGrid>
      <w:tr>
        <w:trPr>
          <w:trHeight w:val="198" w:hRule="exact"/>
        </w:trPr>
        <w:tc>
          <w:tcPr>
            <w:tcW w:w="39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5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443" w:hRule="atLeast"/>
        </w:trPr>
        <w:tc>
          <w:tcPr>
            <w:tcW w:w="391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Účtovná strata r. 202</w:t>
            </w: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531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15435</w:t>
            </w:r>
          </w:p>
        </w:tc>
      </w:tr>
      <w:tr>
        <w:trPr>
          <w:trHeight w:val="70" w:hRule="exact"/>
        </w:trPr>
        <w:tc>
          <w:tcPr>
            <w:tcW w:w="3916" w:type="dxa"/>
            <w:tcBorders>
              <w:lef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5319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80" w:hRule="exact"/>
        </w:trPr>
        <w:tc>
          <w:tcPr>
            <w:tcW w:w="391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53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</w:tbl>
    <w:p>
      <w:pPr>
        <w:pStyle w:val="NormalWeb"/>
        <w:numPr>
          <w:ilvl w:val="0"/>
          <w:numId w:val="1"/>
        </w:numPr>
        <w:shd w:val="clear" w:color="auto" w:fill="FFFFFF"/>
        <w:spacing w:beforeAutospacing="0" w:before="0" w:after="280"/>
        <w:rPr/>
      </w:pPr>
      <w:r>
        <w:rPr/>
        <w:t>Hospodársky výsledok k 31.12.202</w:t>
      </w:r>
      <w:r>
        <w:rPr/>
        <w:t>3</w:t>
      </w:r>
      <w:r>
        <w:rPr/>
        <w:t xml:space="preserve"> strata vo výške  </w:t>
      </w:r>
      <w:r>
        <w:rPr/>
        <w:t>15435</w:t>
      </w:r>
      <w:r>
        <w:rPr/>
        <w:t xml:space="preserve"> € bola v roku 202</w:t>
      </w:r>
      <w:r>
        <w:rPr/>
        <w:t>4</w:t>
      </w:r>
      <w:r>
        <w:rPr/>
        <w:t xml:space="preserve"> preúčtovaná na účet 429. </w:t>
      </w:r>
      <w:r>
        <w:rPr/>
        <w:t xml:space="preserve">Čiastočne bola uhradená platbami spoločníka </w:t>
      </w:r>
      <w:r>
        <w:rPr/>
        <w:t xml:space="preserve">v sume 11411 EUR. </w:t>
      </w:r>
    </w:p>
    <w:p>
      <w:pPr>
        <w:pStyle w:val="NormalWeb"/>
        <w:shd w:val="clear" w:color="auto" w:fill="FFFFFF"/>
        <w:spacing w:beforeAutospacing="0" w:before="0" w:after="280"/>
        <w:rPr/>
      </w:pPr>
      <w:r>
        <w:rPr/>
      </w:r>
    </w:p>
    <w:p>
      <w:pPr>
        <w:pStyle w:val="NormalWeb"/>
        <w:shd w:val="clear" w:color="auto" w:fill="FFFFFF"/>
        <w:spacing w:beforeAutospacing="0" w:before="0" w:after="280"/>
        <w:rPr/>
      </w:pPr>
      <w:r>
        <w:rPr/>
      </w:r>
    </w:p>
    <w:p>
      <w:pPr>
        <w:pStyle w:val="NormalWeb"/>
        <w:shd w:val="clear" w:color="auto" w:fill="FFFFFF"/>
        <w:spacing w:beforeAutospacing="0" w:before="0" w:after="280"/>
        <w:rPr/>
      </w:pPr>
      <w:r>
        <w:rPr/>
      </w:r>
    </w:p>
    <w:p>
      <w:pPr>
        <w:pStyle w:val="NormalWeb"/>
        <w:shd w:val="clear" w:color="auto" w:fill="FFFFFF"/>
        <w:spacing w:beforeAutospacing="0" w:before="0" w:after="280"/>
        <w:rPr/>
      </w:pPr>
      <w:r>
        <w:rPr/>
      </w:r>
    </w:p>
    <w:p>
      <w:pPr>
        <w:pStyle w:val="NormalWeb"/>
        <w:shd w:val="clear" w:color="auto" w:fill="FFFFFF"/>
        <w:spacing w:beforeAutospacing="0" w:before="0" w:after="280"/>
        <w:rPr/>
      </w:pPr>
      <w:r>
        <w:rPr/>
      </w:r>
    </w:p>
    <w:p>
      <w:pPr>
        <w:pStyle w:val="NormalWeb"/>
        <w:shd w:val="clear" w:color="auto" w:fill="FFFFFF"/>
        <w:spacing w:beforeAutospacing="0" w:before="0" w:after="280"/>
        <w:rPr/>
      </w:pPr>
      <w:r>
        <w:rPr/>
      </w:r>
    </w:p>
    <w:p>
      <w:pPr>
        <w:pStyle w:val="NormalWeb"/>
        <w:shd w:val="clear" w:color="auto" w:fill="FFFFFF"/>
        <w:spacing w:beforeAutospacing="0" w:before="0" w:after="280"/>
        <w:rPr/>
      </w:pPr>
      <w:r>
        <w:rPr/>
      </w:r>
    </w:p>
    <w:tbl>
      <w:tblPr>
        <w:tblW w:w="8804" w:type="dxa"/>
        <w:jc w:val="left"/>
        <w:tblInd w:w="5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134"/>
        <w:gridCol w:w="5509"/>
        <w:gridCol w:w="161"/>
      </w:tblGrid>
      <w:tr>
        <w:trPr>
          <w:trHeight w:val="330" w:hRule="atLeast"/>
        </w:trPr>
        <w:tc>
          <w:tcPr>
            <w:tcW w:w="8804" w:type="dxa"/>
            <w:gridSpan w:val="3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10. Informácie o záväzkoch</w:t>
            </w:r>
          </w:p>
        </w:tc>
      </w:tr>
      <w:tr>
        <w:trPr>
          <w:trHeight w:val="930" w:hRule="atLeast"/>
        </w:trPr>
        <w:tc>
          <w:tcPr>
            <w:tcW w:w="3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55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121" w:hRule="exact"/>
        </w:trPr>
        <w:tc>
          <w:tcPr>
            <w:tcW w:w="313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55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  <w:tc>
          <w:tcPr>
            <w:tcW w:w="161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92" w:hRule="atLeast"/>
        </w:trPr>
        <w:tc>
          <w:tcPr>
            <w:tcW w:w="3134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Záväzky spolu, z toho</w:t>
            </w:r>
          </w:p>
        </w:tc>
        <w:tc>
          <w:tcPr>
            <w:tcW w:w="5509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  <w:t>39073</w:t>
            </w:r>
          </w:p>
        </w:tc>
        <w:tc>
          <w:tcPr>
            <w:tcW w:w="161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395" w:hRule="atLeast"/>
        </w:trPr>
        <w:tc>
          <w:tcPr>
            <w:tcW w:w="313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 xml:space="preserve">Záväzky dodávateľom </w:t>
            </w:r>
          </w:p>
        </w:tc>
        <w:tc>
          <w:tcPr>
            <w:tcW w:w="5509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29339</w:t>
            </w:r>
          </w:p>
        </w:tc>
        <w:tc>
          <w:tcPr>
            <w:tcW w:w="161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118" w:hRule="atLeast"/>
        </w:trPr>
        <w:tc>
          <w:tcPr>
            <w:tcW w:w="313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55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  <w:t>0</w:t>
            </w:r>
          </w:p>
        </w:tc>
        <w:tc>
          <w:tcPr>
            <w:tcW w:w="161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356" w:hRule="atLeast"/>
        </w:trPr>
        <w:tc>
          <w:tcPr>
            <w:tcW w:w="3134" w:type="dxa"/>
            <w:tcBorders>
              <w:lef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Záväzky voči zamestnancom a poisť.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</w:tc>
        <w:tc>
          <w:tcPr>
            <w:tcW w:w="5509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1" w:type="dxa"/>
            <w:tcBorders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356" w:hRule="atLeast"/>
        </w:trPr>
        <w:tc>
          <w:tcPr>
            <w:tcW w:w="3134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Daňové záväzky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 xml:space="preserve">Záväzky voči spoloč.  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Úvery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Soc.fond</w:t>
            </w:r>
          </w:p>
        </w:tc>
        <w:tc>
          <w:tcPr>
            <w:tcW w:w="550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1031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21623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               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9034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                    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192</w:t>
            </w:r>
          </w:p>
        </w:tc>
        <w:tc>
          <w:tcPr>
            <w:tcW w:w="161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</w:tbl>
    <w:p>
      <w:pPr>
        <w:pStyle w:val="Normal"/>
        <w:rPr>
          <w:sz w:val="24"/>
        </w:rPr>
      </w:pPr>
      <w:r>
        <w:rPr>
          <w:sz w:val="24"/>
        </w:rPr>
      </w:r>
    </w:p>
    <w:p>
      <w:pPr>
        <w:pStyle w:val="Normal"/>
        <w:rPr>
          <w:sz w:val="24"/>
        </w:rPr>
      </w:pPr>
      <w:r>
        <w:rPr>
          <w:sz w:val="24"/>
        </w:rPr>
      </w:r>
    </w:p>
    <w:p>
      <w:pPr>
        <w:pStyle w:val="Normal"/>
        <w:rPr>
          <w:sz w:val="24"/>
        </w:rPr>
      </w:pPr>
      <w:r>
        <w:rPr>
          <w:sz w:val="24"/>
        </w:rPr>
        <w:t>11. Informácie o záväzkoch zo sociálneho fondu</w:t>
      </w:r>
    </w:p>
    <w:tbl>
      <w:tblPr>
        <w:tblW w:w="8804" w:type="dxa"/>
        <w:jc w:val="left"/>
        <w:tblInd w:w="5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701"/>
        <w:gridCol w:w="4942"/>
        <w:gridCol w:w="161"/>
      </w:tblGrid>
      <w:tr>
        <w:trPr>
          <w:trHeight w:val="735" w:hRule="atLeast"/>
        </w:trPr>
        <w:tc>
          <w:tcPr>
            <w:tcW w:w="3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9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392" w:hRule="atLeast"/>
        </w:trPr>
        <w:tc>
          <w:tcPr>
            <w:tcW w:w="3701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Začiatočný stav sociálneho fondu</w:t>
            </w:r>
          </w:p>
        </w:tc>
        <w:tc>
          <w:tcPr>
            <w:tcW w:w="4942" w:type="dxa"/>
            <w:tcBorders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192</w:t>
            </w:r>
          </w:p>
        </w:tc>
        <w:tc>
          <w:tcPr>
            <w:tcW w:w="161" w:type="dxa"/>
            <w:tcBorders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210" w:hRule="atLeast"/>
        </w:trPr>
        <w:tc>
          <w:tcPr>
            <w:tcW w:w="370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 sociálneho fondu 2023</w:t>
            </w:r>
          </w:p>
        </w:tc>
        <w:tc>
          <w:tcPr>
            <w:tcW w:w="4942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1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314" w:hRule="atLeast"/>
        </w:trPr>
        <w:tc>
          <w:tcPr>
            <w:tcW w:w="370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Čerpanie sociálneho fondu</w:t>
            </w:r>
          </w:p>
        </w:tc>
        <w:tc>
          <w:tcPr>
            <w:tcW w:w="4942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  <w:t xml:space="preserve">                                              </w:t>
            </w:r>
            <w:r>
              <w:rPr>
                <w:rFonts w:eastAsia="" w:cs="Times New Roman" w:eastAsiaTheme="minorEastAsia"/>
                <w:lang w:eastAsia="sk-SK"/>
              </w:rPr>
              <w:t>0</w:t>
            </w:r>
          </w:p>
        </w:tc>
        <w:tc>
          <w:tcPr>
            <w:tcW w:w="161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  <w:tr>
        <w:trPr>
          <w:trHeight w:val="148" w:hRule="atLeast"/>
        </w:trPr>
        <w:tc>
          <w:tcPr>
            <w:tcW w:w="3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Times New Roman" w:cs="Times New Roman"/>
                <w:b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Konečný zostatok sociálneho fondu</w:t>
            </w:r>
          </w:p>
        </w:tc>
        <w:tc>
          <w:tcPr>
            <w:tcW w:w="4942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192</w:t>
            </w:r>
          </w:p>
        </w:tc>
        <w:tc>
          <w:tcPr>
            <w:tcW w:w="161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eastAsia="" w:cs="Times New Roman" w:eastAsiaTheme="minorEastAsia"/>
                <w:lang w:eastAsia="sk-SK"/>
              </w:rPr>
            </w:pPr>
            <w:r>
              <w:rPr>
                <w:rFonts w:eastAsia="" w:cs="Times New Roman" w:eastAsiaTheme="minorEastAsia"/>
                <w:lang w:eastAsia="sk-SK"/>
              </w:rPr>
            </w:r>
          </w:p>
        </w:tc>
      </w:tr>
    </w:tbl>
    <w:p>
      <w:pPr>
        <w:pStyle w:val="Normal"/>
        <w:rPr>
          <w:sz w:val="24"/>
        </w:rPr>
      </w:pPr>
      <w:r>
        <w:rPr>
          <w:sz w:val="24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  <w:u w:val="single"/>
        </w:rPr>
        <w:t>12. 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062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525"/>
        <w:gridCol w:w="4536"/>
      </w:tblGrid>
      <w:tr>
        <w:trPr/>
        <w:tc>
          <w:tcPr>
            <w:tcW w:w="4525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val="en-US" w:eastAsia="en-US" w:bidi="ar-SA"/>
              </w:rPr>
              <w:t>Názov položky</w:t>
            </w:r>
          </w:p>
        </w:tc>
        <w:tc>
          <w:tcPr>
            <w:tcW w:w="4536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val="en-US" w:eastAsia="en-US" w:bidi="ar-SA"/>
              </w:rPr>
              <w:t>Spôsob oceňovania</w:t>
            </w:r>
          </w:p>
        </w:tc>
      </w:tr>
      <w:tr>
        <w:trPr/>
        <w:tc>
          <w:tcPr>
            <w:tcW w:w="4525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Dlhodobý 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 xml:space="preserve">tok: </w:t>
            </w:r>
          </w:p>
        </w:tc>
        <w:tc>
          <w:tcPr>
            <w:tcW w:w="4536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Obstarávacia cena</w:t>
            </w:r>
          </w:p>
        </w:tc>
      </w:tr>
      <w:tr>
        <w:trPr/>
        <w:tc>
          <w:tcPr>
            <w:tcW w:w="4525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Dlhodobý 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tok:</w:t>
            </w:r>
          </w:p>
        </w:tc>
        <w:tc>
          <w:tcPr>
            <w:tcW w:w="4536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Obstarávacia cena</w:t>
            </w:r>
          </w:p>
        </w:tc>
      </w:tr>
      <w:tr>
        <w:trPr/>
        <w:tc>
          <w:tcPr>
            <w:tcW w:w="4525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Dlhodobý fin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val="en-US"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ný ma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val="en-US" w:eastAsia="en-US" w:bidi="ar-SA"/>
              </w:rPr>
              <w:t>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tok: nevlastní</w:t>
            </w:r>
          </w:p>
        </w:tc>
        <w:tc>
          <w:tcPr>
            <w:tcW w:w="4536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Obstarávacia cena</w:t>
            </w:r>
          </w:p>
        </w:tc>
      </w:tr>
      <w:tr>
        <w:trPr/>
        <w:tc>
          <w:tcPr>
            <w:tcW w:w="4525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Zásoby obst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val="en-US" w:eastAsia="en-US" w:bidi="ar-SA"/>
              </w:rPr>
              <w:t>a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val="en-US"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kúpo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val="en-US" w:eastAsia="en-US" w:bidi="ar-SA"/>
              </w:rPr>
              <w:t xml:space="preserve">u: </w:t>
            </w:r>
          </w:p>
        </w:tc>
        <w:tc>
          <w:tcPr>
            <w:tcW w:w="4536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Obstarávacia cena</w:t>
            </w:r>
          </w:p>
        </w:tc>
      </w:tr>
      <w:tr>
        <w:trPr/>
        <w:tc>
          <w:tcPr>
            <w:tcW w:w="4525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val="en-US"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 xml:space="preserve">soby 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val="en-US" w:eastAsia="en-US" w:bidi="ar-SA"/>
              </w:rPr>
              <w:t>v</w:t>
            </w:r>
            <w:r>
              <w:rPr>
                <w:rFonts w:cs="Arial" w:ascii="Arial" w:hAnsi="Arial"/>
                <w:spacing w:val="-5"/>
                <w:kern w:val="0"/>
                <w:sz w:val="22"/>
                <w:szCs w:val="22"/>
                <w:lang w:val="en-US" w:eastAsia="en-US" w:bidi="ar-SA"/>
              </w:rPr>
              <w:t>y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tvor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val="en-US" w:eastAsia="en-US" w:bidi="ar-SA"/>
              </w:rPr>
              <w:t>e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val="en-US"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vlastnou činnosťou: nie sú</w:t>
            </w:r>
          </w:p>
        </w:tc>
        <w:tc>
          <w:tcPr>
            <w:tcW w:w="4536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Vlastné náklady</w:t>
            </w:r>
          </w:p>
        </w:tc>
      </w:tr>
      <w:tr>
        <w:trPr/>
        <w:tc>
          <w:tcPr>
            <w:tcW w:w="4525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Vlastné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vky:</w:t>
            </w:r>
          </w:p>
        </w:tc>
        <w:tc>
          <w:tcPr>
            <w:tcW w:w="4536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Menovitá hodnota</w:t>
            </w:r>
          </w:p>
        </w:tc>
      </w:tr>
      <w:tr>
        <w:trPr/>
        <w:tc>
          <w:tcPr>
            <w:tcW w:w="4525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Kúpené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 xml:space="preserve">vky: </w:t>
            </w:r>
          </w:p>
        </w:tc>
        <w:tc>
          <w:tcPr>
            <w:tcW w:w="4536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Obstarávacia cena</w:t>
            </w:r>
          </w:p>
        </w:tc>
      </w:tr>
      <w:tr>
        <w:trPr/>
        <w:tc>
          <w:tcPr>
            <w:tcW w:w="4525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K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 xml:space="preserve">tkodobý 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val="en-US" w:eastAsia="en-US" w:bidi="ar-SA"/>
              </w:rPr>
              <w:t>f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ina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val="en-US"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 xml:space="preserve">tok: </w:t>
            </w:r>
          </w:p>
        </w:tc>
        <w:tc>
          <w:tcPr>
            <w:tcW w:w="4536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Obstarávacia cena</w:t>
            </w:r>
          </w:p>
        </w:tc>
      </w:tr>
      <w:tr>
        <w:trPr/>
        <w:tc>
          <w:tcPr>
            <w:tcW w:w="4525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Zá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ä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val="en-US" w:eastAsia="en-US" w:bidi="ar-SA"/>
              </w:rPr>
              <w:t>z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ky 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 xml:space="preserve">tane 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val="en-US" w:eastAsia="en-US" w:bidi="ar-SA"/>
              </w:rPr>
              <w:t>r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e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val="en-US"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rv:</w:t>
            </w:r>
          </w:p>
        </w:tc>
        <w:tc>
          <w:tcPr>
            <w:tcW w:w="4536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Menovitá hodnota</w:t>
            </w:r>
          </w:p>
        </w:tc>
      </w:tr>
      <w:tr>
        <w:trPr/>
        <w:tc>
          <w:tcPr>
            <w:tcW w:w="4525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Dlhopisy: nie sú</w:t>
            </w:r>
          </w:p>
        </w:tc>
        <w:tc>
          <w:tcPr>
            <w:tcW w:w="4536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Menovitá hodnota</w:t>
            </w:r>
          </w:p>
        </w:tc>
      </w:tr>
      <w:tr>
        <w:trPr/>
        <w:tc>
          <w:tcPr>
            <w:tcW w:w="4525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Pô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val="en-US" w:eastAsia="en-US" w:bidi="ar-SA"/>
              </w:rPr>
              <w:t>ž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ičky 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val="en-US" w:eastAsia="en-US" w:bidi="ar-SA"/>
              </w:rPr>
              <w:t> 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úv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 xml:space="preserve">ry: </w:t>
            </w:r>
          </w:p>
        </w:tc>
        <w:tc>
          <w:tcPr>
            <w:tcW w:w="4536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Menovitá hodnota</w:t>
            </w:r>
          </w:p>
        </w:tc>
      </w:tr>
      <w:tr>
        <w:trPr/>
        <w:tc>
          <w:tcPr>
            <w:tcW w:w="4525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riv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val="en-US"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to</w:t>
            </w:r>
            <w:r>
              <w:rPr>
                <w:rFonts w:cs="Arial" w:ascii="Arial" w:hAnsi="Arial"/>
                <w:spacing w:val="5"/>
                <w:kern w:val="0"/>
                <w:sz w:val="22"/>
                <w:szCs w:val="22"/>
                <w:lang w:val="en-US" w:eastAsia="en-US" w:bidi="ar-SA"/>
              </w:rPr>
              <w:t xml:space="preserve">vé 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op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val="en-US"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rá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val="en-US" w:eastAsia="en-US" w:bidi="ar-SA"/>
              </w:rPr>
              <w:t>c</w:t>
            </w: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ie: bez náplne</w:t>
            </w:r>
          </w:p>
        </w:tc>
        <w:tc>
          <w:tcPr>
            <w:tcW w:w="4536" w:type="dxa"/>
            <w:tcBorders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val="en-US" w:eastAsia="en-US" w:bidi="ar-SA"/>
              </w:rPr>
              <w:t>Menovitá hodnota</w:t>
            </w:r>
          </w:p>
        </w:tc>
      </w:tr>
    </w:tbl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 xml:space="preserve">ho plánu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V zmysle ustanovenia § 26 a 28 zák. o dani z príjmov, </w:t>
      </w:r>
      <w:r>
        <w:rPr>
          <w:rFonts w:cs="Arial" w:ascii="Arial" w:hAnsi="Arial"/>
          <w:b/>
          <w:bCs/>
          <w:sz w:val="22"/>
          <w:szCs w:val="22"/>
        </w:rPr>
        <w:t xml:space="preserve">ÚJ vlastní majetok ktorý sa odpisuje. Účtovné a daňové odpisy sú zhodné. </w:t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  <w:t>Hmotný majetok sa odpisuje na základe odpisového plánu prostredníctvom odpisov. Hmotný majetok ktorého obstarávacia cena je nižšia ako 1700 eur a doba použiteľnosti je dlhšia ako 1 rok sa účtuje priamo do spotreby na účet 501. Nehmotný majetok, ktorého obstarávacia cena je nižšia ako 2400 eur a doba použiteľnosti je dlhšia ako 1 rok sa účtuje priamo do spotreby na účet 518.</w:t>
      </w:r>
    </w:p>
    <w:p>
      <w:pPr>
        <w:pStyle w:val="Normal"/>
        <w:rPr/>
      </w:pPr>
      <w:r>
        <w:rPr/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13.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>Bez náplne – neboli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spacing w:lineRule="exact" w:line="280" w:before="1" w:after="20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14.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 – neboli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Nie sú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b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ÚJ je s.r.o.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 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492a25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link w:val="Nadpis1Char"/>
    <w:uiPriority w:val="1"/>
    <w:qFormat/>
    <w:rsid w:val="00551118"/>
    <w:pPr>
      <w:widowControl w:val="false"/>
      <w:spacing w:lineRule="auto" w:line="240" w:before="0" w:after="0"/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kladntextChar" w:customStyle="1">
    <w:name w:val="Základný text Char"/>
    <w:basedOn w:val="DefaultParagraphFont"/>
    <w:uiPriority w:val="1"/>
    <w:qFormat/>
    <w:rsid w:val="0046567e"/>
    <w:rPr>
      <w:rFonts w:ascii="Times New Roman" w:hAnsi="Times New Roman" w:eastAsia="Times New Roman"/>
      <w:sz w:val="24"/>
      <w:szCs w:val="24"/>
    </w:rPr>
  </w:style>
  <w:style w:type="character" w:styleId="Nadpis1Char" w:customStyle="1">
    <w:name w:val="Nadpis 1 Char"/>
    <w:basedOn w:val="DefaultParagraphFont"/>
    <w:uiPriority w:val="1"/>
    <w:qFormat/>
    <w:rsid w:val="00551118"/>
    <w:rPr>
      <w:rFonts w:ascii="Times New Roman" w:hAnsi="Times New Roman" w:eastAsia="Times New Roman"/>
      <w:b/>
      <w:bCs/>
      <w:sz w:val="24"/>
      <w:szCs w:val="24"/>
    </w:rPr>
  </w:style>
  <w:style w:type="character" w:styleId="HlavikaChar" w:customStyle="1">
    <w:name w:val="Hlavička Char"/>
    <w:basedOn w:val="DefaultParagraphFont"/>
    <w:qFormat/>
    <w:rsid w:val="00551118"/>
    <w:rPr/>
  </w:style>
  <w:style w:type="character" w:styleId="PtaChar" w:customStyle="1">
    <w:name w:val="Päta Char"/>
    <w:basedOn w:val="DefaultParagraphFont"/>
    <w:uiPriority w:val="99"/>
    <w:qFormat/>
    <w:rsid w:val="0055111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1"/>
    <w:unhideWhenUsed/>
    <w:qFormat/>
    <w:rsid w:val="0046567e"/>
    <w:pPr>
      <w:widowControl w:val="false"/>
      <w:spacing w:lineRule="auto" w:line="240" w:before="0" w:after="0"/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NormalWeb">
    <w:name w:val="Normal (Web)"/>
    <w:basedOn w:val="Normal"/>
    <w:uiPriority w:val="99"/>
    <w:unhideWhenUsed/>
    <w:qFormat/>
    <w:rsid w:val="00ae1ed2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sk-SK"/>
    </w:rPr>
  </w:style>
  <w:style w:type="paragraph" w:styleId="ListParagraph">
    <w:name w:val="List Paragraph"/>
    <w:basedOn w:val="Normal"/>
    <w:uiPriority w:val="1"/>
    <w:qFormat/>
    <w:rsid w:val="00551118"/>
    <w:pPr>
      <w:widowControl w:val="false"/>
      <w:spacing w:lineRule="auto" w:line="240" w:before="0" w:after="0"/>
    </w:pPr>
    <w:rPr/>
  </w:style>
  <w:style w:type="paragraph" w:styleId="TableParagraph" w:customStyle="1">
    <w:name w:val="Table Paragraph"/>
    <w:basedOn w:val="Normal"/>
    <w:uiPriority w:val="1"/>
    <w:qFormat/>
    <w:rsid w:val="00551118"/>
    <w:pPr>
      <w:widowControl w:val="false"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551118"/>
    <w:pPr>
      <w:widowControl w:val="false"/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551118"/>
    <w:pPr>
      <w:widowControl w:val="false"/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551118"/>
    <w:pPr>
      <w:spacing w:after="0" w:line="240" w:lineRule="auto"/>
    </w:pPr>
    <w:rPr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leNormal">
    <w:name w:val="Table Normal"/>
    <w:uiPriority w:val="2"/>
    <w:semiHidden/>
    <w:unhideWhenUsed/>
    <w:qFormat/>
    <w:rsid w:val="00551118"/>
    <w:pPr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Application>LibreOffice/7.3.2.2$Windows_X86_64 LibreOffice_project/49f2b1bff42cfccbd8f788c8dc32c1c309559be0</Application>
  <AppVersion>15.0000</AppVersion>
  <Pages>6</Pages>
  <Words>1134</Words>
  <Characters>6853</Characters>
  <CharactersWithSpaces>8100</CharactersWithSpaces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2024-02-18T16:29:00Z</dcterms:created>
  <dc:creator>Správca</dc:creator>
  <dc:description/>
  <dc:language>sk-SK</dc:language>
  <cp:lastModifiedBy/>
  <cp:lastPrinted>2022-03-20T17:36:00Z</cp:lastPrinted>
  <dcterms:modified xsi:type="dcterms:W3CDTF">2025-08-04T00:48:13Z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