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20"/>
          <w:szCs w:val="22"/>
        </w:rPr>
        <w:t>D &amp; K Dealing s.r.o.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01.09.2021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p>
      <w:pPr>
        <w:pStyle w:val="Standard"/>
        <w:numPr>
          <w:ilvl w:val="0"/>
          <w:numId w:val="0"/>
        </w:numPr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6456"/>
        <w:gridCol w:w="1"/>
        <w:gridCol w:w="1"/>
        <w:gridCol w:w="3179"/>
      </w:tblGrid>
      <w:tr>
        <w:trPr/>
        <w:tc>
          <w:tcPr>
            <w:tcW w:w="6457" w:type="dxa"/>
            <w:gridSpan w:val="2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sprostredkovateľská činnosť v oblasti obchodu, služieb, výroby</w:t>
            </w:r>
          </w:p>
        </w:tc>
        <w:tc>
          <w:tcPr>
            <w:tcW w:w="3180" w:type="dxa"/>
            <w:gridSpan w:val="2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8" w:type="dxa"/>
            <w:gridSpan w:val="3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prípravné práce k realizácii stavby</w:t>
            </w:r>
          </w:p>
        </w:tc>
        <w:tc>
          <w:tcPr>
            <w:tcW w:w="3179" w:type="dxa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7" w:type="dxa"/>
            <w:gridSpan w:val="2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poskytovanie služieb osobného charakteru</w:t>
            </w:r>
          </w:p>
        </w:tc>
        <w:tc>
          <w:tcPr>
            <w:tcW w:w="3180" w:type="dxa"/>
            <w:gridSpan w:val="2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8" w:type="dxa"/>
            <w:gridSpan w:val="3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administratívne služby</w:t>
            </w:r>
          </w:p>
        </w:tc>
        <w:tc>
          <w:tcPr>
            <w:tcW w:w="3179" w:type="dxa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8" w:type="dxa"/>
            <w:gridSpan w:val="3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skladovanie a pomocné činnosti v doprave</w:t>
            </w:r>
          </w:p>
        </w:tc>
        <w:tc>
          <w:tcPr>
            <w:tcW w:w="3179" w:type="dxa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6" w:type="dxa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oprava osobných potrieb a potrieb pre domácnosť</w:t>
            </w:r>
          </w:p>
        </w:tc>
        <w:tc>
          <w:tcPr>
            <w:tcW w:w="3181" w:type="dxa"/>
            <w:gridSpan w:val="3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7" w:type="dxa"/>
            <w:gridSpan w:val="2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čistiace a upratovacie služby</w:t>
            </w:r>
          </w:p>
        </w:tc>
        <w:tc>
          <w:tcPr>
            <w:tcW w:w="3180" w:type="dxa"/>
            <w:gridSpan w:val="2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7" w:type="dxa"/>
            <w:gridSpan w:val="2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reklamné a marketingové služby, prieskum trhu a verejnej mienky</w:t>
            </w:r>
          </w:p>
        </w:tc>
        <w:tc>
          <w:tcPr>
            <w:tcW w:w="3180" w:type="dxa"/>
            <w:gridSpan w:val="2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8" w:type="dxa"/>
            <w:gridSpan w:val="3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179" w:type="dxa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7" w:type="dxa"/>
            <w:gridSpan w:val="2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dokončovacie stavebné práce pri realizácii exteriérov a interiérov</w:t>
            </w:r>
          </w:p>
        </w:tc>
        <w:tc>
          <w:tcPr>
            <w:tcW w:w="3180" w:type="dxa"/>
            <w:gridSpan w:val="2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  <w:tr>
        <w:trPr/>
        <w:tc>
          <w:tcPr>
            <w:tcW w:w="6458" w:type="dxa"/>
            <w:gridSpan w:val="3"/>
            <w:tcBorders/>
            <w:vAlign w:val="center"/>
          </w:tcPr>
          <w:p>
            <w:pPr>
              <w:pStyle w:val="Obsahtabuky"/>
              <w:widowControl w:val="false"/>
              <w:rPr>
                <w:rFonts w:ascii="Arial CE;Helvetica CE;Arial;sans-serif" w:hAnsi="Arial CE;Helvetica CE;Arial;sans-serif"/>
                <w:b/>
                <w:b/>
                <w:color w:val="000000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</w:rPr>
              <w:t>dizajnérske činnosti</w:t>
            </w:r>
          </w:p>
        </w:tc>
        <w:tc>
          <w:tcPr>
            <w:tcW w:w="3179" w:type="dxa"/>
            <w:tcBorders/>
          </w:tcPr>
          <w:p>
            <w:pPr>
              <w:pStyle w:val="Obsahtabuky"/>
              <w:widowControl w:val="false"/>
              <w:rPr/>
            </w:pPr>
            <w:r>
              <w:rPr/>
              <w:t>  </w:t>
            </w:r>
            <w:r>
              <w:rPr>
                <w:rFonts w:ascii="Arial CE;Helvetica CE;Arial;sans-serif" w:hAnsi="Arial CE;Helvetica CE;Arial;sans-serif"/>
                <w:b/>
                <w:color w:val="000000"/>
              </w:rPr>
              <w:t>(od: 01.09.2021)</w:t>
            </w:r>
          </w:p>
        </w:tc>
      </w:tr>
    </w:tbl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 </w:t>
      </w:r>
      <w:r>
        <w:rPr>
          <w:rFonts w:cs="Arial Narrow" w:ascii="Arial CE;Helvetica CE;Arial;sans-serif" w:hAnsi="Arial CE;Helvetica CE;Arial;sans-serif"/>
          <w:b/>
          <w:i w:val="false"/>
          <w:caps w:val="false"/>
          <w:smallCaps w:val="false"/>
          <w:color w:val="000000"/>
          <w:spacing w:val="0"/>
          <w:sz w:val="20"/>
          <w:szCs w:val="22"/>
        </w:rPr>
        <w:t>D &amp; K Dealing s.r.o.</w:t>
      </w:r>
      <w:r>
        <w:rPr>
          <w:rFonts w:cs="Arial Narrow" w:ascii="Arial Narrow" w:hAnsi="Arial Narrow"/>
          <w:sz w:val="22"/>
          <w:szCs w:val="22"/>
        </w:rPr>
        <w:t xml:space="preserve">  predkladá riadnu účtovnú závierku za rok 2024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2024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2024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2024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2024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31.12.2024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2024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2024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2024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2024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31.12.2024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2024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2024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20234nebola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2023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2024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2022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31.12.2023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2024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2024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Stav základného imania k 31.12.2024 tvoril 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2024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2024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2024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2024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2024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77060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124264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77060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124264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2024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2024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2024 neevidovala neuplatnené umorenie daňovej straty, nevyužité daňové odpočty a iné nároky a odpočítatľné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2024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2024 nenastali zmeny sadzby sadzby dane z príjmov a účtovná jednotka  o zmene sadzby dane v roku 2024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2024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01.01.2021 a 2023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 a ukončenie spolupráce so spol. DHL Slovakia,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2024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altName w:val="Helvetica CE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9"/>
      <w:gridCol w:w="271"/>
      <w:gridCol w:w="267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5</w:t>
          </w:r>
        </w:p>
      </w:tc>
      <w:tc>
        <w:tcPr>
          <w:tcW w:w="27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6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9"/>
      <w:gridCol w:w="271"/>
      <w:gridCol w:w="267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Application>LibreOffice/7.1.1.2$Windows_X86_64 LibreOffice_project/fe0b08f4af1bacafe4c7ecc87ce55bb426164676</Application>
  <AppVersion>15.0000</AppVersion>
  <Pages>28</Pages>
  <Words>4691</Words>
  <Characters>25369</Characters>
  <CharactersWithSpaces>29037</CharactersWithSpaces>
  <Paragraphs>1227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2025-07-31T18:40:59Z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