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numPr>
          <w:ilvl w:val="0"/>
          <w:numId w:val="4"/>
        </w:numPr>
        <w:tabs>
          <w:tab w:val="clear" w:pos="708"/>
          <w:tab w:val="left" w:pos="284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CE;Helvetica CE;Arial;sans-serif" w:hAnsi="Arial CE;Helvetica CE;Arial;sans-serif"/>
          <w:b/>
          <w:i w:val="false"/>
          <w:caps w:val="false"/>
          <w:smallCaps w:val="false"/>
          <w:color w:val="000000"/>
          <w:spacing w:val="0"/>
          <w:sz w:val="20"/>
          <w:szCs w:val="22"/>
        </w:rPr>
        <w:t>D &amp; K Dealing s.r.o.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Standard"/>
        <w:ind w:left="4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bola založená a vznikla  01.09.2021</w:t>
      </w:r>
    </w:p>
    <w:p>
      <w:pPr>
        <w:pStyle w:val="Standard"/>
        <w:keepNext w:val="true"/>
        <w:spacing w:before="0" w:after="60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Standard"/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Predmet podnikania:      </w:t>
      </w:r>
    </w:p>
    <w:p>
      <w:pPr>
        <w:pStyle w:val="Standard"/>
        <w:numPr>
          <w:ilvl w:val="0"/>
          <w:numId w:val="0"/>
        </w:numPr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456"/>
        <w:gridCol w:w="1"/>
        <w:gridCol w:w="1"/>
        <w:gridCol w:w="3179"/>
      </w:tblGrid>
      <w:tr>
        <w:trPr/>
        <w:tc>
          <w:tcPr>
            <w:tcW w:w="6457" w:type="dxa"/>
            <w:gridSpan w:val="2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sprostredkovateľská činnosť v oblasti obchodu, služieb, výroby</w:t>
            </w:r>
          </w:p>
        </w:tc>
        <w:tc>
          <w:tcPr>
            <w:tcW w:w="3180" w:type="dxa"/>
            <w:gridSpan w:val="2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8" w:type="dxa"/>
            <w:gridSpan w:val="3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prípravné práce k realizácii stavby</w:t>
            </w:r>
          </w:p>
        </w:tc>
        <w:tc>
          <w:tcPr>
            <w:tcW w:w="3179" w:type="dxa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7" w:type="dxa"/>
            <w:gridSpan w:val="2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poskytovanie služieb osobného charakteru</w:t>
            </w:r>
          </w:p>
        </w:tc>
        <w:tc>
          <w:tcPr>
            <w:tcW w:w="3180" w:type="dxa"/>
            <w:gridSpan w:val="2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8" w:type="dxa"/>
            <w:gridSpan w:val="3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administratívne služby</w:t>
            </w:r>
          </w:p>
        </w:tc>
        <w:tc>
          <w:tcPr>
            <w:tcW w:w="3179" w:type="dxa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8" w:type="dxa"/>
            <w:gridSpan w:val="3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skladovanie a pomocné činnosti v doprave</w:t>
            </w:r>
          </w:p>
        </w:tc>
        <w:tc>
          <w:tcPr>
            <w:tcW w:w="3179" w:type="dxa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6" w:type="dxa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oprava osobných potrieb a potrieb pre domácnosť</w:t>
            </w:r>
          </w:p>
        </w:tc>
        <w:tc>
          <w:tcPr>
            <w:tcW w:w="3181" w:type="dxa"/>
            <w:gridSpan w:val="3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7" w:type="dxa"/>
            <w:gridSpan w:val="2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čistiace a upratovacie služby</w:t>
            </w:r>
          </w:p>
        </w:tc>
        <w:tc>
          <w:tcPr>
            <w:tcW w:w="3180" w:type="dxa"/>
            <w:gridSpan w:val="2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7" w:type="dxa"/>
            <w:gridSpan w:val="2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reklamné a marketingové služby, prieskum trhu a verejnej mienky</w:t>
            </w:r>
          </w:p>
        </w:tc>
        <w:tc>
          <w:tcPr>
            <w:tcW w:w="3180" w:type="dxa"/>
            <w:gridSpan w:val="2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8" w:type="dxa"/>
            <w:gridSpan w:val="3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3179" w:type="dxa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7" w:type="dxa"/>
            <w:gridSpan w:val="2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dokončovacie stavebné práce pri realizácii exteriérov a interiérov</w:t>
            </w:r>
          </w:p>
        </w:tc>
        <w:tc>
          <w:tcPr>
            <w:tcW w:w="3180" w:type="dxa"/>
            <w:gridSpan w:val="2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  <w:tr>
        <w:trPr/>
        <w:tc>
          <w:tcPr>
            <w:tcW w:w="6458" w:type="dxa"/>
            <w:gridSpan w:val="3"/>
            <w:tcBorders/>
            <w:vAlign w:val="center"/>
          </w:tcPr>
          <w:p>
            <w:pPr>
              <w:pStyle w:val="Obsahtabuky"/>
              <w:widowControl w:val="false"/>
              <w:rPr>
                <w:rFonts w:ascii="Arial CE;Helvetica CE;Arial;sans-serif" w:hAnsi="Arial CE;Helvetica CE;Arial;sans-serif"/>
                <w:b/>
                <w:b/>
                <w:color w:val="000000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</w:rPr>
              <w:t>dizajnérske činnosti</w:t>
            </w:r>
          </w:p>
        </w:tc>
        <w:tc>
          <w:tcPr>
            <w:tcW w:w="3179" w:type="dxa"/>
            <w:tcBorders/>
          </w:tcPr>
          <w:p>
            <w:pPr>
              <w:pStyle w:val="Obsahtabuky"/>
              <w:widowControl w:val="false"/>
              <w:rPr/>
            </w:pPr>
            <w:r>
              <w:rPr/>
              <w:t>  </w:t>
            </w:r>
            <w:r>
              <w:rPr>
                <w:rFonts w:ascii="Arial CE;Helvetica CE;Arial;sans-serif" w:hAnsi="Arial CE;Helvetica CE;Arial;sans-serif"/>
                <w:b/>
                <w:color w:val="000000"/>
              </w:rPr>
              <w:t>(od: 01.09.2021)</w:t>
            </w:r>
          </w:p>
        </w:tc>
      </w:tr>
    </w:tbl>
    <w:p>
      <w:pPr>
        <w:pStyle w:val="Standard"/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8"/>
      </w:tblGrid>
      <w:tr>
        <w:trPr/>
        <w:tc>
          <w:tcPr>
            <w:tcW w:w="963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665"/>
        <w:gridCol w:w="2621"/>
        <w:gridCol w:w="2856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e)  </w:t>
      </w:r>
      <w:r>
        <w:rPr>
          <w:rFonts w:cs="Arial Narrow" w:ascii="Arial CE;Helvetica CE;Arial;sans-serif" w:hAnsi="Arial CE;Helvetica CE;Arial;sans-serif"/>
          <w:b/>
          <w:i w:val="false"/>
          <w:caps w:val="false"/>
          <w:smallCaps w:val="false"/>
          <w:color w:val="000000"/>
          <w:spacing w:val="0"/>
          <w:sz w:val="20"/>
          <w:szCs w:val="22"/>
        </w:rPr>
        <w:t>D &amp; K Dealing s.r.o.</w:t>
      </w:r>
      <w:r>
        <w:rPr>
          <w:rFonts w:cs="Arial Narrow" w:ascii="Arial Narrow" w:hAnsi="Arial Narrow"/>
          <w:sz w:val="22"/>
          <w:szCs w:val="22"/>
        </w:rPr>
        <w:t xml:space="preserve">  predkladá riadnu účtovnú závierku za rok 2024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2024 účtovníctvo spoločnosti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55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56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2024 nenastali zmeny účtovných zásad a účtovných metód.</w:t>
      </w:r>
    </w:p>
    <w:p>
      <w:pPr>
        <w:pStyle w:val="Nadpis1"/>
        <w:numPr>
          <w:ilvl w:val="0"/>
          <w:numId w:val="57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2024 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05" w:leader="none"/>
        </w:tabs>
        <w:ind w:left="445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58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59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60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6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6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numPr>
          <w:ilvl w:val="0"/>
          <w:numId w:val="6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000"/>
      </w:tblPr>
      <w:tblGrid>
        <w:gridCol w:w="1533"/>
        <w:gridCol w:w="1038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278" w:hRule="atLeast"/>
        </w:trPr>
        <w:tc>
          <w:tcPr>
            <w:tcW w:w="1533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9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278" w:hRule="atLeast"/>
        </w:trPr>
        <w:tc>
          <w:tcPr>
            <w:tcW w:w="1533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8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p>
      <w:pPr>
        <w:pStyle w:val="Textbody"/>
        <w:rPr/>
      </w:pPr>
      <w:r>
        <w:rPr/>
      </w:r>
    </w:p>
    <w:p>
      <w:pPr>
        <w:pStyle w:val="ListParagraph"/>
        <w:numPr>
          <w:ilvl w:val="0"/>
          <w:numId w:val="64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2024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31.12.2024 ani v  bezprostredne predchádzajúcom účtovnom období.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2024 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2024 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2024 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2024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6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66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6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6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39"/>
        <w:gridCol w:w="725"/>
        <w:gridCol w:w="1266"/>
        <w:gridCol w:w="1123"/>
        <w:gridCol w:w="1127"/>
        <w:gridCol w:w="1407"/>
        <w:gridCol w:w="1054"/>
      </w:tblGrid>
      <w:tr>
        <w:trPr>
          <w:trHeight w:val="644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6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70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31.12.2024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71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2024 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7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963"/>
        <w:gridCol w:w="1821"/>
        <w:gridCol w:w="2630"/>
      </w:tblGrid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  <w:r>
        <w:br w:type="page"/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290"/>
        <w:gridCol w:w="2383"/>
        <w:gridCol w:w="2492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2024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7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20234nebola  evidovaná.</w:t>
      </w:r>
    </w:p>
    <w:p>
      <w:pPr>
        <w:pStyle w:val="Standard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2023</w:t>
      </w:r>
    </w:p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7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Nzov"/>
        <w:numPr>
          <w:ilvl w:val="0"/>
          <w:numId w:val="75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2024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2022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31.12.2023 daňovú pohľadávku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7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186"/>
        <w:gridCol w:w="2616"/>
        <w:gridCol w:w="2378"/>
      </w:tblGrid>
      <w:tr>
        <w:trPr/>
        <w:tc>
          <w:tcPr>
            <w:tcW w:w="41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2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802"/>
        <w:gridCol w:w="1455"/>
        <w:gridCol w:w="1152"/>
        <w:gridCol w:w="930"/>
        <w:gridCol w:w="1204"/>
        <w:gridCol w:w="1598"/>
      </w:tblGrid>
      <w:tr>
        <w:trPr/>
        <w:tc>
          <w:tcPr>
            <w:tcW w:w="28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9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77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21"/>
        <w:gridCol w:w="1426"/>
        <w:gridCol w:w="985"/>
        <w:gridCol w:w="1407"/>
        <w:gridCol w:w="1409"/>
        <w:gridCol w:w="1193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2024 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7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2024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7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8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11"/>
        <w:gridCol w:w="1271"/>
        <w:gridCol w:w="1687"/>
        <w:gridCol w:w="1061"/>
        <w:gridCol w:w="1191"/>
        <w:gridCol w:w="1552"/>
        <w:gridCol w:w="906"/>
      </w:tblGrid>
      <w:tr>
        <w:trPr>
          <w:trHeight w:val="660" w:hRule="atLeast"/>
        </w:trPr>
        <w:tc>
          <w:tcPr>
            <w:tcW w:w="15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7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6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81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Stav základného imania k 31.12.2024 tvoril 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000,-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8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8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705"/>
        <w:gridCol w:w="2888"/>
        <w:gridCol w:w="2587"/>
      </w:tblGrid>
      <w:tr>
        <w:trPr>
          <w:trHeight w:val="920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2024 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8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925"/>
        <w:gridCol w:w="2183"/>
        <w:gridCol w:w="2072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2618"/>
        <w:gridCol w:w="2655"/>
      </w:tblGrid>
      <w:tr>
        <w:trPr>
          <w:trHeight w:val="825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8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2024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8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89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1664"/>
        <w:gridCol w:w="978"/>
        <w:gridCol w:w="1679"/>
        <w:gridCol w:w="952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2024 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9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2024 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9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78"/>
        <w:gridCol w:w="1205"/>
        <w:gridCol w:w="1452"/>
        <w:gridCol w:w="1098"/>
        <w:gridCol w:w="1224"/>
        <w:gridCol w:w="1503"/>
        <w:gridCol w:w="1119"/>
      </w:tblGrid>
      <w:tr>
        <w:trPr>
          <w:trHeight w:val="571" w:hRule="atLeast"/>
        </w:trPr>
        <w:tc>
          <w:tcPr>
            <w:tcW w:w="157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03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9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9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2017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2024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9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77060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124264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77060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124264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87"/>
        <w:gridCol w:w="2180"/>
        <w:gridCol w:w="2104"/>
      </w:tblGrid>
      <w:tr>
        <w:trPr>
          <w:trHeight w:val="85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Náklady za 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37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2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94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709"/>
        <w:gridCol w:w="1612"/>
        <w:gridCol w:w="34"/>
        <w:gridCol w:w="1825"/>
      </w:tblGrid>
      <w:tr>
        <w:trPr>
          <w:trHeight w:val="840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6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2024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2024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95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2024 neevidovala neuplatnené umorenie daňovej straty, nevyužité daňové odpočty a iné nároky a odpočítatľné dočasné rozdiely, ku ktorým nebola účtovaná odložená účtovná daňová pohľadávka.</w:t>
      </w:r>
    </w:p>
    <w:p>
      <w:pPr>
        <w:pStyle w:val="Textbody"/>
        <w:numPr>
          <w:ilvl w:val="0"/>
          <w:numId w:val="96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2024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9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683"/>
        <w:gridCol w:w="786"/>
        <w:gridCol w:w="657"/>
        <w:gridCol w:w="1923"/>
        <w:gridCol w:w="705"/>
        <w:gridCol w:w="660"/>
      </w:tblGrid>
      <w:tr>
        <w:trPr>
          <w:trHeight w:val="642" w:hRule="atLeast"/>
        </w:trPr>
        <w:tc>
          <w:tcPr>
            <w:tcW w:w="276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5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2024 nenastali zmeny sadzby sadzby dane z príjmov a účtovná jednotka  o zmene sadzby dane v roku 2024 neúčtovala.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2024 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01.01.2021 a 2023 nastali udalosti /</w:t>
      </w:r>
      <w:r>
        <w:rPr>
          <w:rFonts w:cs="Arial Narrow" w:ascii="Arial Narrow" w:hAnsi="Arial Narrow"/>
          <w:i/>
          <w:iCs/>
          <w:sz w:val="22"/>
          <w:szCs w:val="22"/>
        </w:rPr>
        <w:t>Covid19/ a ukončenie spolupráce so spol. DHL Slovakia,</w:t>
      </w:r>
      <w:r>
        <w:rPr>
          <w:rFonts w:cs="Arial Narrow" w:ascii="Arial Narrow" w:hAnsi="Arial Narrow"/>
          <w:sz w:val="22"/>
          <w:szCs w:val="22"/>
        </w:rPr>
        <w:t xml:space="preserve"> ktoré mali významný dopad na  ekonomickú alebo finančnú situáciu spoločnosti.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2024 evidovala len pohyb peňažných prostriedkov bezpeňažných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98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99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00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101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>
      <w:pPr>
        <w:pStyle w:val="Standard"/>
        <w:rPr>
          <w:szCs w:val="22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1134" w:header="630" w:top="1215" w:footer="1135" w:bottom="1583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  <w:font w:name="Arial CE">
    <w:altName w:val="Helvetica CE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6"/>
      <w:gridCol w:w="267"/>
      <w:gridCol w:w="269"/>
      <w:gridCol w:w="271"/>
      <w:gridCol w:w="271"/>
      <w:gridCol w:w="271"/>
      <w:gridCol w:w="279"/>
      <w:gridCol w:w="271"/>
      <w:gridCol w:w="267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eastAsia="SimSun" w:cs="Times New Roman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</w:pPr>
                <w:r>
                  <w:rPr>
                    <w:rFonts w:eastAsia="SimSun" w:cs="Times New Roman" w:ascii="Arial Narrow" w:hAnsi="Arial Narrow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  <w:t>5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1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2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1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5</w:t>
          </w:r>
        </w:p>
      </w:tc>
      <w:tc>
        <w:tcPr>
          <w:tcW w:w="27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9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6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6"/>
      <w:gridCol w:w="267"/>
      <w:gridCol w:w="269"/>
      <w:gridCol w:w="271"/>
      <w:gridCol w:w="271"/>
      <w:gridCol w:w="271"/>
      <w:gridCol w:w="279"/>
      <w:gridCol w:w="271"/>
      <w:gridCol w:w="267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eastAsia="SimSun" w:cs="Times New Roman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</w:pPr>
                <w:r>
                  <w:rPr>
                    <w:rFonts w:eastAsia="SimSun" w:cs="Times New Roman" w:ascii="Arial Narrow" w:hAnsi="Arial Narrow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  <w:t>5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eastAsia="SimSun" w:cs="Times New Roman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</w:pPr>
                <w:r>
                  <w:rPr>
                    <w:rFonts w:eastAsia="SimSun" w:cs="Times New Roman" w:ascii="Arial Narrow" w:hAnsi="Arial Narrow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eastAsia="SimSun" w:cs="Times New Roman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</w:pPr>
                <w:r>
                  <w:rPr>
                    <w:rFonts w:eastAsia="SimSun" w:cs="Times New Roman" w:ascii="Arial Narrow" w:hAnsi="Arial Narrow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  <w:t>1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2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1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6</w:t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6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7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"/>
    <w:lvlOverride w:ilvl="0">
      <w:startOverride w:val="1"/>
    </w:lvlOverride>
  </w:num>
  <w:num w:numId="55">
    <w:abstractNumId w:val="6"/>
    <w:lvlOverride w:ilvl="0">
      <w:startOverride w:val="1"/>
    </w:lvlOverride>
  </w:num>
  <w:num w:numId="56">
    <w:abstractNumId w:val="6"/>
  </w:num>
  <w:num w:numId="57">
    <w:abstractNumId w:val="6"/>
  </w:num>
  <w:num w:numId="58">
    <w:abstractNumId w:val="9"/>
    <w:lvlOverride w:ilvl="0">
      <w:startOverride w:val="1"/>
    </w:lvlOverride>
  </w:num>
  <w:num w:numId="59">
    <w:abstractNumId w:val="9"/>
  </w:num>
  <w:num w:numId="60">
    <w:abstractNumId w:val="9"/>
  </w:num>
  <w:num w:numId="61">
    <w:abstractNumId w:val="5"/>
  </w:num>
  <w:num w:numId="62">
    <w:abstractNumId w:val="5"/>
  </w:num>
  <w:num w:numId="63">
    <w:abstractNumId w:val="5"/>
  </w:num>
  <w:num w:numId="64">
    <w:abstractNumId w:val="5"/>
  </w:num>
  <w:num w:numId="65">
    <w:abstractNumId w:val="5"/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</w:num>
  <w:num w:numId="81">
    <w:abstractNumId w:val="32"/>
    <w:lvlOverride w:ilvl="0">
      <w:startOverride w:val="1"/>
    </w:lvlOverride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46"/>
    <w:lvlOverride w:ilvl="0">
      <w:startOverride w:val="4"/>
    </w:lvlOverride>
  </w:num>
  <w:num w:numId="96">
    <w:abstractNumId w:val="46"/>
  </w:num>
  <w:num w:numId="97">
    <w:abstractNumId w:val="5"/>
  </w:num>
  <w:num w:numId="98">
    <w:abstractNumId w:val="49"/>
    <w:lvlOverride w:ilvl="0">
      <w:startOverride w:val="1"/>
    </w:lvlOverride>
  </w:num>
  <w:num w:numId="99">
    <w:abstractNumId w:val="49"/>
  </w:num>
  <w:num w:numId="100">
    <w:abstractNumId w:val="49"/>
  </w:num>
  <w:num w:numId="101">
    <w:abstractNumId w:val="4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2"/>
      <w:sz w:val="20"/>
      <w:szCs w:val="20"/>
      <w:lang w:val="sk-SK" w:eastAsia="cs-CZ" w:bidi="ar-SA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val="sk-SK" w:eastAsia="cs-CZ" w:bidi="ar-SA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val="sk-SK" w:eastAsia="en-US" w:bidi="ar-SA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val="sk-SK" w:eastAsia="en-US" w:bidi="ar-SA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k-SK" w:eastAsia="sk-SK" w:bidi="ar-SA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LibreOffice/7.1.1.2$Windows_X86_64 LibreOffice_project/fe0b08f4af1bacafe4c7ecc87ce55bb426164676</Application>
  <AppVersion>15.0000</AppVersion>
  <Pages>28</Pages>
  <Words>4691</Words>
  <Characters>25369</Characters>
  <CharactersWithSpaces>29037</CharactersWithSpaces>
  <Paragraphs>1227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2020-11-02T16:35:00Z</dcterms:created>
  <dc:creator>Matulova Silvia</dc:creator>
  <dc:description/>
  <dc:language>sk-SK</dc:language>
  <cp:lastModifiedBy/>
  <cp:lastPrinted>2016-03-02T06:45:00Z</cp:lastPrinted>
  <dcterms:modified xsi:type="dcterms:W3CDTF">2025-07-31T18:40:59Z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