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0000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200" w:line="276" w:lineRule="auto"/>
        <w:ind w:left="0" w:right="0" w:firstLine="0"/>
        <w:jc w:val="center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Čl. I Všeobecné údaje</w:t>
      </w:r>
    </w:p>
    <w:p w14:paraId="0000000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42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(1)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účtovnej jednotke</w:t>
      </w:r>
    </w:p>
    <w:p w14:paraId="0000000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</w:tabs>
        <w:spacing w:before="0" w:after="0" w:line="276" w:lineRule="auto"/>
        <w:ind w:left="0" w:right="0" w:firstLine="0"/>
        <w:jc w:val="left"/>
        <w:rPr>
          <w:rFonts w:hint="default"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lang w:val="sk-SK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a)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Zápis do OR: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 xml:space="preserve"> Prešov</w:t>
      </w:r>
    </w:p>
    <w:p w14:paraId="3048C70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Dátum zápisu: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24.09.2024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Oddiel: Sro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Vložka číslo: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48591/P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Hlavné činnosti: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Prevádzkovanie vodnej záchrannej služby.</w:t>
      </w:r>
    </w:p>
    <w:p w14:paraId="0CF0AD9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Organizovanie športových, kultúrnych a iných spoločenských podujatí.</w:t>
      </w:r>
    </w:p>
    <w:p w14:paraId="5E7A344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 xml:space="preserve">Mimoškolská vzdelávacie činnosť. </w:t>
      </w:r>
    </w:p>
    <w:p w14:paraId="7A3666C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</w:p>
    <w:p w14:paraId="0000000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Neobmedzenie ručiacim spoločníkom v inej účtovnej jednotke:</w:t>
      </w:r>
    </w:p>
    <w:p w14:paraId="0000000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Obchodná spoločnosť nie je neobmedzene ručiacim spoločníkom v žiadnej spoločnosti.</w:t>
      </w:r>
    </w:p>
    <w:p w14:paraId="0000000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0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c)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Právne dôvody na zostavenie účtovnej závierky:</w:t>
      </w:r>
    </w:p>
    <w:p w14:paraId="0000000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Účtovná závierka obchodnej spoločnosti zostavená k 31. decembru 2024 je zostavená ako riadna účtovná závierka pod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ľa § 17 ods. 6 zákona č. 431/2002 Z. z. o účtovníctve v znení neskorších predpisov. </w:t>
      </w:r>
    </w:p>
    <w:p w14:paraId="0000000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72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val="clear" w:fill="auto"/>
          <w:vertAlign w:val="baseline"/>
          <w:rtl w:val="0"/>
        </w:rPr>
        <w:t> </w:t>
      </w:r>
    </w:p>
    <w:p w14:paraId="0000000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(2)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orgánoch účtovnej jednotky:</w:t>
      </w:r>
    </w:p>
    <w:p w14:paraId="0000000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a)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štatutárny orgán</w:t>
      </w:r>
    </w:p>
    <w:p w14:paraId="2E89626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konateľ: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Bc. Peter Klinga, Bajkalská 2338/2, 058 01  Poprad</w:t>
      </w:r>
    </w:p>
    <w:p w14:paraId="0000001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</w:t>
      </w:r>
    </w:p>
    <w:p w14:paraId="0000001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spoloční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k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Bc. Peter Klinga, Bajkalská 2338/2, 058 01  Poprad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 xml:space="preserve">    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                 </w:t>
      </w:r>
    </w:p>
    <w:p w14:paraId="0000001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14:paraId="0000001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4"/>
        <w:tblW w:w="9293" w:type="dxa"/>
        <w:tblInd w:w="10" w:type="dxa"/>
        <w:tblBorders>
          <w:top w:val="single" w:color="000000" w:sz="8" w:space="0"/>
          <w:left w:val="single" w:color="000000" w:sz="8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2795"/>
        <w:gridCol w:w="1576"/>
        <w:gridCol w:w="1576"/>
        <w:gridCol w:w="1720"/>
        <w:gridCol w:w="1626"/>
      </w:tblGrid>
      <w:tr w14:paraId="312C5D10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cantSplit/>
          <w:trHeight w:val="231" w:hRule="atLeast"/>
        </w:trPr>
        <w:tc>
          <w:tcPr>
            <w:vMerge w:val="restart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Spoločník, akcionár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00000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Výška podielu na základnom imaní</w:t>
            </w:r>
          </w:p>
        </w:tc>
        <w:tc>
          <w:tcPr>
            <w:vMerge w:val="restart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Podiel na hlasovacích právach v %</w:t>
            </w:r>
          </w:p>
        </w:tc>
        <w:tc>
          <w:tcPr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Iný podiel na ostatných položkách VI ako na ZI</w:t>
            </w:r>
          </w:p>
          <w:p w14:paraId="000000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%</w:t>
            </w:r>
          </w:p>
        </w:tc>
      </w:tr>
      <w:tr w14:paraId="14B0A7F2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cantSplit/>
          <w:trHeight w:val="231" w:hRule="atLeast"/>
        </w:trPr>
        <w:tc>
          <w:tcPr>
            <w:vMerge w:val="continue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D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absolútne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%</w:t>
            </w:r>
          </w:p>
        </w:tc>
        <w:tc>
          <w:tcPr>
            <w:vMerge w:val="continue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20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vMerge w:val="continue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21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8AFCA0A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0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14:paraId="000000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14:paraId="000000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0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e</w:t>
            </w:r>
          </w:p>
        </w:tc>
      </w:tr>
      <w:tr w14:paraId="42B95249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0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Bc. Peter Klinga</w:t>
            </w:r>
            <w:bookmarkStart w:id="0" w:name="_GoBack"/>
            <w:bookmarkEnd w:id="0"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14:paraId="000000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5000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100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100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2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00DFFED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0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14:paraId="0000002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2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DA66E5A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0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Spolu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14:paraId="0000003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5000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bottom"/>
          </w:tcPr>
          <w:p w14:paraId="000000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03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3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3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(3)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konsolidovanom celku:</w:t>
      </w:r>
    </w:p>
    <w:p w14:paraId="0000003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Obchodná spoločnosť nie je súčasťou konsolidovaného celku.</w:t>
      </w:r>
    </w:p>
    <w:p w14:paraId="0000003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3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(4)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Priemerný prepočítaný počet zamestnancov</w:t>
      </w:r>
    </w:p>
    <w:tbl>
      <w:tblPr>
        <w:tblStyle w:val="15"/>
        <w:tblW w:w="9484" w:type="dxa"/>
        <w:tblInd w:w="-1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Layout w:type="fixed"/>
        <w:tblCellMar>
          <w:top w:w="0" w:type="dxa"/>
          <w:left w:w="103" w:type="dxa"/>
          <w:bottom w:w="0" w:type="dxa"/>
          <w:right w:w="108" w:type="dxa"/>
        </w:tblCellMar>
      </w:tblPr>
      <w:tblGrid>
        <w:gridCol w:w="3936"/>
        <w:gridCol w:w="2408"/>
        <w:gridCol w:w="3140"/>
      </w:tblGrid>
      <w:tr w14:paraId="7BE096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 účtovné obdobie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0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Bezprostredne predchádzajúce účtovné obdobie</w:t>
            </w:r>
          </w:p>
        </w:tc>
      </w:tr>
      <w:tr w14:paraId="5E72FE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Priemerný prepočítaný počet zamestnancov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</w:tr>
      <w:tr w14:paraId="7A5A4A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Stav zamestnancov ku dňu, ku ktorému sa zostavuje účtovná závierka, z toho: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</w:tr>
      <w:tr w14:paraId="686CB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počet vedúcich zamestnancov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</w:tr>
    </w:tbl>
    <w:p w14:paraId="0000004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Komentár</w:t>
      </w:r>
    </w:p>
    <w:p w14:paraId="0000004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54279C2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4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center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Čl. II  Informácie o prijatých postupoch</w:t>
      </w:r>
    </w:p>
    <w:p w14:paraId="0000004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(1)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Informácia, či je účtovná závierka zostavená za splnenia predpokladu, že účtovná jednotka bude nepretržite pokračovať vo svojej činnosti</w:t>
      </w:r>
    </w:p>
    <w:p w14:paraId="0000004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účtovná závierka bola zostavená za predpokladu nepretržitého pokračovania v činnosti</w:t>
      </w:r>
    </w:p>
    <w:p w14:paraId="0000004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  <w:tab w:val="left" w:pos="4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14:paraId="0000004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4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Cudzia mena</w:t>
      </w:r>
    </w:p>
    <w:p w14:paraId="0000005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Majetok a záväzky v cudzej mene sa prepočítavajú na eurá kurzom vyhláseným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ECB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v deň predchádzajúci dňu uskutočnenia účtovného prípadu, v účtovnej závierke platným ku dňu, ku ktorému sa zostavuje. Účtujú sa s vplyvom na výsledok hospodárenia.</w:t>
      </w:r>
    </w:p>
    <w:p w14:paraId="0000005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5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  <w:tab w:val="left" w:pos="440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(2)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Spôsob oceňovania jednotlivých položiek majetku a záväzkov,</w:t>
      </w:r>
    </w:p>
    <w:p w14:paraId="0000005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dlhodobého nehmotného majetku, dlhodobého hmotného majetku a dlhodobého finančného majetku,</w:t>
      </w:r>
    </w:p>
    <w:p w14:paraId="0000005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1)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Dlhodobý nehmotný majetok</w:t>
      </w:r>
    </w:p>
    <w:p w14:paraId="0000005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nehmotný majetok nakupovaný sa oceňuje obstarávacou cenou, ktorá zahrňuje cenu obstarania a náklady súvisiace s obstaraním (preprava, montáž .....)</w:t>
      </w:r>
    </w:p>
    <w:p w14:paraId="0000005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nehmotný majetok, ktorého obstarávacia cena je menej ako 2 400,- € sa účtuje ako nakúpená služba – účet 518.</w:t>
      </w:r>
    </w:p>
    <w:p w14:paraId="0000005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</w:p>
    <w:p w14:paraId="0000005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2)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hmotný majetok</w:t>
      </w:r>
    </w:p>
    <w:p w14:paraId="0000005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hmotný majetok nakupovaný sa oceňuje obstarávacou cenou, ktorá zahrňuje cenu obstarania a náklady súvisiace s obstaraním (preprava, montáž .....)</w:t>
      </w:r>
    </w:p>
    <w:p w14:paraId="0000005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14:paraId="0000005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5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zásob obstaraných kúpou, zásob vytvorených vlastnou činnosťou,</w:t>
      </w:r>
    </w:p>
    <w:p w14:paraId="0000005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Zásoby   vykázané  ku dňu účtovnej závierky sú ocenené v obstarávacej cene. </w:t>
      </w:r>
    </w:p>
    <w:p w14:paraId="0000005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5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pohľadávok,</w:t>
      </w:r>
    </w:p>
    <w:p w14:paraId="0000006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Pohľadávky pri ich vzniku sa oceňujú menovitou hodnotou</w:t>
      </w:r>
    </w:p>
    <w:p w14:paraId="0000006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krátkodobého finančného majetku,</w:t>
      </w:r>
    </w:p>
    <w:p w14:paraId="0000006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Peňažné prostriedky a ceniny sa oceňujú ich menovitou hodnotou. Zníženie ich hodnoty sa vyjadruje opravnou položkou.</w:t>
      </w:r>
    </w:p>
    <w:p w14:paraId="0000006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Arial Narrow" w:hAnsi="Arial Narrow" w:eastAsia="Arial Narrow" w:cs="Arial Narrow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e)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záväzkov vrátane rezerv, dlhopisov, pôžičiek a úverov,</w:t>
      </w:r>
    </w:p>
    <w:p w14:paraId="0000006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Záväzky</w:t>
      </w:r>
    </w:p>
    <w:p w14:paraId="0000006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14:paraId="0000006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Rezervy</w:t>
      </w:r>
    </w:p>
    <w:p w14:paraId="0000006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Rezervy sú záväzky s neurčitým časovým vymedzením alebo výškou, tvoria sa na krytie známych rizík alebo strát z podnikania. Oceňujú sa v očakávanej výške záväzku.</w:t>
      </w:r>
    </w:p>
    <w:p w14:paraId="0000006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f)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Prenajatý majetok a majetok obstaraný na základe zmluvy o kúpe prenajatej veci</w:t>
      </w:r>
    </w:p>
    <w:p w14:paraId="0000006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14:paraId="0000006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g)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Daň z príjmov</w:t>
      </w:r>
    </w:p>
    <w:p w14:paraId="0000006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Daň z príjmu splatná</w:t>
      </w:r>
    </w:p>
    <w:p w14:paraId="0000007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Podľa slovenského zákona o daniach z príjmov sa splatné dane určujú z účtovného zisku pri sadzbe 21 % po úpravách o niektoré položky na daňové účely.</w:t>
      </w:r>
    </w:p>
    <w:p w14:paraId="0000007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159DCC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30C068D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31A1436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282F1C4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2C5E3E5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1F06E21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3B19EF6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6A7600D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5EC49B4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7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(3)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Spôsob zostavenia odpisového plánu pre jednotlivé druhy dlhodobého hmotného majetku a dlhodobého nehmotného majetku</w:t>
      </w:r>
    </w:p>
    <w:p w14:paraId="0000007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6"/>
        <w:tblW w:w="9309" w:type="dxa"/>
        <w:tblInd w:w="-1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Layout w:type="fixed"/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14:paraId="2A5CFC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investičného majetku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Odpisová</w:t>
            </w:r>
          </w:p>
          <w:p w14:paraId="000000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metóda</w:t>
            </w:r>
          </w:p>
          <w:p w14:paraId="000000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doba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ročná</w:t>
            </w:r>
          </w:p>
          <w:p w14:paraId="000000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odpis.</w:t>
            </w:r>
          </w:p>
          <w:p w14:paraId="000000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sadzba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spôsob stanovenia</w:t>
            </w:r>
          </w:p>
          <w:p w14:paraId="000000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odpisovej sadzby</w:t>
            </w:r>
          </w:p>
        </w:tc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ED34A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tcMar>
              <w:left w:w="-5" w:type="dxa"/>
              <w:right w:w="0" w:type="dxa"/>
            </w:tcMar>
            <w:vAlign w:val="bottom"/>
          </w:tcPr>
          <w:p w14:paraId="0000008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Dlhodobý nehmotný majetok</w:t>
            </w:r>
          </w:p>
        </w:tc>
        <w:tc>
          <w:tcPr>
            <w:shd w:val="clear" w:color="auto" w:fill="auto"/>
            <w:tcMar>
              <w:left w:w="0" w:type="dxa"/>
              <w:right w:w="0" w:type="dxa"/>
            </w:tcMar>
          </w:tcPr>
          <w:p w14:paraId="000000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shd w:val="clear" w:color="auto" w:fill="auto"/>
            <w:tcMar>
              <w:left w:w="10" w:type="dxa"/>
              <w:right w:w="10" w:type="dxa"/>
            </w:tcMar>
          </w:tcPr>
          <w:p w14:paraId="0000008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2959D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7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obstaráv. cena do 2 400 €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jednorázovo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100 %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ako nakupov.služba - 518</w:t>
            </w:r>
          </w:p>
        </w:tc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súlade s účt. zásadami a účt. metódami</w:t>
            </w:r>
          </w:p>
        </w:tc>
      </w:tr>
      <w:tr w14:paraId="5F1147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DF73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tcMar>
              <w:left w:w="-5" w:type="dxa"/>
              <w:right w:w="0" w:type="dxa"/>
            </w:tcMar>
            <w:vAlign w:val="bottom"/>
          </w:tcPr>
          <w:p w14:paraId="000000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Dlhodobý hmotný majetok</w:t>
            </w:r>
          </w:p>
        </w:tc>
        <w:tc>
          <w:tcPr>
            <w:shd w:val="clear" w:color="auto" w:fill="auto"/>
            <w:tcMar>
              <w:left w:w="0" w:type="dxa"/>
              <w:right w:w="0" w:type="dxa"/>
            </w:tcMar>
          </w:tcPr>
          <w:p w14:paraId="0000009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shd w:val="clear" w:color="auto" w:fill="auto"/>
            <w:tcMar>
              <w:left w:w="10" w:type="dxa"/>
              <w:right w:w="10" w:type="dxa"/>
            </w:tcMar>
          </w:tcPr>
          <w:p w14:paraId="0000009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4EA38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9C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stroje, prístroje a zariadenia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rovnomerne</w:t>
            </w:r>
          </w:p>
          <w:p w14:paraId="000000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4 – 6 rokov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25% - 17%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 ohľadom na opotrebovanie zodpovedajúce bežným podmienkam jeho používania</w:t>
            </w:r>
          </w:p>
        </w:tc>
      </w:tr>
      <w:tr w14:paraId="56A66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budovy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rovnomerné</w:t>
            </w:r>
          </w:p>
          <w:p w14:paraId="000000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20 rokov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5 %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A9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C4B3D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C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drobný dlhodobý majetok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jednorázový odpis</w:t>
            </w:r>
          </w:p>
          <w:p w14:paraId="000000A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100 %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B1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B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B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(4)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Zmeny účtovných zásad a zmeny účtovných metód </w:t>
      </w:r>
    </w:p>
    <w:p w14:paraId="000000B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Účtovné metódy a zásady boli aplikované v rámci platného zákona o účtovníctve počas celého účtovného obdobia, s osobitosťami:</w:t>
      </w:r>
    </w:p>
    <w:p w14:paraId="0B7192E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V účtovnej jednotke sa zmenila štruktúra účtovnej závierky z dôvodu prechodu na mikro účtovnú jednotku.</w:t>
      </w:r>
    </w:p>
    <w:p w14:paraId="000000B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B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7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6B39312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zmeny účtovnej zásady</w:t>
            </w:r>
          </w:p>
          <w:p w14:paraId="000000B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alebo účtovnej metódy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Dôvod zmeny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vplyvu na príslušnú zložku majetku, záväzkov, vlastného imania a výsledku hospodárenia účtovnej jednotky</w:t>
            </w:r>
          </w:p>
          <w:p w14:paraId="000000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39F04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B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7778A7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EFC47E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2E1B5D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D8AC1D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C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C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C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D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D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(5)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dotáciách a ich oceňovanie v účtovníctve</w:t>
      </w:r>
    </w:p>
    <w:p w14:paraId="000000D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8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35CBB78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Majetok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Ocenenie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Výška dotácie</w:t>
            </w:r>
          </w:p>
        </w:tc>
      </w:tr>
      <w:tr w14:paraId="191CBFF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C48AB1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CED1B9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D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D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E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E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E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(6)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účtovaní významných opráv chýb minulých účtovných období v bežnom účtovnom období vplyvu na nerozdelený zisk minulých rokov alebo neuhradenú stratu minulých rokov</w:t>
      </w:r>
    </w:p>
    <w:p w14:paraId="000000E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9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56CC24E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opravy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Suma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Popis chyby a vplyvu opravy</w:t>
            </w:r>
          </w:p>
        </w:tc>
      </w:tr>
      <w:tr w14:paraId="32BCC6D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Oprava </w:t>
            </w: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významných </w:t>
            </w: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chýb</w:t>
            </w:r>
          </w:p>
          <w:p w14:paraId="000000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minulých účtovných období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E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6C3458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E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Oprava </w:t>
            </w: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nevýznamných </w:t>
            </w: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chýb</w:t>
            </w:r>
          </w:p>
          <w:p w14:paraId="000000E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minulých účtovných období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E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center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Čl. III  Informácie, ktoré vysvetľujú a dopĺňajú súvahu a výkaz ziskov a strát</w:t>
      </w:r>
    </w:p>
    <w:p w14:paraId="000000F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(1)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Významné informácie o sume a dôvodoch vzniku jednotlivých položiek nákladov alebo výnosov (napr. predaj podniku, škody ...)</w:t>
      </w:r>
    </w:p>
    <w:tbl>
      <w:tblPr>
        <w:tblStyle w:val="20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7FE63AF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Udalosť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Dôvod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</w:t>
            </w:r>
          </w:p>
        </w:tc>
      </w:tr>
      <w:tr w14:paraId="3AE7A3A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A1927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C04F86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E205D8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0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B9CFC2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0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0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0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(2)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záväzkoch</w:t>
      </w:r>
    </w:p>
    <w:p w14:paraId="0000010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a) celkovej sume záväzkov </w:t>
      </w:r>
    </w:p>
    <w:tbl>
      <w:tblPr>
        <w:tblStyle w:val="21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19E0C6C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10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1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 účtovné obdobie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0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Bezprostredne</w:t>
            </w:r>
          </w:p>
          <w:p w14:paraId="000001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predchádzajúce účtovné</w:t>
            </w:r>
          </w:p>
          <w:p w14:paraId="000001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obdobie</w:t>
            </w:r>
          </w:p>
        </w:tc>
      </w:tr>
      <w:tr w14:paraId="713F2A2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Dlhodobé záväzky spolu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</w:tr>
      <w:tr w14:paraId="5C945BA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Záväzky so zostatkovou dobou</w:t>
            </w:r>
          </w:p>
          <w:p w14:paraId="000001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splatnosti nad päť rokov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1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665FC2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Záväzky so zostatkovou dobou</w:t>
            </w:r>
          </w:p>
          <w:p w14:paraId="000001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splatnosti jeden rok až päť rokov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6B845C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  <w:p w14:paraId="000001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</w:tr>
      <w:tr w14:paraId="7DD0BE5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Krátkodobé záväzky spolu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3870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</w:tr>
      <w:tr w14:paraId="2C5C342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Záväzky so zostatkovou dobou </w:t>
            </w:r>
          </w:p>
          <w:p w14:paraId="000001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splatnosti do jedného roka vrátane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3870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</w:tc>
      </w:tr>
      <w:tr w14:paraId="5AB4915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Záväzky po lehote splatnosti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2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2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 hodnota záväzkov zabezpečená záložným právom</w:t>
      </w:r>
    </w:p>
    <w:tbl>
      <w:tblPr>
        <w:tblStyle w:val="22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4361"/>
        <w:gridCol w:w="2410"/>
        <w:gridCol w:w="2441"/>
      </w:tblGrid>
      <w:tr w14:paraId="2D9CB84F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formy zabezpečenia záväzku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záväzku zabezpečená</w:t>
            </w:r>
          </w:p>
        </w:tc>
      </w:tr>
      <w:tr w14:paraId="5A1A3F1F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32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Záložným právom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3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Inou formou</w:t>
            </w:r>
          </w:p>
          <w:p w14:paraId="000001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zabezpečenia</w:t>
            </w:r>
          </w:p>
        </w:tc>
      </w:tr>
      <w:tr w14:paraId="250EE252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3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44BE025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0A87B01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F270312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40EF765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4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4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(3)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vlastných akciách, a to</w:t>
      </w:r>
    </w:p>
    <w:p w14:paraId="0000014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dôvode nadobudnutia vlastných akcií počas účtovného obdobia,</w:t>
      </w:r>
    </w:p>
    <w:tbl>
      <w:tblPr>
        <w:tblStyle w:val="23"/>
        <w:tblW w:w="9352" w:type="dxa"/>
        <w:tblInd w:w="-10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none" w:color="auto" w:sz="0" w:space="0"/>
          <w:insideH w:val="single" w:color="000000" w:sz="8" w:space="0"/>
          <w:insideV w:val="none" w:color="auto" w:sz="0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14:paraId="7ABD93E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000014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  <w:p w14:paraId="000001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4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Mena</w:t>
            </w:r>
          </w:p>
          <w:p w14:paraId="0000014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p.a.</w:t>
            </w:r>
          </w:p>
          <w:p w14:paraId="0000015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%</w:t>
            </w:r>
          </w:p>
          <w:p w14:paraId="000001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5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Počet</w:t>
            </w:r>
          </w:p>
          <w:p w14:paraId="0000015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akcií</w:t>
            </w:r>
          </w:p>
          <w:p w14:paraId="0000015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5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Menovitá</w:t>
            </w:r>
          </w:p>
          <w:p w14:paraId="0000015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</w:t>
            </w:r>
          </w:p>
          <w:p w14:paraId="000001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</w:t>
            </w:r>
          </w:p>
          <w:p w14:paraId="0000015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účtovné</w:t>
            </w:r>
          </w:p>
          <w:p w14:paraId="000001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obdobie</w:t>
            </w:r>
          </w:p>
          <w:p w14:paraId="0000015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f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6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BC80AD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gridSpan w:val="6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6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Nadobudnuté vlastné akcie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6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C2914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6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6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BA0341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7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FCA048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1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48706E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gridSpan w:val="6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Vlastné akcie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1CF83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8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2AFEB4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FB1DA7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1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9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23C27E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gridSpan w:val="6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  <w:vAlign w:val="bottom"/>
          </w:tcPr>
          <w:p w14:paraId="0000019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držbe vlastné akcie k poslednému dňu účtovného obdobia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43EA59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57B75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EC232A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1A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B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B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B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B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(4)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orgánoch účtovnej jednotky, a to</w:t>
      </w:r>
    </w:p>
    <w:tbl>
      <w:tblPr>
        <w:tblStyle w:val="24"/>
        <w:tblW w:w="907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14:paraId="38ADFF2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B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príjmu, výhody</w:t>
            </w:r>
          </w:p>
        </w:tc>
        <w:tc>
          <w:tcPr>
            <w:gridSpan w:val="3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B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príjmu, výhody</w:t>
            </w:r>
          </w:p>
          <w:p w14:paraId="000001B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súčasných členov orgánov</w:t>
            </w:r>
          </w:p>
        </w:tc>
        <w:tc>
          <w:tcPr>
            <w:gridSpan w:val="3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príjmu, výhody</w:t>
            </w:r>
          </w:p>
          <w:p w14:paraId="000001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bývalých členov orgánov</w:t>
            </w:r>
          </w:p>
        </w:tc>
      </w:tr>
      <w:tr w14:paraId="15A227F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C0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štatutárnych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dozorných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iných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 xml:space="preserve">štatutárnych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dozorných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iných</w:t>
            </w:r>
          </w:p>
        </w:tc>
      </w:tr>
      <w:tr w14:paraId="14894AC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Poskytnuté záruky alebo zabezp.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D151A3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Poskytnuté pôžičky (ku dňu ÚZ)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C50EA1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Splatené pôžičky (ku dňu ÚZ)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93B34C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Odpustené alebo odpísané pôžičky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E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916142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Finančné prostriedky a iné plnenie</w:t>
            </w:r>
          </w:p>
          <w:p w14:paraId="000001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použité na súkromné účely na vyúčtovanie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E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E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E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hlavných podmienkach, na základe ktorých im boli záruky alebo iné zabezpečenie a pôžičky poskytnuté; pri pôžičkách sa uvádzajú úrokové sadzby,</w:t>
      </w:r>
    </w:p>
    <w:p w14:paraId="000001E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E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F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(5)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povinnostiach účtovnej jednotky, a to</w:t>
      </w:r>
    </w:p>
    <w:p w14:paraId="000001F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celkovej sume finančných povinností, ktoré sa nevykazujú v súvahe, ale sú významné na posúdenie finančnej situácie účtovnej jednotky</w:t>
      </w:r>
    </w:p>
    <w:tbl>
      <w:tblPr>
        <w:tblStyle w:val="25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154F29F6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celkom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voči dcérskej ÚJ</w:t>
            </w:r>
          </w:p>
          <w:p w14:paraId="000001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 ÚJ s podstatným vplyvom</w:t>
            </w:r>
          </w:p>
        </w:tc>
      </w:tr>
      <w:tr w14:paraId="042CDA1A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Povinnosti nájomcu z operat. pren.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C867FF0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Povinnosti z uzatv. úverov. zmlúv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8337BDD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Povinnosti z licenčných zmlúv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B81316F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Povinnosti z koncesionársk. zmlúv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CD8F1A6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0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Ostatné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2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20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0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Opis významných finančných povinností: </w:t>
      </w:r>
    </w:p>
    <w:p w14:paraId="43F811F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</w:pPr>
    </w:p>
    <w:p w14:paraId="0000020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celkovej sume významných podmienených záväzkov</w:t>
      </w:r>
    </w:p>
    <w:p w14:paraId="0000020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</w:p>
    <w:tbl>
      <w:tblPr>
        <w:tblStyle w:val="26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6C31981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2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podmieneného záväzku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20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 účtovné obdobie</w:t>
            </w:r>
          </w:p>
        </w:tc>
      </w:tr>
      <w:tr w14:paraId="6C93B10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20F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2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celkom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21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voči dcérskej ÚJ</w:t>
            </w:r>
          </w:p>
          <w:p w14:paraId="000002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 ÚJ s podstatným vplyvom</w:t>
            </w:r>
          </w:p>
        </w:tc>
      </w:tr>
      <w:tr w14:paraId="02915C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Zo súdnych rozhodnutí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930393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 poskytnutých záruk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14D798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Zo všeob. záväzn. právn. predp.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7C3461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Zo zmluvy o podriadenom záväzku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9DBF7A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 ručenia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AC56F2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Iné podmienené záväzky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2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22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2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2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e)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opis významných povinností účtovnej jednotky vyplývajúcich z dôchodkových programov pre zamestnancov:</w:t>
      </w:r>
    </w:p>
    <w:p w14:paraId="0000022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40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2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40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    ----</w:t>
      </w:r>
    </w:p>
    <w:sectPr>
      <w:headerReference r:id="rId3" w:type="default"/>
      <w:pgSz w:w="11906" w:h="16838"/>
      <w:pgMar w:top="1417" w:right="1417" w:bottom="708" w:left="1417" w:header="708" w:footer="0" w:gutter="0"/>
      <w:pgNumType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22A">
    <w:pPr>
      <w:keepNext w:val="0"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76" w:lineRule="auto"/>
      <w:ind w:left="0" w:right="0" w:firstLine="0"/>
      <w:jc w:val="left"/>
      <w:rPr>
        <w:rFonts w:ascii="Calibri" w:hAnsi="Calibri" w:eastAsia="Calibri" w:cs="Calibri"/>
        <w:b w:val="0"/>
        <w:i w:val="0"/>
        <w:smallCaps w:val="0"/>
        <w:strike w:val="0"/>
        <w:color w:val="000000"/>
        <w:sz w:val="18"/>
        <w:szCs w:val="18"/>
        <w:u w:val="none"/>
        <w:shd w:val="clear" w:fill="auto"/>
        <w:vertAlign w:val="baseline"/>
      </w:rPr>
    </w:pPr>
    <w:r>
      <w:rPr>
        <w:rFonts w:ascii="Calibri" w:hAnsi="Calibri" w:eastAsia="Calibri" w:cs="Calibri"/>
        <w:b w:val="0"/>
        <w:i w:val="0"/>
        <w:smallCaps w:val="0"/>
        <w:strike w:val="0"/>
        <w:color w:val="000000"/>
        <w:sz w:val="18"/>
        <w:szCs w:val="18"/>
        <w:u w:val="none"/>
        <w:shd w:val="clear" w:fill="auto"/>
        <w:vertAlign w:val="baseline"/>
        <w:rtl w:val="0"/>
      </w:rPr>
      <w:t>Poznámky Úč MÚJ 3 – 01</w:t>
    </w:r>
  </w:p>
  <w:tbl>
    <w:tblPr>
      <w:tblStyle w:val="27"/>
      <w:tblW w:w="9092" w:type="dxa"/>
      <w:tblInd w:w="0" w:type="dxa"/>
      <w:tblLayout w:type="fixed"/>
      <w:tblCellMar>
        <w:top w:w="55" w:type="dxa"/>
        <w:left w:w="55" w:type="dxa"/>
        <w:bottom w:w="55" w:type="dxa"/>
        <w:right w:w="55" w:type="dxa"/>
      </w:tblCellMar>
    </w:tblPr>
    <w:tblGrid>
      <w:gridCol w:w="350"/>
      <w:gridCol w:w="3970"/>
      <w:gridCol w:w="470"/>
      <w:gridCol w:w="1990"/>
      <w:gridCol w:w="420"/>
      <w:gridCol w:w="1892"/>
    </w:tblGrid>
    <w:tr w14:paraId="431B3001">
      <w:tblPrEx>
        <w:tblCellMar>
          <w:top w:w="55" w:type="dxa"/>
          <w:left w:w="55" w:type="dxa"/>
          <w:bottom w:w="55" w:type="dxa"/>
          <w:right w:w="55" w:type="dxa"/>
        </w:tblCellMar>
      </w:tblPrEx>
      <w:trPr>
        <w:trHeight w:val="350" w:hRule="atLeast"/>
      </w:trPr>
      <w:tc>
        <w:tcPr>
          <w:shd w:val="clear" w:color="auto" w:fill="auto"/>
          <w:vAlign w:val="bottom"/>
        </w:tcPr>
        <w:p w14:paraId="0000022B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ÚJ</w:t>
          </w:r>
        </w:p>
      </w:tc>
      <w:tc>
        <w:tcPr>
          <w:tcBorders>
            <w:top w:val="single" w:color="808080" w:sz="4" w:space="0"/>
            <w:left w:val="single" w:color="808080" w:sz="4" w:space="0"/>
            <w:bottom w:val="single" w:color="808080" w:sz="4" w:space="0"/>
          </w:tcBorders>
          <w:shd w:val="clear" w:color="auto" w:fill="auto"/>
          <w:vAlign w:val="bottom"/>
        </w:tcPr>
        <w:p w14:paraId="0000022C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lang w:val="sk-SK"/>
            </w:rPr>
          </w:pPr>
          <w:r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  <w:lang w:val="sk-SK"/>
            </w:rPr>
            <w:t>Paramed Rescue s.r.o.</w:t>
          </w:r>
        </w:p>
      </w:tc>
      <w:tc>
        <w:tcPr>
          <w:tcBorders>
            <w:left w:val="single" w:color="808080" w:sz="4" w:space="0"/>
          </w:tcBorders>
          <w:shd w:val="clear" w:color="auto" w:fill="auto"/>
          <w:vAlign w:val="bottom"/>
        </w:tcPr>
        <w:p w14:paraId="0000022D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IČO</w:t>
          </w:r>
        </w:p>
      </w:tc>
      <w:tc>
        <w:tcPr>
          <w:tcBorders>
            <w:top w:val="single" w:color="808080" w:sz="4" w:space="0"/>
            <w:left w:val="single" w:color="808080" w:sz="4" w:space="0"/>
            <w:bottom w:val="single" w:color="808080" w:sz="4" w:space="0"/>
          </w:tcBorders>
          <w:shd w:val="clear" w:color="auto" w:fill="auto"/>
          <w:vAlign w:val="bottom"/>
        </w:tcPr>
        <w:p w14:paraId="0000022E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lang w:val="sk-SK"/>
            </w:rPr>
          </w:pPr>
          <w:r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  <w:lang w:val="sk-SK"/>
            </w:rPr>
            <w:t>56523335</w:t>
          </w:r>
        </w:p>
      </w:tc>
      <w:tc>
        <w:tcPr>
          <w:tcBorders>
            <w:left w:val="single" w:color="808080" w:sz="4" w:space="0"/>
          </w:tcBorders>
          <w:shd w:val="clear" w:color="auto" w:fill="auto"/>
          <w:vAlign w:val="bottom"/>
        </w:tcPr>
        <w:p w14:paraId="0000022F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DIČ</w:t>
          </w:r>
        </w:p>
      </w:tc>
      <w:tc>
        <w:tcPr>
          <w:tcBorders>
            <w:top w:val="single" w:color="808080" w:sz="4" w:space="0"/>
            <w:left w:val="single" w:color="808080" w:sz="4" w:space="0"/>
            <w:bottom w:val="single" w:color="808080" w:sz="4" w:space="0"/>
            <w:right w:val="single" w:color="808080" w:sz="4" w:space="0"/>
          </w:tcBorders>
          <w:shd w:val="clear" w:color="auto" w:fill="auto"/>
          <w:vAlign w:val="bottom"/>
        </w:tcPr>
        <w:p w14:paraId="00000230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lang w:val="sk-SK"/>
            </w:rPr>
          </w:pPr>
          <w:r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  <w:lang w:val="sk-SK"/>
            </w:rPr>
            <w:t>2122333334</w:t>
          </w:r>
        </w:p>
      </w:tc>
    </w:tr>
  </w:tbl>
  <w:p w14:paraId="00000231">
    <w:pPr>
      <w:keepNext w:val="0"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76" w:lineRule="auto"/>
      <w:ind w:left="0" w:right="0" w:firstLine="0"/>
      <w:jc w:val="left"/>
      <w:rPr>
        <w:rFonts w:ascii="Calibri" w:hAnsi="Calibri" w:eastAsia="Calibri" w:cs="Calibri"/>
        <w:b w:val="0"/>
        <w:i w:val="0"/>
        <w:smallCaps w:val="0"/>
        <w:strike w:val="0"/>
        <w:color w:val="000000"/>
        <w:sz w:val="22"/>
        <w:szCs w:val="22"/>
        <w:u w:val="none"/>
        <w:shd w:val="clear" w:fill="auto"/>
        <w:vertAlign w:val="baselin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1"/>
      <w:numFmt w:val="bullet"/>
      <w:lvlText w:val="-"/>
      <w:lvlJc w:val="left"/>
      <w:pPr>
        <w:ind w:left="720" w:hanging="360"/>
      </w:pPr>
    </w:lvl>
    <w:lvl w:ilvl="1" w:tentative="0">
      <w:start w:val="1"/>
      <w:numFmt w:val="bullet"/>
      <w:lvlText w:val="o"/>
      <w:lvlJc w:val="left"/>
      <w:pPr>
        <w:ind w:left="1440" w:hanging="360"/>
      </w:pPr>
    </w:lvl>
    <w:lvl w:ilvl="2" w:tentative="0">
      <w:start w:val="1"/>
      <w:numFmt w:val="bullet"/>
      <w:lvlText w:val=""/>
      <w:lvlJc w:val="left"/>
      <w:pPr>
        <w:ind w:left="2160" w:hanging="360"/>
      </w:pPr>
    </w:lvl>
    <w:lvl w:ilvl="3" w:tentative="0">
      <w:start w:val="1"/>
      <w:numFmt w:val="bullet"/>
      <w:lvlText w:val=""/>
      <w:lvlJc w:val="left"/>
      <w:pPr>
        <w:ind w:left="2880" w:hanging="360"/>
      </w:pPr>
    </w:lvl>
    <w:lvl w:ilvl="4" w:tentative="0">
      <w:start w:val="1"/>
      <w:numFmt w:val="bullet"/>
      <w:lvlText w:val="o"/>
      <w:lvlJc w:val="left"/>
      <w:pPr>
        <w:ind w:left="3600" w:hanging="360"/>
      </w:pPr>
    </w:lvl>
    <w:lvl w:ilvl="5" w:tentative="0">
      <w:start w:val="1"/>
      <w:numFmt w:val="bullet"/>
      <w:lvlText w:val=""/>
      <w:lvlJc w:val="left"/>
      <w:pPr>
        <w:ind w:left="4320" w:hanging="360"/>
      </w:pPr>
    </w:lvl>
    <w:lvl w:ilvl="6" w:tentative="0">
      <w:start w:val="1"/>
      <w:numFmt w:val="bullet"/>
      <w:lvlText w:val=""/>
      <w:lvlJc w:val="left"/>
      <w:pPr>
        <w:ind w:left="5040" w:hanging="360"/>
      </w:pPr>
    </w:lvl>
    <w:lvl w:ilvl="7" w:tentative="0">
      <w:start w:val="1"/>
      <w:numFmt w:val="bullet"/>
      <w:lvlText w:val="o"/>
      <w:lvlJc w:val="left"/>
      <w:pPr>
        <w:ind w:left="5760" w:hanging="360"/>
      </w:pPr>
    </w:lvl>
    <w:lvl w:ilvl="8" w:tentative="0">
      <w:start w:val="1"/>
      <w:numFmt w:val="bullet"/>
      <w:lvlText w:val="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ompat>
    <w:compatSetting w:name="compatibilityMode" w:uri="http://schemas.microsoft.com/office/word" w:val="15"/>
  </w:compat>
  <w:rsids>
    <w:rsidRoot w:val="00000000"/>
    <w:rsid w:val="0D426A17"/>
    <w:rsid w:val="103E6BD6"/>
    <w:rsid w:val="158259B7"/>
    <w:rsid w:val="24422B2D"/>
    <w:rsid w:val="38EB158F"/>
    <w:rsid w:val="46F42D30"/>
    <w:rsid w:val="4C2819B6"/>
    <w:rsid w:val="4C8E14F5"/>
    <w:rsid w:val="54827AFD"/>
    <w:rsid w:val="616F34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sk"/>
    </w:rPr>
  </w:style>
  <w:style w:type="paragraph" w:styleId="2">
    <w:name w:val="heading 1"/>
    <w:basedOn w:val="1"/>
    <w:next w:val="1"/>
    <w:qFormat/>
    <w:uiPriority w:val="0"/>
    <w:pPr>
      <w:keepNext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240" w:after="60" w:line="276" w:lineRule="auto"/>
      <w:ind w:left="0" w:right="0" w:firstLine="0"/>
      <w:jc w:val="left"/>
    </w:pPr>
    <w:rPr>
      <w:rFonts w:ascii="Arial" w:hAnsi="Arial" w:eastAsia="Arial" w:cs="Arial"/>
      <w:b/>
      <w:color w:val="000000"/>
      <w:sz w:val="32"/>
      <w:szCs w:val="32"/>
      <w:u w:val="none"/>
      <w:shd w:val="clear" w:fill="auto"/>
      <w:vertAlign w:val="baseline"/>
    </w:rPr>
  </w:style>
  <w:style w:type="paragraph" w:styleId="3">
    <w:name w:val="heading 2"/>
    <w:basedOn w:val="1"/>
    <w:next w:val="1"/>
    <w:qFormat/>
    <w:uiPriority w:val="0"/>
    <w:pPr>
      <w:keepNext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240" w:after="60" w:line="276" w:lineRule="auto"/>
      <w:ind w:left="0" w:right="0" w:firstLine="0"/>
      <w:jc w:val="left"/>
    </w:pPr>
    <w:rPr>
      <w:rFonts w:ascii="Arial" w:hAnsi="Arial" w:eastAsia="Arial" w:cs="Arial"/>
      <w:b/>
      <w:i/>
      <w:color w:val="000000"/>
      <w:sz w:val="28"/>
      <w:szCs w:val="28"/>
      <w:u w:val="none"/>
      <w:shd w:val="clear" w:fill="auto"/>
      <w:vertAlign w:val="baseline"/>
    </w:rPr>
  </w:style>
  <w:style w:type="paragraph" w:styleId="4">
    <w:name w:val="heading 3"/>
    <w:basedOn w:val="1"/>
    <w:next w:val="1"/>
    <w:qFormat/>
    <w:uiPriority w:val="0"/>
    <w:pPr>
      <w:keepNext/>
      <w:keepLines/>
      <w:pageBreakBefore w:val="0"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pageBreakBefore w:val="0"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pageBreakBefore w:val="0"/>
      <w:spacing w:before="200" w:after="40"/>
    </w:pPr>
    <w:rPr>
      <w:b/>
      <w:sz w:val="20"/>
      <w:szCs w:val="20"/>
    </w:rPr>
  </w:style>
  <w:style w:type="character" w:default="1" w:styleId="8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Subtitle"/>
    <w:basedOn w:val="1"/>
    <w:next w:val="1"/>
    <w:qFormat/>
    <w:uiPriority w:val="0"/>
    <w:pPr>
      <w:keepNext/>
      <w:spacing w:before="240" w:after="120"/>
      <w:jc w:val="center"/>
    </w:pPr>
    <w:rPr>
      <w:rFonts w:ascii="Arial" w:hAnsi="Arial" w:eastAsia="Arial" w:cs="Arial"/>
      <w:i/>
      <w:sz w:val="28"/>
      <w:szCs w:val="28"/>
    </w:rPr>
  </w:style>
  <w:style w:type="paragraph" w:styleId="12">
    <w:name w:val="Title"/>
    <w:basedOn w:val="1"/>
    <w:next w:val="1"/>
    <w:qFormat/>
    <w:uiPriority w:val="0"/>
    <w:pPr>
      <w:keepNext/>
      <w:spacing w:before="240" w:after="120"/>
    </w:pPr>
    <w:rPr>
      <w:rFonts w:ascii="Arial" w:hAnsi="Arial" w:eastAsia="Arial" w:cs="Arial"/>
      <w:sz w:val="28"/>
      <w:szCs w:val="28"/>
    </w:rPr>
  </w:style>
  <w:style w:type="table" w:customStyle="1" w:styleId="13">
    <w:name w:val="TableNormal"/>
    <w:qFormat/>
    <w:uiPriority w:val="0"/>
  </w:style>
  <w:style w:type="table" w:customStyle="1" w:styleId="14">
    <w:name w:val="_Style 10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15">
    <w:name w:val="_Style 11"/>
    <w:basedOn w:val="13"/>
    <w:qFormat/>
    <w:uiPriority w:val="0"/>
    <w:tblPr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16">
    <w:name w:val="_Style 12"/>
    <w:basedOn w:val="13"/>
    <w:qFormat/>
    <w:uiPriority w:val="0"/>
    <w:tblPr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17">
    <w:name w:val="_Style 13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18">
    <w:name w:val="_Style 14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19">
    <w:name w:val="_Style 15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0">
    <w:name w:val="_Style 16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1">
    <w:name w:val="_Style 17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2">
    <w:name w:val="_Style 18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3">
    <w:name w:val="_Style 19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4">
    <w:name w:val="_Style 20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5">
    <w:name w:val="_Style 21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6">
    <w:name w:val="_Style 22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7">
    <w:name w:val="_Style 23"/>
    <w:basedOn w:val="13"/>
    <w:qFormat/>
    <w:uiPriority w:val="0"/>
    <w:tblPr>
      <w:tblCellMar>
        <w:top w:w="55" w:type="dxa"/>
        <w:left w:w="55" w:type="dxa"/>
        <w:bottom w:w="55" w:type="dxa"/>
        <w:right w:w="55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TotalTime>46</TotalTime>
  <ScaleCrop>false</ScaleCrop>
  <LinksUpToDate>false</LinksUpToDate>
  <Application>WPS Office_12.2.0.21546_F1E327BC-269C-435d-A152-05C5408002CA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2025-06-26T06:10:00Z</dcterms:created>
  <dc:creator>henri</dc:creator>
  <cp:lastModifiedBy>Henrieta Ilavská</cp:lastModifiedBy>
  <cp:lastPrinted>2025-06-26T08:26:00Z</cp:lastPrinted>
  <dcterms:modified xsi:type="dcterms:W3CDTF">2025-06-27T09:00:16Z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lpwstr>false</vt:lpwstr>
  </property>
  <property fmtid="{D5CDD505-2E9C-101B-9397-08002B2CF9AE}" pid="4" name="LinksUpToDate">
    <vt:lpwstr>false</vt:lpwstr>
  </property>
  <property fmtid="{D5CDD505-2E9C-101B-9397-08002B2CF9AE}" pid="5" name="ScaleCrop">
    <vt:lpwstr>false</vt:lpwstr>
  </property>
  <property fmtid="{D5CDD505-2E9C-101B-9397-08002B2CF9AE}" pid="6" name="ShareDoc">
    <vt:lpwstr>false</vt:lpwstr>
  </property>
  <property fmtid="{D5CDD505-2E9C-101B-9397-08002B2CF9AE}" pid="7" name="KSOProductBuildVer">
    <vt:lpwstr>1033-12.2.0.21546</vt:lpwstr>
  </property>
  <property fmtid="{D5CDD505-2E9C-101B-9397-08002B2CF9AE}" pid="8" name="ICV">
    <vt:lpwstr>A292F3C7D09E4277BC6834F3AA12B78B_13</vt:lpwstr>
  </property>
</Properties>
</file>