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B8FCF8">
      <w:pPr>
        <w:spacing w:line="240" w:lineRule="auto"/>
        <w:rPr>
          <w:rFonts w:ascii="Times New Roman" w:hAnsi="Times New Roman" w:cs="Times New Roman"/>
          <w:sz w:val="24"/>
          <w:szCs w:val="24"/>
        </w:rPr>
      </w:pPr>
      <w:r>
        <w:rPr>
          <w:rFonts w:ascii="Times New Roman" w:hAnsi="Times New Roman" w:cs="Times New Roman"/>
          <w:sz w:val="24"/>
          <w:szCs w:val="24"/>
          <w:lang w:val="en-US"/>
        </w:rPr>
        <w:t>Po</w:t>
      </w:r>
      <w:r>
        <w:rPr>
          <w:rFonts w:ascii="Times New Roman" w:hAnsi="Times New Roman" w:cs="Times New Roman"/>
          <w:sz w:val="24"/>
          <w:szCs w:val="24"/>
        </w:rPr>
        <w:t xml:space="preserve">známky Úč.MaláÚJ 3-01                         IČO: </w:t>
      </w:r>
      <w:r>
        <w:rPr>
          <w:rFonts w:ascii="Times New Roman" w:hAnsi="Times New Roman" w:cs="Times New Roman"/>
          <w:b/>
          <w:bCs/>
          <w:sz w:val="24"/>
          <w:szCs w:val="24"/>
        </w:rPr>
        <w:t>36 431 826</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DIČ: 2022019956</w:t>
      </w:r>
    </w:p>
    <w:p w14:paraId="5CCD775B">
      <w:pPr>
        <w:spacing w:line="240" w:lineRule="auto"/>
        <w:ind w:right="-284"/>
        <w:rPr>
          <w:rFonts w:ascii="Times New Roman" w:hAnsi="Times New Roman" w:cs="Times New Roman"/>
          <w:sz w:val="24"/>
          <w:szCs w:val="24"/>
        </w:rPr>
      </w:pPr>
      <w:r>
        <w:rPr>
          <w:rFonts w:ascii="Times New Roman" w:hAnsi="Times New Roman" w:cs="Times New Roman"/>
          <w:sz w:val="24"/>
          <w:szCs w:val="24"/>
        </w:rPr>
        <w:t>------------------------------------------------------------------------------------------------------------------------</w:t>
      </w:r>
    </w:p>
    <w:p w14:paraId="5168BFEA">
      <w:pPr>
        <w:spacing w:line="240" w:lineRule="auto"/>
        <w:rPr>
          <w:rFonts w:ascii="Times New Roman" w:hAnsi="Times New Roman" w:cs="Times New Roman"/>
          <w:b/>
          <w:sz w:val="24"/>
          <w:szCs w:val="24"/>
        </w:rPr>
      </w:pPr>
      <w:r>
        <w:rPr>
          <w:rFonts w:ascii="Times New Roman" w:hAnsi="Times New Roman" w:cs="Times New Roman"/>
          <w:b/>
          <w:sz w:val="24"/>
          <w:szCs w:val="24"/>
        </w:rPr>
        <w:t>Čl.I   Všeobecné údaje o účtovnej jednotke</w:t>
      </w:r>
    </w:p>
    <w:p w14:paraId="3A975664">
      <w:pPr>
        <w:spacing w:line="240" w:lineRule="auto"/>
        <w:rPr>
          <w:rFonts w:hint="default" w:ascii="Times New Roman" w:hAnsi="Times New Roman" w:cs="Times New Roman"/>
          <w:sz w:val="24"/>
          <w:szCs w:val="24"/>
          <w:lang w:val="sk-SK"/>
        </w:rPr>
      </w:pPr>
      <w:r>
        <w:rPr>
          <w:rFonts w:ascii="Times New Roman" w:hAnsi="Times New Roman" w:cs="Times New Roman"/>
          <w:b/>
          <w:sz w:val="24"/>
          <w:szCs w:val="24"/>
        </w:rPr>
        <w:t>Obchodné meno účtovnej jednotky</w:t>
      </w:r>
      <w:r>
        <w:rPr>
          <w:rFonts w:ascii="Times New Roman" w:hAnsi="Times New Roman" w:cs="Times New Roman"/>
          <w:sz w:val="24"/>
          <w:szCs w:val="24"/>
        </w:rPr>
        <w:t>: Rondel-Tomson, s.r.o.</w:t>
      </w:r>
      <w:r>
        <w:rPr>
          <w:rFonts w:hint="default" w:ascii="Times New Roman" w:hAnsi="Times New Roman" w:cs="Times New Roman"/>
          <w:sz w:val="24"/>
          <w:szCs w:val="24"/>
          <w:lang w:val="sk-SK"/>
        </w:rPr>
        <w:t xml:space="preserve"> - v likvidácii</w:t>
      </w:r>
      <w:bookmarkStart w:id="0" w:name="_GoBack"/>
      <w:bookmarkEnd w:id="0"/>
    </w:p>
    <w:p w14:paraId="5ADA00C2">
      <w:pPr>
        <w:spacing w:line="240" w:lineRule="auto"/>
        <w:rPr>
          <w:rFonts w:ascii="Times New Roman" w:hAnsi="Times New Roman" w:cs="Times New Roman"/>
          <w:sz w:val="24"/>
          <w:szCs w:val="24"/>
        </w:rPr>
      </w:pPr>
      <w:r>
        <w:rPr>
          <w:rFonts w:ascii="Times New Roman" w:hAnsi="Times New Roman" w:cs="Times New Roman"/>
          <w:b/>
          <w:sz w:val="24"/>
          <w:szCs w:val="24"/>
        </w:rPr>
        <w:t>Sídlo</w:t>
      </w:r>
      <w:r>
        <w:rPr>
          <w:rFonts w:ascii="Times New Roman" w:hAnsi="Times New Roman" w:cs="Times New Roman"/>
          <w:sz w:val="24"/>
          <w:szCs w:val="24"/>
        </w:rPr>
        <w:t>: Cintorínska 1340/29, Žilina 010 01</w:t>
      </w:r>
    </w:p>
    <w:p w14:paraId="785C08C9">
      <w:pPr>
        <w:spacing w:line="240" w:lineRule="auto"/>
        <w:rPr>
          <w:rFonts w:ascii="Times New Roman" w:hAnsi="Times New Roman" w:cs="Times New Roman"/>
          <w:sz w:val="24"/>
          <w:szCs w:val="24"/>
        </w:rPr>
      </w:pPr>
      <w:r>
        <w:rPr>
          <w:rFonts w:ascii="Times New Roman" w:hAnsi="Times New Roman" w:cs="Times New Roman"/>
          <w:b/>
          <w:sz w:val="24"/>
          <w:szCs w:val="24"/>
        </w:rPr>
        <w:t>Priemerný počet zamestnancov</w:t>
      </w:r>
      <w:r>
        <w:rPr>
          <w:rFonts w:ascii="Times New Roman" w:hAnsi="Times New Roman" w:cs="Times New Roman"/>
          <w:sz w:val="24"/>
          <w:szCs w:val="24"/>
        </w:rPr>
        <w:t>: 0</w:t>
      </w:r>
    </w:p>
    <w:p w14:paraId="7DC9FFF3">
      <w:pPr>
        <w:spacing w:line="240" w:lineRule="auto"/>
        <w:rPr>
          <w:rFonts w:ascii="Times New Roman" w:hAnsi="Times New Roman" w:cs="Times New Roman"/>
          <w:b/>
          <w:sz w:val="24"/>
          <w:szCs w:val="24"/>
        </w:rPr>
      </w:pPr>
      <w:r>
        <w:rPr>
          <w:rFonts w:ascii="Times New Roman" w:hAnsi="Times New Roman" w:cs="Times New Roman"/>
          <w:b/>
          <w:sz w:val="24"/>
          <w:szCs w:val="24"/>
        </w:rPr>
        <w:t>Čl.II   Informácie o prijatých postupoch</w:t>
      </w:r>
    </w:p>
    <w:p w14:paraId="496D1413">
      <w:pPr>
        <w:pStyle w:val="5"/>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Účtovná jednotka vstúpila dňom 11.2.2025 do likvidácie.</w:t>
      </w:r>
    </w:p>
    <w:p w14:paraId="78A7EE0C">
      <w:pPr>
        <w:spacing w:line="240" w:lineRule="auto"/>
        <w:rPr>
          <w:rFonts w:ascii="Times New Roman" w:hAnsi="Times New Roman" w:cs="Times New Roman"/>
          <w:b/>
          <w:sz w:val="24"/>
          <w:szCs w:val="24"/>
        </w:rPr>
      </w:pPr>
      <w:r>
        <w:rPr>
          <w:rFonts w:ascii="Times New Roman" w:hAnsi="Times New Roman" w:cs="Times New Roman"/>
          <w:b/>
          <w:sz w:val="24"/>
          <w:szCs w:val="24"/>
        </w:rPr>
        <w:t>Čl. III   Spôsob oceňovania jednotlivých položiek majetku a záväzkov</w:t>
      </w:r>
    </w:p>
    <w:p w14:paraId="5D6437B2">
      <w:pPr>
        <w:pStyle w:val="5"/>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Účtovná jednotka v danom roku neobstarala žiadny hnuteľný majetok.</w:t>
      </w:r>
    </w:p>
    <w:p w14:paraId="68B992E2">
      <w:pPr>
        <w:pStyle w:val="5"/>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Zásoby účtovná jednotka nemala.</w:t>
      </w:r>
    </w:p>
    <w:p w14:paraId="3244E588">
      <w:pPr>
        <w:pStyle w:val="5"/>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Pohľadávky a záväzky oceňovala UJ menovitou hodnotou.</w:t>
      </w:r>
    </w:p>
    <w:p w14:paraId="18266ECC">
      <w:pPr>
        <w:pStyle w:val="5"/>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Krátkodobý finančný majetok oceňovala UJ menovitou hodnotu.</w:t>
      </w:r>
    </w:p>
    <w:p w14:paraId="15753A2A">
      <w:pPr>
        <w:spacing w:line="240" w:lineRule="auto"/>
        <w:rPr>
          <w:rFonts w:ascii="Times New Roman" w:hAnsi="Times New Roman" w:cs="Times New Roman"/>
          <w:b/>
          <w:sz w:val="24"/>
          <w:szCs w:val="24"/>
        </w:rPr>
      </w:pPr>
      <w:r>
        <w:rPr>
          <w:rFonts w:ascii="Times New Roman" w:hAnsi="Times New Roman" w:cs="Times New Roman"/>
          <w:b/>
          <w:sz w:val="24"/>
          <w:szCs w:val="24"/>
        </w:rPr>
        <w:t>Čl. IV</w:t>
      </w:r>
      <w:r>
        <w:rPr>
          <w:rFonts w:ascii="Times New Roman" w:hAnsi="Times New Roman" w:cs="Times New Roman"/>
          <w:sz w:val="24"/>
          <w:szCs w:val="24"/>
        </w:rPr>
        <w:t xml:space="preserve">  </w:t>
      </w:r>
      <w:r>
        <w:rPr>
          <w:rFonts w:ascii="Times New Roman" w:hAnsi="Times New Roman" w:cs="Times New Roman"/>
          <w:b/>
          <w:sz w:val="24"/>
          <w:szCs w:val="24"/>
        </w:rPr>
        <w:t>Spôsob zostavenia odpisového plánu pre dlhodobý hmotný a nehmotný majetok</w:t>
      </w:r>
    </w:p>
    <w:p w14:paraId="4D451D9F">
      <w:pPr>
        <w:pStyle w:val="5"/>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Nehmotný majetok, ktorého ocenenie sa rovná sume 2.400 EUR alebo je nižšie sa účtuje na ťarchu účtu 518. Pokiaľ je ocenenie vyššie ako daná suma, účtovná jednotka majetok zaradí do dlhodobého nehmotného majetku.</w:t>
      </w:r>
    </w:p>
    <w:p w14:paraId="6F8E37B9">
      <w:pPr>
        <w:pStyle w:val="5"/>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Hmotný majetok, ktorého ocenenie sa rovná sume 1.700 EUR alebo je nižšie účtuje účtovná jednotka na ťarchu účtu 501. Pokiaľ je ocenenie vyššie ako daná suma, účtovná jednotka majetok zaradí do dlhodobého hmotného majetku.</w:t>
      </w:r>
    </w:p>
    <w:p w14:paraId="3DFCA1AD">
      <w:pPr>
        <w:pStyle w:val="5"/>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Odpisový plán účtovných odpisov hmotného majetku sa zostavil na základe metódy používané pri vyčísľovaní daňových odpisov. Odpisové sadzby pre účtovné a daňové odpisy účtovnej jednotky sa rovnajú. Ročný účtovný odpis sa rovná ročnému daňovému odpisu.</w:t>
      </w:r>
    </w:p>
    <w:p w14:paraId="1FD3523A">
      <w:pPr>
        <w:pStyle w:val="5"/>
        <w:numPr>
          <w:ilvl w:val="0"/>
          <w:numId w:val="3"/>
        </w:numPr>
        <w:spacing w:line="240" w:lineRule="auto"/>
        <w:rPr>
          <w:rFonts w:ascii="Times New Roman" w:hAnsi="Times New Roman" w:cs="Times New Roman"/>
          <w:sz w:val="24"/>
          <w:szCs w:val="24"/>
        </w:rPr>
      </w:pPr>
    </w:p>
    <w:tbl>
      <w:tblPr>
        <w:tblStyle w:val="4"/>
        <w:tblW w:w="0" w:type="auto"/>
        <w:tblInd w:w="108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293"/>
        <w:gridCol w:w="2288"/>
        <w:gridCol w:w="2274"/>
        <w:gridCol w:w="2204"/>
      </w:tblGrid>
      <w:tr w14:paraId="08C592C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93" w:type="dxa"/>
          </w:tcPr>
          <w:p w14:paraId="09062F86">
            <w:pPr>
              <w:pStyle w:val="5"/>
              <w:spacing w:after="0" w:line="240" w:lineRule="auto"/>
              <w:ind w:left="0"/>
              <w:rPr>
                <w:rFonts w:ascii="Times New Roman" w:hAnsi="Times New Roman" w:cs="Times New Roman"/>
                <w:b/>
                <w:sz w:val="24"/>
                <w:szCs w:val="24"/>
              </w:rPr>
            </w:pPr>
            <w:r>
              <w:rPr>
                <w:rFonts w:ascii="Times New Roman" w:hAnsi="Times New Roman" w:cs="Times New Roman"/>
                <w:b/>
                <w:sz w:val="24"/>
                <w:szCs w:val="24"/>
              </w:rPr>
              <w:t>Druh majetku</w:t>
            </w:r>
          </w:p>
        </w:tc>
        <w:tc>
          <w:tcPr>
            <w:tcW w:w="2288" w:type="dxa"/>
          </w:tcPr>
          <w:p w14:paraId="4D59E0D9">
            <w:pPr>
              <w:pStyle w:val="5"/>
              <w:spacing w:after="0" w:line="240" w:lineRule="auto"/>
              <w:ind w:left="0"/>
              <w:rPr>
                <w:rFonts w:ascii="Times New Roman" w:hAnsi="Times New Roman" w:cs="Times New Roman"/>
                <w:b/>
                <w:sz w:val="24"/>
                <w:szCs w:val="24"/>
              </w:rPr>
            </w:pPr>
            <w:r>
              <w:rPr>
                <w:rFonts w:ascii="Times New Roman" w:hAnsi="Times New Roman" w:cs="Times New Roman"/>
                <w:b/>
                <w:sz w:val="24"/>
                <w:szCs w:val="24"/>
              </w:rPr>
              <w:t>Doba odpisovania</w:t>
            </w:r>
          </w:p>
        </w:tc>
        <w:tc>
          <w:tcPr>
            <w:tcW w:w="2274" w:type="dxa"/>
          </w:tcPr>
          <w:p w14:paraId="0C13D561">
            <w:pPr>
              <w:pStyle w:val="5"/>
              <w:spacing w:after="0" w:line="240" w:lineRule="auto"/>
              <w:ind w:left="0"/>
              <w:rPr>
                <w:rFonts w:ascii="Times New Roman" w:hAnsi="Times New Roman" w:cs="Times New Roman"/>
                <w:b/>
                <w:sz w:val="24"/>
                <w:szCs w:val="24"/>
              </w:rPr>
            </w:pPr>
            <w:r>
              <w:rPr>
                <w:rFonts w:ascii="Times New Roman" w:hAnsi="Times New Roman" w:cs="Times New Roman"/>
                <w:b/>
                <w:sz w:val="24"/>
                <w:szCs w:val="24"/>
              </w:rPr>
              <w:t>Odpisová metóda</w:t>
            </w:r>
          </w:p>
        </w:tc>
        <w:tc>
          <w:tcPr>
            <w:tcW w:w="2204" w:type="dxa"/>
          </w:tcPr>
          <w:p w14:paraId="6FED96F8">
            <w:pPr>
              <w:pStyle w:val="5"/>
              <w:spacing w:after="0" w:line="240" w:lineRule="auto"/>
              <w:ind w:left="0"/>
              <w:rPr>
                <w:rFonts w:ascii="Times New Roman" w:hAnsi="Times New Roman" w:cs="Times New Roman"/>
                <w:b/>
                <w:sz w:val="24"/>
                <w:szCs w:val="24"/>
              </w:rPr>
            </w:pPr>
            <w:r>
              <w:rPr>
                <w:rFonts w:ascii="Times New Roman" w:hAnsi="Times New Roman" w:cs="Times New Roman"/>
                <w:b/>
                <w:sz w:val="24"/>
                <w:szCs w:val="24"/>
              </w:rPr>
              <w:t>Daňové odpisy</w:t>
            </w:r>
          </w:p>
        </w:tc>
      </w:tr>
      <w:tr w14:paraId="28F3913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93" w:type="dxa"/>
          </w:tcPr>
          <w:p w14:paraId="1E9D4266">
            <w:pPr>
              <w:pStyle w:val="5"/>
              <w:spacing w:after="0" w:line="240" w:lineRule="auto"/>
              <w:ind w:left="0"/>
              <w:rPr>
                <w:rFonts w:ascii="Times New Roman" w:hAnsi="Times New Roman" w:cs="Times New Roman"/>
                <w:sz w:val="24"/>
                <w:szCs w:val="24"/>
              </w:rPr>
            </w:pPr>
          </w:p>
        </w:tc>
        <w:tc>
          <w:tcPr>
            <w:tcW w:w="2288" w:type="dxa"/>
          </w:tcPr>
          <w:p w14:paraId="120915EE">
            <w:pPr>
              <w:pStyle w:val="5"/>
              <w:spacing w:after="0" w:line="240" w:lineRule="auto"/>
              <w:ind w:left="0"/>
              <w:jc w:val="center"/>
              <w:rPr>
                <w:rFonts w:ascii="Times New Roman" w:hAnsi="Times New Roman" w:cs="Times New Roman"/>
                <w:sz w:val="24"/>
                <w:szCs w:val="24"/>
              </w:rPr>
            </w:pPr>
          </w:p>
        </w:tc>
        <w:tc>
          <w:tcPr>
            <w:tcW w:w="2274" w:type="dxa"/>
          </w:tcPr>
          <w:p w14:paraId="019AFAE5">
            <w:pPr>
              <w:pStyle w:val="5"/>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rovnomerne</w:t>
            </w:r>
          </w:p>
        </w:tc>
        <w:tc>
          <w:tcPr>
            <w:tcW w:w="2204" w:type="dxa"/>
          </w:tcPr>
          <w:p w14:paraId="3197D5D8">
            <w:pPr>
              <w:pStyle w:val="5"/>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ÚO=DO</w:t>
            </w:r>
          </w:p>
        </w:tc>
      </w:tr>
      <w:tr w14:paraId="5C74607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93" w:type="dxa"/>
          </w:tcPr>
          <w:p w14:paraId="2316D6D8">
            <w:pPr>
              <w:pStyle w:val="5"/>
              <w:spacing w:after="0" w:line="240" w:lineRule="auto"/>
              <w:ind w:left="0"/>
              <w:rPr>
                <w:rFonts w:ascii="Times New Roman" w:hAnsi="Times New Roman" w:cs="Times New Roman"/>
                <w:sz w:val="24"/>
                <w:szCs w:val="24"/>
              </w:rPr>
            </w:pPr>
          </w:p>
        </w:tc>
        <w:tc>
          <w:tcPr>
            <w:tcW w:w="2288" w:type="dxa"/>
          </w:tcPr>
          <w:p w14:paraId="3E3CCEDC">
            <w:pPr>
              <w:pStyle w:val="5"/>
              <w:spacing w:after="0" w:line="240" w:lineRule="auto"/>
              <w:ind w:left="0"/>
              <w:rPr>
                <w:rFonts w:ascii="Times New Roman" w:hAnsi="Times New Roman" w:cs="Times New Roman"/>
                <w:sz w:val="24"/>
                <w:szCs w:val="24"/>
              </w:rPr>
            </w:pPr>
          </w:p>
        </w:tc>
        <w:tc>
          <w:tcPr>
            <w:tcW w:w="2274" w:type="dxa"/>
          </w:tcPr>
          <w:p w14:paraId="3DD89A76">
            <w:pPr>
              <w:pStyle w:val="5"/>
              <w:spacing w:after="0" w:line="240" w:lineRule="auto"/>
              <w:ind w:left="0"/>
              <w:rPr>
                <w:rFonts w:ascii="Times New Roman" w:hAnsi="Times New Roman" w:cs="Times New Roman"/>
                <w:sz w:val="24"/>
                <w:szCs w:val="24"/>
              </w:rPr>
            </w:pPr>
          </w:p>
        </w:tc>
        <w:tc>
          <w:tcPr>
            <w:tcW w:w="2204" w:type="dxa"/>
          </w:tcPr>
          <w:p w14:paraId="39AA7C6E">
            <w:pPr>
              <w:pStyle w:val="5"/>
              <w:spacing w:after="0" w:line="240" w:lineRule="auto"/>
              <w:ind w:left="0"/>
              <w:jc w:val="center"/>
              <w:rPr>
                <w:rFonts w:ascii="Times New Roman" w:hAnsi="Times New Roman" w:cs="Times New Roman"/>
                <w:sz w:val="24"/>
                <w:szCs w:val="24"/>
              </w:rPr>
            </w:pPr>
          </w:p>
        </w:tc>
      </w:tr>
    </w:tbl>
    <w:p w14:paraId="77A50978">
      <w:pPr>
        <w:pStyle w:val="5"/>
        <w:spacing w:line="240" w:lineRule="auto"/>
        <w:ind w:left="1080"/>
        <w:rPr>
          <w:rFonts w:ascii="Times New Roman" w:hAnsi="Times New Roman" w:cs="Times New Roman"/>
          <w:sz w:val="24"/>
          <w:szCs w:val="24"/>
        </w:rPr>
      </w:pPr>
    </w:p>
    <w:p w14:paraId="11693DCD">
      <w:pPr>
        <w:pStyle w:val="5"/>
        <w:spacing w:line="240" w:lineRule="auto"/>
        <w:rPr>
          <w:rFonts w:ascii="Times New Roman" w:hAnsi="Times New Roman" w:cs="Times New Roman"/>
          <w:sz w:val="24"/>
          <w:szCs w:val="24"/>
        </w:rPr>
      </w:pPr>
    </w:p>
    <w:p w14:paraId="0D74A908">
      <w:pPr>
        <w:spacing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sectPr>
      <w:pgSz w:w="11906" w:h="16838"/>
      <w:pgMar w:top="1276" w:right="849" w:bottom="1417"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EE"/>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4C0B5E"/>
    <w:multiLevelType w:val="multilevel"/>
    <w:tmpl w:val="0F4C0B5E"/>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
    <w:nsid w:val="13F25B14"/>
    <w:multiLevelType w:val="multilevel"/>
    <w:tmpl w:val="13F25B14"/>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6A092C99"/>
    <w:multiLevelType w:val="multilevel"/>
    <w:tmpl w:val="6A092C99"/>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273"/>
    <w:rsid w:val="000246DB"/>
    <w:rsid w:val="002F5D43"/>
    <w:rsid w:val="003B59BA"/>
    <w:rsid w:val="0058722D"/>
    <w:rsid w:val="005E3749"/>
    <w:rsid w:val="00604C94"/>
    <w:rsid w:val="00614273"/>
    <w:rsid w:val="007A0576"/>
    <w:rsid w:val="008848B7"/>
    <w:rsid w:val="008A473E"/>
    <w:rsid w:val="008E50CF"/>
    <w:rsid w:val="00A0338E"/>
    <w:rsid w:val="00A67CDF"/>
    <w:rsid w:val="00BC4015"/>
    <w:rsid w:val="00C216FE"/>
    <w:rsid w:val="00CC5831"/>
    <w:rsid w:val="00D66FF9"/>
    <w:rsid w:val="00D74DDD"/>
    <w:rsid w:val="00DD3374"/>
    <w:rsid w:val="00E10EE6"/>
    <w:rsid w:val="00E524C3"/>
    <w:rsid w:val="00EC4075"/>
    <w:rsid w:val="00EF79DE"/>
    <w:rsid w:val="00F83458"/>
    <w:rsid w:val="19536E75"/>
    <w:rsid w:val="276834F3"/>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sk-SK" w:eastAsia="en-US" w:bidi="ar-SA"/>
    </w:rPr>
  </w:style>
  <w:style w:type="character" w:default="1" w:styleId="2">
    <w:name w:val="Default Paragraph Font"/>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table" w:styleId="4">
    <w:name w:val="Table Grid"/>
    <w:basedOn w:val="3"/>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5">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242</Words>
  <Characters>1381</Characters>
  <Lines>11</Lines>
  <Paragraphs>3</Paragraphs>
  <TotalTime>7</TotalTime>
  <ScaleCrop>false</ScaleCrop>
  <LinksUpToDate>false</LinksUpToDate>
  <CharactersWithSpaces>1620</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2025-05-09T15:24:00Z</dcterms:created>
  <dc:creator>XP</dc:creator>
  <cp:lastModifiedBy>ekonom5</cp:lastModifiedBy>
  <dcterms:modified xsi:type="dcterms:W3CDTF">2025-09-03T15:37:37Z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33A373E0B8B44DD5B10C2AB09F30ECED_13</vt:lpwstr>
  </property>
  <property fmtid="{D5CDD505-2E9C-101B-9397-08002B2CF9AE}" pid="4" name="_DocHome">
    <vt:i4>688841180</vt:i4>
  </property>
</Properties>
</file>