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media/image2.jpeg" ContentType="image/jpeg"/>
  <Override PartName="/word/media/image3.jpeg" ContentType="image/jpeg"/>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word/_rels/document.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rPr>
          <w:color w:val="C9211E"/>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color w:val="C9211E"/>
        </w:rPr>
        <w:t xml:space="preserve">  </w:t>
      </w:r>
    </w:p>
    <w:p>
      <w:pPr>
        <w:pStyle w:val="Header"/>
        <w:tabs>
          <w:tab w:val="left" w:pos="3240" w:leader="none"/>
          <w:tab w:val="center" w:pos="4536" w:leader="none"/>
          <w:tab w:val="right" w:pos="9072" w:leader="none"/>
        </w:tabs>
        <w:spacing w:lineRule="auto" w:line="360"/>
        <w:jc w:val="center"/>
        <w:rPr>
          <w:color w:val="C9211E"/>
        </w:rPr>
      </w:pPr>
      <w:r>
        <w:rPr>
          <w:rFonts w:cs="Book Antiqua" w:ascii="Book Antiqua" w:hAnsi="Book Antiqua"/>
          <w:b/>
          <w:bCs/>
          <w:i/>
          <w:iCs/>
          <w:shadow/>
          <w:color w:val="000000"/>
          <w:sz w:val="32"/>
        </w:rPr>
        <w:t>O B E C    SMREČANY</w:t>
      </w:r>
    </w:p>
    <w:p>
      <w:pPr>
        <w:pStyle w:val="Header"/>
        <w:tabs>
          <w:tab w:val="left" w:pos="3060" w:leader="none"/>
          <w:tab w:val="center" w:pos="4536" w:leader="none"/>
          <w:tab w:val="right" w:pos="9072" w:leader="none"/>
        </w:tabs>
        <w:spacing w:lineRule="auto" w:line="360"/>
        <w:jc w:val="center"/>
        <w:rPr>
          <w:color w:val="C9211E"/>
        </w:rPr>
      </w:pPr>
      <w:r>
        <w:rPr>
          <w:rFonts w:cs="Book Antiqua" w:ascii="Book Antiqua" w:hAnsi="Book Antiqua"/>
          <w:b/>
          <w:bCs/>
          <w:i/>
          <w:iCs/>
          <w:shadow/>
          <w:color w:val="000000"/>
          <w:sz w:val="28"/>
        </w:rPr>
        <w:t>Smrečany 48</w:t>
      </w:r>
    </w:p>
    <w:p>
      <w:pPr>
        <w:pStyle w:val="Header"/>
        <w:tabs>
          <w:tab w:val="left" w:pos="3240" w:leader="none"/>
          <w:tab w:val="center" w:pos="4536" w:leader="none"/>
          <w:tab w:val="right" w:pos="9072" w:leader="none"/>
        </w:tabs>
        <w:spacing w:lineRule="auto" w:line="360"/>
        <w:jc w:val="center"/>
        <w:rPr>
          <w:color w:val="C9211E"/>
        </w:rPr>
      </w:pPr>
      <w:r>
        <w:rPr>
          <w:rFonts w:cs="Book Antiqua" w:ascii="Book Antiqua" w:hAnsi="Book Antiqua"/>
          <w:b/>
          <w:bCs/>
          <w:i/>
          <w:iCs/>
          <w:shadow/>
          <w:color w:val="000000"/>
          <w:sz w:val="28"/>
          <w:szCs w:val="28"/>
          <w:lang w:val="sk-SK"/>
        </w:rPr>
        <w:t>032 05   Smrečany</w:t>
      </w:r>
    </w:p>
    <w:p>
      <w:pPr>
        <w:pStyle w:val="Normal"/>
        <w:jc w:val="center"/>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rPr>
          <w:color w:val="000000"/>
        </w:rPr>
      </w:pPr>
      <w:r>
        <w:rPr>
          <w:color w:val="000000"/>
        </w:rPr>
      </w:r>
    </w:p>
    <w:p>
      <w:pPr>
        <w:pStyle w:val="Normal"/>
        <w:jc w:val="center"/>
        <w:rPr>
          <w:color w:val="C9211E"/>
        </w:rPr>
      </w:pPr>
      <w:r>
        <w:rPr>
          <w:b/>
          <w:bCs/>
          <w:color w:val="000000"/>
          <w:sz w:val="52"/>
          <w:szCs w:val="52"/>
        </w:rPr>
        <w:t>Výročná správa obce Smrečany</w:t>
      </w:r>
    </w:p>
    <w:p>
      <w:pPr>
        <w:pStyle w:val="Normal"/>
        <w:jc w:val="center"/>
        <w:rPr>
          <w:color w:val="C9211E"/>
        </w:rPr>
      </w:pPr>
      <w:r>
        <w:rPr>
          <w:b/>
          <w:bCs/>
          <w:color w:val="000000"/>
          <w:sz w:val="52"/>
          <w:szCs w:val="52"/>
        </w:rPr>
        <w:t>za konsolidovaný celok</w:t>
      </w:r>
    </w:p>
    <w:p>
      <w:pPr>
        <w:pStyle w:val="Normal"/>
        <w:rPr>
          <w:b/>
          <w:bCs/>
          <w:color w:val="000000"/>
          <w:sz w:val="20"/>
          <w:szCs w:val="20"/>
        </w:rPr>
      </w:pPr>
      <w:r>
        <w:rPr>
          <w:b/>
          <w:bCs/>
          <w:color w:val="000000"/>
          <w:sz w:val="20"/>
          <w:szCs w:val="20"/>
        </w:rPr>
      </w:r>
    </w:p>
    <w:p>
      <w:pPr>
        <w:pStyle w:val="Normal"/>
        <w:tabs>
          <w:tab w:val="clear" w:pos="708"/>
          <w:tab w:val="left" w:pos="3261" w:leader="none"/>
        </w:tabs>
        <w:rPr>
          <w:color w:val="C9211E"/>
        </w:rPr>
      </w:pPr>
      <w:r>
        <w:rPr>
          <w:b/>
          <w:bCs/>
          <w:color w:val="000000"/>
          <w:sz w:val="40"/>
        </w:rPr>
        <w:t xml:space="preserve">                            </w:t>
      </w:r>
      <w:r>
        <w:rPr>
          <w:b/>
          <w:bCs/>
          <w:color w:val="000000"/>
          <w:sz w:val="40"/>
        </w:rPr>
        <w:tab/>
        <w:t xml:space="preserve">  </w:t>
      </w:r>
      <w:r>
        <w:rPr>
          <w:b/>
          <w:bCs/>
          <w:color w:val="000000"/>
          <w:sz w:val="56"/>
          <w:szCs w:val="56"/>
        </w:rPr>
        <w:t>za rok 2024</w:t>
      </w:r>
    </w:p>
    <w:p>
      <w:pPr>
        <w:pStyle w:val="Normal"/>
        <w:jc w:val="center"/>
        <w:rPr>
          <w:color w:val="C9211E"/>
          <w:sz w:val="40"/>
        </w:rPr>
      </w:pPr>
      <w:r>
        <w:rPr>
          <w:color w:val="C9211E"/>
          <w:sz w:val="40"/>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rPr>
          <w:color w:val="C9211E"/>
        </w:rPr>
      </w:pPr>
      <w:r>
        <w:rPr>
          <w:color w:val="C9211E"/>
        </w:rPr>
      </w:r>
    </w:p>
    <w:p>
      <w:pPr>
        <w:pStyle w:val="Normal"/>
        <w:jc w:val="both"/>
        <w:rPr>
          <w:color w:val="C9211E"/>
        </w:rPr>
      </w:pPr>
      <w:r>
        <w:rPr>
          <w:b/>
          <w:color w:val="000000"/>
          <w:sz w:val="26"/>
          <w:szCs w:val="26"/>
        </w:rPr>
        <w:t>Vypracoval:</w:t>
      </w:r>
      <w:r>
        <w:rPr>
          <w:color w:val="000000"/>
          <w:sz w:val="26"/>
          <w:szCs w:val="26"/>
        </w:rPr>
        <w:t xml:space="preserve"> Ing. Juraj Brziak</w:t>
      </w:r>
    </w:p>
    <w:p>
      <w:pPr>
        <w:pStyle w:val="Normal"/>
        <w:jc w:val="center"/>
        <w:rPr>
          <w:b/>
          <w:color w:val="000000"/>
        </w:rPr>
      </w:pPr>
      <w:r>
        <w:rPr>
          <w:b/>
          <w:color w:val="000000"/>
        </w:rPr>
      </w:r>
    </w:p>
    <w:p>
      <w:pPr>
        <w:pStyle w:val="Normal"/>
        <w:tabs>
          <w:tab w:val="clear" w:pos="708"/>
          <w:tab w:val="left" w:pos="6946" w:leader="none"/>
        </w:tabs>
        <w:jc w:val="both"/>
        <w:rPr>
          <w:color w:val="C9211E"/>
        </w:rPr>
      </w:pPr>
      <w:r>
        <w:rPr>
          <w:b/>
          <w:color w:val="000000"/>
          <w:sz w:val="28"/>
          <w:szCs w:val="28"/>
        </w:rPr>
        <w:t xml:space="preserve">                                                                                        </w:t>
      </w:r>
      <w:r>
        <w:rPr>
          <w:b/>
          <w:color w:val="000000"/>
          <w:sz w:val="26"/>
          <w:szCs w:val="26"/>
        </w:rPr>
        <w:t>Mgr. Ľubica Rybárska</w:t>
      </w:r>
    </w:p>
    <w:p>
      <w:pPr>
        <w:pStyle w:val="Normal"/>
        <w:tabs>
          <w:tab w:val="clear" w:pos="708"/>
          <w:tab w:val="left" w:pos="7095" w:leader="none"/>
          <w:tab w:val="left" w:pos="7513" w:leader="none"/>
        </w:tabs>
        <w:jc w:val="both"/>
        <w:rPr>
          <w:color w:val="000000"/>
        </w:rPr>
      </w:pPr>
      <w:r>
        <w:rPr>
          <w:b/>
          <w:color w:val="000000"/>
          <w:sz w:val="26"/>
          <w:szCs w:val="26"/>
        </w:rPr>
        <w:t>V Smrečanoch, júl 2025</w:t>
        <w:tab/>
      </w:r>
      <w:r>
        <w:rPr>
          <w:b/>
          <w:color w:val="000000"/>
          <w:sz w:val="28"/>
          <w:szCs w:val="28"/>
        </w:rPr>
        <w:t>starostka</w:t>
      </w:r>
    </w:p>
    <w:p>
      <w:pPr>
        <w:pStyle w:val="Normal"/>
        <w:rPr>
          <w:b/>
          <w:color w:val="C9211E"/>
        </w:rPr>
      </w:pPr>
      <w:r>
        <w:rPr>
          <w:b/>
          <w:color w:val="C9211E"/>
        </w:rPr>
      </w:r>
    </w:p>
    <w:p>
      <w:pPr>
        <w:pStyle w:val="Normal"/>
        <w:ind w:firstLine="708"/>
        <w:jc w:val="both"/>
        <w:rPr>
          <w:b/>
          <w:color w:val="C9211E"/>
        </w:rPr>
      </w:pPr>
      <w:r>
        <w:rPr>
          <w:b/>
          <w:color w:val="C9211E"/>
        </w:rPr>
      </w:r>
    </w:p>
    <w:p>
      <w:pPr>
        <w:pStyle w:val="Normal"/>
        <w:ind w:firstLine="708"/>
        <w:jc w:val="both"/>
        <w:rPr>
          <w:color w:val="C9211E"/>
        </w:rPr>
      </w:pPr>
      <w:r>
        <w:rPr>
          <w:b/>
          <w:color w:val="000000"/>
        </w:rPr>
        <w:t>OBSAH</w:t>
      </w:r>
    </w:p>
    <w:p>
      <w:pPr>
        <w:pStyle w:val="Normal"/>
        <w:ind w:firstLine="708"/>
        <w:jc w:val="both"/>
        <w:rPr>
          <w:color w:val="000000"/>
        </w:rPr>
      </w:pPr>
      <w:r>
        <w:rPr>
          <w:color w:val="000000"/>
        </w:rPr>
      </w:r>
    </w:p>
    <w:p>
      <w:pPr>
        <w:pStyle w:val="Normal"/>
        <w:ind w:firstLine="708"/>
        <w:jc w:val="both"/>
        <w:rPr>
          <w:color w:val="C9211E"/>
        </w:rPr>
      </w:pPr>
      <w:r>
        <w:rPr>
          <w:b/>
          <w:bCs/>
          <w:color w:val="000000"/>
        </w:rPr>
        <w:t xml:space="preserve">1. Základná charakteristika obce, história a poslanie </w:t>
      </w:r>
    </w:p>
    <w:p>
      <w:pPr>
        <w:pStyle w:val="Normal"/>
        <w:ind w:firstLine="708"/>
        <w:jc w:val="both"/>
        <w:rPr>
          <w:color w:val="C9211E"/>
        </w:rPr>
      </w:pPr>
      <w:r>
        <w:rPr>
          <w:color w:val="000000"/>
        </w:rPr>
        <w:t>Identifikačné údaje</w:t>
      </w:r>
    </w:p>
    <w:p>
      <w:pPr>
        <w:pStyle w:val="Normal"/>
        <w:ind w:firstLine="708"/>
        <w:jc w:val="both"/>
        <w:rPr>
          <w:color w:val="C9211E"/>
        </w:rPr>
      </w:pPr>
      <w:r>
        <w:rPr>
          <w:color w:val="000000"/>
        </w:rPr>
        <w:t>Geografické údaje</w:t>
      </w:r>
    </w:p>
    <w:p>
      <w:pPr>
        <w:pStyle w:val="Normal"/>
        <w:ind w:firstLine="708"/>
        <w:jc w:val="both"/>
        <w:rPr>
          <w:color w:val="C9211E"/>
        </w:rPr>
      </w:pPr>
      <w:r>
        <w:rPr>
          <w:color w:val="000000"/>
        </w:rPr>
        <w:t>Demografické údaje</w:t>
      </w:r>
    </w:p>
    <w:p>
      <w:pPr>
        <w:pStyle w:val="Normal"/>
        <w:ind w:firstLine="708"/>
        <w:jc w:val="both"/>
        <w:rPr>
          <w:color w:val="C9211E"/>
        </w:rPr>
      </w:pPr>
      <w:r>
        <w:rPr>
          <w:color w:val="000000"/>
        </w:rPr>
        <w:t>História obce</w:t>
      </w:r>
    </w:p>
    <w:p>
      <w:pPr>
        <w:pStyle w:val="Normal"/>
        <w:ind w:firstLine="708"/>
        <w:jc w:val="both"/>
        <w:rPr>
          <w:color w:val="C9211E"/>
        </w:rPr>
      </w:pPr>
      <w:r>
        <w:rPr>
          <w:color w:val="000000"/>
        </w:rPr>
        <w:t>Pamätihodnosti obce</w:t>
      </w:r>
    </w:p>
    <w:p>
      <w:pPr>
        <w:pStyle w:val="Normal"/>
        <w:ind w:firstLine="708"/>
        <w:jc w:val="both"/>
        <w:rPr>
          <w:color w:val="C9211E"/>
        </w:rPr>
      </w:pPr>
      <w:r>
        <w:rPr>
          <w:color w:val="000000"/>
        </w:rPr>
        <w:t>Významné osobnosti obce</w:t>
      </w:r>
    </w:p>
    <w:p>
      <w:pPr>
        <w:pStyle w:val="Normal"/>
        <w:ind w:firstLine="708"/>
        <w:jc w:val="both"/>
        <w:rPr>
          <w:color w:val="C9211E"/>
        </w:rPr>
      </w:pPr>
      <w:r>
        <w:rPr>
          <w:color w:val="000000"/>
        </w:rPr>
        <w:t>Symboly obce</w:t>
      </w:r>
    </w:p>
    <w:p>
      <w:pPr>
        <w:pStyle w:val="Normal"/>
        <w:ind w:firstLine="708"/>
        <w:jc w:val="both"/>
        <w:rPr>
          <w:color w:val="C9211E"/>
        </w:rPr>
      </w:pPr>
      <w:r>
        <w:rPr>
          <w:color w:val="000000"/>
        </w:rPr>
        <w:t>Obec a jej úlohy</w:t>
      </w:r>
    </w:p>
    <w:p>
      <w:pPr>
        <w:pStyle w:val="Normal"/>
        <w:ind w:firstLine="708"/>
        <w:jc w:val="both"/>
        <w:rPr>
          <w:color w:val="C9211E"/>
        </w:rPr>
      </w:pPr>
      <w:r>
        <w:rPr>
          <w:color w:val="000000"/>
        </w:rPr>
        <w:t>Základné orgány obce</w:t>
      </w:r>
    </w:p>
    <w:p>
      <w:pPr>
        <w:pStyle w:val="Normal"/>
        <w:ind w:firstLine="708"/>
        <w:jc w:val="both"/>
        <w:rPr>
          <w:color w:val="C9211E"/>
        </w:rPr>
      </w:pPr>
      <w:r>
        <w:rPr>
          <w:color w:val="000000"/>
        </w:rPr>
        <w:t>Obecný úrad</w:t>
      </w:r>
    </w:p>
    <w:p>
      <w:pPr>
        <w:pStyle w:val="Normal"/>
        <w:ind w:firstLine="708"/>
        <w:jc w:val="both"/>
        <w:rPr>
          <w:color w:val="C9211E"/>
        </w:rPr>
      </w:pPr>
      <w:r>
        <w:rPr>
          <w:color w:val="000000"/>
        </w:rPr>
        <w:t>Financovanie obce</w:t>
      </w:r>
    </w:p>
    <w:p>
      <w:pPr>
        <w:pStyle w:val="Normal"/>
        <w:ind w:firstLine="708"/>
        <w:jc w:val="both"/>
        <w:rPr>
          <w:color w:val="C9211E"/>
        </w:rPr>
      </w:pPr>
      <w:r>
        <w:rPr>
          <w:color w:val="000000"/>
        </w:rPr>
        <w:t>Výchova a vzdelávanie</w:t>
      </w:r>
    </w:p>
    <w:p>
      <w:pPr>
        <w:pStyle w:val="Normal"/>
        <w:ind w:firstLine="708"/>
        <w:jc w:val="both"/>
        <w:rPr>
          <w:color w:val="C9211E"/>
        </w:rPr>
      </w:pPr>
      <w:r>
        <w:rPr>
          <w:color w:val="000000"/>
        </w:rPr>
        <w:t>Kultúra</w:t>
      </w:r>
    </w:p>
    <w:p>
      <w:pPr>
        <w:pStyle w:val="Normal"/>
        <w:ind w:firstLine="708"/>
        <w:jc w:val="both"/>
        <w:rPr>
          <w:color w:val="C9211E"/>
        </w:rPr>
      </w:pPr>
      <w:r>
        <w:rPr>
          <w:color w:val="000000"/>
        </w:rPr>
        <w:t>Sociálne zabezpečenie</w:t>
      </w:r>
    </w:p>
    <w:p>
      <w:pPr>
        <w:pStyle w:val="Normal"/>
        <w:ind w:firstLine="708"/>
        <w:jc w:val="both"/>
        <w:rPr>
          <w:color w:val="C9211E"/>
        </w:rPr>
      </w:pPr>
      <w:r>
        <w:rPr>
          <w:color w:val="000000"/>
        </w:rPr>
        <w:t>Inštitúcie v obci</w:t>
      </w:r>
    </w:p>
    <w:p>
      <w:pPr>
        <w:pStyle w:val="Normal"/>
        <w:ind w:firstLine="708"/>
        <w:jc w:val="both"/>
        <w:rPr>
          <w:color w:val="C9211E"/>
        </w:rPr>
      </w:pPr>
      <w:r>
        <w:rPr>
          <w:color w:val="000000"/>
        </w:rPr>
        <w:t>Rozpočtová  organizácia</w:t>
      </w:r>
    </w:p>
    <w:p>
      <w:pPr>
        <w:pStyle w:val="Normal"/>
        <w:ind w:firstLine="708"/>
        <w:jc w:val="both"/>
        <w:rPr>
          <w:color w:val="000000"/>
        </w:rPr>
      </w:pPr>
      <w:r>
        <w:rPr>
          <w:color w:val="000000"/>
        </w:rPr>
      </w:r>
    </w:p>
    <w:p>
      <w:pPr>
        <w:pStyle w:val="Normal"/>
        <w:ind w:firstLine="708"/>
        <w:jc w:val="both"/>
        <w:rPr>
          <w:color w:val="C9211E"/>
        </w:rPr>
      </w:pPr>
      <w:r>
        <w:rPr>
          <w:b/>
          <w:bCs/>
          <w:color w:val="000000"/>
        </w:rPr>
        <w:t>2. Rozpočet obce za rok 2024 a jeho plnenie</w:t>
      </w:r>
    </w:p>
    <w:p>
      <w:pPr>
        <w:pStyle w:val="Normal"/>
        <w:ind w:firstLine="708"/>
        <w:jc w:val="both"/>
        <w:rPr>
          <w:color w:val="C9211E"/>
        </w:rPr>
      </w:pPr>
      <w:r>
        <w:rPr>
          <w:color w:val="000000"/>
        </w:rPr>
        <w:t>Rozbor plnenia príjmov za rok 2024</w:t>
      </w:r>
    </w:p>
    <w:p>
      <w:pPr>
        <w:pStyle w:val="Normal"/>
        <w:ind w:firstLine="708"/>
        <w:jc w:val="both"/>
        <w:rPr>
          <w:color w:val="C9211E"/>
        </w:rPr>
      </w:pPr>
      <w:r>
        <w:rPr>
          <w:color w:val="000000"/>
        </w:rPr>
        <w:t>Rozbor plnenia výdavkov za rok 2024</w:t>
      </w:r>
    </w:p>
    <w:p>
      <w:pPr>
        <w:pStyle w:val="Normal"/>
        <w:ind w:firstLine="708"/>
        <w:jc w:val="both"/>
        <w:rPr>
          <w:color w:val="000000"/>
        </w:rPr>
      </w:pPr>
      <w:r>
        <w:rPr>
          <w:color w:val="000000"/>
        </w:rPr>
      </w:r>
    </w:p>
    <w:p>
      <w:pPr>
        <w:pStyle w:val="Normal"/>
        <w:ind w:firstLine="708"/>
        <w:jc w:val="both"/>
        <w:rPr>
          <w:color w:val="C9211E"/>
        </w:rPr>
      </w:pPr>
      <w:r>
        <w:rPr>
          <w:b/>
          <w:bCs/>
          <w:color w:val="000000"/>
        </w:rPr>
        <w:t>3. Hospodárenie obce a rozdelenie výsledku hospodárenia za rok 2024</w:t>
      </w:r>
    </w:p>
    <w:p>
      <w:pPr>
        <w:pStyle w:val="Normal"/>
        <w:ind w:firstLine="708"/>
        <w:jc w:val="both"/>
        <w:rPr>
          <w:color w:val="C9211E"/>
        </w:rPr>
      </w:pPr>
      <w:r>
        <w:rPr>
          <w:color w:val="000000"/>
        </w:rPr>
        <w:t>Skutočnosť a výsledok rozpočtového hospodárenia za rok 2024</w:t>
      </w:r>
    </w:p>
    <w:p>
      <w:pPr>
        <w:pStyle w:val="Normal"/>
        <w:ind w:firstLine="708"/>
        <w:jc w:val="both"/>
        <w:rPr>
          <w:color w:val="000000"/>
        </w:rPr>
      </w:pPr>
      <w:r>
        <w:rPr>
          <w:color w:val="000000"/>
        </w:rPr>
      </w:r>
    </w:p>
    <w:p>
      <w:pPr>
        <w:pStyle w:val="Normal"/>
        <w:ind w:firstLine="708"/>
        <w:jc w:val="both"/>
        <w:rPr>
          <w:color w:val="C9211E"/>
        </w:rPr>
      </w:pPr>
      <w:r>
        <w:rPr>
          <w:b/>
          <w:bCs/>
          <w:color w:val="000000"/>
        </w:rPr>
        <w:t>4. Bilancia aktív a pasív k 31.12.2024</w:t>
      </w:r>
    </w:p>
    <w:p>
      <w:pPr>
        <w:pStyle w:val="Normal"/>
        <w:ind w:firstLine="708"/>
        <w:jc w:val="both"/>
        <w:rPr>
          <w:color w:val="C9211E"/>
        </w:rPr>
      </w:pPr>
      <w:r>
        <w:rPr>
          <w:color w:val="000000"/>
        </w:rPr>
        <w:t>Aktíva</w:t>
      </w:r>
    </w:p>
    <w:p>
      <w:pPr>
        <w:pStyle w:val="Normal"/>
        <w:ind w:firstLine="708"/>
        <w:jc w:val="both"/>
        <w:rPr>
          <w:color w:val="C9211E"/>
        </w:rPr>
      </w:pPr>
      <w:r>
        <w:rPr>
          <w:color w:val="000000"/>
        </w:rPr>
        <w:t>Pasíva</w:t>
      </w:r>
    </w:p>
    <w:p>
      <w:pPr>
        <w:pStyle w:val="Normal"/>
        <w:ind w:firstLine="708"/>
        <w:jc w:val="both"/>
        <w:rPr>
          <w:color w:val="000000"/>
        </w:rPr>
      </w:pPr>
      <w:r>
        <w:rPr>
          <w:color w:val="000000"/>
        </w:rPr>
      </w:r>
    </w:p>
    <w:p>
      <w:pPr>
        <w:pStyle w:val="Normal"/>
        <w:ind w:firstLine="708"/>
        <w:jc w:val="both"/>
        <w:rPr>
          <w:color w:val="C9211E"/>
        </w:rPr>
      </w:pPr>
      <w:r>
        <w:rPr>
          <w:b/>
          <w:bCs/>
          <w:color w:val="000000"/>
        </w:rPr>
        <w:t>5. Vývoj pohľadávok a záväzkov  k 31.12.2024</w:t>
      </w:r>
    </w:p>
    <w:p>
      <w:pPr>
        <w:pStyle w:val="Normal"/>
        <w:ind w:firstLine="708"/>
        <w:jc w:val="both"/>
        <w:rPr>
          <w:color w:val="C9211E"/>
        </w:rPr>
      </w:pPr>
      <w:r>
        <w:rPr>
          <w:color w:val="000000"/>
        </w:rPr>
        <w:t xml:space="preserve">Pohľadávky </w:t>
      </w:r>
    </w:p>
    <w:p>
      <w:pPr>
        <w:pStyle w:val="Normal"/>
        <w:ind w:firstLine="708"/>
        <w:jc w:val="both"/>
        <w:rPr>
          <w:color w:val="C9211E"/>
        </w:rPr>
      </w:pPr>
      <w:r>
        <w:rPr>
          <w:color w:val="000000"/>
        </w:rPr>
        <w:t>Záväzky</w:t>
      </w:r>
    </w:p>
    <w:p>
      <w:pPr>
        <w:pStyle w:val="Normal"/>
        <w:ind w:firstLine="708"/>
        <w:jc w:val="both"/>
        <w:rPr>
          <w:color w:val="000000"/>
        </w:rPr>
      </w:pPr>
      <w:r>
        <w:rPr>
          <w:color w:val="000000"/>
        </w:rPr>
      </w:r>
    </w:p>
    <w:p>
      <w:pPr>
        <w:pStyle w:val="Normal"/>
        <w:ind w:firstLine="708"/>
        <w:jc w:val="both"/>
        <w:rPr>
          <w:color w:val="C9211E"/>
        </w:rPr>
      </w:pPr>
      <w:r>
        <w:rPr>
          <w:b/>
          <w:bCs/>
          <w:color w:val="000000"/>
        </w:rPr>
        <w:t>6. Ostatné dôležité informácie</w:t>
      </w:r>
    </w:p>
    <w:p>
      <w:pPr>
        <w:pStyle w:val="Normal"/>
        <w:ind w:firstLine="708"/>
        <w:jc w:val="both"/>
        <w:rPr>
          <w:color w:val="C9211E"/>
        </w:rPr>
      </w:pPr>
      <w:r>
        <w:rPr>
          <w:color w:val="000000"/>
        </w:rPr>
        <w:t>Finančné usporiadanie vzťahov /prijaté granty a transfery/</w:t>
      </w:r>
    </w:p>
    <w:p>
      <w:pPr>
        <w:pStyle w:val="Normal"/>
        <w:ind w:firstLine="708"/>
        <w:jc w:val="both"/>
        <w:rPr>
          <w:color w:val="C9211E"/>
        </w:rPr>
      </w:pPr>
      <w:r>
        <w:rPr>
          <w:color w:val="000000"/>
        </w:rPr>
        <w:t>Prehľad o poskytnutých dotáciách</w:t>
      </w:r>
    </w:p>
    <w:p>
      <w:pPr>
        <w:pStyle w:val="Normal"/>
        <w:ind w:firstLine="708"/>
        <w:jc w:val="both"/>
        <w:rPr>
          <w:color w:val="000000"/>
        </w:rPr>
      </w:pPr>
      <w:r>
        <w:rPr>
          <w:color w:val="000000"/>
        </w:rPr>
        <w:t>Prehľad o dlhodobom majetku</w:t>
      </w:r>
    </w:p>
    <w:p>
      <w:pPr>
        <w:pStyle w:val="Normal"/>
        <w:ind w:firstLine="708"/>
        <w:jc w:val="both"/>
        <w:rPr>
          <w:color w:val="C9211E"/>
        </w:rPr>
      </w:pPr>
      <w:r>
        <w:rPr>
          <w:color w:val="000000"/>
        </w:rPr>
        <w:t>Analýza nákladov a výnosov</w:t>
      </w:r>
    </w:p>
    <w:p>
      <w:pPr>
        <w:pStyle w:val="Normal"/>
        <w:ind w:firstLine="708"/>
        <w:jc w:val="both"/>
        <w:rPr>
          <w:color w:val="C9211E"/>
        </w:rPr>
      </w:pPr>
      <w:r>
        <w:rPr>
          <w:color w:val="C9211E"/>
        </w:rPr>
      </w:r>
    </w:p>
    <w:p>
      <w:pPr>
        <w:pStyle w:val="Normal"/>
        <w:ind w:firstLine="708"/>
        <w:jc w:val="both"/>
        <w:rPr>
          <w:color w:val="C9211E"/>
        </w:rPr>
      </w:pPr>
      <w:r>
        <w:rPr>
          <w:b/>
          <w:bCs/>
          <w:color w:val="000000"/>
        </w:rPr>
        <w:t>7. Konsolidovaná účtovná závierka</w:t>
      </w:r>
    </w:p>
    <w:p>
      <w:pPr>
        <w:pStyle w:val="Normal"/>
        <w:ind w:firstLine="708"/>
        <w:jc w:val="both"/>
        <w:rPr>
          <w:color w:val="C9211E"/>
        </w:rPr>
      </w:pPr>
      <w:r>
        <w:rPr>
          <w:color w:val="000000"/>
        </w:rPr>
        <w:t>Konsolidovaný celok</w:t>
      </w:r>
    </w:p>
    <w:p>
      <w:pPr>
        <w:pStyle w:val="Normal"/>
        <w:ind w:firstLine="708"/>
        <w:jc w:val="both"/>
        <w:rPr>
          <w:color w:val="C9211E"/>
        </w:rPr>
      </w:pPr>
      <w:r>
        <w:rPr>
          <w:color w:val="000000"/>
        </w:rPr>
        <w:t>Hospodárenie konsolidovaného celku</w:t>
      </w:r>
    </w:p>
    <w:p>
      <w:pPr>
        <w:pStyle w:val="Normal"/>
        <w:ind w:firstLine="708"/>
        <w:jc w:val="both"/>
        <w:rPr>
          <w:color w:val="000000"/>
        </w:rPr>
      </w:pPr>
      <w:r>
        <w:rPr>
          <w:color w:val="000000"/>
        </w:rPr>
      </w:r>
    </w:p>
    <w:p>
      <w:pPr>
        <w:pStyle w:val="Normal"/>
        <w:ind w:firstLine="708"/>
        <w:jc w:val="both"/>
        <w:rPr>
          <w:color w:val="C9211E"/>
        </w:rPr>
      </w:pPr>
      <w:r>
        <w:rPr>
          <w:b/>
          <w:bCs/>
          <w:color w:val="000000"/>
        </w:rPr>
        <w:t>8. Predpokladaný budúci vývoj – zámery obce</w:t>
      </w:r>
    </w:p>
    <w:p>
      <w:pPr>
        <w:pStyle w:val="Normal"/>
        <w:ind w:firstLine="708"/>
        <w:jc w:val="both"/>
        <w:rPr>
          <w:color w:val="000000"/>
        </w:rPr>
      </w:pPr>
      <w:r>
        <w:rPr>
          <w:color w:val="000000"/>
        </w:rPr>
      </w:r>
    </w:p>
    <w:p>
      <w:pPr>
        <w:pStyle w:val="Normal"/>
        <w:ind w:firstLine="708"/>
        <w:jc w:val="both"/>
        <w:rPr>
          <w:color w:val="C9211E"/>
        </w:rPr>
      </w:pPr>
      <w:r>
        <w:rPr>
          <w:b/>
          <w:bCs/>
          <w:color w:val="000000"/>
        </w:rPr>
        <w:t>9. Udalosti osobitného významu po skončení účtovného obdobia</w:t>
      </w:r>
    </w:p>
    <w:p>
      <w:pPr>
        <w:pStyle w:val="Normal"/>
        <w:ind w:hanging="0" w:left="432"/>
        <w:rPr>
          <w:color w:val="000000"/>
          <w:highlight w:val="red"/>
        </w:rPr>
      </w:pPr>
      <w:r>
        <w:rPr>
          <w:color w:val="000000"/>
          <w:highlight w:val="red"/>
        </w:rPr>
      </w:r>
      <w:r>
        <w:br w:type="page"/>
      </w:r>
    </w:p>
    <w:p>
      <w:pPr>
        <w:pStyle w:val="Heading1"/>
        <w:spacing w:before="0" w:after="0"/>
        <w:rPr>
          <w:color w:val="C9211E"/>
        </w:rPr>
      </w:pPr>
      <w:r>
        <w:rPr>
          <w:color w:val="000000"/>
          <w:sz w:val="28"/>
          <w:szCs w:val="28"/>
        </w:rPr>
        <w:t xml:space="preserve">1. Základná  charakteristika obce, história a poslanie </w:t>
      </w:r>
    </w:p>
    <w:p>
      <w:pPr>
        <w:pStyle w:val="Normal"/>
        <w:rPr>
          <w:color w:val="C9211E"/>
        </w:rPr>
      </w:pPr>
      <w:r>
        <w:rPr>
          <w:color w:val="000000"/>
        </w:rPr>
        <w:t xml:space="preserve">                                                                                   </w:t>
      </w:r>
    </w:p>
    <w:p>
      <w:pPr>
        <w:pStyle w:val="Normal"/>
        <w:rPr>
          <w:color w:val="C9211E"/>
        </w:rPr>
      </w:pPr>
      <w:r>
        <w:rPr>
          <w:b/>
          <w:bCs/>
          <w:color w:val="000000"/>
          <w:sz w:val="28"/>
          <w:szCs w:val="28"/>
        </w:rPr>
        <w:t>Identifikačné údaje :</w:t>
      </w:r>
    </w:p>
    <w:p>
      <w:pPr>
        <w:pStyle w:val="Normal"/>
        <w:rPr>
          <w:color w:val="C9211E"/>
        </w:rPr>
      </w:pPr>
      <w:r>
        <w:rPr>
          <w:b/>
          <w:bCs/>
          <w:color w:val="000000"/>
        </w:rPr>
        <w:t>Názov:</w:t>
      </w:r>
      <w:r>
        <w:rPr>
          <w:color w:val="000000"/>
        </w:rPr>
        <w:t xml:space="preserve">   Obec Smrečany</w:t>
      </w:r>
    </w:p>
    <w:p>
      <w:pPr>
        <w:pStyle w:val="Normal"/>
        <w:rPr>
          <w:color w:val="C9211E"/>
        </w:rPr>
      </w:pPr>
      <w:r>
        <w:rPr>
          <w:b/>
          <w:bCs/>
          <w:color w:val="000000"/>
        </w:rPr>
        <w:t>Adresa:</w:t>
      </w:r>
      <w:r>
        <w:rPr>
          <w:color w:val="000000"/>
        </w:rPr>
        <w:t xml:space="preserve"> Obecný úrad Smrečany</w:t>
      </w:r>
    </w:p>
    <w:p>
      <w:pPr>
        <w:pStyle w:val="Normal"/>
        <w:ind w:firstLine="708"/>
        <w:rPr>
          <w:color w:val="C9211E"/>
        </w:rPr>
      </w:pPr>
      <w:r>
        <w:rPr>
          <w:color w:val="000000"/>
        </w:rPr>
        <w:t xml:space="preserve">   </w:t>
      </w:r>
      <w:r>
        <w:rPr>
          <w:color w:val="000000"/>
        </w:rPr>
        <w:t>Smrečany 48</w:t>
      </w:r>
    </w:p>
    <w:p>
      <w:pPr>
        <w:pStyle w:val="Normal"/>
        <w:ind w:firstLine="143" w:left="708"/>
        <w:rPr>
          <w:color w:val="C9211E"/>
        </w:rPr>
      </w:pPr>
      <w:r>
        <w:rPr>
          <w:color w:val="000000"/>
        </w:rPr>
        <w:t xml:space="preserve"> </w:t>
      </w:r>
      <w:r>
        <w:rPr>
          <w:color w:val="000000"/>
        </w:rPr>
        <w:t>032 05 Smrečany</w:t>
      </w:r>
    </w:p>
    <w:p>
      <w:pPr>
        <w:pStyle w:val="Normal"/>
        <w:rPr>
          <w:color w:val="C9211E"/>
        </w:rPr>
      </w:pPr>
      <w:r>
        <w:rPr>
          <w:b/>
          <w:color w:val="000000"/>
        </w:rPr>
        <w:t>Štatutárny orgán:</w:t>
      </w:r>
      <w:r>
        <w:rPr>
          <w:color w:val="000000"/>
        </w:rPr>
        <w:t xml:space="preserve"> Mgr. Ľubica Rybárska</w:t>
      </w:r>
    </w:p>
    <w:p>
      <w:pPr>
        <w:pStyle w:val="Normal"/>
        <w:rPr>
          <w:color w:val="C9211E"/>
        </w:rPr>
      </w:pPr>
      <w:r>
        <w:rPr>
          <w:color w:val="000000"/>
        </w:rPr>
        <w:t>IČO: 00315753</w:t>
      </w:r>
    </w:p>
    <w:p>
      <w:pPr>
        <w:pStyle w:val="Normal"/>
        <w:rPr>
          <w:color w:val="C9211E"/>
        </w:rPr>
      </w:pPr>
      <w:r>
        <w:rPr>
          <w:color w:val="000000"/>
        </w:rPr>
        <w:t>DIČ: 2020581662</w:t>
      </w:r>
    </w:p>
    <w:p>
      <w:pPr>
        <w:pStyle w:val="Normal"/>
        <w:rPr>
          <w:color w:val="C9211E"/>
        </w:rPr>
      </w:pPr>
      <w:r>
        <w:rPr>
          <w:b/>
          <w:bCs/>
          <w:color w:val="000000"/>
        </w:rPr>
        <w:t>Právna forma:</w:t>
      </w:r>
      <w:r>
        <w:rPr>
          <w:color w:val="000000"/>
        </w:rPr>
        <w:t xml:space="preserve"> právnická osoba </w:t>
      </w:r>
    </w:p>
    <w:p>
      <w:pPr>
        <w:pStyle w:val="Normal"/>
        <w:rPr>
          <w:color w:val="C9211E"/>
        </w:rPr>
      </w:pPr>
      <w:r>
        <w:rPr>
          <w:b/>
          <w:bCs/>
          <w:color w:val="000000"/>
        </w:rPr>
        <w:t>e-mail:</w:t>
      </w:r>
      <w:r>
        <w:rPr>
          <w:color w:val="000000"/>
        </w:rPr>
        <w:t xml:space="preserve"> starosta@smrecany.sk</w:t>
      </w:r>
    </w:p>
    <w:p>
      <w:pPr>
        <w:pStyle w:val="Normal"/>
        <w:rPr/>
      </w:pPr>
      <w:hyperlink r:id="rId3">
        <w:r>
          <w:rPr>
            <w:rStyle w:val="Hypertextovprepojenie1"/>
            <w:color w:val="000000"/>
          </w:rPr>
          <w:t>web: www.</w:t>
        </w:r>
      </w:hyperlink>
      <w:hyperlink r:id="rId4">
        <w:r>
          <w:rPr>
            <w:rStyle w:val="Hypertextovprepojenie1"/>
            <w:color w:val="000000"/>
          </w:rPr>
          <w:t>smrecany</w:t>
        </w:r>
      </w:hyperlink>
      <w:hyperlink r:id="rId5">
        <w:r>
          <w:rPr>
            <w:rStyle w:val="Hypertextovprepojenie1"/>
            <w:color w:val="000000"/>
          </w:rPr>
          <w:t>.sk</w:t>
        </w:r>
      </w:hyperlink>
    </w:p>
    <w:p>
      <w:pPr>
        <w:pStyle w:val="Normal"/>
        <w:rPr>
          <w:color w:val="C9211E"/>
        </w:rPr>
      </w:pPr>
      <w:r>
        <w:rPr>
          <w:b/>
          <w:bCs/>
          <w:color w:val="000000"/>
        </w:rPr>
        <w:t xml:space="preserve">telefón a fax: </w:t>
      </w:r>
      <w:r>
        <w:rPr>
          <w:color w:val="000000"/>
        </w:rPr>
        <w:t>044/5586126</w:t>
      </w:r>
    </w:p>
    <w:p>
      <w:pPr>
        <w:pStyle w:val="Normal"/>
        <w:rPr>
          <w:color w:val="000000"/>
          <w:sz w:val="20"/>
          <w:szCs w:val="20"/>
          <w:highlight w:val="red"/>
        </w:rPr>
      </w:pPr>
      <w:r>
        <w:rPr>
          <w:color w:val="000000"/>
          <w:sz w:val="20"/>
          <w:szCs w:val="20"/>
          <w:highlight w:val="red"/>
        </w:rPr>
      </w:r>
    </w:p>
    <w:p>
      <w:pPr>
        <w:pStyle w:val="Normal"/>
        <w:ind w:firstLine="708"/>
        <w:jc w:val="both"/>
        <w:rPr>
          <w:color w:val="C9211E"/>
        </w:rPr>
      </w:pPr>
      <w:r>
        <w:rPr>
          <w:color w:val="000000"/>
        </w:rPr>
        <w:t>Obec ako samostatný územný samosprávny a správny celok sa riadi zákonom č. 369/1990 Zb. o obecnom zriadení v znení neskorších zmien a doplnkov a Ústavou Slovenskej republiky.</w:t>
      </w:r>
    </w:p>
    <w:p>
      <w:pPr>
        <w:pStyle w:val="Normal"/>
        <w:rPr>
          <w:color w:val="000000"/>
          <w:sz w:val="20"/>
          <w:szCs w:val="20"/>
          <w:highlight w:val="red"/>
        </w:rPr>
      </w:pPr>
      <w:r>
        <w:rPr>
          <w:color w:val="000000"/>
          <w:sz w:val="20"/>
          <w:szCs w:val="20"/>
          <w:highlight w:val="red"/>
        </w:rPr>
      </w:r>
    </w:p>
    <w:p>
      <w:pPr>
        <w:pStyle w:val="Normal"/>
        <w:rPr>
          <w:color w:val="C9211E"/>
        </w:rPr>
      </w:pPr>
      <w:r>
        <w:rPr>
          <w:b/>
          <w:bCs/>
          <w:color w:val="000000"/>
          <w:sz w:val="28"/>
          <w:szCs w:val="28"/>
        </w:rPr>
        <w:t>Geografické údaje :</w:t>
      </w:r>
    </w:p>
    <w:p>
      <w:pPr>
        <w:pStyle w:val="Normal"/>
        <w:rPr>
          <w:color w:val="C9211E"/>
        </w:rPr>
      </w:pPr>
      <w:r>
        <w:rPr>
          <w:bCs/>
          <w:color w:val="000000"/>
        </w:rPr>
        <w:t xml:space="preserve">Geografická poloha obce: </w:t>
        <w:tab/>
        <w:t>okres Liptovský Mikuláš, región Liptov</w:t>
      </w:r>
    </w:p>
    <w:p>
      <w:pPr>
        <w:pStyle w:val="Normal"/>
        <w:rPr>
          <w:color w:val="C9211E"/>
        </w:rPr>
      </w:pPr>
      <w:r>
        <w:rPr>
          <w:bCs/>
          <w:color w:val="000000"/>
        </w:rPr>
        <w:t>Susedné mestá a obce:</w:t>
        <w:tab/>
        <w:t>Žiar, Veterná Poruba, Liptovský Mikuláš</w:t>
      </w:r>
    </w:p>
    <w:p>
      <w:pPr>
        <w:pStyle w:val="Normal"/>
        <w:rPr>
          <w:color w:val="C9211E"/>
        </w:rPr>
      </w:pPr>
      <w:r>
        <w:rPr>
          <w:color w:val="000000"/>
        </w:rPr>
        <w:t xml:space="preserve">Celková rozloha obce :   </w:t>
        <w:tab/>
        <w:t>8,08 km</w:t>
      </w:r>
      <w:r>
        <w:rPr>
          <w:color w:val="000000"/>
          <w:vertAlign w:val="superscript"/>
        </w:rPr>
        <w:t>2</w:t>
      </w:r>
      <w:r>
        <w:rPr>
          <w:color w:val="000000"/>
        </w:rPr>
        <w:t xml:space="preserve"> </w:t>
      </w:r>
    </w:p>
    <w:p>
      <w:pPr>
        <w:pStyle w:val="Normal"/>
        <w:rPr>
          <w:color w:val="C9211E"/>
        </w:rPr>
      </w:pPr>
      <w:r>
        <w:rPr>
          <w:color w:val="000000"/>
        </w:rPr>
        <w:t xml:space="preserve">Nadmorská výška :  </w:t>
        <w:tab/>
        <w:tab/>
        <w:t xml:space="preserve">718 m. n. m.     </w:t>
      </w:r>
    </w:p>
    <w:p>
      <w:pPr>
        <w:pStyle w:val="Normal"/>
        <w:rPr>
          <w:color w:val="C9211E"/>
        </w:rPr>
      </w:pPr>
      <w:r>
        <w:rPr>
          <w:color w:val="C9211E"/>
        </w:rPr>
        <w:t xml:space="preserve">                      </w:t>
      </w:r>
    </w:p>
    <w:p>
      <w:pPr>
        <w:pStyle w:val="Normal"/>
        <w:rPr>
          <w:color w:val="C9211E"/>
        </w:rPr>
      </w:pPr>
      <w:r>
        <w:rPr>
          <w:b/>
          <w:bCs/>
          <w:color w:val="000000"/>
          <w:sz w:val="28"/>
          <w:szCs w:val="28"/>
        </w:rPr>
        <w:t>Demografické údaje:</w:t>
      </w:r>
    </w:p>
    <w:p>
      <w:pPr>
        <w:pStyle w:val="Normal"/>
        <w:rPr>
          <w:color w:val="C9211E"/>
        </w:rPr>
      </w:pPr>
      <w:r>
        <w:rPr>
          <w:bCs/>
          <w:color w:val="000000"/>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color w:val="000000"/>
        </w:rPr>
      </w:pPr>
      <w:r>
        <w:rPr>
          <w:bCs/>
          <w:color w:val="000000"/>
        </w:rPr>
        <w:t>Počet obyvateľov obce Smrečany k 31.12.2024: 704  obyvateľov (87,45 obyvateľa/km2)</w:t>
      </w:r>
    </w:p>
    <w:p>
      <w:pPr>
        <w:pStyle w:val="Normal"/>
        <w:rPr>
          <w:b/>
          <w:color w:val="000000"/>
          <w:sz w:val="28"/>
          <w:szCs w:val="28"/>
        </w:rPr>
      </w:pPr>
      <w:r>
        <w:rPr>
          <w:b/>
          <w:color w:val="000000"/>
          <w:sz w:val="28"/>
          <w:szCs w:val="28"/>
        </w:rPr>
      </w:r>
    </w:p>
    <w:p>
      <w:pPr>
        <w:pStyle w:val="Normal"/>
        <w:rPr>
          <w:color w:val="C9211E"/>
        </w:rPr>
      </w:pPr>
      <w:r>
        <w:rPr>
          <w:b/>
          <w:color w:val="000000"/>
          <w:sz w:val="28"/>
          <w:szCs w:val="28"/>
        </w:rPr>
        <w:t xml:space="preserve">História obce: </w:t>
      </w:r>
    </w:p>
    <w:p>
      <w:pPr>
        <w:pStyle w:val="NormalWeb"/>
        <w:jc w:val="both"/>
        <w:rPr>
          <w:color w:val="C9211E"/>
        </w:rPr>
      </w:pPr>
      <w:r>
        <w:rPr>
          <w:color w:val="000000"/>
        </w:rPr>
        <w:t>História obce sa začala písať 12.apríla 1299, kde je spomínaná pod názvom Zemerchen, ilustrujúcim smrekové porasty, ktoré sa v jej okolí hojne vyskytovali.</w:t>
      </w:r>
    </w:p>
    <w:p>
      <w:pPr>
        <w:pStyle w:val="NormalWeb"/>
        <w:jc w:val="both"/>
        <w:rPr/>
      </w:pPr>
      <w:r>
        <w:rPr>
          <w:color w:val="000000"/>
        </w:rPr>
        <w:t>Najstaršia písomná zmienka vznikla v súvislosti so súdnym sporom o vlastníctvo obce medzi Bohumírovcami a Serafínovcami na strane jednej a šľachticmi Mikuláš a Batiza.</w:t>
      </w:r>
      <w:r>
        <w:rPr>
          <w:rStyle w:val="Strong"/>
          <w:color w:val="000000"/>
        </w:rPr>
        <w:t xml:space="preserve"> Bohumírovci a Serafínovci</w:t>
      </w:r>
      <w:r>
        <w:rPr>
          <w:color w:val="000000"/>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color w:val="000000"/>
        </w:rPr>
        <w:t>V polovici 14. storočia bol v obci postavený gotický kostol Obetovania Pána, ktorý je historickým klenotom dodnes. Okrem poddanských domov bola koncom 16. storočia architektúra Smrečian rozšírená o zemianske kúrie, panský mlyn, faru. Obec bola vtedy najväčšou v okolí.</w:t>
        <w:br/>
        <w:t xml:space="preserve">Najstarší známi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 mája 1286 ho kráľ Ladislav IV. prijal medzi uhorskú šľachtu. Smrečany sa stali hlavným sídlom rodu pri deľbe liptovských majetkov. Mnohí príslušníci rodu Smrečániovcov zastávali významné spoločenské funkcie. Príkladom je i </w:t>
      </w:r>
      <w:r>
        <w:rPr>
          <w:rStyle w:val="Strong"/>
          <w:color w:val="000000"/>
        </w:rPr>
        <w:t>Aristíd Smrečáni</w:t>
      </w:r>
      <w:r>
        <w:rPr>
          <w:color w:val="000000"/>
        </w:rPr>
        <w:t>, ktorý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w:t>
      </w:r>
      <w:r>
        <w:rPr>
          <w:color w:val="C9211E"/>
        </w:rPr>
        <w:t xml:space="preserve"> </w:t>
      </w:r>
      <w:r>
        <w:rPr>
          <w:color w:val="000000"/>
        </w:rPr>
        <w:t>nezachovali - Letohrádok oproti hlavnému vchodu do hlavného Aristídovského kaštieľa, dom pre sluhov, Bogušovský kaštieľ, Sentivániovský kaštieľ, Vnukovský kaštieľ, Smrečániovská kúria.</w:t>
      </w:r>
    </w:p>
    <w:p>
      <w:pPr>
        <w:pStyle w:val="NormalWeb"/>
        <w:jc w:val="both"/>
        <w:rPr/>
      </w:pPr>
      <w:r>
        <w:rPr>
          <w:color w:val="000000"/>
        </w:rPr>
        <w:t>Najstaršou zachovalou stavbou v Smrečanoch je už spomenutý gotický kostol Obetovania Pána (ku cti Očisťovania Panny Márie), ktorého základy boli postavené</w:t>
      </w:r>
      <w:r>
        <w:rPr>
          <w:rStyle w:val="Strong"/>
          <w:color w:val="000000"/>
        </w:rPr>
        <w:t xml:space="preserve"> </w:t>
      </w:r>
      <w:r>
        <w:rPr>
          <w:rStyle w:val="Strong"/>
          <w:b w:val="false"/>
          <w:color w:val="000000"/>
        </w:rPr>
        <w:t>v r. 1349</w:t>
      </w:r>
      <w:r>
        <w:rPr>
          <w:color w:val="000000"/>
        </w:rPr>
        <w:t>. Je to jednoloďová stavba so štvorcovou svätyňou, ktorá je na východnej strane preklenutá krížením masívnych románskych rebier a zo severu k nej prilieha sakristia. Strop lode bol do dnešnej podoby upravený pred r. 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 1750. Neskorogotický zvon pochádza z dielne majstra Andreja z r. 1509. Kostol bol počas reformácie v r. 1574 prevzatý evanjelickou cirkvou a slúžil jej až do r. 1707, kedy bol natrvalo vrátený katolíckej cirkvi. Kostol je vďačným objektom znalcov histórie, fotografov či maliarov a právom patrí medzi najcennejšie sakrálne pamiatky Slovenska.</w:t>
      </w:r>
    </w:p>
    <w:p>
      <w:pPr>
        <w:pStyle w:val="NormalWeb"/>
        <w:jc w:val="both"/>
        <w:rPr>
          <w:color w:val="C9211E"/>
        </w:rPr>
      </w:pPr>
      <w:r>
        <w:rPr>
          <w:color w:val="000000"/>
        </w:rPr>
        <w:t>Z dôvodu premnoženia vlkov v Liptove koncom 18. storočia dochádzalo na panských majetkoch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 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 storočie, ďalší z r. 1848. Je na ňom vlk v sieti s textom "Sigillum posesionis Szmrecsan 1848", čo v preklade znamená "Pečať obce Smrečany 1848". Po r. 1918 sa zo znaku obce vytratila sieť a predtým latinský alebo maďarský text bol nahradený slovenským. Smrečany boli jednou z mála obcí, ktoré i v 20. storočí nepoužívali nápisovú pečať, ale vyobrazenie vlka ako symbolu, erbu obce. V r. 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color w:val="C9211E"/>
        </w:rPr>
      </w:pPr>
      <w:r>
        <w:rPr>
          <w:b/>
          <w:bCs/>
          <w:color w:val="000000"/>
          <w:sz w:val="28"/>
          <w:szCs w:val="28"/>
        </w:rPr>
        <w:t>Kultúrne pamiatky v obci:</w:t>
      </w:r>
    </w:p>
    <w:p>
      <w:pPr>
        <w:pStyle w:val="Normal"/>
        <w:rPr>
          <w:color w:val="C9211E"/>
        </w:rPr>
      </w:pPr>
      <w:r>
        <w:rPr>
          <w:color w:val="000000"/>
        </w:rPr>
        <w:t xml:space="preserve">01. Gotický rímsko-katolícky kostol Obetovania Pána </w:t>
      </w:r>
    </w:p>
    <w:p>
      <w:pPr>
        <w:pStyle w:val="Normal"/>
        <w:rPr>
          <w:color w:val="C9211E"/>
        </w:rPr>
      </w:pPr>
      <w:r>
        <w:rPr>
          <w:color w:val="000000"/>
        </w:rPr>
        <w:t>02. Pôvodne rokokový kaštieľ z roku 1750 s klasicistickou úpravou z roku 1810, s murovaným oplotením, so vstupnou bránou.</w:t>
      </w:r>
    </w:p>
    <w:p>
      <w:pPr>
        <w:pStyle w:val="Normal"/>
        <w:rPr>
          <w:color w:val="C9211E"/>
        </w:rPr>
      </w:pPr>
      <w:r>
        <w:rPr>
          <w:color w:val="000000"/>
        </w:rPr>
        <w:t xml:space="preserve">03. Archeologická lokalita – Hrádok </w:t>
      </w:r>
    </w:p>
    <w:p>
      <w:pPr>
        <w:pStyle w:val="Normal"/>
        <w:rPr>
          <w:color w:val="C9211E"/>
        </w:rPr>
      </w:pPr>
      <w:r>
        <w:rPr>
          <w:color w:val="000000"/>
        </w:rPr>
        <w:t>04. Brána, múr hradbový a cintorín príkostolný, parcela 129/2</w:t>
      </w:r>
    </w:p>
    <w:p>
      <w:pPr>
        <w:pStyle w:val="Normal"/>
        <w:rPr>
          <w:color w:val="000000"/>
        </w:rPr>
      </w:pPr>
      <w:r>
        <w:rPr>
          <w:color w:val="000000"/>
        </w:rPr>
      </w:r>
    </w:p>
    <w:p>
      <w:pPr>
        <w:pStyle w:val="Normal"/>
        <w:rPr>
          <w:color w:val="C9211E"/>
        </w:rPr>
      </w:pPr>
      <w:r>
        <w:rPr>
          <w:b/>
          <w:bCs/>
          <w:color w:val="000000"/>
          <w:sz w:val="28"/>
          <w:szCs w:val="28"/>
        </w:rPr>
        <w:t>Pamätihodnosti obce:</w:t>
      </w:r>
    </w:p>
    <w:p>
      <w:pPr>
        <w:pStyle w:val="Normal"/>
        <w:rPr>
          <w:color w:val="C9211E"/>
        </w:rPr>
      </w:pPr>
      <w:r>
        <w:rPr>
          <w:color w:val="000000"/>
        </w:rPr>
        <w:t xml:space="preserve">01. Evanjelický a. v. kostol </w:t>
      </w:r>
    </w:p>
    <w:p>
      <w:pPr>
        <w:pStyle w:val="Normal"/>
        <w:rPr>
          <w:color w:val="C9211E"/>
        </w:rPr>
      </w:pPr>
      <w:r>
        <w:rPr>
          <w:color w:val="000000"/>
        </w:rPr>
        <w:t xml:space="preserve">02. Bývalá ev. a. v. škola – dnes penzión Dom Fraňa Kráľa </w:t>
      </w:r>
    </w:p>
    <w:p>
      <w:pPr>
        <w:pStyle w:val="Normal"/>
        <w:rPr>
          <w:color w:val="C9211E"/>
        </w:rPr>
      </w:pPr>
      <w:r>
        <w:rPr>
          <w:color w:val="000000"/>
        </w:rPr>
        <w:t>03. Bývalá rímsko-katolícka škola a priľahlé hospodárske budovy</w:t>
      </w:r>
    </w:p>
    <w:p>
      <w:pPr>
        <w:pStyle w:val="Normal"/>
        <w:rPr>
          <w:color w:val="C9211E"/>
        </w:rPr>
      </w:pPr>
      <w:r>
        <w:rPr>
          <w:color w:val="000000"/>
        </w:rPr>
        <w:t>04. Pamätník obetiam prvej svetovej vojny</w:t>
      </w:r>
    </w:p>
    <w:p>
      <w:pPr>
        <w:pStyle w:val="Normal"/>
        <w:rPr>
          <w:color w:val="C9211E"/>
        </w:rPr>
      </w:pPr>
      <w:r>
        <w:rPr>
          <w:color w:val="000000"/>
        </w:rPr>
        <w:t>05. Pamätník SNP a obetiam druhej svetovej vojny</w:t>
      </w:r>
    </w:p>
    <w:p>
      <w:pPr>
        <w:pStyle w:val="Normal"/>
        <w:rPr>
          <w:color w:val="C9211E"/>
        </w:rPr>
      </w:pPr>
      <w:r>
        <w:rPr>
          <w:color w:val="000000"/>
        </w:rPr>
        <w:t xml:space="preserve">06. Pamätník októbrovej tragédie 1944 </w:t>
      </w:r>
    </w:p>
    <w:p>
      <w:pPr>
        <w:pStyle w:val="Normal"/>
        <w:rPr>
          <w:color w:val="C9211E"/>
        </w:rPr>
      </w:pPr>
      <w:r>
        <w:rPr>
          <w:color w:val="000000"/>
        </w:rPr>
        <w:t xml:space="preserve">07. Pamätná tabuľa Matejovi Jančovi (1896 – 1915) </w:t>
      </w:r>
    </w:p>
    <w:p>
      <w:pPr>
        <w:pStyle w:val="Normal"/>
        <w:rPr>
          <w:color w:val="C9211E"/>
        </w:rPr>
      </w:pPr>
      <w:r>
        <w:rPr>
          <w:color w:val="000000"/>
        </w:rPr>
        <w:t xml:space="preserve">08. Pamätná tabuľa obetiam druhej svetovej vojny </w:t>
      </w:r>
    </w:p>
    <w:p>
      <w:pPr>
        <w:pStyle w:val="Normal"/>
        <w:rPr>
          <w:color w:val="C9211E"/>
        </w:rPr>
      </w:pPr>
      <w:r>
        <w:rPr>
          <w:color w:val="000000"/>
        </w:rPr>
        <w:t xml:space="preserve">09. Pamätná tabuľa na bývalej ev. a. v. škole </w:t>
      </w:r>
    </w:p>
    <w:p>
      <w:pPr>
        <w:pStyle w:val="Normal"/>
        <w:rPr>
          <w:color w:val="C9211E"/>
        </w:rPr>
      </w:pPr>
      <w:r>
        <w:rPr>
          <w:color w:val="000000"/>
        </w:rPr>
        <w:t>10. Zbierka národopisných, historických a literárnych predmetov, dokumentov a fotografií –</w:t>
      </w:r>
    </w:p>
    <w:p>
      <w:pPr>
        <w:pStyle w:val="Normal"/>
        <w:rPr>
          <w:color w:val="C9211E"/>
        </w:rPr>
      </w:pPr>
      <w:r>
        <w:rPr>
          <w:color w:val="000000"/>
        </w:rPr>
        <w:t xml:space="preserve">11. Náhrobný pomník Aristída Smrecsányiho (1837-1911) </w:t>
      </w:r>
    </w:p>
    <w:p>
      <w:pPr>
        <w:pStyle w:val="Normal"/>
        <w:rPr>
          <w:color w:val="C9211E"/>
        </w:rPr>
      </w:pPr>
      <w:r>
        <w:rPr>
          <w:color w:val="000000"/>
        </w:rPr>
        <w:t xml:space="preserve">12. Časť starého cintorína pod chránenou lipou </w:t>
      </w:r>
    </w:p>
    <w:p>
      <w:pPr>
        <w:pStyle w:val="Normal"/>
        <w:rPr>
          <w:color w:val="C9211E"/>
        </w:rPr>
      </w:pPr>
      <w:r>
        <w:rPr>
          <w:color w:val="000000"/>
        </w:rPr>
        <w:t xml:space="preserve">13. </w:t>
      </w:r>
      <w:r>
        <w:rPr>
          <w:bCs/>
          <w:color w:val="000000"/>
        </w:rPr>
        <w:t>Mlyn a píla Petra Repčeka- technická stavba</w:t>
      </w:r>
      <w:r>
        <w:rPr>
          <w:color w:val="000000"/>
        </w:rPr>
        <w:t xml:space="preserve"> </w:t>
      </w:r>
    </w:p>
    <w:p>
      <w:pPr>
        <w:pStyle w:val="Normal"/>
        <w:rPr>
          <w:color w:val="C9211E"/>
        </w:rPr>
      </w:pPr>
      <w:r>
        <w:rPr>
          <w:bCs/>
          <w:color w:val="000000"/>
        </w:rPr>
        <w:t>14. Kultúrny dom – „NÁŠ DOM“</w:t>
      </w:r>
      <w:r>
        <w:rPr>
          <w:color w:val="000000"/>
        </w:rPr>
        <w:t xml:space="preserve"> </w:t>
      </w:r>
    </w:p>
    <w:p>
      <w:pPr>
        <w:pStyle w:val="Normal"/>
        <w:rPr>
          <w:color w:val="C9211E"/>
        </w:rPr>
      </w:pPr>
      <w:r>
        <w:rPr>
          <w:color w:val="000000"/>
        </w:rPr>
        <w:t>15. Štátom chránená lipa na cintoríne, parcela č. 1-36</w:t>
      </w:r>
    </w:p>
    <w:p>
      <w:pPr>
        <w:pStyle w:val="Normal"/>
        <w:jc w:val="both"/>
        <w:rPr>
          <w:b/>
          <w:color w:val="000000"/>
          <w:sz w:val="28"/>
          <w:szCs w:val="28"/>
        </w:rPr>
      </w:pPr>
      <w:r>
        <w:rPr>
          <w:b/>
          <w:color w:val="000000"/>
          <w:sz w:val="28"/>
          <w:szCs w:val="28"/>
        </w:rPr>
      </w:r>
    </w:p>
    <w:p>
      <w:pPr>
        <w:pStyle w:val="Normal"/>
        <w:jc w:val="both"/>
        <w:rPr>
          <w:color w:val="C9211E"/>
        </w:rPr>
      </w:pPr>
      <w:r>
        <w:rPr>
          <w:b/>
          <w:color w:val="000000"/>
          <w:sz w:val="28"/>
          <w:szCs w:val="28"/>
        </w:rPr>
        <w:t>Významné osobnosti obce:</w:t>
      </w:r>
    </w:p>
    <w:p>
      <w:pPr>
        <w:pStyle w:val="Normal"/>
        <w:suppressAutoHyphens w:val="false"/>
        <w:spacing w:before="280" w:after="280"/>
        <w:rPr>
          <w:color w:val="C9211E"/>
        </w:rPr>
      </w:pPr>
      <w:r>
        <w:rPr>
          <w:color w:val="000000"/>
        </w:rPr>
        <w:t>Vladimír Pavel Čobrda, Pavel Rodoľub Čobrda – ev. kňazi</w:t>
      </w:r>
    </w:p>
    <w:p>
      <w:pPr>
        <w:pStyle w:val="Normal"/>
        <w:suppressAutoHyphens w:val="false"/>
        <w:spacing w:before="280" w:after="280"/>
        <w:rPr>
          <w:color w:val="C9211E"/>
        </w:rPr>
      </w:pPr>
      <w:r>
        <w:rPr>
          <w:color w:val="000000"/>
        </w:rPr>
        <w:t>Emanuel Koritšánsky, Michal Nitriansky, Vladimír Devečka – učitelia</w:t>
      </w:r>
    </w:p>
    <w:p>
      <w:pPr>
        <w:pStyle w:val="Normal"/>
        <w:suppressAutoHyphens w:val="false"/>
        <w:spacing w:before="280" w:after="280"/>
        <w:rPr>
          <w:color w:val="C9211E"/>
        </w:rPr>
      </w:pPr>
      <w:r>
        <w:rPr>
          <w:color w:val="000000"/>
        </w:rPr>
        <w:t>Fraňo Kráľ – spisovateľ</w:t>
      </w:r>
    </w:p>
    <w:p>
      <w:pPr>
        <w:pStyle w:val="Normal"/>
        <w:suppressAutoHyphens w:val="false"/>
        <w:spacing w:before="280" w:after="280"/>
        <w:rPr>
          <w:color w:val="C9211E"/>
        </w:rPr>
      </w:pPr>
      <w:r>
        <w:rPr>
          <w:color w:val="000000"/>
        </w:rPr>
        <w:t>Generál  Michal  Širica</w:t>
      </w:r>
    </w:p>
    <w:p>
      <w:pPr>
        <w:pStyle w:val="Normal"/>
        <w:rPr>
          <w:b/>
          <w:bCs/>
          <w:color w:val="000000"/>
          <w:sz w:val="28"/>
          <w:szCs w:val="28"/>
        </w:rPr>
      </w:pPr>
      <w:r>
        <w:rPr>
          <w:b/>
          <w:bCs/>
          <w:color w:val="000000"/>
          <w:sz w:val="28"/>
          <w:szCs w:val="28"/>
        </w:rPr>
      </w:r>
    </w:p>
    <w:p>
      <w:pPr>
        <w:pStyle w:val="Normal"/>
        <w:rPr>
          <w:color w:val="C9211E"/>
        </w:rPr>
      </w:pPr>
      <w:r>
        <w:rPr>
          <w:b/>
          <w:bCs/>
          <w:color w:val="000000"/>
          <w:sz w:val="28"/>
          <w:szCs w:val="28"/>
        </w:rPr>
        <w:t xml:space="preserve">Symboly obce: </w:t>
      </w:r>
    </w:p>
    <w:p>
      <w:pPr>
        <w:pStyle w:val="Normal"/>
        <w:rPr>
          <w:color w:val="C9211E"/>
        </w:rPr>
      </w:pPr>
      <w:r>
        <w:rPr>
          <w:color w:val="000000"/>
        </w:rPr>
        <w:t>Erb, vlajka, pečať</w:t>
      </w:r>
    </w:p>
    <w:p>
      <w:pPr>
        <w:pStyle w:val="NormalWeb"/>
        <w:spacing w:before="0" w:after="0"/>
        <w:jc w:val="center"/>
        <w:rPr>
          <w:color w:val="C9211E"/>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color w:val="C9211E"/>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color w:val="C9211E"/>
        </w:rPr>
      </w:pPr>
      <w:r>
        <w:rPr>
          <w:i/>
          <w:iCs/>
          <w:color w:val="C9211E"/>
          <w:sz w:val="20"/>
          <w:szCs w:val="20"/>
        </w:rPr>
        <w:t xml:space="preserve">                                                  </w:t>
      </w:r>
      <w:r>
        <w:rPr>
          <w:i/>
          <w:iCs/>
          <w:color w:val="000000"/>
          <w:sz w:val="20"/>
          <w:szCs w:val="20"/>
        </w:rPr>
        <w:t xml:space="preserve">           •</w:t>
      </w:r>
      <w:r>
        <w:rPr>
          <w:i/>
          <w:iCs/>
          <w:color w:val="000000"/>
          <w:sz w:val="20"/>
          <w:szCs w:val="20"/>
        </w:rPr>
        <w:t xml:space="preserve">Obecný erb             • Obecná vlajka         </w:t>
      </w:r>
    </w:p>
    <w:p>
      <w:pPr>
        <w:pStyle w:val="Normal"/>
        <w:jc w:val="both"/>
        <w:rPr>
          <w:b/>
          <w:color w:val="000000"/>
          <w:highlight w:val="red"/>
        </w:rPr>
      </w:pPr>
      <w:r>
        <w:rPr>
          <w:b/>
          <w:color w:val="000000"/>
          <w:highlight w:val="red"/>
        </w:rPr>
      </w:r>
    </w:p>
    <w:p>
      <w:pPr>
        <w:pStyle w:val="Normal"/>
        <w:jc w:val="both"/>
        <w:rPr>
          <w:b/>
          <w:color w:val="000000"/>
          <w:highlight w:val="red"/>
        </w:rPr>
      </w:pPr>
      <w:r>
        <w:rPr>
          <w:b/>
          <w:color w:val="000000"/>
          <w:highlight w:val="red"/>
        </w:rPr>
      </w:r>
    </w:p>
    <w:p>
      <w:pPr>
        <w:pStyle w:val="Normal"/>
        <w:rPr>
          <w:color w:val="C9211E"/>
        </w:rPr>
      </w:pPr>
      <w:r>
        <w:rPr>
          <w:b/>
          <w:bCs/>
          <w:color w:val="000000"/>
          <w:sz w:val="28"/>
          <w:szCs w:val="28"/>
        </w:rPr>
        <w:t>Obec a jej úlohy</w:t>
      </w:r>
    </w:p>
    <w:p>
      <w:pPr>
        <w:pStyle w:val="Normal"/>
        <w:ind w:firstLine="708"/>
        <w:jc w:val="both"/>
        <w:rPr>
          <w:color w:val="C9211E"/>
        </w:rPr>
      </w:pPr>
      <w:r>
        <w:rPr>
          <w:color w:val="000000"/>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color w:val="C9211E"/>
        </w:rPr>
      </w:pPr>
      <w:r>
        <w:rPr>
          <w:color w:val="000000"/>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Cs/>
          <w:color w:val="000000"/>
          <w:highlight w:val="red"/>
        </w:rPr>
      </w:pPr>
      <w:r>
        <w:rPr>
          <w:b/>
          <w:bCs/>
          <w:color w:val="000000"/>
          <w:highlight w:val="red"/>
        </w:rPr>
      </w:r>
    </w:p>
    <w:p>
      <w:pPr>
        <w:pStyle w:val="Normal"/>
        <w:rPr>
          <w:color w:val="C9211E"/>
        </w:rPr>
      </w:pPr>
      <w:r>
        <w:rPr>
          <w:b/>
          <w:bCs/>
          <w:color w:val="000000"/>
          <w:sz w:val="28"/>
          <w:szCs w:val="28"/>
        </w:rPr>
        <w:t>Základné orgány obce:</w:t>
      </w:r>
    </w:p>
    <w:p>
      <w:pPr>
        <w:pStyle w:val="Normal"/>
        <w:rPr>
          <w:color w:val="C9211E"/>
        </w:rPr>
      </w:pPr>
      <w:r>
        <w:rPr>
          <w:color w:val="000000"/>
        </w:rPr>
        <w:t>1. Obecné zastupiteľstvo</w:t>
      </w:r>
    </w:p>
    <w:p>
      <w:pPr>
        <w:pStyle w:val="Normal"/>
        <w:rPr>
          <w:color w:val="C9211E"/>
        </w:rPr>
      </w:pPr>
      <w:r>
        <w:rPr>
          <w:color w:val="000000"/>
        </w:rPr>
        <w:t xml:space="preserve">2. Starosta obce </w:t>
      </w:r>
    </w:p>
    <w:p>
      <w:pPr>
        <w:pStyle w:val="Normal"/>
        <w:rPr>
          <w:b/>
          <w:color w:val="C9211E"/>
        </w:rPr>
      </w:pPr>
      <w:r>
        <w:rPr>
          <w:b/>
          <w:color w:val="C9211E"/>
        </w:rPr>
      </w:r>
    </w:p>
    <w:p>
      <w:pPr>
        <w:pStyle w:val="Normal"/>
        <w:ind w:firstLine="708"/>
        <w:jc w:val="both"/>
        <w:rPr>
          <w:color w:val="000000"/>
        </w:rPr>
      </w:pPr>
      <w:r>
        <w:rPr>
          <w:color w:val="000000"/>
        </w:rPr>
        <w:t>V roku 2024 vykonávali samosprávu obce jeho obyvatelia prostredníctvom volených orgánov obce, ktoré vzišli z komunálnych volieb zo dňa 29. októbra 2022 a na funkčné obdobie 2022-2026.</w:t>
      </w:r>
    </w:p>
    <w:p>
      <w:pPr>
        <w:pStyle w:val="Normal"/>
        <w:ind w:firstLine="708"/>
        <w:jc w:val="both"/>
        <w:rPr>
          <w:color w:val="C9211E"/>
        </w:rPr>
      </w:pPr>
      <w:r>
        <w:rPr>
          <w:color w:val="000000"/>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color w:val="C9211E"/>
        </w:rPr>
      </w:pPr>
      <w:r>
        <w:rPr>
          <w:color w:val="000000"/>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color w:val="C9211E"/>
        </w:rPr>
      </w:pPr>
      <w:r>
        <w:rPr>
          <w:b/>
          <w:color w:val="000000"/>
        </w:rPr>
        <w:t>Obecnému zastupiteľstvu je vyhradené najmä:</w:t>
      </w:r>
    </w:p>
    <w:p>
      <w:pPr>
        <w:pStyle w:val="Normal"/>
        <w:ind w:hanging="284" w:left="284"/>
        <w:jc w:val="both"/>
        <w:rPr>
          <w:color w:val="C9211E"/>
        </w:rPr>
      </w:pPr>
      <w:r>
        <w:rPr>
          <w:color w:val="000000"/>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hanging="284" w:left="284"/>
        <w:jc w:val="both"/>
        <w:rPr>
          <w:color w:val="C9211E"/>
        </w:rPr>
      </w:pPr>
      <w:r>
        <w:rPr>
          <w:color w:val="000000"/>
        </w:rPr>
        <w:t>b) schvaľovať rozpočet obce a jeho zmeny, kontrolovať jeho čerpanie a schvaľovať záverečný účet, schvaľovať počet a v akej výške môže zmeny v rozpočte vykonávať starosta,</w:t>
      </w:r>
    </w:p>
    <w:p>
      <w:pPr>
        <w:pStyle w:val="Normal"/>
        <w:ind w:hanging="284" w:left="284"/>
        <w:jc w:val="both"/>
        <w:rPr>
          <w:color w:val="C9211E"/>
        </w:rPr>
      </w:pPr>
      <w:r>
        <w:rPr>
          <w:color w:val="000000"/>
        </w:rPr>
        <w:t>c) schvaľovať územný plán obce alebo jeho časti a koncepcie rozvoja jednotlivých oblasti života obce,</w:t>
      </w:r>
    </w:p>
    <w:p>
      <w:pPr>
        <w:pStyle w:val="Normal"/>
        <w:ind w:hanging="284" w:left="284"/>
        <w:jc w:val="both"/>
        <w:rPr>
          <w:color w:val="C9211E"/>
        </w:rPr>
      </w:pPr>
      <w:r>
        <w:rPr>
          <w:color w:val="000000"/>
        </w:rPr>
        <w:t>d) určovať náležitosti dane a poplatku poľa osobitných predpisov a rozhodovať o prijatí úveru alebo pôžičky,</w:t>
      </w:r>
    </w:p>
    <w:p>
      <w:pPr>
        <w:pStyle w:val="Normal"/>
        <w:ind w:hanging="284" w:left="284"/>
        <w:jc w:val="both"/>
        <w:rPr>
          <w:color w:val="C9211E"/>
        </w:rPr>
      </w:pPr>
      <w:r>
        <w:rPr>
          <w:color w:val="000000"/>
        </w:rPr>
        <w:t>e) vyhlasovať miestne referendum o najdôležitejších otázkach života a rozvoja obce a zvolávať verejné zhromaždenia občanov,</w:t>
      </w:r>
    </w:p>
    <w:p>
      <w:pPr>
        <w:pStyle w:val="Normal"/>
        <w:jc w:val="both"/>
        <w:rPr>
          <w:color w:val="C9211E"/>
        </w:rPr>
      </w:pPr>
      <w:r>
        <w:rPr>
          <w:color w:val="000000"/>
        </w:rPr>
        <w:t>f) uznášať sa na nariadeniach obce,</w:t>
      </w:r>
    </w:p>
    <w:p>
      <w:pPr>
        <w:pStyle w:val="Normal"/>
        <w:ind w:hanging="284" w:left="284"/>
        <w:jc w:val="both"/>
        <w:rPr>
          <w:color w:val="C9211E"/>
        </w:rPr>
      </w:pPr>
      <w:r>
        <w:rPr>
          <w:color w:val="000000"/>
        </w:rPr>
        <w:t>g) určiť plat starostu podľa osobitného zákona a určiť najneskôr 90 dní pred voľbami na celé funkčné obdobie rozsah výkonu funkcie starostu, zmeniť na návrh starostu rozsah výkonu jeho funkcie,</w:t>
      </w:r>
    </w:p>
    <w:p>
      <w:pPr>
        <w:pStyle w:val="Normal"/>
        <w:jc w:val="both"/>
        <w:rPr>
          <w:color w:val="C9211E"/>
        </w:rPr>
      </w:pPr>
      <w:r>
        <w:rPr>
          <w:color w:val="000000"/>
        </w:rPr>
        <w:t>h) schvaľovať združovanie obecných prostriedkov a činnosti a účasť v združeniach,</w:t>
      </w:r>
    </w:p>
    <w:p>
      <w:pPr>
        <w:pStyle w:val="Normal"/>
        <w:jc w:val="both"/>
        <w:rPr>
          <w:color w:val="C9211E"/>
        </w:rPr>
      </w:pPr>
      <w:r>
        <w:rPr>
          <w:color w:val="000000"/>
        </w:rPr>
        <w:t>i) zriaďovať orgány potrebné na samosprávu obce a určovať náplň ich práce,</w:t>
      </w:r>
    </w:p>
    <w:p>
      <w:pPr>
        <w:pStyle w:val="Normal"/>
        <w:jc w:val="both"/>
        <w:rPr>
          <w:color w:val="C9211E"/>
        </w:rPr>
      </w:pPr>
      <w:r>
        <w:rPr>
          <w:color w:val="000000"/>
        </w:rPr>
        <w:t>j) udeľovať čestné občianstvo obce, obecné vyznamenania a ceny,</w:t>
      </w:r>
    </w:p>
    <w:p>
      <w:pPr>
        <w:pStyle w:val="Normal"/>
        <w:ind w:hanging="284" w:left="284"/>
        <w:jc w:val="both"/>
        <w:rPr>
          <w:color w:val="C9211E"/>
        </w:rPr>
      </w:pPr>
      <w:r>
        <w:rPr>
          <w:color w:val="000000"/>
        </w:rPr>
        <w:t>k) voliť a odvolávať hlavného kontrolóra obce, určiť rozsah výkonu funkcie hlavného kontrolóra a jeho plat, schvaľovať odmenu hlavnému kontrolórovi,</w:t>
      </w:r>
    </w:p>
    <w:p>
      <w:pPr>
        <w:pStyle w:val="Normal"/>
        <w:jc w:val="both"/>
        <w:rPr>
          <w:color w:val="C9211E"/>
        </w:rPr>
      </w:pPr>
      <w:r>
        <w:rPr>
          <w:color w:val="000000"/>
        </w:rPr>
        <w:t>l) ustanoviť erb, vlajku obce, pečať obce,</w:t>
      </w:r>
    </w:p>
    <w:p>
      <w:pPr>
        <w:pStyle w:val="Normal"/>
        <w:ind w:hanging="284" w:left="284"/>
        <w:jc w:val="both"/>
        <w:rPr>
          <w:color w:val="C9211E"/>
        </w:rPr>
      </w:pPr>
      <w:r>
        <w:rPr>
          <w:color w:val="000000"/>
        </w:rPr>
        <w:t>m)schvaľovať štatút obce, rokovací poriadok obecného zastupiteľstva a zásady odmeňovania poslancov.</w:t>
      </w:r>
    </w:p>
    <w:p>
      <w:pPr>
        <w:pStyle w:val="Normal"/>
        <w:jc w:val="both"/>
        <w:rPr>
          <w:color w:val="C9211E"/>
        </w:rPr>
      </w:pPr>
      <w:r>
        <w:rPr>
          <w:color w:val="000000"/>
        </w:rPr>
        <w:t>Obecné zastupiteľstvo si môže vyhradiť rozhodovanie o akejkoľvek ďalšej otázke života obce.</w:t>
      </w:r>
    </w:p>
    <w:p>
      <w:pPr>
        <w:pStyle w:val="Normal"/>
        <w:ind w:firstLine="708"/>
        <w:jc w:val="both"/>
        <w:rPr>
          <w:color w:val="000000"/>
        </w:rPr>
      </w:pPr>
      <w:r>
        <w:rPr>
          <w:color w:val="000000"/>
        </w:rPr>
      </w:r>
    </w:p>
    <w:p>
      <w:pPr>
        <w:pStyle w:val="Normal"/>
        <w:ind w:firstLine="708"/>
        <w:jc w:val="both"/>
        <w:rPr>
          <w:color w:val="C9211E"/>
        </w:rPr>
      </w:pPr>
      <w:r>
        <w:rPr>
          <w:color w:val="000000"/>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b/>
          <w:bCs/>
          <w:color w:val="000000"/>
          <w:highlight w:val="red"/>
        </w:rPr>
      </w:pPr>
      <w:r>
        <w:rPr>
          <w:b/>
          <w:bCs/>
          <w:color w:val="000000"/>
          <w:highlight w:val="red"/>
        </w:rPr>
      </w:r>
    </w:p>
    <w:p>
      <w:pPr>
        <w:pStyle w:val="Normal"/>
        <w:rPr>
          <w:color w:val="C9211E"/>
        </w:rPr>
      </w:pPr>
      <w:r>
        <w:rPr>
          <w:b/>
          <w:bCs/>
          <w:color w:val="000000"/>
        </w:rPr>
        <w:t>Orgány obce vo volebnom období 2022 - 2026</w:t>
      </w:r>
    </w:p>
    <w:p>
      <w:pPr>
        <w:pStyle w:val="Normal"/>
        <w:ind w:firstLine="708"/>
        <w:rPr>
          <w:color w:val="C9211E"/>
        </w:rPr>
      </w:pPr>
      <w:r>
        <w:rPr>
          <w:color w:val="000000"/>
        </w:rPr>
        <w:t>Zvolený starosta obce a poslanci obecného zastupiteľstva zložili zákonom predpísaný sľub na ustanovujúcom zasadnutí OZ v Smrečanoch.</w:t>
      </w:r>
    </w:p>
    <w:p>
      <w:pPr>
        <w:pStyle w:val="Normal"/>
        <w:suppressAutoHyphens w:val="false"/>
        <w:rPr>
          <w:color w:val="C9211E"/>
        </w:rPr>
      </w:pPr>
      <w:r>
        <w:rPr>
          <w:b/>
          <w:color w:val="000000"/>
        </w:rPr>
        <w:t>Starosta obce:</w:t>
      </w:r>
      <w:r>
        <w:rPr>
          <w:b/>
          <w:bCs/>
          <w:color w:val="000000"/>
        </w:rPr>
        <w:t xml:space="preserve"> Mgr. Ľubica Rybárska</w:t>
      </w:r>
    </w:p>
    <w:p>
      <w:pPr>
        <w:pStyle w:val="Normal"/>
        <w:jc w:val="both"/>
        <w:rPr>
          <w:color w:val="C9211E"/>
        </w:rPr>
      </w:pPr>
      <w:r>
        <w:rPr>
          <w:b/>
          <w:bCs/>
          <w:color w:val="000000"/>
        </w:rPr>
        <w:t>Poslanci obecného zastupite</w:t>
      </w:r>
      <w:r>
        <w:rPr>
          <w:rFonts w:cs="TimesNewRoman" w:ascii="TimesNewRoman" w:hAnsi="TimesNewRoman"/>
          <w:b/>
          <w:bCs/>
          <w:color w:val="000000"/>
        </w:rPr>
        <w:t>ľ</w:t>
      </w:r>
      <w:r>
        <w:rPr>
          <w:b/>
          <w:bCs/>
          <w:color w:val="000000"/>
        </w:rPr>
        <w:t>stva v Smrečanoch</w:t>
      </w:r>
      <w:r>
        <w:rPr>
          <w:b/>
          <w:color w:val="000000"/>
        </w:rPr>
        <w:t xml:space="preserve">  2022- 2026</w:t>
      </w:r>
    </w:p>
    <w:p>
      <w:pPr>
        <w:pStyle w:val="Normal"/>
        <w:rPr>
          <w:color w:val="C9211E"/>
        </w:rPr>
      </w:pPr>
      <w:r>
        <w:rPr>
          <w:color w:val="000000"/>
        </w:rPr>
        <w:t>1/ Ing. Ladislav Hološ – zástupca starostky obce</w:t>
      </w:r>
    </w:p>
    <w:p>
      <w:pPr>
        <w:pStyle w:val="Normal"/>
        <w:rPr>
          <w:color w:val="C9211E"/>
        </w:rPr>
      </w:pPr>
      <w:r>
        <w:rPr>
          <w:color w:val="000000"/>
        </w:rPr>
        <w:t>2/ Ing. Daniela Brunová</w:t>
      </w:r>
    </w:p>
    <w:p>
      <w:pPr>
        <w:pStyle w:val="Normal"/>
        <w:rPr>
          <w:color w:val="C9211E"/>
        </w:rPr>
      </w:pPr>
      <w:r>
        <w:rPr>
          <w:color w:val="000000"/>
        </w:rPr>
        <w:t>3/ Iveta Moravčíková</w:t>
      </w:r>
    </w:p>
    <w:p>
      <w:pPr>
        <w:pStyle w:val="Normal"/>
        <w:rPr>
          <w:color w:val="C9211E"/>
        </w:rPr>
      </w:pPr>
      <w:r>
        <w:rPr>
          <w:color w:val="000000"/>
        </w:rPr>
        <w:t>4/ Ing. Peter Pajerchin</w:t>
      </w:r>
    </w:p>
    <w:p>
      <w:pPr>
        <w:pStyle w:val="Normal"/>
        <w:rPr>
          <w:color w:val="C9211E"/>
        </w:rPr>
      </w:pPr>
      <w:r>
        <w:rPr>
          <w:color w:val="000000"/>
        </w:rPr>
        <w:t>5/ Martin Suský</w:t>
      </w:r>
    </w:p>
    <w:p>
      <w:pPr>
        <w:pStyle w:val="Normal"/>
        <w:rPr>
          <w:color w:val="C9211E"/>
        </w:rPr>
      </w:pPr>
      <w:r>
        <w:rPr>
          <w:color w:val="000000"/>
        </w:rPr>
        <w:t>6/ Jela Števková</w:t>
      </w:r>
    </w:p>
    <w:p>
      <w:pPr>
        <w:pStyle w:val="Normal"/>
        <w:rPr>
          <w:color w:val="C9211E"/>
        </w:rPr>
      </w:pPr>
      <w:r>
        <w:rPr>
          <w:color w:val="000000"/>
        </w:rPr>
        <w:t>7/ Ing. Veronika Váleková</w:t>
      </w:r>
    </w:p>
    <w:p>
      <w:pPr>
        <w:pStyle w:val="Normal"/>
        <w:rPr>
          <w:color w:val="C9211E"/>
        </w:rPr>
      </w:pPr>
      <w:r>
        <w:rPr>
          <w:color w:val="C9211E"/>
        </w:rPr>
      </w:r>
    </w:p>
    <w:p>
      <w:pPr>
        <w:pStyle w:val="Heading1"/>
        <w:numPr>
          <w:ilvl w:val="0"/>
          <w:numId w:val="1"/>
        </w:numPr>
        <w:jc w:val="both"/>
        <w:rPr>
          <w:color w:val="C9211E"/>
        </w:rPr>
      </w:pPr>
      <w:r>
        <w:rPr>
          <w:bCs w:val="false"/>
          <w:color w:val="000000"/>
        </w:rPr>
        <w:t xml:space="preserve">Pri obecnom zastupiteľstve vykonávali v roku 2024 svoju činnosť jeho poradné orgány, a to: </w:t>
      </w:r>
    </w:p>
    <w:p>
      <w:pPr>
        <w:pStyle w:val="Normal"/>
        <w:rPr>
          <w:color w:val="C9211E"/>
        </w:rPr>
      </w:pPr>
      <w:r>
        <w:rPr>
          <w:color w:val="000000"/>
        </w:rPr>
        <w:t>1. Finančná a návrhová komisia – predseda Iveta Moravčíková</w:t>
      </w:r>
    </w:p>
    <w:p>
      <w:pPr>
        <w:pStyle w:val="Normal"/>
        <w:rPr>
          <w:color w:val="C9211E"/>
        </w:rPr>
      </w:pPr>
      <w:r>
        <w:rPr>
          <w:color w:val="000000"/>
        </w:rPr>
        <w:t>2. Komisia stavebná a životného prostredia – predseda Ing. Peter Pajerchin</w:t>
      </w:r>
    </w:p>
    <w:p>
      <w:pPr>
        <w:pStyle w:val="Normal"/>
        <w:rPr>
          <w:color w:val="C9211E"/>
        </w:rPr>
      </w:pPr>
      <w:r>
        <w:rPr>
          <w:color w:val="000000"/>
        </w:rPr>
        <w:t>3. Komisia pre kultúru a šport- predseda Ing. Veronika Váleková</w:t>
      </w:r>
    </w:p>
    <w:p>
      <w:pPr>
        <w:pStyle w:val="Normal"/>
        <w:rPr>
          <w:color w:val="C9211E"/>
        </w:rPr>
      </w:pPr>
      <w:r>
        <w:rPr>
          <w:color w:val="000000"/>
        </w:rPr>
        <w:t>4. Komisia verejného poriadku – predseda Martin Suský</w:t>
      </w:r>
    </w:p>
    <w:p>
      <w:pPr>
        <w:pStyle w:val="Normal"/>
        <w:rPr>
          <w:color w:val="C9211E"/>
        </w:rPr>
      </w:pPr>
      <w:r>
        <w:rPr>
          <w:color w:val="000000"/>
        </w:rPr>
        <w:t>5. Komisia na ochranu verejného záujmu – predseda Ing. Daniela Brunová</w:t>
      </w:r>
    </w:p>
    <w:p>
      <w:pPr>
        <w:pStyle w:val="Normal"/>
        <w:rPr>
          <w:color w:val="000000"/>
        </w:rPr>
      </w:pPr>
      <w:r>
        <w:rPr>
          <w:color w:val="000000"/>
        </w:rPr>
      </w:r>
    </w:p>
    <w:p>
      <w:pPr>
        <w:pStyle w:val="Normal"/>
        <w:rPr>
          <w:color w:val="C9211E"/>
        </w:rPr>
      </w:pPr>
      <w:r>
        <w:rPr>
          <w:b/>
          <w:bCs/>
          <w:color w:val="000000"/>
        </w:rPr>
        <w:t>Hlavný kontrolór:</w:t>
      </w:r>
    </w:p>
    <w:p>
      <w:pPr>
        <w:pStyle w:val="Normal"/>
        <w:ind w:firstLine="708"/>
        <w:jc w:val="both"/>
        <w:rPr>
          <w:color w:val="000000"/>
        </w:rPr>
      </w:pPr>
      <w:r>
        <w:rPr>
          <w:color w:val="000000"/>
        </w:rPr>
        <w:t xml:space="preserve">Kontrolu  zákonnosti,   účinnosti,  hospodárnosti  a efektívnosti  pri hospodárení  a nakladaní s majetkom  a   majetkovými    právami  obce v roku  2024  vykonával  hlavný kontrolór  obce </w:t>
      </w:r>
    </w:p>
    <w:p>
      <w:pPr>
        <w:pStyle w:val="Normal"/>
        <w:jc w:val="both"/>
        <w:rPr>
          <w:color w:val="000000"/>
        </w:rPr>
      </w:pPr>
      <w:r>
        <w:rPr>
          <w:color w:val="000000"/>
        </w:rPr>
        <w:t>Ing. Marta Gutraiová, zvolená do funkcie  obecným zastupiteľstvom uznesením č. 71/09,2023 zo dňa  na obdobie 2023 – 2028.</w:t>
      </w:r>
    </w:p>
    <w:p>
      <w:pPr>
        <w:pStyle w:val="Normal"/>
        <w:ind w:firstLine="708"/>
        <w:jc w:val="both"/>
        <w:rPr>
          <w:color w:val="000000"/>
        </w:rPr>
      </w:pPr>
      <w:r>
        <w:rPr>
          <w:color w:val="000000"/>
        </w:rPr>
      </w:r>
    </w:p>
    <w:p>
      <w:pPr>
        <w:pStyle w:val="Normal"/>
        <w:rPr>
          <w:color w:val="C9211E"/>
        </w:rPr>
      </w:pPr>
      <w:r>
        <w:rPr>
          <w:b/>
          <w:bCs/>
          <w:color w:val="000000"/>
          <w:sz w:val="28"/>
          <w:szCs w:val="28"/>
        </w:rPr>
        <w:t>Obecný úrad:</w:t>
      </w:r>
    </w:p>
    <w:p>
      <w:pPr>
        <w:pStyle w:val="Normal"/>
        <w:ind w:firstLine="708"/>
        <w:jc w:val="both"/>
        <w:rPr>
          <w:color w:val="C9211E"/>
        </w:rPr>
      </w:pPr>
      <w:r>
        <w:rPr>
          <w:color w:val="000000"/>
        </w:rPr>
        <w:t xml:space="preserve">Je výkonným orgánom obecného zastupiteľstva a starostu obce, zabezpečuje organizačné a administratívne veci. Prácu obecného úradu organizuje starosta obce. </w:t>
      </w:r>
    </w:p>
    <w:p>
      <w:pPr>
        <w:pStyle w:val="Normal"/>
        <w:rPr>
          <w:b/>
          <w:bCs/>
          <w:color w:val="000000"/>
          <w:highlight w:val="red"/>
        </w:rPr>
      </w:pPr>
      <w:r>
        <w:rPr>
          <w:b/>
          <w:bCs/>
          <w:color w:val="000000"/>
          <w:highlight w:val="red"/>
        </w:rPr>
      </w:r>
    </w:p>
    <w:p>
      <w:pPr>
        <w:pStyle w:val="Normal"/>
        <w:rPr>
          <w:color w:val="C9211E"/>
        </w:rPr>
      </w:pPr>
      <w:r>
        <w:rPr>
          <w:b/>
          <w:bCs/>
          <w:color w:val="000000"/>
        </w:rPr>
        <w:t>Zamestnanci obecného úradu:</w:t>
      </w:r>
    </w:p>
    <w:p>
      <w:pPr>
        <w:pStyle w:val="Normal"/>
        <w:ind w:firstLine="708"/>
        <w:jc w:val="both"/>
        <w:rPr>
          <w:color w:val="C9211E"/>
        </w:rPr>
      </w:pPr>
      <w:r>
        <w:rPr>
          <w:color w:val="000000"/>
        </w:rPr>
        <w:t xml:space="preserve">Katarína Lišková – samostatný odborný referent </w:t>
      </w:r>
    </w:p>
    <w:p>
      <w:pPr>
        <w:pStyle w:val="Normal"/>
        <w:ind w:firstLine="708"/>
        <w:jc w:val="both"/>
        <w:rPr>
          <w:color w:val="C9211E"/>
        </w:rPr>
      </w:pPr>
      <w:r>
        <w:rPr>
          <w:color w:val="000000"/>
        </w:rPr>
        <w:t xml:space="preserve">Martin Šimún – údržbár </w:t>
      </w:r>
    </w:p>
    <w:p>
      <w:pPr>
        <w:pStyle w:val="Normal"/>
        <w:ind w:firstLine="708"/>
        <w:jc w:val="both"/>
        <w:rPr>
          <w:color w:val="000000"/>
          <w:highlight w:val="red"/>
        </w:rPr>
      </w:pPr>
      <w:r>
        <w:rPr>
          <w:color w:val="000000"/>
          <w:highlight w:val="red"/>
        </w:rPr>
      </w:r>
    </w:p>
    <w:p>
      <w:pPr>
        <w:pStyle w:val="Normal"/>
        <w:jc w:val="both"/>
        <w:rPr>
          <w:color w:val="C9211E"/>
        </w:rPr>
      </w:pPr>
      <w:r>
        <w:rPr>
          <w:b/>
          <w:bCs/>
          <w:color w:val="000000"/>
        </w:rPr>
        <w:t>Financovanie  obce:</w:t>
      </w:r>
    </w:p>
    <w:p>
      <w:pPr>
        <w:pStyle w:val="Normal"/>
        <w:ind w:firstLine="708"/>
        <w:jc w:val="both"/>
        <w:rPr>
          <w:color w:val="C9211E"/>
        </w:rPr>
      </w:pPr>
      <w:r>
        <w:rPr>
          <w:color w:val="000000"/>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rFonts w:cs="Arial"/>
          <w:color w:val="C9211E"/>
          <w:sz w:val="24"/>
        </w:rPr>
      </w:pPr>
      <w:r>
        <w:rPr>
          <w:rFonts w:cs="Arial"/>
          <w:color w:val="C9211E"/>
          <w:sz w:val="24"/>
        </w:rPr>
      </w:r>
    </w:p>
    <w:p>
      <w:pPr>
        <w:pStyle w:val="Normal"/>
        <w:ind w:firstLine="708"/>
        <w:jc w:val="both"/>
        <w:rPr>
          <w:color w:val="C9211E"/>
        </w:rPr>
      </w:pPr>
      <w:r>
        <w:rPr>
          <w:color w:val="000000"/>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organizácie,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color w:val="C9211E"/>
        </w:rPr>
      </w:pPr>
      <w:r>
        <w:rPr>
          <w:color w:val="000000"/>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color w:val="000000"/>
          <w:highlight w:val="red"/>
        </w:rPr>
      </w:pPr>
      <w:r>
        <w:rPr>
          <w:color w:val="000000"/>
          <w:highlight w:val="red"/>
        </w:rPr>
      </w:r>
    </w:p>
    <w:p>
      <w:pPr>
        <w:pStyle w:val="Normal"/>
        <w:ind w:firstLine="708"/>
        <w:jc w:val="both"/>
        <w:rPr>
          <w:color w:val="C9211E"/>
        </w:rPr>
      </w:pPr>
      <w:r>
        <w:rPr>
          <w:color w:val="000000"/>
        </w:rPr>
        <w:t>Podiely na daniach v správe štátu upravuje zákon č. 564/2004 Z. z. o rozpočtovom určení výnosu dane z príjmov územnej samospráve a o zmene a doplnení niektorých zákonov.</w:t>
      </w:r>
    </w:p>
    <w:p>
      <w:pPr>
        <w:pStyle w:val="Normal"/>
        <w:ind w:firstLine="708"/>
        <w:jc w:val="both"/>
        <w:rPr>
          <w:color w:val="C9211E"/>
        </w:rPr>
      </w:pPr>
      <w:r>
        <w:rPr>
          <w:color w:val="000000"/>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color w:val="C9211E"/>
        </w:rPr>
      </w:pPr>
      <w:r>
        <w:rPr>
          <w:color w:val="000000"/>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color w:val="C9211E"/>
        </w:rPr>
      </w:pPr>
      <w:r>
        <w:rPr>
          <w:color w:val="000000"/>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color w:val="C9211E"/>
        </w:rPr>
      </w:pPr>
      <w:r>
        <w:rPr>
          <w:color w:val="C9211E"/>
        </w:rPr>
        <w:tab/>
      </w:r>
    </w:p>
    <w:p>
      <w:pPr>
        <w:pStyle w:val="Normal"/>
        <w:jc w:val="both"/>
        <w:rPr>
          <w:color w:val="C9211E"/>
        </w:rPr>
      </w:pPr>
      <w:r>
        <w:rPr>
          <w:b/>
          <w:color w:val="000000"/>
          <w:sz w:val="28"/>
          <w:szCs w:val="28"/>
        </w:rPr>
        <w:t>Výchova a vzdelávanie:</w:t>
      </w:r>
    </w:p>
    <w:p>
      <w:pPr>
        <w:pStyle w:val="Normal"/>
        <w:ind w:firstLine="708"/>
        <w:jc w:val="both"/>
        <w:rPr>
          <w:color w:val="C9211E"/>
        </w:rPr>
      </w:pPr>
      <w:r>
        <w:rPr>
          <w:color w:val="000000"/>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Cs/>
          <w:color w:val="000000"/>
          <w:sz w:val="28"/>
          <w:szCs w:val="28"/>
          <w:highlight w:val="red"/>
        </w:rPr>
      </w:pPr>
      <w:r>
        <w:rPr>
          <w:b/>
          <w:bCs/>
          <w:color w:val="000000"/>
          <w:sz w:val="28"/>
          <w:szCs w:val="28"/>
          <w:highlight w:val="red"/>
        </w:rPr>
      </w:r>
    </w:p>
    <w:p>
      <w:pPr>
        <w:pStyle w:val="Normal"/>
        <w:jc w:val="both"/>
        <w:rPr>
          <w:color w:val="C9211E"/>
        </w:rPr>
      </w:pPr>
      <w:r>
        <w:rPr>
          <w:b/>
          <w:bCs/>
          <w:color w:val="000000"/>
          <w:sz w:val="28"/>
          <w:szCs w:val="28"/>
        </w:rPr>
        <w:t>Kultúra:</w:t>
      </w:r>
    </w:p>
    <w:p>
      <w:pPr>
        <w:pStyle w:val="Normal"/>
        <w:suppressAutoHyphens w:val="false"/>
        <w:ind w:firstLine="708"/>
        <w:jc w:val="both"/>
        <w:rPr>
          <w:color w:val="C9211E"/>
        </w:rPr>
      </w:pPr>
      <w:r>
        <w:rPr>
          <w:color w:val="000000"/>
        </w:rPr>
        <w:t>Spoločenský a kultúrny život v obci zabezpečuje obecný úrad v spolupráci s organizáciami FSK Smrečany,  DHZO, Jednota dôchodcov, MŠ Smrečany, ZMS, MS SČK, TJ Družba Smrečany-Žiar, Slovenský zväz protifašistických bojovníkov, Združenie divadelných ochotníkov, OZ Smrečianski záhradkári.</w:t>
      </w:r>
    </w:p>
    <w:p>
      <w:pPr>
        <w:pStyle w:val="Normal"/>
        <w:suppressAutoHyphens w:val="false"/>
        <w:ind w:firstLine="708"/>
        <w:jc w:val="both"/>
        <w:rPr>
          <w:color w:val="000000"/>
        </w:rPr>
      </w:pPr>
      <w:r>
        <w:rPr>
          <w:color w:val="000000"/>
        </w:rPr>
      </w:r>
    </w:p>
    <w:p>
      <w:pPr>
        <w:pStyle w:val="Normal"/>
        <w:ind w:firstLine="14" w:left="-14"/>
        <w:jc w:val="both"/>
        <w:rPr>
          <w:color w:val="000000"/>
          <w:highlight w:val="red"/>
        </w:rPr>
      </w:pPr>
      <w:r>
        <w:rPr>
          <w:color w:val="000000"/>
          <w:highlight w:val="red"/>
        </w:rPr>
      </w:r>
    </w:p>
    <w:p>
      <w:pPr>
        <w:pStyle w:val="Normal"/>
        <w:jc w:val="both"/>
        <w:rPr>
          <w:color w:val="C9211E"/>
        </w:rPr>
      </w:pPr>
      <w:r>
        <w:rPr>
          <w:b/>
          <w:bCs/>
          <w:color w:val="000000"/>
          <w:sz w:val="28"/>
          <w:szCs w:val="28"/>
        </w:rPr>
        <w:t>Sociálne zabezpečenie:</w:t>
      </w:r>
    </w:p>
    <w:p>
      <w:pPr>
        <w:pStyle w:val="Normal"/>
        <w:ind w:firstLine="708"/>
        <w:jc w:val="both"/>
        <w:rPr>
          <w:color w:val="C9211E"/>
        </w:rPr>
      </w:pPr>
      <w:r>
        <w:rPr>
          <w:color w:val="000000"/>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firstLine="722" w:left="-14"/>
        <w:jc w:val="both"/>
        <w:rPr>
          <w:color w:val="000000"/>
          <w:highlight w:val="red"/>
        </w:rPr>
      </w:pPr>
      <w:r>
        <w:rPr>
          <w:color w:val="000000"/>
          <w:highlight w:val="red"/>
        </w:rPr>
      </w:r>
    </w:p>
    <w:p>
      <w:pPr>
        <w:pStyle w:val="Normal"/>
        <w:ind w:firstLine="14" w:left="-14"/>
        <w:jc w:val="both"/>
        <w:rPr>
          <w:color w:val="C9211E"/>
        </w:rPr>
      </w:pPr>
      <w:r>
        <w:rPr>
          <w:color w:val="000000"/>
        </w:rPr>
        <w:t xml:space="preserve"> </w:t>
      </w:r>
      <w:r>
        <w:rPr>
          <w:b/>
          <w:bCs/>
          <w:color w:val="000000"/>
          <w:sz w:val="28"/>
          <w:szCs w:val="28"/>
        </w:rPr>
        <w:t>Inštitúcie v obci:</w:t>
      </w:r>
    </w:p>
    <w:p>
      <w:pPr>
        <w:pStyle w:val="Normal"/>
        <w:ind w:firstLine="14" w:left="-14"/>
        <w:jc w:val="both"/>
        <w:rPr>
          <w:color w:val="000000"/>
        </w:rPr>
      </w:pPr>
      <w:r>
        <w:rPr>
          <w:color w:val="000000"/>
        </w:rPr>
      </w:r>
    </w:p>
    <w:p>
      <w:pPr>
        <w:pStyle w:val="Normal"/>
        <w:rPr>
          <w:color w:val="C9211E"/>
        </w:rPr>
      </w:pPr>
      <w:r>
        <w:rPr>
          <w:color w:val="000000"/>
        </w:rPr>
        <w:tab/>
        <w:t xml:space="preserve">Evanjelický farský úrad, </w:t>
      </w:r>
    </w:p>
    <w:p>
      <w:pPr>
        <w:pStyle w:val="Normal"/>
        <w:ind w:firstLine="14" w:left="-14"/>
        <w:jc w:val="both"/>
        <w:rPr>
          <w:color w:val="C9211E"/>
        </w:rPr>
      </w:pPr>
      <w:r>
        <w:rPr>
          <w:color w:val="000000"/>
        </w:rPr>
        <w:tab/>
        <w:t xml:space="preserve">Potraviny COOP Jednota </w:t>
      </w:r>
    </w:p>
    <w:p>
      <w:pPr>
        <w:pStyle w:val="Normal"/>
        <w:ind w:firstLine="14" w:left="-14"/>
        <w:jc w:val="both"/>
        <w:rPr>
          <w:color w:val="C9211E"/>
        </w:rPr>
      </w:pPr>
      <w:r>
        <w:rPr>
          <w:color w:val="000000"/>
        </w:rPr>
        <w:tab/>
        <w:t>PD so sídlom v Smrečanoch</w:t>
      </w:r>
    </w:p>
    <w:p>
      <w:pPr>
        <w:pStyle w:val="Normal"/>
        <w:rPr>
          <w:color w:val="C9211E"/>
        </w:rPr>
      </w:pPr>
      <w:r>
        <w:rPr>
          <w:color w:val="000000"/>
        </w:rPr>
        <w:tab/>
        <w:t xml:space="preserve">Domov Sociálnych služieb </w:t>
      </w:r>
    </w:p>
    <w:p>
      <w:pPr>
        <w:pStyle w:val="Normal"/>
        <w:rPr>
          <w:color w:val="C9211E"/>
          <w:highlight w:val="red"/>
        </w:rPr>
      </w:pPr>
      <w:r>
        <w:rPr>
          <w:color w:val="C9211E"/>
          <w:highlight w:val="red"/>
        </w:rPr>
      </w:r>
    </w:p>
    <w:p>
      <w:pPr>
        <w:pStyle w:val="Normal"/>
        <w:jc w:val="both"/>
        <w:rPr>
          <w:color w:val="C9211E"/>
        </w:rPr>
      </w:pPr>
      <w:r>
        <w:rPr>
          <w:b/>
          <w:bCs/>
          <w:color w:val="000000"/>
          <w:sz w:val="28"/>
          <w:szCs w:val="28"/>
        </w:rPr>
        <w:t xml:space="preserve">Rozpočtová  organizácia </w:t>
      </w:r>
    </w:p>
    <w:p>
      <w:pPr>
        <w:pStyle w:val="Normal"/>
        <w:jc w:val="both"/>
        <w:rPr>
          <w:b/>
          <w:bCs/>
          <w:color w:val="000000"/>
        </w:rPr>
      </w:pPr>
      <w:r>
        <w:rPr>
          <w:b/>
          <w:bCs/>
          <w:color w:val="000000"/>
        </w:rPr>
      </w:r>
    </w:p>
    <w:p>
      <w:pPr>
        <w:pStyle w:val="Normal"/>
        <w:jc w:val="both"/>
        <w:rPr>
          <w:color w:val="C9211E"/>
        </w:rPr>
      </w:pPr>
      <w:r>
        <w:rPr>
          <w:b/>
          <w:bCs/>
          <w:color w:val="000000"/>
        </w:rPr>
        <w:t>Materská škola Smrečany</w:t>
      </w:r>
    </w:p>
    <w:p>
      <w:pPr>
        <w:pStyle w:val="Normal"/>
        <w:rPr>
          <w:color w:val="C9211E"/>
        </w:rPr>
      </w:pPr>
      <w:r>
        <w:rPr>
          <w:b/>
          <w:bCs/>
          <w:color w:val="000000"/>
        </w:rPr>
        <w:t>Adresa:</w:t>
      </w:r>
      <w:r>
        <w:rPr>
          <w:color w:val="000000"/>
        </w:rPr>
        <w:t xml:space="preserve"> Smrečany 117, 03205  Smrečany</w:t>
      </w:r>
    </w:p>
    <w:p>
      <w:pPr>
        <w:pStyle w:val="Normal"/>
        <w:rPr>
          <w:color w:val="C9211E"/>
        </w:rPr>
      </w:pPr>
      <w:r>
        <w:rPr>
          <w:b/>
          <w:bCs/>
          <w:color w:val="000000"/>
        </w:rPr>
        <w:t xml:space="preserve">Riaditeľ: </w:t>
      </w:r>
      <w:r>
        <w:rPr>
          <w:color w:val="000000"/>
        </w:rPr>
        <w:t>Vladimíra Kubincová</w:t>
      </w:r>
    </w:p>
    <w:p>
      <w:pPr>
        <w:pStyle w:val="Normal"/>
        <w:rPr>
          <w:color w:val="C9211E"/>
        </w:rPr>
      </w:pPr>
      <w:r>
        <w:rPr>
          <w:b/>
          <w:color w:val="000000"/>
        </w:rPr>
        <w:t>IČO:</w:t>
      </w:r>
      <w:r>
        <w:rPr>
          <w:color w:val="000000"/>
        </w:rPr>
        <w:t xml:space="preserve"> 37904990</w:t>
      </w:r>
    </w:p>
    <w:p>
      <w:pPr>
        <w:pStyle w:val="Normal"/>
        <w:rPr>
          <w:color w:val="C9211E"/>
        </w:rPr>
      </w:pPr>
      <w:r>
        <w:rPr>
          <w:b/>
          <w:bCs/>
          <w:color w:val="000000"/>
        </w:rPr>
        <w:t xml:space="preserve">Počet žiakov: </w:t>
      </w:r>
    </w:p>
    <w:p>
      <w:pPr>
        <w:pStyle w:val="Normal"/>
        <w:rPr>
          <w:color w:val="C9211E"/>
        </w:rPr>
      </w:pPr>
      <w:r>
        <w:rPr>
          <w:bCs/>
          <w:color w:val="000000"/>
        </w:rPr>
        <w:t xml:space="preserve">Materská škola: </w:t>
      </w:r>
      <w:r>
        <w:rPr>
          <w:color w:val="000000"/>
        </w:rPr>
        <w:t>21 detí</w:t>
      </w:r>
    </w:p>
    <w:p>
      <w:pPr>
        <w:pStyle w:val="Normal"/>
        <w:ind w:firstLine="708"/>
        <w:jc w:val="both"/>
        <w:rPr>
          <w:color w:val="000000"/>
        </w:rPr>
      </w:pPr>
      <w:r>
        <w:rPr>
          <w:color w:val="000000"/>
        </w:rPr>
      </w:r>
    </w:p>
    <w:p>
      <w:pPr>
        <w:pStyle w:val="Normal"/>
        <w:jc w:val="both"/>
        <w:rPr>
          <w:color w:val="C9211E"/>
        </w:rPr>
      </w:pPr>
      <w:r>
        <w:rPr>
          <w:color w:val="000000"/>
        </w:rPr>
        <w:t>Materská škola v Smrečanoch, hospodári s vlastnými finančnými prostriedkami a je napojená na rozpočet obce.</w:t>
      </w:r>
    </w:p>
    <w:tbl>
      <w:tblPr>
        <w:tblW w:w="9635" w:type="dxa"/>
        <w:jc w:val="left"/>
        <w:tblInd w:w="55" w:type="dxa"/>
        <w:tblLayout w:type="fixed"/>
        <w:tblCellMar>
          <w:top w:w="55" w:type="dxa"/>
          <w:left w:w="45" w:type="dxa"/>
          <w:bottom w:w="55" w:type="dxa"/>
          <w:right w:w="55" w:type="dxa"/>
        </w:tblCellMar>
        <w:tblLook w:firstRow="0" w:noVBand="0" w:lastRow="0" w:firstColumn="0" w:lastColumn="0" w:noHBand="0" w:val="0000"/>
      </w:tblPr>
      <w:tblGrid>
        <w:gridCol w:w="7088"/>
        <w:gridCol w:w="2546"/>
      </w:tblGrid>
      <w:tr>
        <w:trPr>
          <w:trHeight w:val="276" w:hRule="atLeast"/>
        </w:trPr>
        <w:tc>
          <w:tcPr>
            <w:tcW w:w="7088" w:type="dxa"/>
            <w:tcBorders>
              <w:top w:val="single" w:sz="4" w:space="0" w:color="000000"/>
              <w:left w:val="single" w:sz="4" w:space="0" w:color="000000"/>
              <w:bottom w:val="single" w:sz="4" w:space="0" w:color="000000"/>
            </w:tcBorders>
            <w:shd w:color="auto" w:fill="99CCFF" w:val="clear"/>
          </w:tcPr>
          <w:p>
            <w:pPr>
              <w:pStyle w:val="Heading1"/>
              <w:snapToGrid w:val="false"/>
              <w:ind w:hanging="432" w:left="432"/>
              <w:rPr>
                <w:color w:val="C9211E"/>
              </w:rPr>
            </w:pPr>
            <w:r>
              <w:rPr>
                <w:color w:val="000000"/>
              </w:rPr>
              <w:t>Príjmy ZŠ s MŠ  - zúčtované cez  rozpočet obce</w:t>
            </w:r>
          </w:p>
        </w:tc>
        <w:tc>
          <w:tcPr>
            <w:tcW w:w="2546" w:type="dxa"/>
            <w:tcBorders>
              <w:top w:val="single" w:sz="4" w:space="0" w:color="000000"/>
              <w:left w:val="single" w:sz="4" w:space="0" w:color="000000"/>
              <w:bottom w:val="single" w:sz="4" w:space="0" w:color="000000"/>
              <w:right w:val="single" w:sz="4" w:space="0" w:color="000000"/>
            </w:tcBorders>
            <w:shd w:color="auto" w:fill="99CCFF" w:val="clear"/>
          </w:tcPr>
          <w:p>
            <w:pPr>
              <w:pStyle w:val="Obsahtabuky"/>
              <w:snapToGrid w:val="false"/>
              <w:jc w:val="right"/>
              <w:rPr>
                <w:color w:val="C9211E"/>
              </w:rPr>
            </w:pPr>
            <w:r>
              <w:rPr>
                <w:b/>
                <w:bCs/>
                <w:color w:val="000000"/>
              </w:rPr>
              <w:t>Suma v Eur</w:t>
            </w:r>
          </w:p>
        </w:tc>
      </w:tr>
      <w:tr>
        <w:trPr>
          <w:trHeight w:val="276" w:hRule="atLeast"/>
        </w:trPr>
        <w:tc>
          <w:tcPr>
            <w:tcW w:w="7088" w:type="dxa"/>
            <w:tcBorders>
              <w:top w:val="single" w:sz="4" w:space="0" w:color="000000"/>
              <w:left w:val="single" w:sz="4" w:space="0" w:color="000000"/>
              <w:bottom w:val="single" w:sz="4" w:space="0" w:color="000000"/>
            </w:tcBorders>
            <w:shd w:fill="auto" w:val="clear"/>
          </w:tcPr>
          <w:p>
            <w:pPr>
              <w:pStyle w:val="Obsahtabuky"/>
              <w:snapToGrid w:val="false"/>
              <w:rPr>
                <w:color w:val="C9211E"/>
              </w:rPr>
            </w:pPr>
            <w:r>
              <w:rPr>
                <w:b/>
                <w:color w:val="000000"/>
              </w:rPr>
              <w:t>Dotácia  na predškolákov z KŠU cez obec 2024</w:t>
            </w:r>
          </w:p>
        </w:tc>
        <w:tc>
          <w:tcPr>
            <w:tcW w:w="2546"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C9211E"/>
              </w:rPr>
            </w:pPr>
            <w:r>
              <w:rPr>
                <w:b/>
                <w:color w:val="000000"/>
              </w:rPr>
              <w:t>7.345,00</w:t>
            </w:r>
          </w:p>
        </w:tc>
      </w:tr>
      <w:tr>
        <w:trPr>
          <w:trHeight w:val="276" w:hRule="atLeast"/>
        </w:trPr>
        <w:tc>
          <w:tcPr>
            <w:tcW w:w="7088" w:type="dxa"/>
            <w:tcBorders>
              <w:top w:val="single" w:sz="4" w:space="0" w:color="000000"/>
              <w:left w:val="single" w:sz="4" w:space="0" w:color="000000"/>
              <w:bottom w:val="single" w:sz="4" w:space="0" w:color="000000"/>
            </w:tcBorders>
            <w:shd w:fill="auto" w:val="clear"/>
          </w:tcPr>
          <w:p>
            <w:pPr>
              <w:pStyle w:val="Obsahtabuky"/>
              <w:snapToGrid w:val="false"/>
              <w:rPr>
                <w:color w:val="C9211E"/>
              </w:rPr>
            </w:pPr>
            <w:r>
              <w:rPr>
                <w:b/>
                <w:color w:val="000000"/>
              </w:rPr>
              <w:t>Vlastné príjmy školy za rok 2024</w:t>
            </w:r>
          </w:p>
        </w:tc>
        <w:tc>
          <w:tcPr>
            <w:tcW w:w="2546"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C9211E"/>
              </w:rPr>
            </w:pPr>
            <w:r>
              <w:rPr>
                <w:b/>
                <w:color w:val="000000"/>
              </w:rPr>
              <w:t>4.523,00</w:t>
            </w:r>
          </w:p>
        </w:tc>
      </w:tr>
      <w:tr>
        <w:trPr>
          <w:trHeight w:val="276" w:hRule="atLeast"/>
        </w:trPr>
        <w:tc>
          <w:tcPr>
            <w:tcW w:w="7088" w:type="dxa"/>
            <w:tcBorders>
              <w:top w:val="single" w:sz="4" w:space="0" w:color="000000"/>
              <w:left w:val="single" w:sz="4" w:space="0" w:color="000000"/>
              <w:bottom w:val="single" w:sz="4" w:space="0" w:color="000000"/>
            </w:tcBorders>
            <w:shd w:fill="auto" w:val="clear"/>
          </w:tcPr>
          <w:p>
            <w:pPr>
              <w:pStyle w:val="Obsahtabuky"/>
              <w:snapToGrid w:val="false"/>
              <w:rPr>
                <w:color w:val="C9211E"/>
              </w:rPr>
            </w:pPr>
            <w:r>
              <w:rPr>
                <w:b/>
                <w:color w:val="000000"/>
              </w:rPr>
              <w:t>Originálne kompetencie z rozpočtu obce</w:t>
            </w:r>
          </w:p>
        </w:tc>
        <w:tc>
          <w:tcPr>
            <w:tcW w:w="2546"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C9211E"/>
              </w:rPr>
            </w:pPr>
            <w:r>
              <w:rPr>
                <w:b/>
                <w:color w:val="000000"/>
              </w:rPr>
              <w:t>101.844,78</w:t>
            </w:r>
          </w:p>
        </w:tc>
      </w:tr>
      <w:tr>
        <w:trPr>
          <w:trHeight w:val="276" w:hRule="atLeast"/>
        </w:trPr>
        <w:tc>
          <w:tcPr>
            <w:tcW w:w="7088" w:type="dxa"/>
            <w:tcBorders>
              <w:top w:val="single" w:sz="4" w:space="0" w:color="000000"/>
              <w:left w:val="single" w:sz="4" w:space="0" w:color="000000"/>
              <w:bottom w:val="single" w:sz="4" w:space="0" w:color="000000"/>
            </w:tcBorders>
            <w:shd w:color="auto" w:fill="FFFF99" w:val="clear"/>
          </w:tcPr>
          <w:p>
            <w:pPr>
              <w:pStyle w:val="Obsahtabuky"/>
              <w:snapToGrid w:val="false"/>
              <w:rPr>
                <w:color w:val="C9211E"/>
              </w:rPr>
            </w:pPr>
            <w:r>
              <w:rPr>
                <w:b/>
                <w:bCs/>
                <w:color w:val="000000"/>
              </w:rPr>
              <w:t>Celkové príjmy MŠ za rok 2024</w:t>
            </w:r>
          </w:p>
        </w:tc>
        <w:tc>
          <w:tcPr>
            <w:tcW w:w="2546"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color w:val="C9211E"/>
              </w:rPr>
            </w:pPr>
            <w:r>
              <w:rPr>
                <w:b/>
                <w:bCs/>
                <w:color w:val="000000"/>
              </w:rPr>
              <w:t>113.712,78</w:t>
            </w:r>
          </w:p>
        </w:tc>
      </w:tr>
    </w:tbl>
    <w:p>
      <w:pPr>
        <w:pStyle w:val="Normal"/>
        <w:ind w:hanging="432" w:left="432"/>
        <w:rPr>
          <w:b/>
          <w:color w:val="000000"/>
        </w:rPr>
      </w:pPr>
      <w:r>
        <w:rPr>
          <w:b/>
          <w:color w:val="000000"/>
        </w:rPr>
      </w:r>
    </w:p>
    <w:tbl>
      <w:tblPr>
        <w:tblW w:w="9679" w:type="dxa"/>
        <w:jc w:val="left"/>
        <w:tblInd w:w="55" w:type="dxa"/>
        <w:tblLayout w:type="fixed"/>
        <w:tblCellMar>
          <w:top w:w="55" w:type="dxa"/>
          <w:left w:w="45" w:type="dxa"/>
          <w:bottom w:w="55" w:type="dxa"/>
          <w:right w:w="55" w:type="dxa"/>
        </w:tblCellMar>
        <w:tblLook w:firstRow="0" w:noVBand="0" w:lastRow="0" w:firstColumn="0" w:lastColumn="0" w:noHBand="0"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tcBorders>
            <w:shd w:color="auto" w:fill="99CCFF" w:val="clear"/>
          </w:tcPr>
          <w:p>
            <w:pPr>
              <w:pStyle w:val="Obsahtabuky"/>
              <w:snapToGrid w:val="false"/>
              <w:rPr>
                <w:color w:val="C9211E"/>
              </w:rPr>
            </w:pPr>
            <w:r>
              <w:rPr>
                <w:b/>
                <w:bCs/>
                <w:color w:val="000000"/>
              </w:rPr>
              <w:t>Výdaje MŠ</w:t>
            </w:r>
          </w:p>
        </w:tc>
        <w:tc>
          <w:tcPr>
            <w:tcW w:w="2591" w:type="dxa"/>
            <w:tcBorders>
              <w:top w:val="single" w:sz="4" w:space="0" w:color="000000"/>
              <w:left w:val="single" w:sz="4" w:space="0" w:color="000000"/>
              <w:bottom w:val="single" w:sz="4" w:space="0" w:color="000000"/>
              <w:right w:val="single" w:sz="4" w:space="0" w:color="000000"/>
            </w:tcBorders>
            <w:shd w:color="auto" w:fill="99CCFF" w:val="clear"/>
          </w:tcPr>
          <w:p>
            <w:pPr>
              <w:pStyle w:val="Obsahtabuky"/>
              <w:snapToGrid w:val="false"/>
              <w:jc w:val="right"/>
              <w:rPr>
                <w:color w:val="C9211E"/>
              </w:rPr>
            </w:pPr>
            <w:r>
              <w:rPr>
                <w:b/>
                <w:bCs/>
                <w:color w:val="000000"/>
              </w:rPr>
              <w:t>Suma v Eur</w:t>
            </w:r>
          </w:p>
        </w:tc>
      </w:tr>
      <w:tr>
        <w:trPr>
          <w:trHeight w:val="276" w:hRule="atLeast"/>
        </w:trPr>
        <w:tc>
          <w:tcPr>
            <w:tcW w:w="7087" w:type="dxa"/>
            <w:tcBorders>
              <w:top w:val="single" w:sz="4" w:space="0" w:color="000000"/>
              <w:left w:val="single" w:sz="4" w:space="0" w:color="000000"/>
              <w:bottom w:val="single" w:sz="4" w:space="0" w:color="000000"/>
            </w:tcBorders>
            <w:shd w:fill="auto" w:val="clear"/>
          </w:tcPr>
          <w:p>
            <w:pPr>
              <w:pStyle w:val="Obsahtabuky"/>
              <w:snapToGrid w:val="false"/>
              <w:rPr>
                <w:color w:val="C9211E"/>
              </w:rPr>
            </w:pPr>
            <w:r>
              <w:rPr>
                <w:b/>
                <w:color w:val="000000"/>
              </w:rPr>
              <w:t>Vyčerpané prostriedky za rok 2024</w:t>
            </w:r>
          </w:p>
        </w:tc>
        <w:tc>
          <w:tcPr>
            <w:tcW w:w="2591"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color w:val="C9211E"/>
              </w:rPr>
            </w:pPr>
            <w:r>
              <w:rPr>
                <w:b/>
                <w:color w:val="000000"/>
              </w:rPr>
              <w:t>124.337,15</w:t>
            </w:r>
          </w:p>
        </w:tc>
      </w:tr>
    </w:tbl>
    <w:p>
      <w:pPr>
        <w:pStyle w:val="Normal"/>
        <w:jc w:val="both"/>
        <w:rPr>
          <w:b/>
          <w:color w:val="000000"/>
          <w:sz w:val="28"/>
          <w:szCs w:val="28"/>
          <w:highlight w:val="red"/>
        </w:rPr>
      </w:pPr>
      <w:r>
        <w:rPr>
          <w:b/>
          <w:color w:val="000000"/>
          <w:sz w:val="28"/>
          <w:szCs w:val="28"/>
          <w:highlight w:val="red"/>
        </w:rPr>
      </w:r>
    </w:p>
    <w:p>
      <w:pPr>
        <w:pStyle w:val="Normal"/>
        <w:jc w:val="both"/>
        <w:rPr>
          <w:b/>
          <w:color w:val="C9211E"/>
          <w:sz w:val="28"/>
          <w:szCs w:val="28"/>
          <w:highlight w:val="red"/>
        </w:rPr>
      </w:pPr>
      <w:r>
        <w:rPr>
          <w:b/>
          <w:color w:val="C9211E"/>
          <w:sz w:val="28"/>
          <w:szCs w:val="28"/>
          <w:highlight w:val="red"/>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b/>
          <w:color w:val="C9211E"/>
          <w:sz w:val="28"/>
          <w:szCs w:val="28"/>
        </w:rPr>
      </w:pPr>
      <w:r>
        <w:rPr>
          <w:b/>
          <w:color w:val="C9211E"/>
          <w:sz w:val="28"/>
          <w:szCs w:val="28"/>
        </w:rPr>
      </w:r>
    </w:p>
    <w:p>
      <w:pPr>
        <w:pStyle w:val="Normal"/>
        <w:jc w:val="both"/>
        <w:rPr/>
      </w:pPr>
      <w:r>
        <w:rPr>
          <w:b/>
          <w:sz w:val="28"/>
          <w:szCs w:val="28"/>
        </w:rPr>
        <w:t>2. Rozpočet obce za rok 2024 a jeho plnenie</w:t>
      </w:r>
    </w:p>
    <w:p>
      <w:pPr>
        <w:pStyle w:val="Normal"/>
        <w:jc w:val="both"/>
        <w:rPr>
          <w:color w:val="C9211E"/>
        </w:rPr>
      </w:pPr>
      <w:r>
        <w:rPr>
          <w:color w:val="C9211E"/>
        </w:rPr>
      </w:r>
    </w:p>
    <w:p>
      <w:pPr>
        <w:pStyle w:val="Normal"/>
        <w:jc w:val="both"/>
        <w:rPr>
          <w:sz w:val="24"/>
          <w:szCs w:val="24"/>
        </w:rPr>
      </w:pPr>
      <w:r>
        <w:rPr>
          <w:rFonts w:ascii="Arial" w:hAnsi="Arial"/>
          <w:sz w:val="24"/>
          <w:szCs w:val="24"/>
        </w:rPr>
        <w:t xml:space="preserve">Základným   nástrojom  finančného  hospodárenia  obce bol rozpočet obce na rok 2024. Obec zostavila rozpočet podľa ustanovenia § 10 odsek 7) zákona č. 583/2004 Z .z. O rozpočtových pravidlách územnej samosprávy a o zmene a doplnení niektorých zákonov v znení neskorších predpisov. Rozpočet obce na rok 2024 bol zostavený ako vyrovnaný. Bežný rozpočet bol zostavený ako prebytkový a  kapitálový   rozpočet ako schodkový. </w:t>
      </w:r>
    </w:p>
    <w:p>
      <w:pPr>
        <w:pStyle w:val="Normal"/>
        <w:jc w:val="both"/>
        <w:rPr/>
      </w:pPr>
      <w:r>
        <w:rPr>
          <w:rFonts w:ascii="Arial" w:hAnsi="Arial"/>
          <w:sz w:val="24"/>
          <w:szCs w:val="24"/>
        </w:rPr>
        <w:t>Rozpočet obce bol schválený obecným zastupiteľstvom dňa 05.12.2023 uznesením č.81/12.2023.</w:t>
      </w:r>
    </w:p>
    <w:p>
      <w:pPr>
        <w:pStyle w:val="BodyText"/>
        <w:jc w:val="both"/>
        <w:rPr>
          <w:sz w:val="24"/>
          <w:szCs w:val="24"/>
        </w:rPr>
      </w:pPr>
      <w:r>
        <w:rPr>
          <w:rFonts w:ascii="Arial" w:hAnsi="Arial"/>
          <w:sz w:val="24"/>
          <w:szCs w:val="24"/>
        </w:rPr>
        <w:t xml:space="preserve">Zmeny rozpočtu: </w:t>
      </w:r>
    </w:p>
    <w:p>
      <w:pPr>
        <w:pStyle w:val="BodyText"/>
        <w:spacing w:before="0" w:after="63"/>
        <w:jc w:val="both"/>
        <w:rPr>
          <w:sz w:val="24"/>
          <w:szCs w:val="24"/>
        </w:rPr>
      </w:pPr>
      <w:r>
        <w:rPr>
          <w:rFonts w:ascii="Arial" w:hAnsi="Arial"/>
          <w:sz w:val="24"/>
          <w:szCs w:val="24"/>
        </w:rPr>
        <w:t xml:space="preserve">01. zmena bola schválená OZ uznesením číslo 7/02.2024 zo dňa 13.02.2024 </w:t>
      </w:r>
    </w:p>
    <w:p>
      <w:pPr>
        <w:pStyle w:val="BodyText"/>
        <w:spacing w:before="0" w:after="63"/>
        <w:jc w:val="both"/>
        <w:rPr>
          <w:sz w:val="24"/>
          <w:szCs w:val="24"/>
        </w:rPr>
      </w:pPr>
      <w:r>
        <w:rPr>
          <w:rFonts w:ascii="Arial" w:hAnsi="Arial"/>
          <w:sz w:val="24"/>
          <w:szCs w:val="24"/>
        </w:rPr>
        <w:t>02. zmena bola schválená starostkou obce dňa 15.02.2024</w:t>
      </w:r>
    </w:p>
    <w:p>
      <w:pPr>
        <w:pStyle w:val="BodyText"/>
        <w:spacing w:before="0" w:after="63"/>
        <w:jc w:val="both"/>
        <w:rPr>
          <w:sz w:val="24"/>
          <w:szCs w:val="24"/>
        </w:rPr>
      </w:pPr>
      <w:r>
        <w:rPr>
          <w:rFonts w:ascii="Arial" w:hAnsi="Arial"/>
          <w:sz w:val="24"/>
          <w:szCs w:val="24"/>
        </w:rPr>
        <w:t xml:space="preserve">03. zmena bola schválená starostkou obce dňa 25.02.2024 </w:t>
      </w:r>
    </w:p>
    <w:p>
      <w:pPr>
        <w:pStyle w:val="BodyText"/>
        <w:spacing w:before="0" w:after="63"/>
        <w:jc w:val="both"/>
        <w:rPr>
          <w:sz w:val="24"/>
          <w:szCs w:val="24"/>
        </w:rPr>
      </w:pPr>
      <w:r>
        <w:rPr>
          <w:rFonts w:ascii="Arial" w:hAnsi="Arial"/>
          <w:sz w:val="24"/>
          <w:szCs w:val="24"/>
        </w:rPr>
        <w:t>04. zmena bola schválená OZ uznesením číslo 21/05.2024 zo dňa 21.5.2024</w:t>
      </w:r>
    </w:p>
    <w:p>
      <w:pPr>
        <w:pStyle w:val="BodyText"/>
        <w:spacing w:before="0" w:after="63"/>
        <w:jc w:val="both"/>
        <w:rPr>
          <w:sz w:val="24"/>
          <w:szCs w:val="24"/>
        </w:rPr>
      </w:pPr>
      <w:r>
        <w:rPr>
          <w:rFonts w:ascii="Arial" w:hAnsi="Arial"/>
          <w:sz w:val="24"/>
          <w:szCs w:val="24"/>
        </w:rPr>
        <w:t>05. zmena bola schválená OZ uznesením číslo 21/05.2024 zo dňa 21.5.2024</w:t>
      </w:r>
    </w:p>
    <w:p>
      <w:pPr>
        <w:pStyle w:val="BodyText"/>
        <w:spacing w:before="0" w:after="63"/>
        <w:jc w:val="both"/>
        <w:rPr>
          <w:sz w:val="24"/>
          <w:szCs w:val="24"/>
        </w:rPr>
      </w:pPr>
      <w:r>
        <w:rPr>
          <w:rFonts w:ascii="Arial" w:hAnsi="Arial"/>
          <w:sz w:val="24"/>
          <w:szCs w:val="24"/>
        </w:rPr>
        <w:t xml:space="preserve">06. zmena bola schválená starostkou obce dňa 06.06.2024 </w:t>
      </w:r>
    </w:p>
    <w:p>
      <w:pPr>
        <w:pStyle w:val="BodyText"/>
        <w:spacing w:before="0" w:after="63"/>
        <w:jc w:val="both"/>
        <w:rPr>
          <w:sz w:val="24"/>
          <w:szCs w:val="24"/>
        </w:rPr>
      </w:pPr>
      <w:r>
        <w:rPr>
          <w:rFonts w:ascii="Arial" w:hAnsi="Arial"/>
          <w:sz w:val="24"/>
          <w:szCs w:val="24"/>
        </w:rPr>
        <w:t xml:space="preserve">07. zmena bola schválená starostkou obce dňa 10.06.2024 </w:t>
      </w:r>
    </w:p>
    <w:p>
      <w:pPr>
        <w:pStyle w:val="BodyText"/>
        <w:spacing w:before="0" w:after="63"/>
        <w:jc w:val="both"/>
        <w:rPr>
          <w:sz w:val="24"/>
          <w:szCs w:val="24"/>
        </w:rPr>
      </w:pPr>
      <w:r>
        <w:rPr>
          <w:rFonts w:ascii="Arial" w:hAnsi="Arial"/>
          <w:sz w:val="24"/>
          <w:szCs w:val="24"/>
        </w:rPr>
        <w:t>08. zmena bola schválená OZ uznesením číslo 29/06.2024 zo dňa 25.6.2024</w:t>
      </w:r>
    </w:p>
    <w:p>
      <w:pPr>
        <w:pStyle w:val="BodyText"/>
        <w:spacing w:before="0" w:after="63"/>
        <w:jc w:val="both"/>
        <w:rPr>
          <w:sz w:val="24"/>
          <w:szCs w:val="24"/>
        </w:rPr>
      </w:pPr>
      <w:r>
        <w:rPr>
          <w:rFonts w:ascii="Arial" w:hAnsi="Arial"/>
          <w:sz w:val="24"/>
          <w:szCs w:val="24"/>
        </w:rPr>
        <w:t xml:space="preserve">09. zmena bola schválená starostkou obce dňa 15.07.2024 </w:t>
      </w:r>
    </w:p>
    <w:p>
      <w:pPr>
        <w:pStyle w:val="BodyText"/>
        <w:spacing w:before="0" w:after="63"/>
        <w:jc w:val="both"/>
        <w:rPr>
          <w:sz w:val="24"/>
          <w:szCs w:val="24"/>
        </w:rPr>
      </w:pPr>
      <w:r>
        <w:rPr>
          <w:rFonts w:ascii="Arial" w:hAnsi="Arial"/>
          <w:sz w:val="24"/>
          <w:szCs w:val="24"/>
        </w:rPr>
        <w:t xml:space="preserve">10. zmena bola schválená starostkou obce dňa 29.07.2024 </w:t>
      </w:r>
    </w:p>
    <w:p>
      <w:pPr>
        <w:pStyle w:val="BodyText"/>
        <w:spacing w:before="0" w:after="63"/>
        <w:jc w:val="both"/>
        <w:rPr>
          <w:sz w:val="24"/>
          <w:szCs w:val="24"/>
        </w:rPr>
      </w:pPr>
      <w:r>
        <w:rPr>
          <w:rFonts w:ascii="Arial" w:hAnsi="Arial"/>
          <w:sz w:val="24"/>
          <w:szCs w:val="24"/>
        </w:rPr>
        <w:t xml:space="preserve">11. zmena bola schválená starostkou obce dňa 12.08.2024 </w:t>
      </w:r>
    </w:p>
    <w:p>
      <w:pPr>
        <w:pStyle w:val="BodyText"/>
        <w:spacing w:before="0" w:after="63"/>
        <w:jc w:val="both"/>
        <w:rPr>
          <w:sz w:val="24"/>
          <w:szCs w:val="24"/>
        </w:rPr>
      </w:pPr>
      <w:r>
        <w:rPr>
          <w:rFonts w:ascii="Arial" w:hAnsi="Arial"/>
          <w:sz w:val="24"/>
          <w:szCs w:val="24"/>
        </w:rPr>
        <w:t>12. zmena bola schválená starostkou obce dňa 15.11.2024</w:t>
      </w:r>
    </w:p>
    <w:p>
      <w:pPr>
        <w:pStyle w:val="BodyText"/>
        <w:spacing w:before="0" w:after="63"/>
        <w:jc w:val="both"/>
        <w:rPr>
          <w:sz w:val="24"/>
          <w:szCs w:val="24"/>
        </w:rPr>
      </w:pPr>
      <w:r>
        <w:rPr>
          <w:rFonts w:ascii="Arial" w:hAnsi="Arial"/>
          <w:sz w:val="24"/>
          <w:szCs w:val="24"/>
        </w:rPr>
        <w:t>13. zmena bola schválená starostkou obce dňa 20.11.2024</w:t>
      </w:r>
    </w:p>
    <w:p>
      <w:pPr>
        <w:pStyle w:val="BodyText"/>
        <w:spacing w:before="0" w:after="63"/>
        <w:jc w:val="both"/>
        <w:rPr>
          <w:sz w:val="24"/>
          <w:szCs w:val="24"/>
        </w:rPr>
      </w:pPr>
      <w:r>
        <w:rPr>
          <w:rFonts w:ascii="Arial" w:hAnsi="Arial"/>
          <w:sz w:val="24"/>
          <w:szCs w:val="24"/>
        </w:rPr>
        <w:t>14. zmena bola schválená starostkou obce dňa 01.12.2024</w:t>
      </w:r>
    </w:p>
    <w:p>
      <w:pPr>
        <w:pStyle w:val="BodyText"/>
        <w:spacing w:before="0" w:after="63"/>
        <w:jc w:val="both"/>
        <w:rPr>
          <w:sz w:val="24"/>
          <w:szCs w:val="24"/>
        </w:rPr>
      </w:pPr>
      <w:r>
        <w:rPr>
          <w:rFonts w:ascii="Arial" w:hAnsi="Arial"/>
          <w:sz w:val="24"/>
          <w:szCs w:val="24"/>
        </w:rPr>
        <w:t>15. zmena bola schválená OZ uznesením číslo 46/12.2024 zo dňa 3.12.2024</w:t>
      </w:r>
    </w:p>
    <w:p>
      <w:pPr>
        <w:pStyle w:val="BodyText"/>
        <w:spacing w:before="0" w:after="63"/>
        <w:jc w:val="both"/>
        <w:rPr>
          <w:sz w:val="24"/>
          <w:szCs w:val="24"/>
        </w:rPr>
      </w:pPr>
      <w:r>
        <w:rPr>
          <w:rFonts w:ascii="Arial" w:hAnsi="Arial"/>
          <w:sz w:val="24"/>
          <w:szCs w:val="24"/>
        </w:rPr>
        <w:t>16. zmena bola schválená starostkou obce dňa 05.12.2024</w:t>
      </w:r>
    </w:p>
    <w:p>
      <w:pPr>
        <w:pStyle w:val="BodyText"/>
        <w:spacing w:before="0" w:after="63"/>
        <w:jc w:val="both"/>
        <w:rPr>
          <w:sz w:val="20"/>
          <w:szCs w:val="20"/>
        </w:rPr>
      </w:pPr>
      <w:r>
        <w:rPr>
          <w:sz w:val="20"/>
          <w:szCs w:val="20"/>
        </w:rPr>
      </w:r>
    </w:p>
    <w:p>
      <w:pPr>
        <w:pStyle w:val="Heading1"/>
        <w:numPr>
          <w:ilvl w:val="0"/>
          <w:numId w:val="1"/>
        </w:numPr>
        <w:tabs>
          <w:tab w:val="clear" w:pos="708"/>
          <w:tab w:val="left" w:pos="0" w:leader="none"/>
        </w:tabs>
        <w:jc w:val="center"/>
        <w:rPr>
          <w:sz w:val="24"/>
          <w:szCs w:val="24"/>
        </w:rPr>
      </w:pPr>
      <w:r>
        <w:rPr>
          <w:rFonts w:cs="Arial" w:ascii="Arial" w:hAnsi="Arial"/>
          <w:sz w:val="24"/>
          <w:szCs w:val="24"/>
        </w:rPr>
        <w:t>Rozpočet obce k 31.12.2024</w:t>
      </w:r>
    </w:p>
    <w:p>
      <w:pPr>
        <w:pStyle w:val="Normal"/>
        <w:rPr>
          <w:color w:val="C9211E"/>
        </w:rPr>
      </w:pPr>
      <w:r>
        <w:rPr>
          <w:color w:val="C9211E"/>
        </w:rPr>
      </w:r>
    </w:p>
    <w:tbl>
      <w:tblPr>
        <w:tblW w:w="9930"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0"/>
        <w:gridCol w:w="1670"/>
        <w:gridCol w:w="1815"/>
        <w:gridCol w:w="2469"/>
        <w:gridCol w:w="1566"/>
      </w:tblGrid>
      <w:tr>
        <w:trPr/>
        <w:tc>
          <w:tcPr>
            <w:tcW w:w="241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both"/>
              <w:rPr>
                <w:b/>
                <w:sz w:val="20"/>
                <w:szCs w:val="20"/>
              </w:rPr>
            </w:pPr>
            <w:r>
              <w:rPr>
                <w:b/>
                <w:sz w:val="20"/>
                <w:szCs w:val="20"/>
              </w:rPr>
            </w:r>
          </w:p>
        </w:tc>
        <w:tc>
          <w:tcPr>
            <w:tcW w:w="167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820" w:leader="none"/>
              </w:tabs>
              <w:jc w:val="center"/>
              <w:rPr/>
            </w:pPr>
            <w:r>
              <w:rPr>
                <w:b/>
                <w:sz w:val="20"/>
                <w:szCs w:val="20"/>
              </w:rPr>
              <w:t>Schválený rozpočet</w:t>
            </w:r>
          </w:p>
          <w:p>
            <w:pPr>
              <w:pStyle w:val="Normal"/>
              <w:tabs>
                <w:tab w:val="clear" w:pos="708"/>
                <w:tab w:val="right" w:pos="8460" w:leader="none"/>
              </w:tabs>
              <w:jc w:val="center"/>
              <w:rPr>
                <w:b/>
                <w:sz w:val="20"/>
                <w:szCs w:val="20"/>
              </w:rPr>
            </w:pPr>
            <w:r>
              <w:rPr>
                <w:b/>
                <w:sz w:val="20"/>
                <w:szCs w:val="20"/>
              </w:rPr>
            </w:r>
          </w:p>
        </w:tc>
        <w:tc>
          <w:tcPr>
            <w:tcW w:w="1815"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820" w:leader="none"/>
              </w:tabs>
              <w:jc w:val="center"/>
              <w:rPr/>
            </w:pPr>
            <w:r>
              <w:rPr>
                <w:b/>
                <w:sz w:val="20"/>
                <w:szCs w:val="20"/>
              </w:rPr>
              <w:t>Schválený rozpočet</w:t>
            </w:r>
          </w:p>
          <w:p>
            <w:pPr>
              <w:pStyle w:val="Normal"/>
              <w:tabs>
                <w:tab w:val="clear" w:pos="708"/>
                <w:tab w:val="right" w:pos="8820" w:leader="none"/>
              </w:tabs>
              <w:jc w:val="center"/>
              <w:rPr>
                <w:b/>
                <w:sz w:val="20"/>
                <w:szCs w:val="20"/>
              </w:rPr>
            </w:pPr>
            <w:r>
              <w:rPr>
                <w:b/>
                <w:sz w:val="20"/>
                <w:szCs w:val="20"/>
              </w:rPr>
              <w:t>po poslednej zmene</w:t>
            </w:r>
          </w:p>
        </w:tc>
        <w:tc>
          <w:tcPr>
            <w:tcW w:w="24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820" w:leader="none"/>
              </w:tabs>
              <w:jc w:val="center"/>
              <w:rPr>
                <w:b/>
                <w:sz w:val="20"/>
                <w:szCs w:val="20"/>
              </w:rPr>
            </w:pPr>
            <w:r>
              <w:rPr>
                <w:b/>
                <w:sz w:val="20"/>
                <w:szCs w:val="20"/>
              </w:rPr>
              <w:t>Skutočné</w:t>
            </w:r>
          </w:p>
          <w:p>
            <w:pPr>
              <w:pStyle w:val="Normal"/>
              <w:tabs>
                <w:tab w:val="clear" w:pos="708"/>
                <w:tab w:val="right" w:pos="8820" w:leader="none"/>
              </w:tabs>
              <w:jc w:val="center"/>
              <w:rPr>
                <w:sz w:val="20"/>
                <w:szCs w:val="20"/>
              </w:rPr>
            </w:pPr>
            <w:r>
              <w:rPr>
                <w:b/>
                <w:sz w:val="20"/>
                <w:szCs w:val="20"/>
              </w:rPr>
              <w:t>plnenie príjmov/ čerpanie výdavkov</w:t>
            </w:r>
          </w:p>
          <w:p>
            <w:pPr>
              <w:pStyle w:val="Normal"/>
              <w:tabs>
                <w:tab w:val="clear" w:pos="708"/>
                <w:tab w:val="right" w:pos="8820" w:leader="none"/>
              </w:tabs>
              <w:jc w:val="center"/>
              <w:rPr>
                <w:sz w:val="20"/>
                <w:szCs w:val="20"/>
              </w:rPr>
            </w:pPr>
            <w:r>
              <w:rPr>
                <w:b/>
                <w:sz w:val="20"/>
                <w:szCs w:val="20"/>
              </w:rPr>
              <w:t>k 31.12.2024</w:t>
            </w:r>
          </w:p>
        </w:tc>
        <w:tc>
          <w:tcPr>
            <w:tcW w:w="1566"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820" w:leader="none"/>
              </w:tabs>
              <w:jc w:val="center"/>
              <w:rPr>
                <w:b/>
                <w:sz w:val="20"/>
                <w:szCs w:val="20"/>
              </w:rPr>
            </w:pPr>
            <w:r>
              <w:rPr>
                <w:b/>
                <w:sz w:val="20"/>
                <w:szCs w:val="20"/>
              </w:rPr>
              <w:t>% plnenia príjmov/</w:t>
            </w:r>
          </w:p>
          <w:p>
            <w:pPr>
              <w:pStyle w:val="Normal"/>
              <w:tabs>
                <w:tab w:val="clear" w:pos="708"/>
                <w:tab w:val="right" w:pos="8820" w:leader="none"/>
              </w:tabs>
              <w:jc w:val="center"/>
              <w:rPr>
                <w:b/>
                <w:sz w:val="20"/>
                <w:szCs w:val="20"/>
              </w:rPr>
            </w:pPr>
            <w:r>
              <w:rPr>
                <w:b/>
                <w:sz w:val="20"/>
                <w:szCs w:val="20"/>
              </w:rPr>
              <w:t>% čerpania výdavkov</w:t>
            </w:r>
          </w:p>
        </w:tc>
      </w:tr>
      <w:tr>
        <w:trPr/>
        <w:tc>
          <w:tcPr>
            <w:tcW w:w="241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jc w:val="both"/>
              <w:rPr>
                <w:sz w:val="20"/>
                <w:szCs w:val="20"/>
              </w:rPr>
            </w:pPr>
            <w:r>
              <w:rPr>
                <w:b/>
                <w:sz w:val="20"/>
                <w:szCs w:val="20"/>
              </w:rPr>
              <w:t>Príjmy celkom</w:t>
            </w:r>
          </w:p>
        </w:tc>
        <w:tc>
          <w:tcPr>
            <w:tcW w:w="167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499.640,00</w:t>
            </w:r>
          </w:p>
        </w:tc>
        <w:tc>
          <w:tcPr>
            <w:tcW w:w="1815"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591.455,00</w:t>
            </w:r>
          </w:p>
        </w:tc>
        <w:tc>
          <w:tcPr>
            <w:tcW w:w="24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541.585,81</w:t>
            </w:r>
          </w:p>
        </w:tc>
        <w:tc>
          <w:tcPr>
            <w:tcW w:w="1566"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91,57</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z toho :</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both"/>
              <w:rPr>
                <w:b/>
                <w:sz w:val="20"/>
                <w:szCs w:val="20"/>
              </w:rPr>
            </w:pPr>
            <w:r>
              <w:rPr>
                <w:b/>
                <w:sz w:val="20"/>
                <w:szCs w:val="20"/>
              </w:rPr>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both"/>
              <w:rPr>
                <w:b/>
                <w:sz w:val="20"/>
                <w:szCs w:val="20"/>
              </w:rPr>
            </w:pPr>
            <w:r>
              <w:rPr>
                <w:b/>
                <w:sz w:val="20"/>
                <w:szCs w:val="20"/>
              </w:rPr>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both"/>
              <w:rPr>
                <w:b/>
                <w:sz w:val="20"/>
                <w:szCs w:val="20"/>
              </w:rPr>
            </w:pPr>
            <w:r>
              <w:rPr>
                <w:b/>
                <w:sz w:val="20"/>
                <w:szCs w:val="20"/>
              </w:rPr>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both"/>
              <w:rPr>
                <w:b/>
                <w:sz w:val="20"/>
                <w:szCs w:val="20"/>
              </w:rPr>
            </w:pPr>
            <w:r>
              <w:rPr>
                <w:b/>
                <w:sz w:val="20"/>
                <w:szCs w:val="20"/>
              </w:rPr>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Bežné príjmy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352.760,00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401.544,00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397.609,78</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99,02</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Kapitálové príjmy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numPr>
                <w:ilvl w:val="0"/>
                <w:numId w:val="0"/>
              </w:numPr>
              <w:snapToGrid w:val="false"/>
              <w:ind w:hanging="0" w:left="0"/>
              <w:jc w:val="center"/>
              <w:outlineLvl w:val="0"/>
              <w:rPr>
                <w:sz w:val="20"/>
                <w:szCs w:val="20"/>
              </w:rPr>
            </w:pPr>
            <w:r>
              <w:rPr>
                <w:sz w:val="20"/>
                <w:szCs w:val="20"/>
              </w:rPr>
              <w:t>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numPr>
                <w:ilvl w:val="0"/>
                <w:numId w:val="0"/>
              </w:numPr>
              <w:snapToGrid w:val="false"/>
              <w:ind w:hanging="0" w:left="0"/>
              <w:jc w:val="center"/>
              <w:outlineLvl w:val="0"/>
              <w:rPr>
                <w:sz w:val="20"/>
                <w:szCs w:val="20"/>
              </w:rPr>
            </w:pPr>
            <w:r>
              <w:rPr>
                <w:sz w:val="20"/>
                <w:szCs w:val="20"/>
              </w:rPr>
              <w:t>553,00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numPr>
                <w:ilvl w:val="0"/>
                <w:numId w:val="0"/>
              </w:numPr>
              <w:snapToGrid w:val="false"/>
              <w:ind w:hanging="0" w:left="0"/>
              <w:jc w:val="center"/>
              <w:outlineLvl w:val="0"/>
              <w:rPr>
                <w:sz w:val="20"/>
                <w:szCs w:val="20"/>
              </w:rPr>
            </w:pPr>
            <w:r>
              <w:rPr>
                <w:sz w:val="20"/>
                <w:szCs w:val="20"/>
              </w:rPr>
              <w:t>1.370,04</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numPr>
                <w:ilvl w:val="0"/>
                <w:numId w:val="0"/>
              </w:numPr>
              <w:snapToGrid w:val="false"/>
              <w:ind w:hanging="0" w:left="0"/>
              <w:jc w:val="center"/>
              <w:outlineLvl w:val="0"/>
              <w:rPr>
                <w:sz w:val="20"/>
                <w:szCs w:val="20"/>
              </w:rPr>
            </w:pPr>
            <w:r>
              <w:rPr>
                <w:sz w:val="20"/>
                <w:szCs w:val="20"/>
              </w:rPr>
              <w:t>247,75</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Finančné príjmy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136.680,00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178.051,00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130.778,72</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73,45</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Príjmy MŠ</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10.200,00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11.307,00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11.827,27</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104,60</w:t>
            </w:r>
          </w:p>
        </w:tc>
      </w:tr>
      <w:tr>
        <w:trPr/>
        <w:tc>
          <w:tcPr>
            <w:tcW w:w="241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jc w:val="both"/>
              <w:rPr>
                <w:b/>
                <w:sz w:val="20"/>
                <w:szCs w:val="20"/>
              </w:rPr>
            </w:pPr>
            <w:r>
              <w:rPr>
                <w:b/>
                <w:sz w:val="20"/>
                <w:szCs w:val="20"/>
              </w:rPr>
              <w:t>Výdavky celkom</w:t>
            </w:r>
          </w:p>
        </w:tc>
        <w:tc>
          <w:tcPr>
            <w:tcW w:w="167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499.640,00</w:t>
            </w:r>
          </w:p>
        </w:tc>
        <w:tc>
          <w:tcPr>
            <w:tcW w:w="1815"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591.455,00</w:t>
            </w:r>
          </w:p>
        </w:tc>
        <w:tc>
          <w:tcPr>
            <w:tcW w:w="24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464.102,78</w:t>
            </w:r>
          </w:p>
        </w:tc>
        <w:tc>
          <w:tcPr>
            <w:tcW w:w="1566"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78,47</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z toho :</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b/>
                <w:sz w:val="20"/>
                <w:szCs w:val="20"/>
              </w:rPr>
            </w:pPr>
            <w:r>
              <w:rPr>
                <w:b/>
                <w:sz w:val="20"/>
                <w:szCs w:val="20"/>
              </w:rPr>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b/>
                <w:sz w:val="20"/>
                <w:szCs w:val="20"/>
              </w:rPr>
            </w:pPr>
            <w:r>
              <w:rPr>
                <w:b/>
                <w:sz w:val="20"/>
                <w:szCs w:val="20"/>
              </w:rPr>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b/>
                <w:sz w:val="20"/>
                <w:szCs w:val="20"/>
              </w:rPr>
            </w:pPr>
            <w:r>
              <w:rPr>
                <w:b/>
                <w:sz w:val="20"/>
                <w:szCs w:val="20"/>
              </w:rPr>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b/>
                <w:sz w:val="20"/>
                <w:szCs w:val="20"/>
              </w:rPr>
            </w:pPr>
            <w:r>
              <w:rPr>
                <w:b/>
                <w:sz w:val="20"/>
                <w:szCs w:val="20"/>
              </w:rPr>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Bežné výdavky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240.800,00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277.631,00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224.908,15</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81,01</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Kapitálové výdavky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151.500,00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196.203,00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125.706,55</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64,07</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Finančné výdavky</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3.000,00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3.000,00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2.869,77</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95,66</w:t>
            </w:r>
          </w:p>
        </w:tc>
      </w:tr>
      <w:tr>
        <w:trPr/>
        <w:tc>
          <w:tcPr>
            <w:tcW w:w="241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jc w:val="both"/>
              <w:rPr>
                <w:sz w:val="20"/>
                <w:szCs w:val="20"/>
              </w:rPr>
            </w:pPr>
            <w:r>
              <w:rPr>
                <w:sz w:val="20"/>
                <w:szCs w:val="20"/>
              </w:rPr>
              <w:t>Výdavky MŠ</w:t>
            </w:r>
          </w:p>
        </w:tc>
        <w:tc>
          <w:tcPr>
            <w:tcW w:w="1670"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104.340,00</w:t>
            </w:r>
          </w:p>
        </w:tc>
        <w:tc>
          <w:tcPr>
            <w:tcW w:w="1815"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114.621,00</w:t>
            </w:r>
          </w:p>
        </w:tc>
        <w:tc>
          <w:tcPr>
            <w:tcW w:w="2469"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110.618,31</w:t>
            </w:r>
          </w:p>
        </w:tc>
        <w:tc>
          <w:tcPr>
            <w:tcW w:w="1566"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right" w:pos="8460" w:leader="none"/>
              </w:tabs>
              <w:snapToGrid w:val="false"/>
              <w:jc w:val="center"/>
              <w:rPr>
                <w:sz w:val="20"/>
                <w:szCs w:val="20"/>
              </w:rPr>
            </w:pPr>
            <w:r>
              <w:rPr>
                <w:sz w:val="20"/>
                <w:szCs w:val="20"/>
              </w:rPr>
              <w:t>96,51</w:t>
            </w:r>
          </w:p>
        </w:tc>
      </w:tr>
      <w:tr>
        <w:trPr/>
        <w:tc>
          <w:tcPr>
            <w:tcW w:w="241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rPr>
                <w:sz w:val="20"/>
                <w:szCs w:val="20"/>
              </w:rPr>
            </w:pPr>
            <w:r>
              <w:rPr>
                <w:b/>
                <w:sz w:val="20"/>
                <w:szCs w:val="20"/>
              </w:rPr>
              <w:t>Rozpočtové hospodárenie obce</w:t>
            </w:r>
          </w:p>
        </w:tc>
        <w:tc>
          <w:tcPr>
            <w:tcW w:w="1670"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0,00</w:t>
            </w:r>
          </w:p>
        </w:tc>
        <w:tc>
          <w:tcPr>
            <w:tcW w:w="1815"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0,00</w:t>
            </w:r>
          </w:p>
        </w:tc>
        <w:tc>
          <w:tcPr>
            <w:tcW w:w="2469"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t>77.483,03</w:t>
            </w:r>
          </w:p>
        </w:tc>
        <w:tc>
          <w:tcPr>
            <w:tcW w:w="1566" w:type="dxa"/>
            <w:tcBorders>
              <w:top w:val="single" w:sz="4" w:space="0" w:color="000000"/>
              <w:left w:val="single" w:sz="4" w:space="0" w:color="000000"/>
              <w:bottom w:val="single" w:sz="4" w:space="0" w:color="000000"/>
              <w:right w:val="single" w:sz="4" w:space="0" w:color="000000"/>
            </w:tcBorders>
            <w:shd w:color="auto" w:fill="D9D9D9" w:val="clear"/>
          </w:tcPr>
          <w:p>
            <w:pPr>
              <w:pStyle w:val="Normal"/>
              <w:tabs>
                <w:tab w:val="clear" w:pos="708"/>
                <w:tab w:val="right" w:pos="8460" w:leader="none"/>
              </w:tabs>
              <w:snapToGrid w:val="false"/>
              <w:jc w:val="center"/>
              <w:rPr>
                <w:b/>
                <w:sz w:val="20"/>
                <w:szCs w:val="20"/>
              </w:rPr>
            </w:pPr>
            <w:r>
              <w:rPr>
                <w:b/>
                <w:sz w:val="20"/>
                <w:szCs w:val="20"/>
              </w:rPr>
            </w:r>
          </w:p>
        </w:tc>
      </w:tr>
    </w:tbl>
    <w:p>
      <w:pPr>
        <w:pStyle w:val="ListParagraph"/>
        <w:ind w:hanging="0" w:left="0"/>
        <w:rPr>
          <w:rFonts w:ascii="Arial" w:hAnsi="Arial" w:cs="Arial"/>
          <w:b/>
          <w:sz w:val="20"/>
          <w:szCs w:val="20"/>
          <w:lang w:val="sk-SK"/>
        </w:rPr>
      </w:pPr>
      <w:r>
        <w:rPr>
          <w:rFonts w:cs="Arial" w:ascii="Arial" w:hAnsi="Arial"/>
          <w:b/>
          <w:sz w:val="20"/>
          <w:szCs w:val="20"/>
          <w:lang w:val="sk-SK"/>
        </w:rPr>
      </w:r>
    </w:p>
    <w:p>
      <w:pPr>
        <w:pStyle w:val="ListParagraph"/>
        <w:ind w:hanging="0" w:left="0"/>
        <w:rPr>
          <w:sz w:val="24"/>
          <w:szCs w:val="24"/>
        </w:rPr>
      </w:pPr>
      <w:r>
        <w:rPr>
          <w:rFonts w:cs="Arial" w:ascii="Arial" w:hAnsi="Arial"/>
          <w:b/>
          <w:color w:val="000000"/>
          <w:sz w:val="24"/>
          <w:szCs w:val="24"/>
          <w:lang w:val="sk-SK"/>
        </w:rPr>
        <w:t xml:space="preserve"> </w:t>
      </w:r>
      <w:r>
        <w:rPr>
          <w:rFonts w:cs="Arial" w:ascii="Arial" w:hAnsi="Arial"/>
          <w:b/>
          <w:color w:val="000000"/>
          <w:sz w:val="24"/>
          <w:szCs w:val="24"/>
          <w:lang w:val="sk-SK"/>
        </w:rPr>
        <w:t>Rozbor plnenia príjmov za rok 2024</w:t>
      </w:r>
    </w:p>
    <w:p>
      <w:pPr>
        <w:pStyle w:val="ListParagraph"/>
        <w:rPr>
          <w:rFonts w:ascii="Arial" w:hAnsi="Arial"/>
          <w:color w:val="000000"/>
          <w:sz w:val="20"/>
          <w:szCs w:val="20"/>
        </w:rPr>
      </w:pPr>
      <w:r>
        <w:rPr>
          <w:rFonts w:ascii="Arial" w:hAnsi="Arial"/>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489 440,00 €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580 148,00 €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529 758,54 €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91,31 %</w:t>
            </w:r>
          </w:p>
        </w:tc>
      </w:tr>
    </w:tbl>
    <w:p>
      <w:pPr>
        <w:pStyle w:val="Normal"/>
        <w:rPr>
          <w:rFonts w:ascii="Arial" w:hAnsi="Arial" w:cs="Arial"/>
          <w:b/>
          <w:bCs/>
          <w:color w:val="000000"/>
          <w:sz w:val="20"/>
          <w:szCs w:val="20"/>
        </w:rPr>
      </w:pPr>
      <w:r>
        <w:rPr>
          <w:rFonts w:cs="Arial" w:ascii="Arial" w:hAnsi="Arial"/>
          <w:b/>
          <w:bCs/>
          <w:color w:val="000000"/>
          <w:sz w:val="20"/>
          <w:szCs w:val="20"/>
        </w:rPr>
      </w:r>
    </w:p>
    <w:p>
      <w:pPr>
        <w:pStyle w:val="Normal"/>
        <w:rPr>
          <w:rFonts w:ascii="Arial" w:hAnsi="Arial" w:cs="Arial"/>
          <w:b/>
          <w:bCs/>
          <w:color w:val="000000"/>
          <w:sz w:val="20"/>
          <w:szCs w:val="20"/>
        </w:rPr>
      </w:pPr>
      <w:r>
        <w:rPr>
          <w:rFonts w:cs="Arial" w:ascii="Arial" w:hAnsi="Arial"/>
          <w:b/>
          <w:bCs/>
          <w:color w:val="000000"/>
          <w:sz w:val="20"/>
          <w:szCs w:val="20"/>
        </w:rPr>
      </w:r>
    </w:p>
    <w:p>
      <w:pPr>
        <w:pStyle w:val="Normal"/>
        <w:rPr>
          <w:sz w:val="20"/>
          <w:szCs w:val="20"/>
        </w:rPr>
      </w:pPr>
      <w:r>
        <w:rPr>
          <w:rFonts w:cs="Arial" w:ascii="Arial" w:hAnsi="Arial"/>
          <w:b/>
          <w:bCs/>
          <w:color w:val="000000"/>
          <w:sz w:val="20"/>
          <w:szCs w:val="20"/>
        </w:rPr>
        <w:t>Bežné príjmy</w:t>
      </w:r>
    </w:p>
    <w:p>
      <w:pPr>
        <w:pStyle w:val="Normal"/>
        <w:rPr>
          <w:rFonts w:cs="Arial"/>
          <w:b/>
          <w:bCs/>
        </w:rPr>
      </w:pPr>
      <w:r>
        <w:rPr>
          <w:rFonts w:cs="Arial"/>
          <w:b/>
          <w:bCs/>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352 760,00 €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401 544,00 €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397 609,78 €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99,02 %</w:t>
            </w:r>
          </w:p>
        </w:tc>
      </w:tr>
    </w:tbl>
    <w:p>
      <w:pPr>
        <w:pStyle w:val="Normal"/>
        <w:tabs>
          <w:tab w:val="clear" w:pos="708"/>
          <w:tab w:val="left" w:pos="353" w:leader="none"/>
        </w:tabs>
        <w:rPr>
          <w:color w:val="C9211E"/>
        </w:rPr>
      </w:pPr>
      <w:r>
        <w:rPr>
          <w:rFonts w:eastAsia="Arial" w:cs="Arial" w:ascii="Arial" w:hAnsi="Arial"/>
          <w:color w:val="000000"/>
          <w:sz w:val="20"/>
          <w:szCs w:val="20"/>
        </w:rPr>
        <w:t xml:space="preserve">     </w:t>
      </w:r>
    </w:p>
    <w:p>
      <w:pPr>
        <w:pStyle w:val="Normal"/>
        <w:tabs>
          <w:tab w:val="clear" w:pos="708"/>
          <w:tab w:val="left" w:pos="353" w:leader="none"/>
        </w:tabs>
        <w:rPr>
          <w:rFonts w:ascii="Arial" w:hAnsi="Arial"/>
          <w:color w:val="000000"/>
          <w:sz w:val="20"/>
          <w:szCs w:val="20"/>
        </w:rPr>
      </w:pPr>
      <w:r>
        <w:rPr>
          <w:rFonts w:eastAsia="Arial" w:cs="Arial" w:ascii="Arial" w:hAnsi="Arial"/>
          <w:color w:val="000000"/>
          <w:sz w:val="20"/>
          <w:szCs w:val="20"/>
        </w:rPr>
        <w:t xml:space="preserve">  </w:t>
      </w:r>
      <w:r>
        <w:rPr>
          <w:rFonts w:cs="Arial" w:ascii="Arial" w:hAnsi="Arial"/>
          <w:b/>
          <w:bCs/>
          <w:color w:val="000000"/>
          <w:sz w:val="20"/>
          <w:szCs w:val="20"/>
        </w:rPr>
        <w:t>A. Bežné príjmy  - daňové</w:t>
      </w:r>
    </w:p>
    <w:p>
      <w:pPr>
        <w:pStyle w:val="Normal"/>
        <w:tabs>
          <w:tab w:val="clear" w:pos="708"/>
          <w:tab w:val="left" w:pos="353" w:leader="none"/>
        </w:tabs>
        <w:rPr>
          <w:rFonts w:cs="Arial"/>
          <w:b/>
          <w:bCs/>
        </w:rPr>
      </w:pPr>
      <w:r>
        <w:rPr>
          <w:rFonts w:cs="Arial"/>
          <w:b/>
          <w:bCs/>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0"/>
        <w:gridCol w:w="2409"/>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Schválený</w:t>
            </w:r>
          </w:p>
          <w:p>
            <w:pPr>
              <w:pStyle w:val="Normal"/>
              <w:jc w:val="center"/>
              <w:rPr>
                <w:rFonts w:ascii="Arial" w:hAnsi="Arial"/>
                <w:color w:val="000000"/>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Schválený rozpočet</w:t>
            </w:r>
          </w:p>
          <w:p>
            <w:pPr>
              <w:pStyle w:val="Normal"/>
              <w:jc w:val="center"/>
              <w:rPr>
                <w:rFonts w:ascii="Arial" w:hAnsi="Arial"/>
                <w:color w:val="000000"/>
                <w:sz w:val="20"/>
                <w:szCs w:val="20"/>
              </w:rPr>
            </w:pPr>
            <w:r>
              <w:rPr>
                <w:rFonts w:ascii="Arial" w:hAnsi="Arial"/>
                <w:color w:val="000000"/>
                <w:sz w:val="20"/>
                <w:szCs w:val="20"/>
              </w:rPr>
              <w:t>po poslednej zmene</w:t>
            </w:r>
          </w:p>
        </w:tc>
        <w:tc>
          <w:tcPr>
            <w:tcW w:w="2550"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Skutočné</w:t>
            </w:r>
          </w:p>
          <w:p>
            <w:pPr>
              <w:pStyle w:val="Normal"/>
              <w:jc w:val="center"/>
              <w:rPr>
                <w:rFonts w:ascii="Arial" w:hAnsi="Arial"/>
                <w:color w:val="000000"/>
                <w:sz w:val="20"/>
                <w:szCs w:val="20"/>
              </w:rPr>
            </w:pPr>
            <w:r>
              <w:rPr>
                <w:rFonts w:ascii="Arial" w:hAnsi="Arial"/>
                <w:color w:val="000000"/>
                <w:sz w:val="20"/>
                <w:szCs w:val="20"/>
              </w:rPr>
              <w:t>plnenie príjmov</w:t>
            </w:r>
          </w:p>
        </w:tc>
        <w:tc>
          <w:tcPr>
            <w:tcW w:w="2409"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 plnenia príjmov</w:t>
            </w:r>
          </w:p>
          <w:p>
            <w:pPr>
              <w:pStyle w:val="Normal"/>
              <w:jc w:val="center"/>
              <w:rPr>
                <w:rFonts w:ascii="Arial" w:hAnsi="Arial"/>
                <w:color w:val="000000"/>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336 450,00 €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351 764,00 €</w:t>
            </w:r>
          </w:p>
        </w:tc>
        <w:tc>
          <w:tcPr>
            <w:tcW w:w="2550"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350 254,73 €</w:t>
            </w:r>
          </w:p>
        </w:tc>
        <w:tc>
          <w:tcPr>
            <w:tcW w:w="2409"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99,57 %</w:t>
            </w:r>
          </w:p>
        </w:tc>
      </w:tr>
    </w:tbl>
    <w:p>
      <w:pPr>
        <w:pStyle w:val="Normal"/>
        <w:rPr>
          <w:rFonts w:ascii="Arial" w:hAnsi="Arial"/>
          <w:color w:val="000000"/>
          <w:sz w:val="20"/>
          <w:szCs w:val="20"/>
        </w:rPr>
      </w:pPr>
      <w:r>
        <w:rPr>
          <w:rFonts w:cs="Arial" w:ascii="Arial" w:hAnsi="Arial"/>
          <w:b/>
          <w:bCs/>
          <w:color w:val="000000"/>
          <w:sz w:val="20"/>
          <w:szCs w:val="20"/>
        </w:rPr>
        <w:tab/>
      </w:r>
    </w:p>
    <w:p>
      <w:pPr>
        <w:pStyle w:val="Normal"/>
        <w:rPr>
          <w:rFonts w:ascii="Arial" w:hAnsi="Arial"/>
          <w:color w:val="000000"/>
          <w:sz w:val="20"/>
          <w:szCs w:val="20"/>
        </w:rPr>
      </w:pPr>
      <w:r>
        <w:rPr>
          <w:rFonts w:cs="Arial" w:ascii="Arial" w:hAnsi="Arial"/>
          <w:b/>
          <w:bCs/>
          <w:color w:val="000000"/>
          <w:sz w:val="20"/>
          <w:szCs w:val="20"/>
        </w:rPr>
        <w:t>1. Výnos dane z príjmov poukázaný územnej samospráve</w:t>
      </w:r>
    </w:p>
    <w:p>
      <w:pPr>
        <w:pStyle w:val="Normal"/>
        <w:jc w:val="both"/>
        <w:rPr>
          <w:rFonts w:ascii="Arial" w:hAnsi="Arial"/>
          <w:color w:val="000000"/>
          <w:sz w:val="20"/>
          <w:szCs w:val="20"/>
        </w:rPr>
      </w:pPr>
      <w:r>
        <w:rPr>
          <w:rFonts w:cs="Arial" w:ascii="Arial" w:hAnsi="Arial"/>
          <w:color w:val="000000"/>
          <w:sz w:val="20"/>
          <w:szCs w:val="20"/>
        </w:rPr>
        <w:t xml:space="preserve">Z predpokladanej finančnej čiastky 290 314,00 EUR  z výnosu dane z príjmov k 31.12.2024 boli poukázané prostriedky zo ŠR vo výške 284 935,23 EUR, čo predstavuje plnenie na 98,81 %. </w:t>
      </w:r>
    </w:p>
    <w:p>
      <w:pPr>
        <w:pStyle w:val="Normal"/>
        <w:rPr/>
      </w:pPr>
      <w:r>
        <w:rPr>
          <w:rFonts w:cs="Arial" w:ascii="Arial" w:hAnsi="Arial"/>
          <w:b/>
          <w:bCs/>
          <w:color w:val="000000"/>
          <w:sz w:val="20"/>
          <w:szCs w:val="20"/>
        </w:rPr>
        <w:t>2.  Daň z nehnuteľností</w:t>
      </w:r>
    </w:p>
    <w:p>
      <w:pPr>
        <w:pStyle w:val="Normal"/>
        <w:jc w:val="both"/>
        <w:rPr>
          <w:rFonts w:ascii="Arial" w:hAnsi="Arial"/>
          <w:color w:val="000000"/>
          <w:sz w:val="20"/>
          <w:szCs w:val="20"/>
        </w:rPr>
      </w:pPr>
      <w:r>
        <w:rPr>
          <w:rFonts w:cs="Arial" w:ascii="Arial" w:hAnsi="Arial"/>
          <w:color w:val="000000"/>
          <w:sz w:val="20"/>
          <w:szCs w:val="20"/>
        </w:rPr>
        <w:t>Z rozpočtovaných 31 000,00 EUR bol skutočný príjem k 31.12.2024 vo výške 32 964,29 EUR, čo je 106,34 % plnenia. Príjem dane z pozemkov vo výške 10 609,47 EUR, dane zo stavieb vo výške 22 232,54 EUR  a dane z bytov a nebytových priestorov vo výške 76,26 EUR.</w:t>
      </w:r>
    </w:p>
    <w:p>
      <w:pPr>
        <w:pStyle w:val="Normal"/>
        <w:rPr/>
      </w:pPr>
      <w:r>
        <w:rPr>
          <w:rFonts w:cs="Arial" w:ascii="Arial" w:hAnsi="Arial"/>
          <w:b/>
          <w:bCs/>
          <w:color w:val="000000"/>
          <w:sz w:val="20"/>
          <w:szCs w:val="20"/>
        </w:rPr>
        <w:t>3.  Ostatné miestne dane</w:t>
      </w:r>
    </w:p>
    <w:p>
      <w:pPr>
        <w:pStyle w:val="Normal"/>
        <w:rPr>
          <w:rFonts w:cs="Arial"/>
          <w:b/>
          <w:bCs/>
        </w:rPr>
      </w:pPr>
      <w:r>
        <w:rPr>
          <w:rFonts w:cs="Arial"/>
          <w:b/>
          <w:bCs/>
        </w:rPr>
      </w:r>
    </w:p>
    <w:tbl>
      <w:tblPr>
        <w:tblW w:w="9974" w:type="dxa"/>
        <w:jc w:val="left"/>
        <w:tblInd w:w="66" w:type="dxa"/>
        <w:tblLayout w:type="fixed"/>
        <w:tblCellMar>
          <w:top w:w="0" w:type="dxa"/>
          <w:left w:w="50" w:type="dxa"/>
          <w:bottom w:w="0" w:type="dxa"/>
          <w:right w:w="70" w:type="dxa"/>
        </w:tblCellMar>
        <w:tblLook w:firstRow="0" w:noVBand="0" w:lastRow="0" w:firstColumn="0" w:lastColumn="0" w:noHBand="0" w:val="0000"/>
      </w:tblPr>
      <w:tblGrid>
        <w:gridCol w:w="2895"/>
        <w:gridCol w:w="2114"/>
        <w:gridCol w:w="2416"/>
        <w:gridCol w:w="2548"/>
      </w:tblGrid>
      <w:tr>
        <w:trPr/>
        <w:tc>
          <w:tcPr>
            <w:tcW w:w="2895" w:type="dxa"/>
            <w:tcBorders>
              <w:top w:val="single" w:sz="4" w:space="0" w:color="000080"/>
              <w:left w:val="single" w:sz="4" w:space="0" w:color="000080"/>
              <w:bottom w:val="single" w:sz="4" w:space="0" w:color="000080"/>
            </w:tcBorders>
            <w:shd w:color="auto" w:fill="FFFFFF" w:val="clear"/>
          </w:tcPr>
          <w:p>
            <w:pPr>
              <w:pStyle w:val="Normal"/>
              <w:snapToGrid w:val="false"/>
              <w:rPr>
                <w:rFonts w:ascii="Arial" w:hAnsi="Arial" w:cs="Arial"/>
                <w:color w:val="000000"/>
                <w:sz w:val="20"/>
                <w:szCs w:val="20"/>
              </w:rPr>
            </w:pPr>
            <w:r>
              <w:rPr>
                <w:rFonts w:cs="Arial" w:ascii="Arial" w:hAnsi="Arial"/>
                <w:color w:val="000000"/>
                <w:sz w:val="20"/>
                <w:szCs w:val="20"/>
              </w:rPr>
            </w:r>
          </w:p>
        </w:tc>
        <w:tc>
          <w:tcPr>
            <w:tcW w:w="2114"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eastAsia="Arial" w:cs="Arial" w:ascii="Arial" w:hAnsi="Arial"/>
                <w:color w:val="000000"/>
                <w:sz w:val="20"/>
                <w:szCs w:val="20"/>
              </w:rPr>
              <w:t xml:space="preserve">           </w:t>
            </w:r>
            <w:r>
              <w:rPr>
                <w:rFonts w:cs="Arial" w:ascii="Arial" w:hAnsi="Arial"/>
                <w:color w:val="000000"/>
                <w:sz w:val="20"/>
                <w:szCs w:val="20"/>
              </w:rPr>
              <w:t>Rozpočet</w:t>
            </w:r>
          </w:p>
        </w:tc>
        <w:tc>
          <w:tcPr>
            <w:tcW w:w="2416"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eastAsia="Arial" w:cs="Arial" w:ascii="Arial" w:hAnsi="Arial"/>
                <w:color w:val="000000"/>
                <w:sz w:val="20"/>
                <w:szCs w:val="20"/>
              </w:rPr>
              <w:t xml:space="preserve">       </w:t>
            </w:r>
            <w:r>
              <w:rPr>
                <w:rFonts w:cs="Arial" w:ascii="Arial" w:hAnsi="Arial"/>
                <w:color w:val="000000"/>
                <w:sz w:val="20"/>
                <w:szCs w:val="20"/>
              </w:rPr>
              <w:t>Skutočnosť</w:t>
            </w:r>
          </w:p>
        </w:tc>
        <w:tc>
          <w:tcPr>
            <w:tcW w:w="254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color w:val="C9211E"/>
              </w:rPr>
            </w:pPr>
            <w:r>
              <w:rPr>
                <w:rFonts w:eastAsia="Arial" w:cs="Arial" w:ascii="Arial" w:hAnsi="Arial"/>
                <w:color w:val="000000"/>
                <w:sz w:val="20"/>
                <w:szCs w:val="20"/>
              </w:rPr>
              <w:t xml:space="preserve">              </w:t>
            </w:r>
            <w:r>
              <w:rPr>
                <w:rFonts w:cs="Arial" w:ascii="Arial" w:hAnsi="Arial"/>
                <w:color w:val="000000"/>
                <w:sz w:val="20"/>
                <w:szCs w:val="20"/>
              </w:rPr>
              <w:t>% plnenia</w:t>
            </w:r>
          </w:p>
        </w:tc>
      </w:tr>
      <w:tr>
        <w:trPr/>
        <w:tc>
          <w:tcPr>
            <w:tcW w:w="2895"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cs="Arial" w:ascii="Arial" w:hAnsi="Arial"/>
                <w:color w:val="000000"/>
                <w:sz w:val="20"/>
                <w:szCs w:val="20"/>
              </w:rPr>
              <w:t>Daň za psa</w:t>
            </w:r>
          </w:p>
        </w:tc>
        <w:tc>
          <w:tcPr>
            <w:tcW w:w="2114"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950</w:t>
            </w:r>
          </w:p>
        </w:tc>
        <w:tc>
          <w:tcPr>
            <w:tcW w:w="2416"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977,31</w:t>
            </w:r>
          </w:p>
        </w:tc>
        <w:tc>
          <w:tcPr>
            <w:tcW w:w="254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102,87 %</w:t>
            </w:r>
          </w:p>
        </w:tc>
      </w:tr>
      <w:tr>
        <w:trPr/>
        <w:tc>
          <w:tcPr>
            <w:tcW w:w="2895"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cs="Arial" w:ascii="Arial" w:hAnsi="Arial"/>
                <w:color w:val="000000"/>
                <w:sz w:val="20"/>
                <w:szCs w:val="20"/>
              </w:rPr>
              <w:t>Daň za ubytovanie</w:t>
            </w:r>
          </w:p>
        </w:tc>
        <w:tc>
          <w:tcPr>
            <w:tcW w:w="2114"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2000</w:t>
            </w:r>
          </w:p>
        </w:tc>
        <w:tc>
          <w:tcPr>
            <w:tcW w:w="2416"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3212</w:t>
            </w:r>
          </w:p>
        </w:tc>
        <w:tc>
          <w:tcPr>
            <w:tcW w:w="254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160,60 %</w:t>
            </w:r>
          </w:p>
        </w:tc>
      </w:tr>
      <w:tr>
        <w:trPr>
          <w:trHeight w:val="303" w:hRule="atLeast"/>
        </w:trPr>
        <w:tc>
          <w:tcPr>
            <w:tcW w:w="2895"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cs="Arial" w:ascii="Arial" w:hAnsi="Arial"/>
                <w:color w:val="000000"/>
                <w:sz w:val="20"/>
                <w:szCs w:val="20"/>
              </w:rPr>
              <w:t>Poplatok za TKO</w:t>
            </w:r>
          </w:p>
        </w:tc>
        <w:tc>
          <w:tcPr>
            <w:tcW w:w="2114"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27500</w:t>
            </w:r>
          </w:p>
        </w:tc>
        <w:tc>
          <w:tcPr>
            <w:tcW w:w="2416"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28165,90</w:t>
            </w:r>
          </w:p>
        </w:tc>
        <w:tc>
          <w:tcPr>
            <w:tcW w:w="254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102,42 %</w:t>
            </w:r>
          </w:p>
        </w:tc>
      </w:tr>
    </w:tbl>
    <w:p>
      <w:pPr>
        <w:pStyle w:val="Normal"/>
        <w:rPr>
          <w:rFonts w:ascii="Arial" w:hAnsi="Arial"/>
          <w:color w:val="000000"/>
          <w:sz w:val="20"/>
          <w:szCs w:val="20"/>
        </w:rPr>
      </w:pPr>
      <w:r>
        <w:rPr>
          <w:rFonts w:ascii="Arial" w:hAnsi="Arial"/>
          <w:color w:val="000000"/>
          <w:sz w:val="20"/>
          <w:szCs w:val="20"/>
        </w:rPr>
      </w:r>
    </w:p>
    <w:p>
      <w:pPr>
        <w:pStyle w:val="Normal"/>
        <w:tabs>
          <w:tab w:val="clear" w:pos="708"/>
          <w:tab w:val="left" w:pos="388" w:leader="none"/>
        </w:tabs>
        <w:rPr>
          <w:rFonts w:ascii="Arial" w:hAnsi="Arial"/>
          <w:color w:val="000000"/>
          <w:sz w:val="20"/>
          <w:szCs w:val="20"/>
        </w:rPr>
      </w:pPr>
      <w:r>
        <w:rPr>
          <w:rFonts w:eastAsia="Arial" w:cs="Arial" w:ascii="Arial" w:hAnsi="Arial"/>
          <w:bCs/>
          <w:color w:val="000000"/>
          <w:sz w:val="20"/>
          <w:szCs w:val="20"/>
        </w:rPr>
        <w:t xml:space="preserve"> </w:t>
      </w:r>
      <w:r>
        <w:rPr>
          <w:rFonts w:cs="Arial" w:ascii="Arial" w:hAnsi="Arial"/>
          <w:bCs/>
          <w:color w:val="000000"/>
          <w:sz w:val="20"/>
          <w:szCs w:val="20"/>
        </w:rPr>
        <w:t xml:space="preserve"> </w:t>
      </w:r>
      <w:r>
        <w:rPr>
          <w:rFonts w:cs="Arial" w:ascii="Arial" w:hAnsi="Arial"/>
          <w:b/>
          <w:bCs/>
          <w:color w:val="000000"/>
          <w:sz w:val="20"/>
          <w:szCs w:val="20"/>
        </w:rPr>
        <w:t>B.  Bežné príjmy – nedaňové</w:t>
      </w:r>
    </w:p>
    <w:p>
      <w:pPr>
        <w:pStyle w:val="Normal"/>
        <w:tabs>
          <w:tab w:val="clear" w:pos="708"/>
          <w:tab w:val="left" w:pos="388" w:leader="none"/>
        </w:tabs>
        <w:rPr>
          <w:rFonts w:cs="Arial"/>
          <w:b/>
          <w:bCs/>
        </w:rPr>
      </w:pPr>
      <w:r>
        <w:rPr>
          <w:rFonts w:cs="Arial"/>
          <w:b/>
          <w:bCs/>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8 605,00 €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11 323,00 €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9 178,77 €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81,06 %</w:t>
            </w:r>
          </w:p>
        </w:tc>
      </w:tr>
    </w:tbl>
    <w:p>
      <w:pPr>
        <w:pStyle w:val="Normal"/>
        <w:rPr>
          <w:rFonts w:ascii="Arial" w:hAnsi="Arial" w:cs="Arial"/>
          <w:b/>
          <w:bCs/>
          <w:color w:val="000000"/>
          <w:sz w:val="20"/>
          <w:szCs w:val="20"/>
        </w:rPr>
      </w:pPr>
      <w:r>
        <w:rPr>
          <w:rFonts w:cs="Arial" w:ascii="Arial" w:hAnsi="Arial"/>
          <w:b/>
          <w:bCs/>
          <w:color w:val="000000"/>
          <w:sz w:val="20"/>
          <w:szCs w:val="20"/>
        </w:rPr>
      </w:r>
    </w:p>
    <w:p>
      <w:pPr>
        <w:pStyle w:val="Normal"/>
        <w:rPr>
          <w:rFonts w:ascii="Arial" w:hAnsi="Arial"/>
          <w:color w:val="000000"/>
          <w:sz w:val="20"/>
          <w:szCs w:val="20"/>
        </w:rPr>
      </w:pPr>
      <w:r>
        <w:rPr>
          <w:rFonts w:cs="Arial" w:ascii="Arial" w:hAnsi="Arial"/>
          <w:b/>
          <w:bCs/>
          <w:color w:val="000000"/>
          <w:sz w:val="20"/>
          <w:szCs w:val="20"/>
        </w:rPr>
        <w:t xml:space="preserve">1.  Príjmy z prenájmu vlastníctva obce </w:t>
      </w:r>
    </w:p>
    <w:p>
      <w:pPr>
        <w:pStyle w:val="Normal"/>
        <w:jc w:val="both"/>
        <w:rPr>
          <w:rFonts w:ascii="Arial" w:hAnsi="Arial"/>
          <w:color w:val="000000"/>
          <w:sz w:val="20"/>
          <w:szCs w:val="20"/>
        </w:rPr>
      </w:pPr>
      <w:r>
        <w:rPr>
          <w:rFonts w:cs="Arial" w:ascii="Arial" w:hAnsi="Arial"/>
          <w:color w:val="000000"/>
          <w:sz w:val="20"/>
          <w:szCs w:val="20"/>
        </w:rPr>
        <w:t>Z rozpočtovaných 2 617,00 EUR bol skutočný príjem k 31.12.2024 vo výške 2 012,87 EUR, čo je plnenie na 76,92 %.</w:t>
      </w:r>
    </w:p>
    <w:p>
      <w:pPr>
        <w:pStyle w:val="Normal"/>
        <w:rPr/>
      </w:pPr>
      <w:r>
        <w:rPr>
          <w:rFonts w:cs="Arial" w:ascii="Arial" w:hAnsi="Arial"/>
          <w:b/>
          <w:bCs/>
          <w:color w:val="000000"/>
          <w:sz w:val="20"/>
          <w:szCs w:val="20"/>
        </w:rPr>
        <w:t>2.  Administratívne - správne poplatky a iné  poplatky:</w:t>
      </w:r>
    </w:p>
    <w:p>
      <w:pPr>
        <w:pStyle w:val="Normal"/>
        <w:jc w:val="both"/>
        <w:rPr>
          <w:rFonts w:ascii="Arial" w:hAnsi="Arial"/>
          <w:color w:val="000000"/>
          <w:sz w:val="20"/>
          <w:szCs w:val="20"/>
        </w:rPr>
      </w:pPr>
      <w:r>
        <w:rPr>
          <w:rFonts w:cs="Arial" w:ascii="Arial" w:hAnsi="Arial"/>
          <w:color w:val="000000"/>
          <w:sz w:val="20"/>
          <w:szCs w:val="20"/>
        </w:rPr>
        <w:t>Z rozpočtovaných 6 950,00 EUR bol skutočný príjem k 31.12.2024 vo výške 5 268,85 EUR, čo predstavuje plnenie na  75,81 %.</w:t>
      </w:r>
    </w:p>
    <w:p>
      <w:pPr>
        <w:pStyle w:val="Normal"/>
        <w:jc w:val="both"/>
        <w:rPr/>
      </w:pPr>
      <w:r>
        <w:rPr>
          <w:rFonts w:ascii="Arial" w:hAnsi="Arial"/>
          <w:b/>
          <w:bCs/>
          <w:color w:val="000000"/>
          <w:sz w:val="20"/>
          <w:szCs w:val="20"/>
        </w:rPr>
        <w:t>3. Úroky z vkladov</w:t>
      </w:r>
    </w:p>
    <w:p>
      <w:pPr>
        <w:pStyle w:val="Normal"/>
        <w:jc w:val="both"/>
        <w:rPr>
          <w:rFonts w:ascii="Arial" w:hAnsi="Arial"/>
          <w:color w:val="000000"/>
          <w:sz w:val="20"/>
          <w:szCs w:val="20"/>
        </w:rPr>
      </w:pPr>
      <w:r>
        <w:rPr>
          <w:rFonts w:cs="Arial" w:ascii="Arial" w:hAnsi="Arial"/>
          <w:color w:val="000000"/>
          <w:sz w:val="20"/>
          <w:szCs w:val="20"/>
        </w:rPr>
        <w:t>Z rozpočtovaných 0,00 EUR bol skutočný príjem k 31.12.2024 vo výške 4,40 EUR</w:t>
      </w:r>
    </w:p>
    <w:p>
      <w:pPr>
        <w:pStyle w:val="Normal"/>
        <w:rPr/>
      </w:pPr>
      <w:r>
        <w:rPr>
          <w:rFonts w:cs="Arial" w:ascii="Arial" w:hAnsi="Arial"/>
          <w:b/>
          <w:bCs/>
          <w:color w:val="000000"/>
          <w:sz w:val="20"/>
          <w:szCs w:val="20"/>
        </w:rPr>
        <w:t>4.  Príjmy z dobropisov a vratiek:</w:t>
      </w:r>
    </w:p>
    <w:p>
      <w:pPr>
        <w:pStyle w:val="Normal"/>
        <w:jc w:val="both"/>
        <w:rPr>
          <w:rFonts w:ascii="Arial" w:hAnsi="Arial"/>
          <w:color w:val="000000"/>
          <w:sz w:val="20"/>
          <w:szCs w:val="20"/>
        </w:rPr>
      </w:pPr>
      <w:r>
        <w:rPr>
          <w:rFonts w:cs="Arial" w:ascii="Arial" w:hAnsi="Arial"/>
          <w:color w:val="000000"/>
          <w:sz w:val="20"/>
          <w:szCs w:val="20"/>
        </w:rPr>
        <w:t xml:space="preserve">Z rozpočtovaných 1 756,00 EUR bol skutočný príjem k 31.12.2024 vo výške 1 892,65 EUR, čo </w:t>
        <w:tab/>
        <w:t>predstavuje plnenie na 107,78 %.</w:t>
      </w:r>
    </w:p>
    <w:p>
      <w:pPr>
        <w:pStyle w:val="Normal"/>
        <w:tabs>
          <w:tab w:val="clear" w:pos="708"/>
          <w:tab w:val="left" w:pos="459" w:leader="none"/>
        </w:tabs>
        <w:rPr/>
      </w:pPr>
      <w:r>
        <w:rPr>
          <w:rFonts w:cs="Arial" w:ascii="Arial" w:hAnsi="Arial"/>
          <w:b/>
          <w:bCs/>
          <w:color w:val="000000"/>
          <w:sz w:val="20"/>
          <w:szCs w:val="20"/>
        </w:rPr>
        <w:t>C. Granty a transféry</w:t>
      </w:r>
    </w:p>
    <w:p>
      <w:pPr>
        <w:pStyle w:val="Normal"/>
        <w:tabs>
          <w:tab w:val="clear" w:pos="708"/>
          <w:tab w:val="left" w:pos="459" w:leader="none"/>
        </w:tabs>
        <w:rPr>
          <w:rFonts w:cs="Arial"/>
          <w:b/>
          <w:bCs/>
        </w:rPr>
      </w:pPr>
      <w:r>
        <w:rPr>
          <w:rFonts w:cs="Arial"/>
          <w:b/>
          <w:bCs/>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7 705,00 €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38 457,00 €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38 176,28 €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99,27 %</w:t>
            </w:r>
          </w:p>
        </w:tc>
      </w:tr>
    </w:tbl>
    <w:p>
      <w:pPr>
        <w:pStyle w:val="Normal"/>
        <w:jc w:val="both"/>
        <w:rPr>
          <w:rFonts w:ascii="Arial" w:hAnsi="Arial"/>
          <w:color w:val="000000"/>
          <w:sz w:val="20"/>
          <w:szCs w:val="20"/>
        </w:rPr>
      </w:pPr>
      <w:r>
        <w:rPr>
          <w:rFonts w:ascii="Arial" w:hAnsi="Arial"/>
          <w:color w:val="000000"/>
          <w:sz w:val="20"/>
          <w:szCs w:val="20"/>
        </w:rPr>
      </w:r>
    </w:p>
    <w:p>
      <w:pPr>
        <w:pStyle w:val="Normal"/>
        <w:rPr/>
      </w:pPr>
      <w:r>
        <w:rPr>
          <w:rFonts w:cs="Arial" w:ascii="Arial" w:hAnsi="Arial"/>
          <w:b/>
          <w:bCs/>
          <w:color w:val="000000"/>
          <w:sz w:val="20"/>
          <w:szCs w:val="20"/>
        </w:rPr>
        <w:t>Obec prijala nasledovné transfery:</w:t>
      </w:r>
    </w:p>
    <w:p>
      <w:pPr>
        <w:pStyle w:val="Normal"/>
        <w:ind w:firstLine="360"/>
        <w:rPr>
          <w:rFonts w:ascii="Arial" w:hAnsi="Arial" w:cs="Arial"/>
          <w:color w:val="000000"/>
          <w:sz w:val="20"/>
          <w:szCs w:val="20"/>
        </w:rPr>
      </w:pPr>
      <w:r>
        <w:rPr>
          <w:rFonts w:cs="Arial" w:ascii="Arial" w:hAnsi="Arial"/>
          <w:color w:val="000000"/>
          <w:sz w:val="20"/>
          <w:szCs w:val="20"/>
        </w:rPr>
      </w:r>
    </w:p>
    <w:tbl>
      <w:tblPr>
        <w:tblW w:w="9915" w:type="dxa"/>
        <w:jc w:val="left"/>
        <w:tblInd w:w="66" w:type="dxa"/>
        <w:tblLayout w:type="fixed"/>
        <w:tblCellMar>
          <w:top w:w="0" w:type="dxa"/>
          <w:left w:w="50" w:type="dxa"/>
          <w:bottom w:w="0" w:type="dxa"/>
          <w:right w:w="70" w:type="dxa"/>
        </w:tblCellMar>
        <w:tblLook w:firstRow="0" w:noVBand="0" w:lastRow="0" w:firstColumn="0" w:lastColumn="0" w:noHBand="0" w:val="0000"/>
      </w:tblPr>
      <w:tblGrid>
        <w:gridCol w:w="1522"/>
        <w:gridCol w:w="3276"/>
        <w:gridCol w:w="2115"/>
        <w:gridCol w:w="3001"/>
      </w:tblGrid>
      <w:tr>
        <w:trPr/>
        <w:tc>
          <w:tcPr>
            <w:tcW w:w="1522" w:type="dxa"/>
            <w:tcBorders>
              <w:top w:val="single" w:sz="4" w:space="0" w:color="000080"/>
              <w:left w:val="single" w:sz="4" w:space="0" w:color="000080"/>
              <w:bottom w:val="single" w:sz="4" w:space="0" w:color="000080"/>
            </w:tcBorders>
            <w:shd w:color="auto" w:fill="FFFFFF" w:val="clear"/>
          </w:tcPr>
          <w:p>
            <w:pPr>
              <w:pStyle w:val="Normal"/>
              <w:snapToGrid w:val="false"/>
              <w:rPr>
                <w:rFonts w:ascii="Arial" w:hAnsi="Arial" w:cs="Arial"/>
                <w:color w:val="000000"/>
                <w:sz w:val="20"/>
                <w:szCs w:val="20"/>
              </w:rPr>
            </w:pPr>
            <w:r>
              <w:rPr>
                <w:rFonts w:cs="Arial" w:ascii="Arial" w:hAnsi="Arial"/>
                <w:color w:val="000000"/>
                <w:sz w:val="20"/>
                <w:szCs w:val="20"/>
              </w:rPr>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Poskytovateľ</w:t>
            </w:r>
          </w:p>
        </w:tc>
        <w:tc>
          <w:tcPr>
            <w:tcW w:w="2115"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eastAsia="Arial" w:cs="Arial" w:ascii="Arial" w:hAnsi="Arial"/>
                <w:color w:val="000000"/>
                <w:sz w:val="20"/>
                <w:szCs w:val="20"/>
              </w:rPr>
              <w:t xml:space="preserve"> </w:t>
            </w:r>
            <w:r>
              <w:rPr>
                <w:rFonts w:cs="Arial" w:ascii="Arial" w:hAnsi="Arial"/>
                <w:color w:val="000000"/>
                <w:sz w:val="20"/>
                <w:szCs w:val="20"/>
              </w:rPr>
              <w:t>Suma  v EUR</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color w:val="C9211E"/>
              </w:rPr>
            </w:pPr>
            <w:r>
              <w:rPr>
                <w:rFonts w:eastAsia="Arial" w:cs="Arial" w:ascii="Arial" w:hAnsi="Arial"/>
                <w:color w:val="000000"/>
                <w:sz w:val="20"/>
                <w:szCs w:val="20"/>
              </w:rPr>
              <w:t xml:space="preserve">      </w:t>
            </w:r>
            <w:r>
              <w:rPr>
                <w:rFonts w:cs="Arial" w:ascii="Arial" w:hAnsi="Arial"/>
                <w:color w:val="000000"/>
                <w:sz w:val="20"/>
                <w:szCs w:val="20"/>
              </w:rPr>
              <w:t>Účel</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1</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Obvodný úrad</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252,81 €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Register obyvateľstva</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2</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Krajský stavebný  úrad</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1 136,80 €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Stavebný úrad</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3</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Krajský úrad, cestná dopr.</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30,11 €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Doprava a komunikácie</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4</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Obvodný úrad</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155,16 €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CO</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5</w:t>
            </w:r>
          </w:p>
        </w:tc>
        <w:tc>
          <w:tcPr>
            <w:tcW w:w="3276" w:type="dxa"/>
            <w:tcBorders>
              <w:top w:val="single" w:sz="4" w:space="0" w:color="000080"/>
              <w:left w:val="single" w:sz="4" w:space="0" w:color="000080"/>
              <w:bottom w:val="single" w:sz="4" w:space="0" w:color="000080"/>
            </w:tcBorders>
            <w:shd w:color="auto" w:fill="FFFFFF" w:val="clear"/>
          </w:tcPr>
          <w:p>
            <w:pPr>
              <w:pStyle w:val="Normal"/>
              <w:rPr>
                <w:rFonts w:ascii="Arial" w:hAnsi="Arial"/>
                <w:color w:val="000000"/>
                <w:sz w:val="20"/>
                <w:szCs w:val="20"/>
              </w:rPr>
            </w:pPr>
            <w:r>
              <w:rPr>
                <w:rFonts w:eastAsia="Arial" w:cs="Arial" w:ascii="Arial" w:hAnsi="Arial"/>
                <w:color w:val="000000"/>
                <w:sz w:val="20"/>
                <w:szCs w:val="20"/>
              </w:rPr>
              <w:t xml:space="preserve">         </w:t>
            </w:r>
            <w:r>
              <w:rPr>
                <w:rFonts w:eastAsia="Arial" w:cs="Arial" w:ascii="Arial" w:hAnsi="Arial"/>
                <w:color w:val="000000"/>
                <w:sz w:val="20"/>
                <w:szCs w:val="20"/>
              </w:rPr>
              <w:t>UPSVAR</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11 165,44 €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rFonts w:ascii="Arial" w:hAnsi="Arial"/>
                <w:color w:val="000000"/>
                <w:sz w:val="20"/>
                <w:szCs w:val="20"/>
              </w:rPr>
            </w:pPr>
            <w:r>
              <w:rPr>
                <w:rFonts w:cs="Arial" w:ascii="Arial" w:hAnsi="Arial"/>
                <w:color w:val="000000"/>
                <w:sz w:val="20"/>
                <w:szCs w:val="20"/>
              </w:rPr>
              <w:t>Opatrovateľ</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6</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MŽP</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84,36 €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Životné prostredie</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7</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eastAsia="Arial" w:cs="Arial" w:ascii="Arial" w:hAnsi="Arial"/>
                <w:color w:val="000000"/>
                <w:sz w:val="20"/>
                <w:szCs w:val="20"/>
              </w:rPr>
              <w:t>OU ZA</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6 505,00 €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MŠ</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8</w:t>
            </w:r>
          </w:p>
        </w:tc>
        <w:tc>
          <w:tcPr>
            <w:tcW w:w="3276" w:type="dxa"/>
            <w:tcBorders>
              <w:top w:val="single" w:sz="4" w:space="0" w:color="000080"/>
              <w:left w:val="single" w:sz="4" w:space="0" w:color="000080"/>
              <w:bottom w:val="single" w:sz="4" w:space="0" w:color="000080"/>
            </w:tcBorders>
            <w:shd w:color="auto" w:fill="FFFFFF" w:val="clear"/>
          </w:tcPr>
          <w:p>
            <w:pPr>
              <w:pStyle w:val="Normal"/>
              <w:rPr>
                <w:rFonts w:ascii="Arial" w:hAnsi="Arial"/>
                <w:color w:val="000000"/>
                <w:sz w:val="20"/>
                <w:szCs w:val="20"/>
              </w:rPr>
            </w:pPr>
            <w:r>
              <w:rPr>
                <w:rFonts w:eastAsia="Arial" w:cs="Arial" w:ascii="Arial" w:hAnsi="Arial"/>
                <w:color w:val="000000"/>
                <w:sz w:val="20"/>
                <w:szCs w:val="20"/>
              </w:rPr>
              <w:t xml:space="preserve">        </w:t>
            </w:r>
            <w:r>
              <w:rPr>
                <w:rFonts w:eastAsia="Arial" w:cs="Arial" w:ascii="Arial" w:hAnsi="Arial"/>
                <w:color w:val="000000"/>
                <w:sz w:val="20"/>
                <w:szCs w:val="20"/>
              </w:rPr>
              <w:t>Grant</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2 050,00 €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rFonts w:ascii="Arial" w:hAnsi="Arial"/>
                <w:color w:val="000000"/>
                <w:sz w:val="20"/>
                <w:szCs w:val="20"/>
              </w:rPr>
            </w:pPr>
            <w:r>
              <w:rPr>
                <w:rFonts w:cs="Arial" w:ascii="Arial" w:hAnsi="Arial"/>
                <w:color w:val="000000"/>
                <w:sz w:val="20"/>
                <w:szCs w:val="20"/>
              </w:rPr>
              <w:t>Podpora umenia</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ascii="Arial" w:hAnsi="Arial"/>
                <w:color w:val="000000"/>
                <w:sz w:val="20"/>
                <w:szCs w:val="20"/>
              </w:rPr>
              <w:t>9</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cs="Geneva CE" w:ascii="Arial" w:hAnsi="Arial"/>
                <w:color w:val="000000"/>
                <w:sz w:val="20"/>
                <w:szCs w:val="20"/>
              </w:rPr>
              <w:t xml:space="preserve">       </w:t>
            </w:r>
            <w:r>
              <w:rPr>
                <w:rFonts w:cs="Arial" w:ascii="Arial" w:hAnsi="Arial"/>
                <w:color w:val="000000"/>
                <w:sz w:val="20"/>
                <w:szCs w:val="20"/>
              </w:rPr>
              <w:t>UPSVaR</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1 967,00 €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MŠ - stravné</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10</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Granty od PO a FO</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3 000,00 €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DHZ</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11</w:t>
            </w:r>
          </w:p>
        </w:tc>
        <w:tc>
          <w:tcPr>
            <w:tcW w:w="3276" w:type="dxa"/>
            <w:tcBorders>
              <w:top w:val="single" w:sz="4" w:space="0" w:color="000080"/>
              <w:left w:val="single" w:sz="4" w:space="0" w:color="000080"/>
              <w:bottom w:val="single" w:sz="4" w:space="0" w:color="000080"/>
            </w:tcBorders>
            <w:shd w:color="auto" w:fill="FFFFFF" w:val="clear"/>
          </w:tcPr>
          <w:p>
            <w:pPr>
              <w:pStyle w:val="Normal"/>
              <w:rPr>
                <w:rFonts w:ascii="Arial" w:hAnsi="Arial"/>
                <w:color w:val="000000"/>
                <w:sz w:val="20"/>
                <w:szCs w:val="20"/>
              </w:rPr>
            </w:pPr>
            <w:r>
              <w:rPr>
                <w:rFonts w:eastAsia="Arial" w:cs="Arial" w:ascii="Arial" w:hAnsi="Arial"/>
                <w:color w:val="000000"/>
                <w:sz w:val="20"/>
                <w:szCs w:val="20"/>
              </w:rPr>
              <w:t xml:space="preserve">         </w:t>
            </w:r>
            <w:r>
              <w:rPr>
                <w:rFonts w:eastAsia="Arial" w:cs="Arial" w:ascii="Arial" w:hAnsi="Arial"/>
                <w:color w:val="000000"/>
                <w:sz w:val="20"/>
                <w:szCs w:val="20"/>
              </w:rPr>
              <w:t>Grant</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2 500,00 €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rFonts w:ascii="Arial" w:hAnsi="Arial"/>
                <w:color w:val="000000"/>
                <w:sz w:val="20"/>
                <w:szCs w:val="20"/>
              </w:rPr>
            </w:pPr>
            <w:r>
              <w:rPr>
                <w:rFonts w:cs="Arial" w:ascii="Arial" w:hAnsi="Arial"/>
                <w:color w:val="000000"/>
                <w:sz w:val="20"/>
                <w:szCs w:val="20"/>
              </w:rPr>
              <w:t>Ekopolis</w:t>
            </w:r>
          </w:p>
        </w:tc>
      </w:tr>
      <w:tr>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12</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cs="Arial" w:ascii="Arial" w:hAnsi="Arial"/>
                <w:color w:val="000000"/>
                <w:sz w:val="20"/>
                <w:szCs w:val="20"/>
              </w:rPr>
              <w:t>Okresný úrad</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2 774,35 €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Voľb</w:t>
            </w:r>
            <w:r>
              <w:rPr>
                <w:rFonts w:cs="Arial" w:ascii="Arial" w:hAnsi="Arial"/>
                <w:b/>
                <w:bCs/>
                <w:color w:val="000000"/>
                <w:sz w:val="20"/>
                <w:szCs w:val="20"/>
              </w:rPr>
              <w:t>y</w:t>
            </w:r>
          </w:p>
        </w:tc>
      </w:tr>
      <w:tr>
        <w:trPr>
          <w:trHeight w:val="276" w:hRule="atLeast"/>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cs="Arial" w:ascii="Arial" w:hAnsi="Arial"/>
                <w:color w:val="000000"/>
                <w:sz w:val="20"/>
                <w:szCs w:val="20"/>
              </w:rPr>
              <w:t>13</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eastAsia="Arial" w:cs="Arial" w:ascii="Arial" w:hAnsi="Arial"/>
                <w:color w:val="000000"/>
                <w:sz w:val="20"/>
                <w:szCs w:val="20"/>
              </w:rPr>
              <w:t xml:space="preserve">         </w:t>
            </w:r>
            <w:r>
              <w:rPr>
                <w:rFonts w:eastAsia="Arial" w:cs="Arial" w:ascii="Arial" w:hAnsi="Arial"/>
                <w:color w:val="000000"/>
                <w:sz w:val="20"/>
                <w:szCs w:val="20"/>
              </w:rPr>
              <w:t>MFSR</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cs="Arial" w:ascii="Arial" w:hAnsi="Arial"/>
                <w:color w:val="000000"/>
                <w:sz w:val="20"/>
                <w:szCs w:val="20"/>
              </w:rPr>
              <w:t>5 365,00 €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rFonts w:ascii="Arial" w:hAnsi="Arial"/>
                <w:color w:val="000000"/>
                <w:sz w:val="20"/>
                <w:szCs w:val="20"/>
              </w:rPr>
            </w:pPr>
            <w:r>
              <w:rPr>
                <w:rFonts w:cs="Arial" w:ascii="Arial" w:hAnsi="Arial"/>
                <w:color w:val="000000"/>
                <w:sz w:val="20"/>
                <w:szCs w:val="20"/>
              </w:rPr>
              <w:t>Výpadok podiel. daní</w:t>
            </w:r>
          </w:p>
        </w:tc>
      </w:tr>
      <w:tr>
        <w:trPr>
          <w:trHeight w:val="276" w:hRule="atLeast"/>
        </w:trPr>
        <w:tc>
          <w:tcPr>
            <w:tcW w:w="1522" w:type="dxa"/>
            <w:tcBorders>
              <w:top w:val="single" w:sz="4" w:space="0" w:color="000080"/>
              <w:left w:val="single" w:sz="4" w:space="0" w:color="000080"/>
              <w:bottom w:val="single" w:sz="4" w:space="0" w:color="000080"/>
            </w:tcBorders>
            <w:shd w:color="auto" w:fill="FFFFFF" w:val="clear"/>
          </w:tcPr>
          <w:p>
            <w:pPr>
              <w:pStyle w:val="Normal"/>
              <w:jc w:val="center"/>
              <w:rPr>
                <w:color w:val="C9211E"/>
              </w:rPr>
            </w:pPr>
            <w:r>
              <w:rPr>
                <w:rFonts w:ascii="Arial" w:hAnsi="Arial"/>
                <w:color w:val="000000"/>
                <w:sz w:val="20"/>
                <w:szCs w:val="20"/>
              </w:rPr>
              <w:t>14</w:t>
            </w:r>
          </w:p>
        </w:tc>
        <w:tc>
          <w:tcPr>
            <w:tcW w:w="3276" w:type="dxa"/>
            <w:tcBorders>
              <w:top w:val="single" w:sz="4" w:space="0" w:color="000080"/>
              <w:left w:val="single" w:sz="4" w:space="0" w:color="000080"/>
              <w:bottom w:val="single" w:sz="4" w:space="0" w:color="000080"/>
            </w:tcBorders>
            <w:shd w:color="auto" w:fill="FFFFFF" w:val="clear"/>
          </w:tcPr>
          <w:p>
            <w:pPr>
              <w:pStyle w:val="Normal"/>
              <w:rPr>
                <w:color w:val="C9211E"/>
              </w:rPr>
            </w:pPr>
            <w:r>
              <w:rPr>
                <w:rFonts w:cs="Arial" w:ascii="Arial" w:hAnsi="Arial"/>
                <w:color w:val="000000"/>
                <w:sz w:val="20"/>
                <w:szCs w:val="20"/>
              </w:rPr>
              <w:t xml:space="preserve">         </w:t>
            </w:r>
            <w:r>
              <w:rPr>
                <w:rFonts w:cs="Arial" w:ascii="Arial" w:hAnsi="Arial"/>
                <w:color w:val="000000"/>
                <w:sz w:val="20"/>
                <w:szCs w:val="20"/>
              </w:rPr>
              <w:t>Envirofond</w:t>
            </w:r>
          </w:p>
        </w:tc>
        <w:tc>
          <w:tcPr>
            <w:tcW w:w="2115" w:type="dxa"/>
            <w:tcBorders>
              <w:top w:val="single" w:sz="4" w:space="0" w:color="000080"/>
              <w:left w:val="single" w:sz="4" w:space="0" w:color="000080"/>
              <w:bottom w:val="single" w:sz="4" w:space="0" w:color="000080"/>
            </w:tcBorders>
            <w:shd w:color="auto" w:fill="FFFFFF" w:val="clear"/>
          </w:tcPr>
          <w:p>
            <w:pPr>
              <w:pStyle w:val="Normal"/>
              <w:jc w:val="right"/>
              <w:rPr>
                <w:rFonts w:ascii="Arial" w:hAnsi="Arial"/>
                <w:color w:val="000000"/>
                <w:sz w:val="20"/>
                <w:szCs w:val="20"/>
              </w:rPr>
            </w:pPr>
            <w:r>
              <w:rPr>
                <w:rFonts w:ascii="Arial" w:hAnsi="Arial"/>
                <w:color w:val="000000"/>
                <w:sz w:val="20"/>
                <w:szCs w:val="20"/>
              </w:rPr>
              <w:t>1 190,25 €</w:t>
            </w:r>
          </w:p>
        </w:tc>
        <w:tc>
          <w:tcPr>
            <w:tcW w:w="3001" w:type="dxa"/>
            <w:tcBorders>
              <w:top w:val="single" w:sz="4" w:space="0" w:color="000080"/>
              <w:left w:val="single" w:sz="4" w:space="0" w:color="000080"/>
              <w:bottom w:val="single" w:sz="4" w:space="0" w:color="000080"/>
              <w:right w:val="single" w:sz="4" w:space="0" w:color="000080"/>
            </w:tcBorders>
            <w:shd w:color="auto" w:fill="FFFFFF" w:val="clear"/>
          </w:tcPr>
          <w:p>
            <w:pPr>
              <w:pStyle w:val="Normal"/>
              <w:rPr>
                <w:color w:val="C9211E"/>
              </w:rPr>
            </w:pPr>
            <w:r>
              <w:rPr>
                <w:rFonts w:cs="Arial" w:ascii="Arial" w:hAnsi="Arial"/>
                <w:color w:val="000000"/>
                <w:sz w:val="20"/>
                <w:szCs w:val="20"/>
              </w:rPr>
              <w:t>Envirofond</w:t>
            </w:r>
          </w:p>
        </w:tc>
      </w:tr>
    </w:tbl>
    <w:p>
      <w:pPr>
        <w:pStyle w:val="Normal"/>
        <w:rPr>
          <w:rFonts w:ascii="Arial" w:hAnsi="Arial"/>
          <w:sz w:val="20"/>
          <w:szCs w:val="20"/>
        </w:rPr>
      </w:pPr>
      <w:r>
        <w:rPr>
          <w:rFonts w:eastAsia="Arial" w:cs="Arial" w:ascii="Arial" w:hAnsi="Arial"/>
          <w:color w:val="000000"/>
          <w:sz w:val="20"/>
          <w:szCs w:val="20"/>
        </w:rPr>
        <w:t xml:space="preserve"> </w:t>
      </w:r>
      <w:r>
        <w:rPr>
          <w:rFonts w:cs="Arial" w:ascii="Arial" w:hAnsi="Arial"/>
          <w:color w:val="000000"/>
          <w:sz w:val="20"/>
          <w:szCs w:val="20"/>
        </w:rPr>
        <w:t>Prijaté transfery boli účelovo viazané a boli  použité v súlade s ich účelom.</w:t>
      </w:r>
    </w:p>
    <w:p>
      <w:pPr>
        <w:pStyle w:val="Normal"/>
        <w:rPr>
          <w:rFonts w:ascii="Arial" w:hAnsi="Arial" w:cs="Arial"/>
          <w:color w:val="C9211E"/>
          <w:sz w:val="20"/>
          <w:szCs w:val="20"/>
          <w:highlight w:val="lightGray"/>
        </w:rPr>
      </w:pPr>
      <w:r>
        <w:rPr>
          <w:rFonts w:cs="Arial" w:ascii="Arial" w:hAnsi="Arial"/>
          <w:color w:val="C9211E"/>
          <w:sz w:val="20"/>
          <w:szCs w:val="20"/>
          <w:highlight w:val="lightGray"/>
        </w:rPr>
      </w:r>
    </w:p>
    <w:p>
      <w:pPr>
        <w:pStyle w:val="Normal"/>
        <w:rPr/>
      </w:pPr>
      <w:r>
        <w:rPr>
          <w:rFonts w:cs="Arial" w:ascii="Arial" w:hAnsi="Arial"/>
          <w:b/>
          <w:bCs/>
          <w:color w:val="000000"/>
          <w:sz w:val="20"/>
          <w:szCs w:val="20"/>
        </w:rPr>
        <w:t>C)   Kapitálové príjmy</w:t>
      </w:r>
    </w:p>
    <w:p>
      <w:pPr>
        <w:pStyle w:val="Normal"/>
        <w:rPr>
          <w:rFonts w:ascii="Arial" w:hAnsi="Arial" w:cs="Arial"/>
          <w:b/>
          <w:bCs/>
          <w:color w:val="000000"/>
          <w:sz w:val="20"/>
          <w:szCs w:val="20"/>
        </w:rPr>
      </w:pPr>
      <w:r>
        <w:rPr>
          <w:rFonts w:cs="Arial" w:ascii="Arial" w:hAnsi="Arial"/>
          <w:b/>
          <w:bCs/>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553,00 €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1 370,04 €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247,75 %</w:t>
            </w:r>
          </w:p>
        </w:tc>
      </w:tr>
    </w:tbl>
    <w:p>
      <w:pPr>
        <w:pStyle w:val="Normal"/>
        <w:jc w:val="both"/>
        <w:rPr>
          <w:rFonts w:ascii="Arial" w:hAnsi="Arial"/>
          <w:color w:val="000000"/>
          <w:sz w:val="20"/>
          <w:szCs w:val="20"/>
        </w:rPr>
      </w:pPr>
      <w:r>
        <w:rPr>
          <w:rFonts w:cs="Arial" w:ascii="Arial" w:hAnsi="Arial"/>
          <w:color w:val="000000"/>
          <w:sz w:val="20"/>
          <w:szCs w:val="20"/>
        </w:rPr>
        <w:t>Kapitálové príjmy tvorili príjmy z predaja pozemkov vo výške 1370,04 EUR.</w:t>
      </w:r>
    </w:p>
    <w:p>
      <w:pPr>
        <w:pStyle w:val="Normal"/>
        <w:ind w:hanging="0" w:left="708"/>
        <w:jc w:val="both"/>
        <w:rPr>
          <w:rFonts w:ascii="Arial" w:hAnsi="Arial"/>
          <w:color w:val="000000"/>
          <w:sz w:val="20"/>
          <w:szCs w:val="20"/>
        </w:rPr>
      </w:pPr>
      <w:r>
        <w:rPr>
          <w:rFonts w:ascii="Arial" w:hAnsi="Arial"/>
          <w:color w:val="000000"/>
          <w:sz w:val="20"/>
          <w:szCs w:val="20"/>
        </w:rPr>
      </w:r>
    </w:p>
    <w:p>
      <w:pPr>
        <w:pStyle w:val="Normal"/>
        <w:tabs>
          <w:tab w:val="clear" w:pos="708"/>
          <w:tab w:val="left" w:pos="0" w:leader="none"/>
        </w:tabs>
        <w:rPr/>
      </w:pPr>
      <w:r>
        <w:rPr>
          <w:rFonts w:cs="Arial" w:ascii="Arial" w:hAnsi="Arial"/>
          <w:b/>
          <w:color w:val="000000"/>
          <w:sz w:val="20"/>
          <w:szCs w:val="20"/>
        </w:rPr>
        <w:t>D)   Finančné príjmy</w:t>
      </w:r>
    </w:p>
    <w:p>
      <w:pPr>
        <w:pStyle w:val="Normal"/>
        <w:rPr>
          <w:rFonts w:ascii="Arial" w:hAnsi="Arial" w:cs="Arial"/>
          <w:b/>
          <w:color w:val="000000"/>
          <w:sz w:val="20"/>
          <w:szCs w:val="20"/>
        </w:rPr>
      </w:pPr>
      <w:r>
        <w:rPr>
          <w:rFonts w:cs="Arial" w:ascii="Arial" w:hAnsi="Arial"/>
          <w:b/>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136 680,00 €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178 051,00 €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130 778,72 €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73,45 %</w:t>
            </w:r>
          </w:p>
        </w:tc>
      </w:tr>
    </w:tbl>
    <w:p>
      <w:pPr>
        <w:pStyle w:val="ListParagraph"/>
        <w:ind w:hanging="0" w:left="0"/>
        <w:jc w:val="both"/>
        <w:rPr>
          <w:rFonts w:ascii="Arial" w:hAnsi="Arial"/>
          <w:color w:val="000000"/>
          <w:sz w:val="20"/>
          <w:szCs w:val="20"/>
        </w:rPr>
      </w:pPr>
      <w:r>
        <w:rPr>
          <w:rFonts w:cs="Arial" w:ascii="Arial" w:hAnsi="Arial"/>
          <w:color w:val="000000"/>
          <w:sz w:val="20"/>
          <w:szCs w:val="20"/>
          <w:lang w:val="sk-SK"/>
        </w:rPr>
        <w:t>Finančné príjmy tvorili príjmy:</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 zapojenie do príjmov finančné prostriedky z predchádzajúcich rokov  vo výške 9 053,11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 príjem z rezervného fondu obce vo výške 121 725,61EUR, z toho na:</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ab/>
        <w:t xml:space="preserve"> - rekonštrukcia OCU</w:t>
        <w:tab/>
        <w:tab/>
        <w:tab/>
        <w:tab/>
        <w:tab/>
        <w:t xml:space="preserve">             3 008,00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ab/>
        <w:t>- projektová dokumentácia DHZ</w:t>
        <w:tab/>
        <w:tab/>
        <w:tab/>
        <w:tab/>
        <w:t xml:space="preserve">           29 400,00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 xml:space="preserve">    </w:t>
      </w:r>
      <w:r>
        <w:rPr>
          <w:rFonts w:cs="Arial" w:ascii="Arial" w:hAnsi="Arial"/>
          <w:color w:val="000000"/>
          <w:sz w:val="20"/>
          <w:szCs w:val="20"/>
          <w:lang w:val="sk-SK"/>
        </w:rPr>
        <w:tab/>
        <w:t>- Nákup traktora z vlečkov</w:t>
        <w:tab/>
        <w:tab/>
        <w:t xml:space="preserve">                                     32 856,00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 xml:space="preserve">   </w:t>
      </w:r>
      <w:r>
        <w:rPr>
          <w:rFonts w:cs="Arial" w:ascii="Arial" w:hAnsi="Arial"/>
          <w:color w:val="000000"/>
          <w:sz w:val="20"/>
          <w:szCs w:val="20"/>
          <w:lang w:val="sk-SK"/>
        </w:rPr>
        <w:tab/>
        <w:t>- kamerový systém</w:t>
        <w:tab/>
        <w:tab/>
        <w:tab/>
        <w:tab/>
        <w:tab/>
        <w:tab/>
        <w:t xml:space="preserve"> 4 238,40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ab/>
        <w:t>- prístrešok /</w:t>
      </w:r>
      <w:r>
        <w:rPr>
          <w:rFonts w:cs="Arial" w:ascii="Arial" w:hAnsi="Arial"/>
          <w:i/>
          <w:iCs/>
          <w:color w:val="000000"/>
          <w:sz w:val="20"/>
          <w:szCs w:val="20"/>
          <w:lang w:val="sk-SK"/>
        </w:rPr>
        <w:t>Hučalo</w:t>
      </w:r>
      <w:r>
        <w:rPr>
          <w:rFonts w:cs="Arial" w:ascii="Arial" w:hAnsi="Arial"/>
          <w:color w:val="000000"/>
          <w:sz w:val="20"/>
          <w:szCs w:val="20"/>
          <w:lang w:val="sk-SK"/>
        </w:rPr>
        <w:t>/</w:t>
        <w:tab/>
        <w:tab/>
        <w:tab/>
        <w:tab/>
        <w:tab/>
        <w:t xml:space="preserve">            14 000,00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ab/>
        <w:t>- aparatúra KD</w:t>
        <w:tab/>
        <w:tab/>
        <w:tab/>
        <w:tab/>
        <w:tab/>
        <w:tab/>
        <w:tab/>
        <w:t xml:space="preserve"> 3 751,24 EUR</w:t>
      </w:r>
    </w:p>
    <w:p>
      <w:pPr>
        <w:pStyle w:val="ListParagraph"/>
        <w:ind w:hanging="0" w:left="0"/>
        <w:jc w:val="both"/>
        <w:rPr>
          <w:rFonts w:ascii="Arial" w:hAnsi="Arial"/>
          <w:color w:val="000000"/>
          <w:sz w:val="20"/>
          <w:szCs w:val="20"/>
        </w:rPr>
      </w:pPr>
      <w:r>
        <w:rPr>
          <w:rFonts w:cs="Arial" w:ascii="Arial" w:hAnsi="Arial"/>
          <w:color w:val="000000"/>
          <w:sz w:val="20"/>
          <w:szCs w:val="20"/>
          <w:lang w:val="sk-SK"/>
        </w:rPr>
        <w:tab/>
        <w:t>- most pri KD</w:t>
        <w:tab/>
        <w:tab/>
        <w:tab/>
        <w:tab/>
        <w:tab/>
        <w:tab/>
        <w:t xml:space="preserve">            34 471,97 EUR</w:t>
      </w:r>
    </w:p>
    <w:p>
      <w:pPr>
        <w:pStyle w:val="Normal"/>
        <w:ind w:hanging="284" w:left="284"/>
        <w:jc w:val="both"/>
        <w:rPr>
          <w:rFonts w:cs="Arial"/>
          <w:b/>
        </w:rPr>
      </w:pPr>
      <w:r>
        <w:rPr>
          <w:rFonts w:cs="Arial"/>
          <w:b/>
        </w:rPr>
      </w:r>
    </w:p>
    <w:p>
      <w:pPr>
        <w:pStyle w:val="Normal"/>
        <w:ind w:hanging="284" w:left="284"/>
        <w:jc w:val="both"/>
        <w:rPr>
          <w:sz w:val="24"/>
          <w:szCs w:val="24"/>
        </w:rPr>
      </w:pPr>
      <w:r>
        <w:rPr>
          <w:rFonts w:cs="Arial" w:ascii="Arial" w:hAnsi="Arial"/>
          <w:b/>
          <w:color w:val="000000"/>
          <w:sz w:val="24"/>
          <w:szCs w:val="24"/>
        </w:rPr>
        <w:t>Príjmy rozpočtových organizácií s právnou subjektivitou:</w:t>
      </w:r>
    </w:p>
    <w:p>
      <w:pPr>
        <w:pStyle w:val="Normal"/>
        <w:jc w:val="both"/>
        <w:rPr>
          <w:rFonts w:ascii="Arial" w:hAnsi="Arial" w:cs="Arial"/>
          <w:b/>
          <w:color w:val="000000"/>
          <w:sz w:val="20"/>
          <w:szCs w:val="20"/>
          <w:highlight w:val="lightGray"/>
        </w:rPr>
      </w:pPr>
      <w:r>
        <w:rPr>
          <w:rFonts w:cs="Arial" w:ascii="Arial" w:hAnsi="Arial"/>
          <w:b/>
          <w:color w:val="000000"/>
          <w:sz w:val="20"/>
          <w:szCs w:val="20"/>
          <w:highlight w:val="lightGray"/>
        </w:rPr>
      </w:r>
    </w:p>
    <w:p>
      <w:pPr>
        <w:pStyle w:val="Normal"/>
        <w:rPr>
          <w:rFonts w:ascii="Arial" w:hAnsi="Arial"/>
          <w:color w:val="000000"/>
          <w:sz w:val="20"/>
          <w:szCs w:val="20"/>
        </w:rPr>
      </w:pPr>
      <w:r>
        <w:rPr>
          <w:rFonts w:cs="Arial" w:ascii="Arial" w:hAnsi="Arial"/>
          <w:b/>
          <w:color w:val="000000"/>
          <w:sz w:val="20"/>
          <w:szCs w:val="20"/>
        </w:rPr>
        <w:t xml:space="preserve">Bežné príjmy </w:t>
      </w:r>
    </w:p>
    <w:p>
      <w:pPr>
        <w:pStyle w:val="Normal"/>
        <w:jc w:val="both"/>
        <w:rPr>
          <w:rFonts w:ascii="Arial" w:hAnsi="Arial"/>
          <w:color w:val="000000"/>
          <w:sz w:val="20"/>
          <w:szCs w:val="20"/>
        </w:rPr>
      </w:pPr>
      <w:r>
        <w:rPr>
          <w:rFonts w:ascii="Arial" w:hAnsi="Arial"/>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10 200,00 €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11 307,00 €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11 827,27 €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104,60 %</w:t>
            </w:r>
          </w:p>
        </w:tc>
      </w:tr>
    </w:tbl>
    <w:p>
      <w:pPr>
        <w:pStyle w:val="Normal"/>
        <w:jc w:val="both"/>
        <w:rPr>
          <w:rFonts w:ascii="Arial" w:hAnsi="Arial"/>
          <w:color w:val="000000"/>
          <w:sz w:val="20"/>
          <w:szCs w:val="20"/>
        </w:rPr>
      </w:pPr>
      <w:r>
        <w:rPr>
          <w:rFonts w:cs="Arial" w:ascii="Arial" w:hAnsi="Arial"/>
          <w:color w:val="000000"/>
          <w:sz w:val="20"/>
          <w:szCs w:val="20"/>
        </w:rPr>
        <w:t xml:space="preserve">Z rozpočtovaných bežných príjmov 11 307,00 EUR bol skutočný príjem k 31.12.2024 v sume 11 827,27 EUR, čo predstavuje  104,60 % plnenie.  </w:t>
      </w:r>
    </w:p>
    <w:p>
      <w:pPr>
        <w:pStyle w:val="Normal"/>
        <w:rPr>
          <w:rFonts w:ascii="Arial" w:hAnsi="Arial" w:cs="Arial"/>
          <w:color w:val="000000"/>
          <w:sz w:val="20"/>
          <w:szCs w:val="20"/>
        </w:rPr>
      </w:pPr>
      <w:r>
        <w:rPr>
          <w:rFonts w:cs="Arial" w:ascii="Arial" w:hAnsi="Arial"/>
          <w:color w:val="000000"/>
          <w:sz w:val="20"/>
          <w:szCs w:val="20"/>
        </w:rPr>
      </w:r>
    </w:p>
    <w:p>
      <w:pPr>
        <w:pStyle w:val="Normal"/>
        <w:rPr>
          <w:rFonts w:ascii="Arial" w:hAnsi="Arial"/>
          <w:color w:val="000000"/>
          <w:sz w:val="20"/>
          <w:szCs w:val="20"/>
        </w:rPr>
      </w:pPr>
      <w:r>
        <w:rPr>
          <w:rFonts w:cs="Arial" w:ascii="Arial" w:hAnsi="Arial"/>
          <w:b/>
          <w:color w:val="000000"/>
          <w:sz w:val="20"/>
          <w:szCs w:val="20"/>
        </w:rPr>
        <w:t>Bežné príjmy Materskej škôlky:</w:t>
      </w:r>
    </w:p>
    <w:p>
      <w:pPr>
        <w:pStyle w:val="Normal"/>
        <w:tabs>
          <w:tab w:val="clear" w:pos="708"/>
          <w:tab w:val="left" w:pos="-3060" w:leader="none"/>
          <w:tab w:val="left" w:pos="709" w:leader="none"/>
          <w:tab w:val="right" w:pos="5040" w:leader="none"/>
        </w:tabs>
        <w:rPr>
          <w:rFonts w:ascii="Arial" w:hAnsi="Arial"/>
          <w:color w:val="000000"/>
          <w:sz w:val="20"/>
          <w:szCs w:val="20"/>
        </w:rPr>
      </w:pPr>
      <w:r>
        <w:rPr>
          <w:rFonts w:cs="Arial" w:ascii="Arial" w:hAnsi="Arial"/>
          <w:color w:val="000000"/>
          <w:sz w:val="20"/>
          <w:szCs w:val="20"/>
        </w:rPr>
        <w:tab/>
        <w:t xml:space="preserve">Poplatok za materskú škôlku                              4 290,00 EUR </w:t>
      </w:r>
    </w:p>
    <w:p>
      <w:pPr>
        <w:pStyle w:val="Normal"/>
        <w:tabs>
          <w:tab w:val="clear" w:pos="708"/>
          <w:tab w:val="left" w:pos="-3060" w:leader="none"/>
          <w:tab w:val="left" w:pos="709" w:leader="none"/>
          <w:tab w:val="left" w:pos="4820" w:leader="none"/>
        </w:tabs>
        <w:rPr>
          <w:rFonts w:ascii="Arial" w:hAnsi="Arial"/>
          <w:color w:val="000000"/>
          <w:sz w:val="20"/>
          <w:szCs w:val="20"/>
        </w:rPr>
      </w:pPr>
      <w:r>
        <w:rPr>
          <w:rFonts w:cs="Arial" w:ascii="Arial" w:hAnsi="Arial"/>
          <w:color w:val="000000"/>
          <w:sz w:val="20"/>
          <w:szCs w:val="20"/>
        </w:rPr>
        <w:tab/>
        <w:t>Príjmy za stravné a poplatky                               7 221,23 EUR</w:t>
      </w:r>
    </w:p>
    <w:p>
      <w:pPr>
        <w:pStyle w:val="Normal"/>
        <w:tabs>
          <w:tab w:val="clear" w:pos="708"/>
          <w:tab w:val="left" w:pos="-3060" w:leader="none"/>
          <w:tab w:val="left" w:pos="709" w:leader="none"/>
          <w:tab w:val="left" w:pos="4820" w:leader="none"/>
        </w:tabs>
        <w:rPr>
          <w:rFonts w:ascii="Arial" w:hAnsi="Arial"/>
          <w:color w:val="000000"/>
          <w:sz w:val="20"/>
          <w:szCs w:val="20"/>
        </w:rPr>
      </w:pPr>
      <w:r>
        <w:rPr>
          <w:rFonts w:cs="Arial" w:ascii="Arial" w:hAnsi="Arial"/>
          <w:color w:val="000000"/>
          <w:sz w:val="20"/>
          <w:szCs w:val="20"/>
        </w:rPr>
        <w:tab/>
        <w:t>Príjmy z dobropisov a vratiek                                 150,24 EUR</w:t>
      </w:r>
    </w:p>
    <w:p>
      <w:pPr>
        <w:pStyle w:val="Normal"/>
        <w:tabs>
          <w:tab w:val="clear" w:pos="708"/>
          <w:tab w:val="left" w:pos="-3060" w:leader="none"/>
          <w:tab w:val="left" w:pos="709" w:leader="none"/>
          <w:tab w:val="left" w:pos="4820" w:leader="none"/>
        </w:tabs>
        <w:rPr>
          <w:color w:val="000000"/>
        </w:rPr>
      </w:pPr>
      <w:r>
        <w:rPr>
          <w:rFonts w:cs="Arial" w:ascii="Arial" w:hAnsi="Arial"/>
          <w:color w:val="000000"/>
          <w:sz w:val="20"/>
        </w:rPr>
        <w:tab/>
        <w:t>Príjmy za poistné                                                    165,80 EUR</w:t>
      </w:r>
    </w:p>
    <w:p>
      <w:pPr>
        <w:pStyle w:val="Normal"/>
        <w:tabs>
          <w:tab w:val="clear" w:pos="708"/>
          <w:tab w:val="left" w:pos="-3060" w:leader="none"/>
          <w:tab w:val="left" w:pos="709" w:leader="none"/>
          <w:tab w:val="left" w:pos="4820" w:leader="none"/>
        </w:tabs>
        <w:rPr>
          <w:rFonts w:ascii="Arial" w:hAnsi="Arial" w:cs="Arial"/>
          <w:sz w:val="20"/>
        </w:rPr>
      </w:pPr>
      <w:r>
        <w:rPr>
          <w:rFonts w:cs="Arial" w:ascii="Arial" w:hAnsi="Arial"/>
          <w:sz w:val="20"/>
        </w:rPr>
      </w:r>
    </w:p>
    <w:p>
      <w:pPr>
        <w:pStyle w:val="Normal"/>
        <w:tabs>
          <w:tab w:val="clear" w:pos="708"/>
          <w:tab w:val="left" w:pos="-3060" w:leader="none"/>
          <w:tab w:val="left" w:pos="709" w:leader="none"/>
          <w:tab w:val="left" w:pos="4820" w:leader="none"/>
        </w:tabs>
        <w:rPr>
          <w:rFonts w:ascii="Arial" w:hAnsi="Arial" w:cs="Arial"/>
          <w:sz w:val="20"/>
        </w:rPr>
      </w:pPr>
      <w:r>
        <w:rPr>
          <w:rFonts w:cs="Arial" w:ascii="Arial" w:hAnsi="Arial"/>
          <w:sz w:val="20"/>
        </w:rPr>
      </w:r>
    </w:p>
    <w:p>
      <w:pPr>
        <w:pStyle w:val="ListParagraph"/>
        <w:ind w:hanging="0" w:left="0"/>
        <w:rPr/>
      </w:pPr>
      <w:r>
        <w:rPr>
          <w:rFonts w:cs="Arial" w:ascii="Arial" w:hAnsi="Arial"/>
          <w:b/>
          <w:sz w:val="20"/>
          <w:szCs w:val="20"/>
          <w:lang w:val="sk-SK"/>
        </w:rPr>
        <w:t xml:space="preserve"> </w:t>
      </w:r>
      <w:r>
        <w:rPr>
          <w:rFonts w:cs="Arial" w:ascii="Arial" w:hAnsi="Arial"/>
          <w:b/>
          <w:sz w:val="24"/>
          <w:szCs w:val="24"/>
          <w:lang w:val="sk-SK"/>
        </w:rPr>
        <w:t>Rozbor čerpania výdavkov za rok 2024</w:t>
      </w:r>
    </w:p>
    <w:p>
      <w:pPr>
        <w:pStyle w:val="ListParagraph"/>
        <w:rPr/>
      </w:pPr>
      <w:r>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Schválený</w:t>
            </w:r>
          </w:p>
          <w:p>
            <w:pPr>
              <w:pStyle w:val="Normal"/>
              <w:jc w:val="center"/>
              <w:rPr>
                <w:sz w:val="20"/>
                <w:szCs w:val="20"/>
              </w:rPr>
            </w:pPr>
            <w:r>
              <w:rPr>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Schválený rozpočet</w:t>
            </w:r>
          </w:p>
          <w:p>
            <w:pPr>
              <w:pStyle w:val="Normal"/>
              <w:jc w:val="center"/>
              <w:rPr>
                <w:sz w:val="20"/>
                <w:szCs w:val="20"/>
              </w:rPr>
            </w:pPr>
            <w:r>
              <w:rPr>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Skutočné</w:t>
            </w:r>
          </w:p>
          <w:p>
            <w:pPr>
              <w:pStyle w:val="Normal"/>
              <w:jc w:val="center"/>
              <w:rPr>
                <w:sz w:val="20"/>
                <w:szCs w:val="20"/>
              </w:rPr>
            </w:pPr>
            <w:r>
              <w:rPr>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sz w:val="20"/>
                <w:szCs w:val="20"/>
              </w:rPr>
              <w:t>% plnenia výdavkov</w:t>
            </w:r>
          </w:p>
          <w:p>
            <w:pPr>
              <w:pStyle w:val="Normal"/>
              <w:jc w:val="center"/>
              <w:rPr>
                <w:sz w:val="20"/>
                <w:szCs w:val="20"/>
              </w:rPr>
            </w:pPr>
            <w:r>
              <w:rPr>
                <w:sz w:val="20"/>
                <w:szCs w:val="20"/>
              </w:rPr>
              <w:t xml:space="preserve"> </w:t>
            </w:r>
            <w:r>
              <w:rPr>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395 300,00 €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476 834,00 €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353 484,47 €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74,13 %</w:t>
            </w:r>
          </w:p>
        </w:tc>
      </w:tr>
    </w:tbl>
    <w:p>
      <w:pPr>
        <w:pStyle w:val="Normal"/>
        <w:rPr>
          <w:rFonts w:ascii="Arial" w:hAnsi="Arial" w:cs="Arial"/>
          <w:color w:val="C9211E"/>
          <w:sz w:val="20"/>
          <w:highlight w:val="lightGray"/>
        </w:rPr>
      </w:pPr>
      <w:r>
        <w:rPr>
          <w:rFonts w:cs="Arial" w:ascii="Arial" w:hAnsi="Arial"/>
          <w:color w:val="C9211E"/>
          <w:sz w:val="20"/>
          <w:highlight w:val="lightGray"/>
        </w:rPr>
      </w:r>
    </w:p>
    <w:p>
      <w:pPr>
        <w:pStyle w:val="Normal"/>
        <w:rPr>
          <w:color w:val="000000"/>
        </w:rPr>
      </w:pPr>
      <w:r>
        <w:rPr>
          <w:rFonts w:eastAsia="Arial" w:cs="Arial" w:ascii="Arial" w:hAnsi="Arial"/>
          <w:b/>
          <w:bCs/>
          <w:color w:val="000000"/>
          <w:sz w:val="20"/>
        </w:rPr>
        <w:t>A)</w:t>
      </w:r>
      <w:r>
        <w:rPr>
          <w:rFonts w:cs="Arial" w:ascii="Arial" w:hAnsi="Arial"/>
          <w:b/>
          <w:bCs/>
          <w:color w:val="000000"/>
          <w:sz w:val="20"/>
        </w:rPr>
        <w:t xml:space="preserve"> Bežné výdavky</w:t>
      </w:r>
    </w:p>
    <w:p>
      <w:pPr>
        <w:pStyle w:val="Normal"/>
        <w:rPr/>
      </w:pPr>
      <w:r>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Schválený</w:t>
            </w:r>
          </w:p>
          <w:p>
            <w:pPr>
              <w:pStyle w:val="Normal"/>
              <w:jc w:val="center"/>
              <w:rPr>
                <w:sz w:val="20"/>
                <w:szCs w:val="20"/>
              </w:rPr>
            </w:pPr>
            <w:r>
              <w:rPr>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Schválený rozpočet</w:t>
            </w:r>
          </w:p>
          <w:p>
            <w:pPr>
              <w:pStyle w:val="Normal"/>
              <w:jc w:val="center"/>
              <w:rPr>
                <w:sz w:val="20"/>
                <w:szCs w:val="20"/>
              </w:rPr>
            </w:pPr>
            <w:r>
              <w:rPr>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sz w:val="20"/>
                <w:szCs w:val="20"/>
              </w:rPr>
              <w:t>Skutočné</w:t>
            </w:r>
          </w:p>
          <w:p>
            <w:pPr>
              <w:pStyle w:val="Normal"/>
              <w:jc w:val="center"/>
              <w:rPr>
                <w:sz w:val="20"/>
                <w:szCs w:val="20"/>
              </w:rPr>
            </w:pPr>
            <w:r>
              <w:rPr>
                <w:sz w:val="20"/>
                <w:szCs w:val="20"/>
              </w:rPr>
              <w:t>plnenie výdavkov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sz w:val="20"/>
                <w:szCs w:val="20"/>
              </w:rPr>
              <w:t>% plnenia výdavkov</w:t>
            </w:r>
          </w:p>
          <w:p>
            <w:pPr>
              <w:pStyle w:val="Normal"/>
              <w:jc w:val="center"/>
              <w:rPr>
                <w:sz w:val="20"/>
                <w:szCs w:val="20"/>
              </w:rPr>
            </w:pPr>
            <w:r>
              <w:rPr>
                <w:sz w:val="20"/>
                <w:szCs w:val="20"/>
              </w:rPr>
              <w:t xml:space="preserve"> </w:t>
            </w:r>
            <w:r>
              <w:rPr>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240 800,00 €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277 631,00 €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224 908,15 €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81,01 %</w:t>
            </w:r>
          </w:p>
        </w:tc>
      </w:tr>
    </w:tbl>
    <w:p>
      <w:pPr>
        <w:pStyle w:val="Normal"/>
        <w:rPr>
          <w:color w:val="C9211E"/>
        </w:rPr>
      </w:pPr>
      <w:r>
        <w:rPr>
          <w:rFonts w:cs="Arial" w:ascii="Arial" w:hAnsi="Arial"/>
          <w:color w:val="C9211E"/>
          <w:sz w:val="20"/>
        </w:rPr>
        <w:tab/>
      </w:r>
    </w:p>
    <w:p>
      <w:pPr>
        <w:pStyle w:val="Normal"/>
        <w:rPr/>
      </w:pPr>
      <w:r>
        <w:rPr>
          <w:rFonts w:cs="Arial" w:ascii="Arial" w:hAnsi="Arial"/>
          <w:sz w:val="20"/>
        </w:rPr>
        <w:tab/>
        <w:t>V tom:</w:t>
      </w:r>
    </w:p>
    <w:tbl>
      <w:tblPr>
        <w:tblW w:w="9760" w:type="dxa"/>
        <w:jc w:val="left"/>
        <w:tblInd w:w="51" w:type="dxa"/>
        <w:tblLayout w:type="fixed"/>
        <w:tblCellMar>
          <w:top w:w="0" w:type="dxa"/>
          <w:left w:w="50" w:type="dxa"/>
          <w:bottom w:w="0" w:type="dxa"/>
          <w:right w:w="70" w:type="dxa"/>
        </w:tblCellMar>
        <w:tblLook w:firstRow="0" w:noVBand="0" w:lastRow="0" w:firstColumn="0" w:lastColumn="0" w:noHBand="0" w:val="0000"/>
      </w:tblPr>
      <w:tblGrid>
        <w:gridCol w:w="4351"/>
        <w:gridCol w:w="1815"/>
        <w:gridCol w:w="1710"/>
        <w:gridCol w:w="1883"/>
      </w:tblGrid>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b/>
                <w:sz w:val="20"/>
              </w:rPr>
              <w:t>Funkčná klasifikácia</w:t>
            </w:r>
          </w:p>
        </w:tc>
        <w:tc>
          <w:tcPr>
            <w:tcW w:w="1815" w:type="dxa"/>
            <w:tcBorders>
              <w:top w:val="single" w:sz="4" w:space="0" w:color="000000"/>
              <w:left w:val="single" w:sz="4" w:space="0" w:color="000000"/>
              <w:bottom w:val="single" w:sz="4" w:space="0" w:color="000000"/>
            </w:tcBorders>
            <w:shd w:color="auto" w:fill="FFFFFF" w:val="clear"/>
          </w:tcPr>
          <w:p>
            <w:pPr>
              <w:pStyle w:val="Normal"/>
              <w:jc w:val="center"/>
              <w:rPr/>
            </w:pPr>
            <w:r>
              <w:rPr>
                <w:rFonts w:cs="Arial" w:ascii="Arial" w:hAnsi="Arial"/>
                <w:b/>
                <w:sz w:val="20"/>
              </w:rPr>
              <w:t>Rozpočet</w:t>
            </w:r>
          </w:p>
        </w:tc>
        <w:tc>
          <w:tcPr>
            <w:tcW w:w="1710" w:type="dxa"/>
            <w:tcBorders>
              <w:top w:val="single" w:sz="4" w:space="0" w:color="000000"/>
              <w:left w:val="single" w:sz="4" w:space="0" w:color="000000"/>
              <w:bottom w:val="single" w:sz="4" w:space="0" w:color="000000"/>
            </w:tcBorders>
            <w:shd w:color="auto" w:fill="FFFFFF" w:val="clear"/>
          </w:tcPr>
          <w:p>
            <w:pPr>
              <w:pStyle w:val="Normal"/>
              <w:jc w:val="center"/>
              <w:rPr/>
            </w:pPr>
            <w:r>
              <w:rPr>
                <w:rFonts w:cs="Arial" w:ascii="Arial" w:hAnsi="Arial"/>
                <w:b/>
                <w:sz w:val="20"/>
              </w:rPr>
              <w:t>Skutočnosť</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pPr>
            <w:r>
              <w:rPr>
                <w:rFonts w:cs="Arial" w:ascii="Arial" w:hAnsi="Arial"/>
                <w:b/>
                <w:sz w:val="20"/>
              </w:rPr>
              <w:t>% plnenia</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Výkonné a zákonodárne orgány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102675,00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99437,97</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96,85</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Finančné záležitosti</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700,00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578,21</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82,60</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Všeobecné verejné služby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3015,00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2774,35</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92,02</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Transakcie verejného dlhu</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3365,00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3364,14</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99,97</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szCs w:val="20"/>
              </w:rPr>
              <w:t>Civilná obrana</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156,00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155,16</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99,46</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szCs w:val="20"/>
              </w:rPr>
              <w:t>Ochrana pred požiarmi</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7195,00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6953,09</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96,64</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Cestná doprava</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2869,00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2119,79</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73,89</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Nakladanie s odpadmi</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32691,00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25223,14</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77,16</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Rozvoj obcí</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40892,00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30851,93</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75,45</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Verejné osvetlenie</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8800,00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5083,16</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57,76</w:t>
            </w:r>
          </w:p>
        </w:tc>
      </w:tr>
      <w:tr>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Rekreačné a športové služby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8200,00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6514,49</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79,45</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Kultúrne služby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23631,00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16455,42</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69,63</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Vysielacie služby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1500,00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174,60</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11,64</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Náboženské služby</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6400,00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4731,66</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73,93</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Vzdelávanie</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1.221,00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1220,40</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99,95</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Choroba</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1070,00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1069,90</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99,99</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Staroba</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4000,00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2102,95</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52,57</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Rodina s deťmi</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4000,00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2164,90</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54,12</w:t>
            </w:r>
          </w:p>
        </w:tc>
      </w:tr>
      <w:tr>
        <w:trPr>
          <w:trHeight w:val="281" w:hRule="atLeast"/>
        </w:trPr>
        <w:tc>
          <w:tcPr>
            <w:tcW w:w="4351" w:type="dxa"/>
            <w:tcBorders>
              <w:top w:val="single" w:sz="4" w:space="0" w:color="000000"/>
              <w:left w:val="single" w:sz="4" w:space="0" w:color="000000"/>
              <w:bottom w:val="single" w:sz="4" w:space="0" w:color="000000"/>
            </w:tcBorders>
            <w:shd w:color="auto" w:fill="FFFFFF" w:val="clear"/>
          </w:tcPr>
          <w:p>
            <w:pPr>
              <w:pStyle w:val="Normal"/>
              <w:rPr/>
            </w:pPr>
            <w:r>
              <w:rPr>
                <w:rFonts w:ascii="Arial" w:hAnsi="Arial"/>
                <w:sz w:val="20"/>
                <w:szCs w:val="20"/>
              </w:rPr>
              <w:t>Sociálna pomoc</w:t>
            </w:r>
          </w:p>
        </w:tc>
        <w:tc>
          <w:tcPr>
            <w:tcW w:w="181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25251,00</w:t>
            </w:r>
          </w:p>
        </w:tc>
        <w:tc>
          <w:tcPr>
            <w:tcW w:w="171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13932,89</w:t>
            </w:r>
          </w:p>
        </w:tc>
        <w:tc>
          <w:tcPr>
            <w:tcW w:w="1883" w:type="dxa"/>
            <w:tcBorders>
              <w:top w:val="single" w:sz="4" w:space="0" w:color="000000"/>
              <w:left w:val="single" w:sz="4" w:space="0" w:color="000000"/>
              <w:bottom w:val="single" w:sz="4" w:space="0" w:color="000000"/>
              <w:right w:val="single" w:sz="4" w:space="0" w:color="000000"/>
            </w:tcBorders>
            <w:shd w:color="auto" w:fill="FFFFFF" w:val="clear"/>
          </w:tcPr>
          <w:p>
            <w:pPr>
              <w:pStyle w:val="Obsahtabuky"/>
              <w:jc w:val="right"/>
              <w:rPr>
                <w:rFonts w:ascii="Arial" w:hAnsi="Arial"/>
                <w:sz w:val="20"/>
                <w:szCs w:val="20"/>
              </w:rPr>
            </w:pPr>
            <w:r>
              <w:rPr>
                <w:rFonts w:ascii="Arial" w:hAnsi="Arial"/>
                <w:sz w:val="20"/>
                <w:szCs w:val="20"/>
              </w:rPr>
              <w:t>55,18</w:t>
            </w:r>
          </w:p>
        </w:tc>
      </w:tr>
    </w:tbl>
    <w:p>
      <w:pPr>
        <w:pStyle w:val="Normal"/>
        <w:rPr>
          <w:color w:val="000000"/>
        </w:rPr>
      </w:pPr>
      <w:r>
        <w:rPr>
          <w:color w:val="000000"/>
        </w:rPr>
      </w:r>
    </w:p>
    <w:p>
      <w:pPr>
        <w:pStyle w:val="Normal"/>
        <w:rPr>
          <w:color w:val="000000"/>
        </w:rPr>
      </w:pPr>
      <w:r>
        <w:rPr>
          <w:rFonts w:cs="Arial" w:ascii="Arial" w:hAnsi="Arial"/>
          <w:b/>
          <w:bCs/>
          <w:color w:val="000000"/>
          <w:sz w:val="20"/>
        </w:rPr>
        <w:t xml:space="preserve">1.   Mzdy, platy a ostatné osobné vyrovnania </w:t>
      </w:r>
    </w:p>
    <w:p>
      <w:pPr>
        <w:pStyle w:val="Normal"/>
        <w:jc w:val="both"/>
        <w:rPr>
          <w:color w:val="000000"/>
        </w:rPr>
      </w:pPr>
      <w:r>
        <w:rPr>
          <w:rFonts w:cs="Arial" w:ascii="Arial" w:hAnsi="Arial"/>
          <w:color w:val="000000"/>
          <w:sz w:val="20"/>
        </w:rPr>
        <w:t>Z rozpočtovaných 86 256,00 EUR bolo skutočné plnenie k 31.12.2024 vo výške 74 886,77 EUR, čo predstavuje plnenie na 86,82 %. Patria sem platy pracovníkov OÚ, odmeny – voľby, odmeny na dohody, odmeny poslancom a členom komisií, odmeny za správu verejného osvetlenia, miestneho rozhlasu,  knižnice, domu smútku, cintorína, kronikára, obecného hasičského zboru.</w:t>
      </w:r>
    </w:p>
    <w:p>
      <w:pPr>
        <w:pStyle w:val="Normal"/>
        <w:rPr/>
      </w:pPr>
      <w:r>
        <w:rPr>
          <w:rFonts w:cs="Arial" w:ascii="Arial" w:hAnsi="Arial"/>
          <w:b/>
          <w:bCs/>
          <w:color w:val="000000"/>
          <w:sz w:val="20"/>
        </w:rPr>
        <w:t>2.  Odvody do poisťovní</w:t>
      </w:r>
    </w:p>
    <w:p>
      <w:pPr>
        <w:pStyle w:val="Normal"/>
        <w:jc w:val="both"/>
        <w:rPr>
          <w:color w:val="000000"/>
        </w:rPr>
      </w:pPr>
      <w:r>
        <w:rPr>
          <w:rFonts w:cs="Arial" w:ascii="Arial" w:hAnsi="Arial"/>
          <w:color w:val="000000"/>
          <w:sz w:val="20"/>
        </w:rPr>
        <w:t>Z rozpočtovaných 28 183,70 EUR bolo skutočné plnenie k 31.12.2024 vo výške 26 730,98 EUR čopredstavuje plnenie na  94,85 %. Patria sem odvody do sociálnej poisťovne, zdravotných poisťovní a daňového úradu.</w:t>
      </w:r>
    </w:p>
    <w:p>
      <w:pPr>
        <w:pStyle w:val="Normal"/>
        <w:rPr/>
      </w:pPr>
      <w:r>
        <w:rPr>
          <w:rFonts w:cs="Arial" w:ascii="Arial" w:hAnsi="Arial"/>
          <w:b/>
          <w:bCs/>
          <w:color w:val="000000"/>
          <w:sz w:val="20"/>
        </w:rPr>
        <w:t>3.  Tovary a služby</w:t>
      </w:r>
    </w:p>
    <w:p>
      <w:pPr>
        <w:pStyle w:val="Normal"/>
        <w:jc w:val="both"/>
        <w:rPr>
          <w:color w:val="000000"/>
        </w:rPr>
      </w:pPr>
      <w:r>
        <w:rPr>
          <w:rFonts w:cs="Arial" w:ascii="Arial" w:hAnsi="Arial"/>
          <w:color w:val="000000"/>
          <w:sz w:val="20"/>
        </w:rPr>
        <w:t>Z rozpočtovaných 136 019,30 EUR  bolo skutočné plnenie k 31.12.2024 vo výške 99 738,89 EUR, čo prestavuje plnenie na 73,33 %. Tu sú zahrnuté prevádzkové náklady všetkých stredísk a to cestovné náklady, energia, dopravné, materiál, náklady sa údržbu a ostatné tovary a služby.</w:t>
      </w:r>
    </w:p>
    <w:p>
      <w:pPr>
        <w:pStyle w:val="Normal"/>
        <w:rPr/>
      </w:pPr>
      <w:r>
        <w:rPr>
          <w:rFonts w:cs="Arial" w:ascii="Arial" w:hAnsi="Arial"/>
          <w:b/>
          <w:bCs/>
          <w:color w:val="000000"/>
          <w:sz w:val="20"/>
        </w:rPr>
        <w:t>4.  Bežné transfery</w:t>
      </w:r>
    </w:p>
    <w:p>
      <w:pPr>
        <w:pStyle w:val="Normal"/>
        <w:jc w:val="both"/>
        <w:rPr>
          <w:color w:val="000000"/>
        </w:rPr>
      </w:pPr>
      <w:r>
        <w:rPr>
          <w:rFonts w:cs="Arial" w:ascii="Arial" w:hAnsi="Arial"/>
          <w:color w:val="000000"/>
          <w:sz w:val="20"/>
        </w:rPr>
        <w:t xml:space="preserve">Z rozpočtovaných  23 807,00EUR bolo skutočne plnenie k 31.12.2024 vo výške 20 187,37 EUR, čo predstavuje plnenie na 84,80 %. </w:t>
      </w:r>
    </w:p>
    <w:p>
      <w:pPr>
        <w:pStyle w:val="Normal"/>
        <w:rPr/>
      </w:pPr>
      <w:r>
        <w:rPr>
          <w:rFonts w:cs="Arial" w:ascii="Arial" w:hAnsi="Arial"/>
          <w:b/>
          <w:bCs/>
          <w:color w:val="000000"/>
          <w:sz w:val="20"/>
        </w:rPr>
        <w:t>5.   Úroky</w:t>
      </w:r>
    </w:p>
    <w:p>
      <w:pPr>
        <w:pStyle w:val="Normal"/>
        <w:rPr/>
      </w:pPr>
      <w:r>
        <w:rPr>
          <w:rFonts w:cs="Arial" w:ascii="Arial" w:hAnsi="Arial"/>
          <w:color w:val="000000"/>
          <w:sz w:val="20"/>
        </w:rPr>
        <w:t>Z rozpočtovaných 3 365,00 EUR bolo skutočné plnenie k 31.12.2024 vo výške 3 364,14 EUR, čo predstavuje plnenie na 99,97 %.</w:t>
      </w:r>
    </w:p>
    <w:p>
      <w:pPr>
        <w:pStyle w:val="Normal"/>
        <w:rPr>
          <w:rFonts w:ascii="Arial" w:hAnsi="Arial" w:cs="Arial"/>
          <w:color w:val="000000"/>
          <w:sz w:val="20"/>
        </w:rPr>
      </w:pPr>
      <w:r>
        <w:rPr>
          <w:rFonts w:cs="Arial" w:ascii="Arial" w:hAnsi="Arial"/>
          <w:color w:val="000000"/>
          <w:sz w:val="20"/>
        </w:rPr>
      </w:r>
    </w:p>
    <w:p>
      <w:pPr>
        <w:pStyle w:val="Normal"/>
        <w:rPr/>
      </w:pPr>
      <w:r>
        <w:rPr>
          <w:rFonts w:eastAsia="Arial" w:cs="Arial" w:ascii="Arial" w:hAnsi="Arial"/>
          <w:sz w:val="20"/>
        </w:rPr>
        <w:t xml:space="preserve"> </w:t>
      </w:r>
      <w:r>
        <w:rPr>
          <w:rFonts w:eastAsia="Arial" w:cs="Arial" w:ascii="Arial" w:hAnsi="Arial"/>
          <w:sz w:val="20"/>
        </w:rPr>
        <w:t>B</w:t>
      </w:r>
      <w:r>
        <w:rPr>
          <w:rFonts w:cs="Arial" w:ascii="Arial" w:hAnsi="Arial"/>
          <w:b/>
          <w:bCs/>
          <w:sz w:val="20"/>
        </w:rPr>
        <w:t>)   Kapitálové výdavky</w:t>
      </w:r>
    </w:p>
    <w:p>
      <w:pPr>
        <w:pStyle w:val="Normal"/>
        <w:rPr>
          <w:rFonts w:ascii="Arial" w:hAnsi="Arial" w:cs="Arial"/>
          <w:sz w:val="20"/>
        </w:rPr>
      </w:pPr>
      <w:r>
        <w:rPr>
          <w:rFonts w:cs="Arial" w:ascii="Arial" w:hAnsi="Arial"/>
          <w:sz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sz w:val="20"/>
                <w:szCs w:val="20"/>
              </w:rPr>
            </w:pPr>
            <w:r>
              <w:rPr>
                <w:rFonts w:ascii="Arial" w:hAnsi="Arial"/>
                <w:sz w:val="20"/>
                <w:szCs w:val="20"/>
              </w:rPr>
              <w:t>Schválený</w:t>
            </w:r>
          </w:p>
          <w:p>
            <w:pPr>
              <w:pStyle w:val="Normal"/>
              <w:jc w:val="center"/>
              <w:rPr>
                <w:sz w:val="20"/>
                <w:szCs w:val="20"/>
              </w:rPr>
            </w:pPr>
            <w:r>
              <w:rPr>
                <w:rFonts w:ascii="Arial" w:hAnsi="Arial"/>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sz w:val="20"/>
                <w:szCs w:val="20"/>
              </w:rPr>
              <w:t>Schválený rozpočet</w:t>
            </w:r>
          </w:p>
          <w:p>
            <w:pPr>
              <w:pStyle w:val="Normal"/>
              <w:jc w:val="center"/>
              <w:rPr>
                <w:sz w:val="20"/>
                <w:szCs w:val="20"/>
              </w:rPr>
            </w:pPr>
            <w:r>
              <w:rPr>
                <w:rFonts w:ascii="Arial" w:hAnsi="Arial"/>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sz w:val="20"/>
                <w:szCs w:val="20"/>
              </w:rPr>
            </w:pPr>
            <w:r>
              <w:rPr>
                <w:rFonts w:ascii="Arial" w:hAnsi="Arial"/>
                <w:sz w:val="20"/>
                <w:szCs w:val="20"/>
              </w:rPr>
              <w:t>Skutočné</w:t>
            </w:r>
          </w:p>
          <w:p>
            <w:pPr>
              <w:pStyle w:val="Normal"/>
              <w:jc w:val="center"/>
              <w:rPr>
                <w:rFonts w:ascii="Arial" w:hAnsi="Arial"/>
                <w:sz w:val="20"/>
                <w:szCs w:val="20"/>
              </w:rPr>
            </w:pPr>
            <w:r>
              <w:rPr>
                <w:rFonts w:ascii="Arial" w:hAnsi="Arial"/>
                <w:sz w:val="20"/>
                <w:szCs w:val="20"/>
              </w:rPr>
              <w:t>plnenie výdavkov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sz w:val="20"/>
                <w:szCs w:val="20"/>
              </w:rPr>
            </w:pPr>
            <w:r>
              <w:rPr>
                <w:rFonts w:ascii="Arial" w:hAnsi="Arial"/>
                <w:sz w:val="20"/>
                <w:szCs w:val="20"/>
              </w:rPr>
              <w:t>% plnenia výdavkov</w:t>
            </w:r>
          </w:p>
          <w:p>
            <w:pPr>
              <w:pStyle w:val="Normal"/>
              <w:jc w:val="center"/>
              <w:rPr>
                <w:sz w:val="20"/>
                <w:szCs w:val="20"/>
              </w:rPr>
            </w:pPr>
            <w:r>
              <w:rPr>
                <w:rFonts w:ascii="Arial" w:hAnsi="Arial"/>
                <w:sz w:val="20"/>
                <w:szCs w:val="20"/>
              </w:rPr>
              <w:t xml:space="preserve"> </w:t>
            </w:r>
            <w:r>
              <w:rPr>
                <w:rFonts w:ascii="Arial" w:hAnsi="Arial"/>
                <w:sz w:val="20"/>
                <w:szCs w:val="20"/>
              </w:rPr>
              <w:t>k rozpočtu po zmenách</w:t>
            </w:r>
          </w:p>
        </w:tc>
      </w:tr>
      <w:tr>
        <w:trPr>
          <w:trHeight w:val="265" w:hRule="atLeast"/>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151 500,00 €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196 203,00 €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125 706,55 €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sz w:val="20"/>
                <w:szCs w:val="20"/>
              </w:rPr>
            </w:pPr>
            <w:r>
              <w:rPr>
                <w:rFonts w:ascii="Arial" w:hAnsi="Arial"/>
                <w:sz w:val="20"/>
                <w:szCs w:val="20"/>
              </w:rPr>
              <w:t>64,07 %</w:t>
            </w:r>
          </w:p>
        </w:tc>
      </w:tr>
    </w:tbl>
    <w:p>
      <w:pPr>
        <w:pStyle w:val="Normal"/>
        <w:rPr>
          <w:rFonts w:ascii="Arial" w:hAnsi="Arial" w:cs="Arial"/>
          <w:sz w:val="20"/>
        </w:rPr>
      </w:pPr>
      <w:r>
        <w:rPr>
          <w:rFonts w:cs="Arial" w:ascii="Arial" w:hAnsi="Arial"/>
          <w:sz w:val="20"/>
        </w:rPr>
      </w:r>
    </w:p>
    <w:p>
      <w:pPr>
        <w:pStyle w:val="Normal"/>
        <w:rPr>
          <w:color w:val="C9211E"/>
        </w:rPr>
      </w:pPr>
      <w:r>
        <w:rPr>
          <w:rFonts w:cs="Arial" w:ascii="Arial" w:hAnsi="Arial"/>
          <w:color w:val="C9211E"/>
          <w:sz w:val="20"/>
        </w:rPr>
        <w:tab/>
      </w:r>
      <w:r>
        <w:rPr>
          <w:rFonts w:cs="Arial" w:ascii="Arial" w:hAnsi="Arial"/>
          <w:sz w:val="20"/>
        </w:rPr>
        <w:t>V tom:</w:t>
      </w:r>
    </w:p>
    <w:tbl>
      <w:tblPr>
        <w:tblW w:w="9751" w:type="dxa"/>
        <w:jc w:val="left"/>
        <w:tblInd w:w="111" w:type="dxa"/>
        <w:tblLayout w:type="fixed"/>
        <w:tblCellMar>
          <w:top w:w="0" w:type="dxa"/>
          <w:left w:w="50" w:type="dxa"/>
          <w:bottom w:w="0" w:type="dxa"/>
          <w:right w:w="70" w:type="dxa"/>
        </w:tblCellMar>
        <w:tblLook w:firstRow="0" w:noVBand="0" w:lastRow="0" w:firstColumn="0" w:lastColumn="0" w:noHBand="0" w:val="0000"/>
      </w:tblPr>
      <w:tblGrid>
        <w:gridCol w:w="4049"/>
        <w:gridCol w:w="1635"/>
        <w:gridCol w:w="1680"/>
        <w:gridCol w:w="2386"/>
      </w:tblGrid>
      <w:tr>
        <w:trPr/>
        <w:tc>
          <w:tcPr>
            <w:tcW w:w="4049" w:type="dxa"/>
            <w:tcBorders>
              <w:top w:val="single" w:sz="4" w:space="0" w:color="000000"/>
              <w:left w:val="single" w:sz="4" w:space="0" w:color="000000"/>
              <w:bottom w:val="single" w:sz="4" w:space="0" w:color="000000"/>
            </w:tcBorders>
            <w:shd w:color="auto" w:fill="FFFFFF" w:val="clear"/>
          </w:tcPr>
          <w:p>
            <w:pPr>
              <w:pStyle w:val="Normal"/>
              <w:rPr/>
            </w:pPr>
            <w:r>
              <w:rPr>
                <w:rFonts w:cs="Arial" w:ascii="Arial" w:hAnsi="Arial"/>
                <w:sz w:val="20"/>
              </w:rPr>
              <w:t>Funkčná klasifikácia</w:t>
            </w:r>
          </w:p>
        </w:tc>
        <w:tc>
          <w:tcPr>
            <w:tcW w:w="1635" w:type="dxa"/>
            <w:tcBorders>
              <w:top w:val="single" w:sz="4" w:space="0" w:color="000000"/>
              <w:left w:val="single" w:sz="4" w:space="0" w:color="000000"/>
              <w:bottom w:val="single" w:sz="4" w:space="0" w:color="000000"/>
            </w:tcBorders>
            <w:shd w:color="auto" w:fill="FFFFFF" w:val="clear"/>
          </w:tcPr>
          <w:p>
            <w:pPr>
              <w:pStyle w:val="Normal"/>
              <w:jc w:val="center"/>
              <w:rPr/>
            </w:pPr>
            <w:r>
              <w:rPr>
                <w:rFonts w:cs="Arial" w:ascii="Arial" w:hAnsi="Arial"/>
                <w:sz w:val="20"/>
              </w:rPr>
              <w:t>Rozpočet</w:t>
            </w:r>
          </w:p>
        </w:tc>
        <w:tc>
          <w:tcPr>
            <w:tcW w:w="1680" w:type="dxa"/>
            <w:tcBorders>
              <w:top w:val="single" w:sz="4" w:space="0" w:color="000000"/>
              <w:left w:val="single" w:sz="4" w:space="0" w:color="000000"/>
              <w:bottom w:val="single" w:sz="4" w:space="0" w:color="000000"/>
            </w:tcBorders>
            <w:shd w:color="auto" w:fill="FFFFFF" w:val="clear"/>
          </w:tcPr>
          <w:p>
            <w:pPr>
              <w:pStyle w:val="Normal"/>
              <w:jc w:val="center"/>
              <w:rPr/>
            </w:pPr>
            <w:r>
              <w:rPr>
                <w:rFonts w:cs="Arial" w:ascii="Arial" w:hAnsi="Arial"/>
                <w:sz w:val="20"/>
              </w:rPr>
              <w:t>Skutočnosť</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pPr>
            <w:r>
              <w:rPr>
                <w:rFonts w:cs="Arial" w:ascii="Arial" w:hAnsi="Arial"/>
                <w:sz w:val="20"/>
              </w:rPr>
              <w:t>% plnenia</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cs="Arial" w:ascii="Arial" w:hAnsi="Arial"/>
                <w:sz w:val="20"/>
                <w:szCs w:val="20"/>
              </w:rPr>
              <w:t>Rozvoj obce</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19.083,00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18.321,40</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cs="Arial" w:ascii="Arial" w:hAnsi="Arial"/>
                <w:sz w:val="20"/>
                <w:szCs w:val="20"/>
              </w:rPr>
              <w:t>96,01</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cs="Arial" w:ascii="Arial" w:hAnsi="Arial"/>
                <w:sz w:val="20"/>
                <w:szCs w:val="20"/>
              </w:rPr>
              <w:t>Verejné osvetlenie</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1.000,00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0,00</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cs="Arial" w:ascii="Arial" w:hAnsi="Arial"/>
                <w:sz w:val="20"/>
                <w:szCs w:val="20"/>
              </w:rPr>
              <w:t>0,00</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cs="Arial" w:ascii="Arial" w:hAnsi="Arial"/>
                <w:sz w:val="20"/>
                <w:szCs w:val="20"/>
              </w:rPr>
              <w:t>Rekreácia, šport a kultúra</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46.250,00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cs="Arial" w:ascii="Arial" w:hAnsi="Arial"/>
                <w:sz w:val="20"/>
                <w:szCs w:val="20"/>
              </w:rPr>
              <w:t>38.223,21</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cs="Arial" w:ascii="Arial" w:hAnsi="Arial"/>
                <w:sz w:val="20"/>
                <w:szCs w:val="20"/>
              </w:rPr>
              <w:t>82,64</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ascii="Arial" w:hAnsi="Arial"/>
                <w:sz w:val="20"/>
                <w:szCs w:val="20"/>
              </w:rPr>
              <w:t>Výkonné a zákonodarné orgány</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12.500,00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5.287,40</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ascii="Arial" w:hAnsi="Arial"/>
                <w:sz w:val="20"/>
                <w:szCs w:val="20"/>
              </w:rPr>
              <w:t>42,29</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ascii="Arial" w:hAnsi="Arial"/>
                <w:sz w:val="20"/>
                <w:szCs w:val="20"/>
              </w:rPr>
              <w:t>Ochrana pred požiarmi</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29.870,00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29.868,00</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ascii="Arial" w:hAnsi="Arial"/>
                <w:sz w:val="20"/>
                <w:szCs w:val="20"/>
              </w:rPr>
              <w:t>99,99</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ascii="Arial" w:hAnsi="Arial"/>
                <w:sz w:val="20"/>
                <w:szCs w:val="20"/>
              </w:rPr>
              <w:t>Školstvo</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25.000,00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0,00</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ascii="Arial" w:hAnsi="Arial"/>
                <w:sz w:val="20"/>
                <w:szCs w:val="20"/>
              </w:rPr>
              <w:t>0,00</w:t>
            </w:r>
          </w:p>
        </w:tc>
      </w:tr>
      <w:tr>
        <w:trPr/>
        <w:tc>
          <w:tcPr>
            <w:tcW w:w="4049" w:type="dxa"/>
            <w:tcBorders>
              <w:top w:val="single" w:sz="4" w:space="0" w:color="000000"/>
              <w:left w:val="single" w:sz="4" w:space="0" w:color="000000"/>
              <w:bottom w:val="single" w:sz="4" w:space="0" w:color="000000"/>
            </w:tcBorders>
            <w:shd w:color="auto" w:fill="FFFFFF" w:val="clear"/>
          </w:tcPr>
          <w:p>
            <w:pPr>
              <w:pStyle w:val="Normal"/>
              <w:rPr>
                <w:rFonts w:ascii="Arial" w:hAnsi="Arial"/>
                <w:sz w:val="20"/>
                <w:szCs w:val="20"/>
              </w:rPr>
            </w:pPr>
            <w:r>
              <w:rPr>
                <w:rFonts w:ascii="Arial" w:hAnsi="Arial"/>
                <w:sz w:val="20"/>
                <w:szCs w:val="20"/>
              </w:rPr>
              <w:t>Cestná doprava</w:t>
            </w:r>
          </w:p>
        </w:tc>
        <w:tc>
          <w:tcPr>
            <w:tcW w:w="1635"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62.500,00</w:t>
            </w:r>
          </w:p>
        </w:tc>
        <w:tc>
          <w:tcPr>
            <w:tcW w:w="1680" w:type="dxa"/>
            <w:tcBorders>
              <w:top w:val="single" w:sz="4" w:space="0" w:color="000000"/>
              <w:left w:val="single" w:sz="4" w:space="0" w:color="000000"/>
              <w:bottom w:val="single" w:sz="4" w:space="0" w:color="000000"/>
            </w:tcBorders>
            <w:shd w:color="auto" w:fill="FFFFFF" w:val="clear"/>
          </w:tcPr>
          <w:p>
            <w:pPr>
              <w:pStyle w:val="Normal"/>
              <w:jc w:val="right"/>
              <w:rPr>
                <w:rFonts w:ascii="Arial" w:hAnsi="Arial"/>
                <w:sz w:val="20"/>
                <w:szCs w:val="20"/>
              </w:rPr>
            </w:pPr>
            <w:r>
              <w:rPr>
                <w:rFonts w:ascii="Arial" w:hAnsi="Arial"/>
                <w:sz w:val="20"/>
                <w:szCs w:val="20"/>
              </w:rPr>
              <w:t>34.006,54</w:t>
            </w:r>
          </w:p>
        </w:tc>
        <w:tc>
          <w:tcPr>
            <w:tcW w:w="2386" w:type="dxa"/>
            <w:tcBorders>
              <w:top w:val="single" w:sz="4" w:space="0" w:color="000000"/>
              <w:left w:val="single" w:sz="4" w:space="0" w:color="000000"/>
              <w:bottom w:val="single" w:sz="4" w:space="0" w:color="000000"/>
              <w:right w:val="single" w:sz="4" w:space="0" w:color="000000"/>
            </w:tcBorders>
            <w:shd w:color="auto" w:fill="FFFFFF" w:val="clear"/>
          </w:tcPr>
          <w:p>
            <w:pPr>
              <w:pStyle w:val="Normal"/>
              <w:jc w:val="center"/>
              <w:rPr>
                <w:rFonts w:ascii="Arial" w:hAnsi="Arial"/>
                <w:sz w:val="20"/>
                <w:szCs w:val="20"/>
              </w:rPr>
            </w:pPr>
            <w:r>
              <w:rPr>
                <w:rFonts w:ascii="Arial" w:hAnsi="Arial"/>
                <w:sz w:val="20"/>
                <w:szCs w:val="20"/>
              </w:rPr>
              <w:t>54,41</w:t>
            </w:r>
          </w:p>
        </w:tc>
      </w:tr>
    </w:tbl>
    <w:p>
      <w:pPr>
        <w:pStyle w:val="Normal"/>
        <w:rPr/>
      </w:pPr>
      <w:r>
        <w:rPr/>
      </w:r>
    </w:p>
    <w:p>
      <w:pPr>
        <w:pStyle w:val="Normal"/>
        <w:jc w:val="both"/>
        <w:rPr>
          <w:rFonts w:ascii="Arial" w:hAnsi="Arial"/>
          <w:sz w:val="20"/>
          <w:szCs w:val="20"/>
        </w:rPr>
      </w:pPr>
      <w:r>
        <w:rPr>
          <w:rFonts w:ascii="Arial" w:hAnsi="Arial"/>
          <w:sz w:val="20"/>
          <w:szCs w:val="20"/>
        </w:rPr>
        <w:t xml:space="preserve">Z rozpočtovaných kapitálových  výdavkov 196.203,00 EUR bolo skutočne čerpané  k 31.12.2024 v sume 125.706,55 EUR, čo predstavuje 64,07% čerpanie. </w:t>
      </w:r>
    </w:p>
    <w:p>
      <w:pPr>
        <w:pStyle w:val="Normal"/>
        <w:jc w:val="both"/>
        <w:rPr>
          <w:rFonts w:ascii="Arial" w:hAnsi="Arial"/>
          <w:sz w:val="20"/>
          <w:szCs w:val="20"/>
        </w:rPr>
      </w:pPr>
      <w:r>
        <w:rPr>
          <w:rFonts w:ascii="Arial" w:hAnsi="Arial"/>
          <w:sz w:val="20"/>
          <w:szCs w:val="20"/>
        </w:rPr>
        <w:t>Položkovite:</w:t>
      </w:r>
    </w:p>
    <w:p>
      <w:pPr>
        <w:pStyle w:val="Normal"/>
        <w:rPr>
          <w:rFonts w:ascii="Arial" w:hAnsi="Arial"/>
          <w:sz w:val="20"/>
          <w:szCs w:val="20"/>
        </w:rPr>
      </w:pPr>
      <w:r>
        <w:rPr>
          <w:rFonts w:cs="Arial" w:ascii="Arial" w:hAnsi="Arial"/>
          <w:sz w:val="20"/>
          <w:szCs w:val="20"/>
        </w:rPr>
        <w:t>kamerový systém</w:t>
        <w:tab/>
        <w:tab/>
        <w:tab/>
        <w:tab/>
        <w:t xml:space="preserve">  4.238,40 EUR</w:t>
      </w:r>
    </w:p>
    <w:p>
      <w:pPr>
        <w:pStyle w:val="Normal"/>
        <w:rPr/>
      </w:pPr>
      <w:r>
        <w:rPr>
          <w:rFonts w:cs="Arial" w:ascii="Arial" w:hAnsi="Arial"/>
          <w:sz w:val="20"/>
          <w:szCs w:val="20"/>
        </w:rPr>
        <w:t>Stavby VP</w:t>
        <w:tab/>
        <w:tab/>
        <w:tab/>
        <w:tab/>
        <w:tab/>
        <w:t>14.083,00 EUR</w:t>
      </w:r>
    </w:p>
    <w:p>
      <w:pPr>
        <w:pStyle w:val="Normal"/>
        <w:rPr/>
      </w:pPr>
      <w:r>
        <w:rPr>
          <w:rFonts w:cs="Arial" w:ascii="Arial" w:hAnsi="Arial"/>
          <w:sz w:val="20"/>
          <w:szCs w:val="20"/>
        </w:rPr>
        <w:t>aparatúra KD</w:t>
        <w:tab/>
        <w:tab/>
        <w:tab/>
        <w:tab/>
        <w:tab/>
        <w:t xml:space="preserve">  3.751,24 EUR</w:t>
      </w:r>
    </w:p>
    <w:p>
      <w:pPr>
        <w:pStyle w:val="Normal"/>
        <w:rPr/>
      </w:pPr>
      <w:r>
        <w:rPr>
          <w:rFonts w:cs="Arial" w:ascii="Arial" w:hAnsi="Arial"/>
          <w:sz w:val="20"/>
          <w:szCs w:val="20"/>
        </w:rPr>
        <w:t>most KD</w:t>
        <w:tab/>
        <w:tab/>
        <w:tab/>
        <w:tab/>
        <w:tab/>
        <w:t xml:space="preserve">34.471,97 EUR                                         </w:t>
      </w:r>
    </w:p>
    <w:p>
      <w:pPr>
        <w:pStyle w:val="Normal"/>
        <w:rPr/>
      </w:pPr>
      <w:r>
        <w:rPr>
          <w:rFonts w:cs="Arial" w:ascii="Arial" w:hAnsi="Arial"/>
          <w:sz w:val="20"/>
          <w:szCs w:val="20"/>
        </w:rPr>
        <w:t>malotraktor</w:t>
        <w:tab/>
        <w:tab/>
        <w:tab/>
        <w:tab/>
        <w:tab/>
        <w:t>32.856,00 EUR</w:t>
      </w:r>
    </w:p>
    <w:p>
      <w:pPr>
        <w:pStyle w:val="Normal"/>
        <w:rPr/>
      </w:pPr>
      <w:r>
        <w:rPr>
          <w:rFonts w:cs="Arial" w:ascii="Arial" w:hAnsi="Arial"/>
          <w:sz w:val="20"/>
          <w:szCs w:val="20"/>
        </w:rPr>
        <w:t>projektové dokumentácie</w:t>
        <w:tab/>
        <w:tab/>
        <w:tab/>
        <w:t>34.026,54 EUR</w:t>
      </w:r>
    </w:p>
    <w:p>
      <w:pPr>
        <w:pStyle w:val="Normal"/>
        <w:rPr/>
      </w:pPr>
      <w:r>
        <w:rPr>
          <w:rFonts w:cs="Arial" w:ascii="Arial" w:hAnsi="Arial"/>
          <w:sz w:val="20"/>
          <w:szCs w:val="20"/>
        </w:rPr>
        <w:t>defibrilátor</w:t>
        <w:tab/>
        <w:tab/>
        <w:tab/>
        <w:tab/>
        <w:tab/>
        <w:t xml:space="preserve">  2.279,40 EUR</w:t>
      </w:r>
    </w:p>
    <w:p>
      <w:pPr>
        <w:pStyle w:val="Normal"/>
        <w:ind w:firstLine="708"/>
        <w:jc w:val="both"/>
        <w:rPr>
          <w:color w:val="C9211E"/>
        </w:rPr>
      </w:pPr>
      <w:r>
        <w:rPr>
          <w:color w:val="C9211E"/>
        </w:rPr>
      </w:r>
    </w:p>
    <w:p>
      <w:pPr>
        <w:pStyle w:val="Normal"/>
        <w:rPr>
          <w:rFonts w:ascii="Arial" w:hAnsi="Arial" w:cs="Arial"/>
          <w:b/>
          <w:bCs/>
          <w:color w:val="000000"/>
          <w:sz w:val="20"/>
        </w:rPr>
      </w:pPr>
      <w:r>
        <w:rPr>
          <w:rFonts w:cs="Arial" w:ascii="Arial" w:hAnsi="Arial"/>
          <w:b/>
          <w:bCs/>
          <w:color w:val="000000"/>
          <w:sz w:val="20"/>
        </w:rPr>
      </w:r>
    </w:p>
    <w:p>
      <w:pPr>
        <w:pStyle w:val="Normal"/>
        <w:rPr>
          <w:rFonts w:ascii="Arial" w:hAnsi="Arial" w:cs="Arial"/>
          <w:b/>
          <w:bCs/>
          <w:color w:val="000000"/>
          <w:sz w:val="20"/>
        </w:rPr>
      </w:pPr>
      <w:r>
        <w:rPr>
          <w:rFonts w:cs="Arial" w:ascii="Arial" w:hAnsi="Arial"/>
          <w:b/>
          <w:bCs/>
          <w:color w:val="000000"/>
          <w:sz w:val="20"/>
        </w:rPr>
      </w:r>
    </w:p>
    <w:p>
      <w:pPr>
        <w:pStyle w:val="Normal"/>
        <w:rPr/>
      </w:pPr>
      <w:r>
        <w:rPr>
          <w:rFonts w:cs="Arial" w:ascii="Arial" w:hAnsi="Arial"/>
          <w:b/>
          <w:bCs/>
          <w:color w:val="000000"/>
          <w:sz w:val="20"/>
        </w:rPr>
        <w:t xml:space="preserve">C)   </w:t>
      </w:r>
      <w:r>
        <w:rPr>
          <w:rFonts w:cs="Arial" w:ascii="Arial" w:hAnsi="Arial"/>
          <w:b/>
          <w:bCs/>
          <w:color w:val="000000"/>
          <w:sz w:val="20"/>
          <w:szCs w:val="20"/>
        </w:rPr>
        <w:t>Finančné výdavky</w:t>
      </w:r>
    </w:p>
    <w:p>
      <w:pPr>
        <w:pStyle w:val="Normal"/>
        <w:rPr>
          <w:rFonts w:ascii="Arial" w:hAnsi="Arial" w:cs="Arial"/>
          <w:color w:val="000000"/>
          <w:sz w:val="20"/>
          <w:szCs w:val="20"/>
        </w:rPr>
      </w:pPr>
      <w:r>
        <w:rPr>
          <w:rFonts w:cs="Arial" w:ascii="Arial" w:hAnsi="Arial"/>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3 000,00 €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3 000,00 €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2 869,77 €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95,66 %</w:t>
            </w:r>
          </w:p>
        </w:tc>
      </w:tr>
    </w:tbl>
    <w:p>
      <w:pPr>
        <w:pStyle w:val="Normal"/>
        <w:tabs>
          <w:tab w:val="clear" w:pos="708"/>
          <w:tab w:val="left" w:pos="570" w:leader="none"/>
        </w:tabs>
        <w:ind w:hanging="0" w:right="-57"/>
        <w:jc w:val="both"/>
        <w:rPr>
          <w:rFonts w:ascii="Arial" w:hAnsi="Arial" w:cs="Arial"/>
          <w:color w:val="000000"/>
          <w:sz w:val="20"/>
          <w:szCs w:val="20"/>
        </w:rPr>
      </w:pPr>
      <w:r>
        <w:rPr>
          <w:rFonts w:cs="Arial" w:ascii="Arial" w:hAnsi="Arial"/>
          <w:color w:val="000000"/>
          <w:sz w:val="20"/>
          <w:szCs w:val="20"/>
        </w:rPr>
      </w:r>
    </w:p>
    <w:p>
      <w:pPr>
        <w:pStyle w:val="Normal"/>
        <w:tabs>
          <w:tab w:val="clear" w:pos="708"/>
          <w:tab w:val="left" w:pos="570" w:leader="none"/>
        </w:tabs>
        <w:ind w:hanging="0" w:right="-57"/>
        <w:jc w:val="both"/>
        <w:rPr>
          <w:rFonts w:ascii="Arial" w:hAnsi="Arial"/>
          <w:color w:val="000000"/>
          <w:sz w:val="20"/>
          <w:szCs w:val="20"/>
        </w:rPr>
      </w:pPr>
      <w:r>
        <w:rPr>
          <w:rFonts w:cs="Arial" w:ascii="Arial" w:hAnsi="Arial"/>
          <w:color w:val="000000"/>
          <w:sz w:val="20"/>
          <w:szCs w:val="20"/>
        </w:rPr>
        <w:t>Finančné výdavky obce v roku 2024 tvorili splátky istiny debetných úverov DEXIA vo výške 2869,77 €</w:t>
      </w:r>
    </w:p>
    <w:p>
      <w:pPr>
        <w:pStyle w:val="Normal"/>
        <w:tabs>
          <w:tab w:val="clear" w:pos="708"/>
          <w:tab w:val="left" w:pos="570" w:leader="none"/>
        </w:tabs>
        <w:jc w:val="both"/>
        <w:rPr>
          <w:rFonts w:ascii="Arial" w:hAnsi="Arial"/>
          <w:color w:val="000000"/>
          <w:sz w:val="20"/>
          <w:szCs w:val="20"/>
        </w:rPr>
      </w:pPr>
      <w:r>
        <w:rPr>
          <w:rFonts w:cs="Arial" w:ascii="Arial" w:hAnsi="Arial"/>
          <w:color w:val="000000"/>
          <w:sz w:val="20"/>
          <w:szCs w:val="20"/>
        </w:rPr>
        <w:t xml:space="preserve"> </w:t>
      </w:r>
      <w:r>
        <w:rPr>
          <w:rFonts w:cs="Arial" w:ascii="Arial" w:hAnsi="Arial"/>
          <w:color w:val="000000"/>
          <w:sz w:val="20"/>
          <w:szCs w:val="20"/>
        </w:rPr>
        <w:t>- Zostatok komunálneho úveru  DEXIA  bol k 31. decembru 2024 vo výške 58.930,81 EUR.</w:t>
      </w:r>
    </w:p>
    <w:p>
      <w:pPr>
        <w:pStyle w:val="Normal"/>
        <w:tabs>
          <w:tab w:val="clear" w:pos="708"/>
          <w:tab w:val="left" w:pos="570" w:leader="none"/>
        </w:tabs>
        <w:jc w:val="both"/>
        <w:rPr>
          <w:rFonts w:ascii="Arial" w:hAnsi="Arial"/>
          <w:color w:val="000000"/>
          <w:sz w:val="20"/>
          <w:szCs w:val="20"/>
        </w:rPr>
      </w:pPr>
      <w:r>
        <w:rPr>
          <w:rFonts w:cs="Arial" w:ascii="Arial" w:hAnsi="Arial"/>
          <w:color w:val="000000"/>
          <w:sz w:val="20"/>
          <w:szCs w:val="20"/>
        </w:rPr>
        <w:t xml:space="preserve"> </w:t>
      </w:r>
      <w:r>
        <w:rPr>
          <w:rFonts w:cs="Arial" w:ascii="Arial" w:hAnsi="Arial"/>
          <w:color w:val="000000"/>
          <w:sz w:val="20"/>
          <w:szCs w:val="20"/>
        </w:rPr>
        <w:t>- Zostatok terminovaného úveru DEXIA bol k 31.decembru 2024 vo výške   8 181,23 EUR</w:t>
      </w:r>
    </w:p>
    <w:p>
      <w:pPr>
        <w:pStyle w:val="Normal"/>
        <w:tabs>
          <w:tab w:val="clear" w:pos="708"/>
          <w:tab w:val="left" w:pos="570" w:leader="none"/>
        </w:tabs>
        <w:jc w:val="both"/>
        <w:rPr>
          <w:rFonts w:ascii="Arial" w:hAnsi="Arial" w:cs="Arial"/>
          <w:b/>
          <w:bCs/>
          <w:color w:val="C9211E"/>
          <w:sz w:val="20"/>
          <w:szCs w:val="20"/>
        </w:rPr>
      </w:pPr>
      <w:r>
        <w:rPr>
          <w:rFonts w:cs="Arial" w:ascii="Arial" w:hAnsi="Arial"/>
          <w:b/>
          <w:bCs/>
          <w:color w:val="C9211E"/>
          <w:sz w:val="20"/>
          <w:szCs w:val="20"/>
        </w:rPr>
      </w:r>
    </w:p>
    <w:p>
      <w:pPr>
        <w:pStyle w:val="Normal"/>
        <w:rPr>
          <w:sz w:val="24"/>
          <w:szCs w:val="24"/>
        </w:rPr>
      </w:pPr>
      <w:r>
        <w:rPr>
          <w:rFonts w:cs="Arial" w:ascii="Arial" w:hAnsi="Arial"/>
          <w:b/>
          <w:bCs/>
          <w:color w:val="000000"/>
          <w:sz w:val="24"/>
          <w:szCs w:val="24"/>
        </w:rPr>
        <w:t>Výdavky rozpočtovej organizácie s právnou subjektivitou – MŠ</w:t>
      </w:r>
    </w:p>
    <w:p>
      <w:pPr>
        <w:pStyle w:val="Normal"/>
        <w:rPr>
          <w:rFonts w:ascii="Arial" w:hAnsi="Arial" w:cs="Arial"/>
          <w:color w:val="000000"/>
          <w:sz w:val="20"/>
          <w:szCs w:val="20"/>
        </w:rPr>
      </w:pPr>
      <w:r>
        <w:rPr>
          <w:rFonts w:cs="Arial" w:ascii="Arial" w:hAnsi="Arial"/>
          <w:color w:val="000000"/>
          <w:sz w:val="20"/>
          <w:szCs w:val="20"/>
        </w:rPr>
      </w:r>
    </w:p>
    <w:tbl>
      <w:tblPr>
        <w:tblW w:w="9923" w:type="dxa"/>
        <w:jc w:val="left"/>
        <w:tblInd w:w="108" w:type="dxa"/>
        <w:tblLayout w:type="fixed"/>
        <w:tblCellMar>
          <w:top w:w="0" w:type="dxa"/>
          <w:left w:w="98" w:type="dxa"/>
          <w:bottom w:w="0" w:type="dxa"/>
          <w:right w:w="108" w:type="dxa"/>
        </w:tblCellMar>
        <w:tblLook w:firstRow="1" w:noVBand="1" w:lastRow="0" w:firstColumn="1" w:lastColumn="0" w:noHBand="0" w:val="04a0"/>
      </w:tblPr>
      <w:tblGrid>
        <w:gridCol w:w="2411"/>
        <w:gridCol w:w="2552"/>
        <w:gridCol w:w="2551"/>
        <w:gridCol w:w="2408"/>
      </w:tblGrid>
      <w:tr>
        <w:trPr/>
        <w:tc>
          <w:tcPr>
            <w:tcW w:w="241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rFonts w:ascii="Arial" w:hAnsi="Arial"/>
                <w:color w:val="000000"/>
                <w:sz w:val="20"/>
                <w:szCs w:val="20"/>
              </w:rPr>
            </w:pPr>
            <w:r>
              <w:rPr>
                <w:rFonts w:ascii="Arial" w:hAnsi="Arial"/>
                <w:color w:val="000000"/>
                <w:sz w:val="20"/>
                <w:szCs w:val="20"/>
              </w:rPr>
              <w:t>Schválený</w:t>
            </w:r>
          </w:p>
          <w:p>
            <w:pPr>
              <w:pStyle w:val="Normal"/>
              <w:jc w:val="center"/>
              <w:rPr>
                <w:sz w:val="20"/>
                <w:szCs w:val="20"/>
              </w:rPr>
            </w:pPr>
            <w:r>
              <w:rPr>
                <w:rFonts w:ascii="Arial" w:hAnsi="Arial"/>
                <w:color w:val="000000"/>
                <w:sz w:val="20"/>
                <w:szCs w:val="20"/>
              </w:rPr>
              <w:t>rozpočet</w:t>
            </w:r>
          </w:p>
        </w:tc>
        <w:tc>
          <w:tcPr>
            <w:tcW w:w="2552"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Schválený rozpočet</w:t>
            </w:r>
          </w:p>
          <w:p>
            <w:pPr>
              <w:pStyle w:val="Normal"/>
              <w:jc w:val="center"/>
              <w:rPr>
                <w:sz w:val="20"/>
                <w:szCs w:val="20"/>
              </w:rPr>
            </w:pPr>
            <w:r>
              <w:rPr>
                <w:rFonts w:ascii="Arial" w:hAnsi="Arial"/>
                <w:color w:val="000000"/>
                <w:sz w:val="20"/>
                <w:szCs w:val="20"/>
              </w:rPr>
              <w:t>po poslednej zmene</w:t>
            </w:r>
          </w:p>
        </w:tc>
        <w:tc>
          <w:tcPr>
            <w:tcW w:w="2551"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Skutočné</w:t>
            </w:r>
          </w:p>
          <w:p>
            <w:pPr>
              <w:pStyle w:val="Normal"/>
              <w:jc w:val="center"/>
              <w:rPr>
                <w:sz w:val="20"/>
                <w:szCs w:val="20"/>
              </w:rPr>
            </w:pPr>
            <w:r>
              <w:rPr>
                <w:rFonts w:ascii="Arial" w:hAnsi="Arial"/>
                <w:color w:val="000000"/>
                <w:sz w:val="20"/>
                <w:szCs w:val="20"/>
              </w:rPr>
              <w:t>plnenie príjmov</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sz w:val="20"/>
                <w:szCs w:val="20"/>
              </w:rPr>
            </w:pPr>
            <w:r>
              <w:rPr>
                <w:rFonts w:ascii="Arial" w:hAnsi="Arial"/>
                <w:color w:val="000000"/>
                <w:sz w:val="20"/>
                <w:szCs w:val="20"/>
              </w:rPr>
              <w:t>% plnenia príjmov</w:t>
            </w:r>
          </w:p>
          <w:p>
            <w:pPr>
              <w:pStyle w:val="Normal"/>
              <w:jc w:val="center"/>
              <w:rPr>
                <w:sz w:val="20"/>
                <w:szCs w:val="20"/>
              </w:rPr>
            </w:pPr>
            <w:r>
              <w:rPr>
                <w:rFonts w:ascii="Arial" w:hAnsi="Arial"/>
                <w:color w:val="000000"/>
                <w:sz w:val="20"/>
                <w:szCs w:val="20"/>
              </w:rPr>
              <w:t xml:space="preserve"> </w:t>
            </w:r>
            <w:r>
              <w:rPr>
                <w:rFonts w:ascii="Arial" w:hAnsi="Arial"/>
                <w:color w:val="000000"/>
                <w:sz w:val="20"/>
                <w:szCs w:val="20"/>
              </w:rPr>
              <w:t>k rozpočtu po zmenách</w:t>
            </w:r>
          </w:p>
        </w:tc>
      </w:tr>
      <w:tr>
        <w:trPr>
          <w:trHeight w:val="160" w:hRule="atLeast"/>
        </w:trPr>
        <w:tc>
          <w:tcPr>
            <w:tcW w:w="241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104 340,00 €</w:t>
            </w:r>
          </w:p>
        </w:tc>
        <w:tc>
          <w:tcPr>
            <w:tcW w:w="2552"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114 621,00 €</w:t>
            </w:r>
          </w:p>
        </w:tc>
        <w:tc>
          <w:tcPr>
            <w:tcW w:w="2551"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110 618,31 €</w:t>
            </w:r>
          </w:p>
        </w:tc>
        <w:tc>
          <w:tcPr>
            <w:tcW w:w="2408" w:type="dxa"/>
            <w:tcBorders>
              <w:top w:val="single" w:sz="4" w:space="0" w:color="000000"/>
              <w:left w:val="single" w:sz="4" w:space="0" w:color="000000"/>
              <w:bottom w:val="single" w:sz="4" w:space="0" w:color="000000"/>
              <w:right w:val="single" w:sz="4" w:space="0" w:color="000000"/>
            </w:tcBorders>
            <w:shd w:fill="auto" w:val="clear"/>
          </w:tcPr>
          <w:p>
            <w:pPr>
              <w:pStyle w:val="Normal"/>
              <w:snapToGrid w:val="false"/>
              <w:jc w:val="center"/>
              <w:rPr>
                <w:rFonts w:ascii="Arial" w:hAnsi="Arial"/>
                <w:color w:val="000000"/>
                <w:sz w:val="20"/>
                <w:szCs w:val="20"/>
              </w:rPr>
            </w:pPr>
            <w:r>
              <w:rPr>
                <w:rFonts w:ascii="Arial" w:hAnsi="Arial"/>
                <w:color w:val="000000"/>
                <w:sz w:val="20"/>
                <w:szCs w:val="20"/>
              </w:rPr>
              <w:t>96,51  %</w:t>
            </w:r>
          </w:p>
        </w:tc>
      </w:tr>
    </w:tbl>
    <w:p>
      <w:pPr>
        <w:pStyle w:val="Normal"/>
        <w:rPr>
          <w:rFonts w:ascii="Arial" w:hAnsi="Arial" w:cs="Arial"/>
          <w:b/>
          <w:bCs/>
          <w:color w:val="000000"/>
          <w:sz w:val="20"/>
          <w:szCs w:val="20"/>
        </w:rPr>
      </w:pPr>
      <w:r>
        <w:rPr>
          <w:rFonts w:cs="Arial" w:ascii="Arial" w:hAnsi="Arial"/>
          <w:b/>
          <w:bCs/>
          <w:color w:val="000000"/>
          <w:sz w:val="20"/>
          <w:szCs w:val="20"/>
        </w:rPr>
      </w:r>
    </w:p>
    <w:p>
      <w:pPr>
        <w:pStyle w:val="Normal"/>
        <w:rPr>
          <w:rFonts w:ascii="Arial" w:hAnsi="Arial"/>
          <w:color w:val="000000"/>
          <w:sz w:val="20"/>
          <w:szCs w:val="20"/>
        </w:rPr>
      </w:pPr>
      <w:r>
        <w:rPr>
          <w:rFonts w:cs="Arial" w:ascii="Arial" w:hAnsi="Arial"/>
          <w:b/>
          <w:bCs/>
          <w:color w:val="000000"/>
          <w:sz w:val="20"/>
          <w:szCs w:val="20"/>
        </w:rPr>
        <w:t xml:space="preserve">1. Mzdy, ostatné osobné vyrovnania </w:t>
      </w:r>
    </w:p>
    <w:p>
      <w:pPr>
        <w:pStyle w:val="Normal"/>
        <w:jc w:val="both"/>
        <w:rPr>
          <w:rFonts w:ascii="Arial" w:hAnsi="Arial"/>
          <w:color w:val="000000"/>
          <w:sz w:val="20"/>
          <w:szCs w:val="20"/>
        </w:rPr>
      </w:pPr>
      <w:r>
        <w:rPr>
          <w:rFonts w:cs="Arial" w:ascii="Arial" w:hAnsi="Arial"/>
          <w:color w:val="000000"/>
          <w:sz w:val="20"/>
          <w:szCs w:val="20"/>
        </w:rPr>
        <w:t>Z rozpočtovaných 59 035,00 EUR bolo skutočné plnenie k 31.12.2024 vo výške 59 034,46 EUR, čo predstavuje plnenie na 100,00 %.</w:t>
      </w:r>
    </w:p>
    <w:p>
      <w:pPr>
        <w:pStyle w:val="Normal"/>
        <w:jc w:val="both"/>
        <w:rPr/>
      </w:pPr>
      <w:r>
        <w:rPr>
          <w:rFonts w:cs="Arial" w:ascii="Arial" w:hAnsi="Arial"/>
          <w:b/>
          <w:bCs/>
          <w:color w:val="000000"/>
          <w:sz w:val="20"/>
          <w:szCs w:val="20"/>
        </w:rPr>
        <w:t>2. Odvody do poisťovní</w:t>
      </w:r>
    </w:p>
    <w:p>
      <w:pPr>
        <w:pStyle w:val="Normal"/>
        <w:jc w:val="both"/>
        <w:rPr>
          <w:rFonts w:ascii="Arial" w:hAnsi="Arial"/>
          <w:color w:val="000000"/>
          <w:sz w:val="20"/>
          <w:szCs w:val="20"/>
        </w:rPr>
      </w:pPr>
      <w:r>
        <w:rPr>
          <w:rFonts w:cs="Arial" w:ascii="Arial" w:hAnsi="Arial"/>
          <w:color w:val="000000"/>
          <w:sz w:val="20"/>
          <w:szCs w:val="20"/>
        </w:rPr>
        <w:t xml:space="preserve">Z rozpočtovaných 19 731,00 EUR bolo skutočné plnenie k 31.12.2024 vo výške 19 541,68 EUR, čo predstavuje plnenie na 99,04 %.  </w:t>
      </w:r>
    </w:p>
    <w:p>
      <w:pPr>
        <w:pStyle w:val="Normal"/>
        <w:rPr/>
      </w:pPr>
      <w:r>
        <w:rPr>
          <w:rFonts w:cs="Arial" w:ascii="Arial" w:hAnsi="Arial"/>
          <w:b/>
          <w:bCs/>
          <w:color w:val="000000"/>
          <w:sz w:val="20"/>
          <w:szCs w:val="20"/>
        </w:rPr>
        <w:t>3. Tovary a služby</w:t>
      </w:r>
    </w:p>
    <w:p>
      <w:pPr>
        <w:pStyle w:val="Normal"/>
        <w:jc w:val="both"/>
        <w:rPr>
          <w:color w:val="000000"/>
        </w:rPr>
      </w:pPr>
      <w:r>
        <w:rPr>
          <w:rFonts w:cs="Arial" w:ascii="Arial" w:hAnsi="Arial"/>
          <w:color w:val="000000"/>
          <w:sz w:val="20"/>
        </w:rPr>
        <w:t>Z rozpočtovaných 35 855,00 EUR bolo skutočné plnenie k 31.12.2024 vo výške 32 042,17 EUR, čo prestavuje plnenie na 89,37 %. Sú tu zahrnuté  prevádzkové náklady a to cestovné náklady, energia, voda, dopravné, materiál, náklady sa údržbu, ostatné tovary a služby.</w:t>
      </w:r>
    </w:p>
    <w:p>
      <w:pPr>
        <w:pStyle w:val="Normal"/>
        <w:jc w:val="both"/>
        <w:rPr>
          <w:rFonts w:ascii="Arial" w:hAnsi="Arial" w:cs="Arial"/>
          <w:b/>
          <w:bCs/>
          <w:sz w:val="20"/>
        </w:rPr>
      </w:pPr>
      <w:r>
        <w:rPr>
          <w:rFonts w:cs="Arial" w:ascii="Arial" w:hAnsi="Arial"/>
          <w:b/>
          <w:bCs/>
          <w:sz w:val="20"/>
        </w:rPr>
      </w:r>
    </w:p>
    <w:p>
      <w:pPr>
        <w:pStyle w:val="Normal"/>
        <w:rPr/>
      </w:pPr>
      <w:r>
        <w:rPr>
          <w:rFonts w:cs="Arial" w:ascii="Arial" w:hAnsi="Arial"/>
          <w:b/>
          <w:sz w:val="28"/>
          <w:szCs w:val="28"/>
        </w:rPr>
        <w:t xml:space="preserve">3.  Hospodárenie obce a rozdelenie výsledku hospodárenia za rok 2024 </w:t>
      </w:r>
      <w:r>
        <w:rPr>
          <w:rFonts w:cs="Arial" w:ascii="Arial" w:hAnsi="Arial"/>
          <w:b/>
          <w:bCs/>
          <w:sz w:val="28"/>
          <w:szCs w:val="28"/>
        </w:rPr>
        <w:t>:</w:t>
      </w:r>
    </w:p>
    <w:p>
      <w:pPr>
        <w:pStyle w:val="Normal"/>
        <w:rPr>
          <w:rFonts w:ascii="Arial" w:hAnsi="Arial" w:cs="Arial"/>
          <w:b/>
          <w:bCs/>
          <w:color w:val="C9211E"/>
          <w:sz w:val="20"/>
        </w:rPr>
      </w:pPr>
      <w:r>
        <w:rPr>
          <w:rFonts w:cs="Arial" w:ascii="Arial" w:hAnsi="Arial"/>
          <w:b/>
          <w:bCs/>
          <w:color w:val="C9211E"/>
          <w:sz w:val="20"/>
        </w:rPr>
      </w:r>
    </w:p>
    <w:tbl>
      <w:tblPr>
        <w:tblW w:w="9866" w:type="dxa"/>
        <w:jc w:val="left"/>
        <w:tblInd w:w="57" w:type="dxa"/>
        <w:tblLayout w:type="fixed"/>
        <w:tblCellMar>
          <w:top w:w="0" w:type="dxa"/>
          <w:left w:w="22" w:type="dxa"/>
          <w:bottom w:w="0" w:type="dxa"/>
          <w:right w:w="10" w:type="dxa"/>
        </w:tblCellMar>
        <w:tblLook w:firstRow="1" w:noVBand="1" w:lastRow="0" w:firstColumn="1" w:lastColumn="0" w:noHBand="0" w:val="04a0"/>
      </w:tblPr>
      <w:tblGrid>
        <w:gridCol w:w="5359"/>
        <w:gridCol w:w="4506"/>
      </w:tblGrid>
      <w:tr>
        <w:trPr>
          <w:trHeight w:val="300" w:hRule="atLeast"/>
        </w:trPr>
        <w:tc>
          <w:tcPr>
            <w:tcW w:w="5359" w:type="dxa"/>
            <w:tcBorders>
              <w:top w:val="double" w:sz="6" w:space="0" w:color="000000"/>
              <w:left w:val="double" w:sz="6" w:space="0" w:color="000000"/>
              <w:right w:val="single" w:sz="8" w:space="0" w:color="000000"/>
            </w:tcBorders>
            <w:shd w:color="auto" w:fill="D9D9D9" w:val="clear"/>
            <w:vAlign w:val="center"/>
          </w:tcPr>
          <w:p>
            <w:pPr>
              <w:pStyle w:val="Normal"/>
              <w:snapToGrid w:val="false"/>
              <w:jc w:val="center"/>
              <w:rPr>
                <w:rStyle w:val="Strong"/>
              </w:rPr>
            </w:pPr>
            <w:r>
              <w:rPr/>
            </w:r>
          </w:p>
          <w:p>
            <w:pPr>
              <w:pStyle w:val="Normal"/>
              <w:jc w:val="center"/>
              <w:rPr/>
            </w:pPr>
            <w:r>
              <w:rPr>
                <w:rStyle w:val="Strong"/>
              </w:rPr>
              <w:t>Hospodárenie obce</w:t>
            </w:r>
          </w:p>
        </w:tc>
        <w:tc>
          <w:tcPr>
            <w:tcW w:w="4506" w:type="dxa"/>
            <w:vMerge w:val="restart"/>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tabs>
                <w:tab w:val="clear" w:pos="708"/>
                <w:tab w:val="right" w:pos="8820" w:leader="none"/>
              </w:tabs>
              <w:snapToGrid w:val="false"/>
              <w:jc w:val="center"/>
              <w:rPr>
                <w:b/>
              </w:rPr>
            </w:pPr>
            <w:r>
              <w:rPr>
                <w:b/>
              </w:rPr>
            </w:r>
          </w:p>
          <w:p>
            <w:pPr>
              <w:pStyle w:val="Normal"/>
              <w:tabs>
                <w:tab w:val="clear" w:pos="708"/>
                <w:tab w:val="right" w:pos="8820" w:leader="none"/>
              </w:tabs>
              <w:jc w:val="center"/>
              <w:rPr/>
            </w:pPr>
            <w:r>
              <w:rPr>
                <w:b/>
              </w:rPr>
              <w:t>Skutočnosť k 31.12.2024 v EUR</w:t>
            </w:r>
          </w:p>
          <w:p>
            <w:pPr>
              <w:pStyle w:val="Normal"/>
              <w:jc w:val="center"/>
              <w:rPr>
                <w:b/>
              </w:rPr>
            </w:pPr>
            <w:r>
              <w:rPr>
                <w:b/>
              </w:rPr>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snapToGrid w:val="false"/>
              <w:rPr/>
            </w:pPr>
            <w:r>
              <w:rPr/>
            </w:r>
          </w:p>
        </w:tc>
        <w:tc>
          <w:tcPr>
            <w:tcW w:w="4506" w:type="dxa"/>
            <w:vMerge w:val="continue"/>
            <w:tcBorders>
              <w:top w:val="double" w:sz="6" w:space="0" w:color="000000"/>
              <w:left w:val="single" w:sz="8" w:space="0" w:color="000000"/>
              <w:bottom w:val="single" w:sz="8" w:space="0" w:color="000000"/>
              <w:right w:val="double" w:sz="6" w:space="0" w:color="000000"/>
            </w:tcBorders>
            <w:shd w:color="auto" w:fill="D9D9D9" w:val="clear"/>
            <w:vAlign w:val="center"/>
          </w:tcPr>
          <w:p>
            <w:pPr>
              <w:pStyle w:val="Normal"/>
              <w:snapToGrid w:val="false"/>
              <w:rPr/>
            </w:pPr>
            <w:r>
              <w:rPr/>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sz w:val="20"/>
                <w:szCs w:val="20"/>
              </w:rPr>
              <w:t>Bežné  príjmy spolu</w:t>
            </w:r>
          </w:p>
        </w:tc>
        <w:tc>
          <w:tcPr>
            <w:tcW w:w="4506" w:type="dxa"/>
            <w:tcBorders>
              <w:top w:val="single" w:sz="8" w:space="0" w:color="000000"/>
              <w:left w:val="single" w:sz="8" w:space="0" w:color="000000"/>
              <w:bottom w:val="single" w:sz="8" w:space="0" w:color="000000"/>
              <w:right w:val="double" w:sz="6" w:space="0" w:color="000000"/>
            </w:tcBorders>
            <w:shd w:color="auto" w:fill="FFFFFF" w:val="clear"/>
            <w:vAlign w:val="center"/>
          </w:tcPr>
          <w:p>
            <w:pPr>
              <w:pStyle w:val="Normal"/>
              <w:jc w:val="right"/>
              <w:rPr/>
            </w:pPr>
            <w:r>
              <w:rPr/>
              <w:t>409.437,05</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bežné príjmy obce</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397.609,78</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bežné príjmy MŠ</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11.827,27</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sz w:val="20"/>
                <w:szCs w:val="20"/>
              </w:rPr>
              <w:t>Bežné výdavky spolu</w:t>
            </w:r>
          </w:p>
        </w:tc>
        <w:tc>
          <w:tcPr>
            <w:tcW w:w="4506" w:type="dxa"/>
            <w:tcBorders>
              <w:top w:val="single" w:sz="8" w:space="0" w:color="000000"/>
              <w:left w:val="single" w:sz="8" w:space="0" w:color="000000"/>
              <w:bottom w:val="single" w:sz="8" w:space="0" w:color="000000"/>
              <w:right w:val="double" w:sz="6" w:space="0" w:color="000000"/>
            </w:tcBorders>
            <w:shd w:color="auto" w:fill="FFFFFF" w:val="clear"/>
            <w:vAlign w:val="center"/>
          </w:tcPr>
          <w:p>
            <w:pPr>
              <w:pStyle w:val="Normal"/>
              <w:jc w:val="right"/>
              <w:rPr/>
            </w:pPr>
            <w:r>
              <w:rPr/>
              <w:t>335.526,46</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bežné výdavky  obce</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224.908,15</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bežné výdavky  MŠ</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110.618,31</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pPr>
            <w:r>
              <w:rPr>
                <w:rStyle w:val="Emphasis"/>
                <w:b/>
                <w:bCs/>
                <w:sz w:val="20"/>
                <w:szCs w:val="20"/>
              </w:rPr>
              <w:t>Bežný rozpočet</w:t>
            </w:r>
          </w:p>
        </w:tc>
        <w:tc>
          <w:tcPr>
            <w:tcW w:w="4506" w:type="dxa"/>
            <w:tcBorders>
              <w:top w:val="single" w:sz="8" w:space="0" w:color="000000"/>
              <w:left w:val="single" w:sz="8" w:space="0" w:color="000000"/>
              <w:bottom w:val="single" w:sz="8" w:space="0" w:color="000000"/>
              <w:right w:val="double" w:sz="6" w:space="0" w:color="000000"/>
            </w:tcBorders>
            <w:shd w:color="auto" w:fill="D9D9D9" w:val="clear"/>
            <w:vAlign w:val="center"/>
          </w:tcPr>
          <w:p>
            <w:pPr>
              <w:pStyle w:val="Normal"/>
              <w:jc w:val="right"/>
              <w:rPr/>
            </w:pPr>
            <w:r>
              <w:rPr/>
              <w:t>73.910,59</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sz w:val="20"/>
                <w:szCs w:val="20"/>
              </w:rPr>
              <w:t>Kapitálové  príjmy spolu</w:t>
            </w:r>
          </w:p>
        </w:tc>
        <w:tc>
          <w:tcPr>
            <w:tcW w:w="4506" w:type="dxa"/>
            <w:tcBorders>
              <w:top w:val="single" w:sz="8" w:space="0" w:color="000000"/>
              <w:left w:val="single" w:sz="8" w:space="0" w:color="000000"/>
              <w:bottom w:val="single" w:sz="8" w:space="0" w:color="000000"/>
              <w:right w:val="double" w:sz="6" w:space="0" w:color="000000"/>
            </w:tcBorders>
            <w:shd w:color="auto" w:fill="FFFFFF" w:val="clear"/>
            <w:vAlign w:val="center"/>
          </w:tcPr>
          <w:p>
            <w:pPr>
              <w:pStyle w:val="Normal"/>
              <w:jc w:val="right"/>
              <w:rPr/>
            </w:pPr>
            <w:r>
              <w:rPr/>
              <w:t>1.370,04</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sz w:val="20"/>
                <w:szCs w:val="20"/>
              </w:rPr>
            </w:pPr>
            <w:r>
              <w:rPr>
                <w:sz w:val="20"/>
                <w:szCs w:val="20"/>
              </w:rPr>
              <w:t>z toho : kapitálové  príjmy obce</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1.370,04</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kapitálové  príjmy MŠ</w:t>
            </w:r>
          </w:p>
        </w:tc>
        <w:tc>
          <w:tcPr>
            <w:tcW w:w="4506" w:type="dxa"/>
            <w:tcBorders>
              <w:top w:val="single" w:sz="8"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0,00</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sz w:val="20"/>
                <w:szCs w:val="20"/>
              </w:rPr>
              <w:t>Kapitálové  výdavky spolu</w:t>
            </w:r>
          </w:p>
        </w:tc>
        <w:tc>
          <w:tcPr>
            <w:tcW w:w="4506" w:type="dxa"/>
            <w:tcBorders>
              <w:top w:val="single" w:sz="4" w:space="0" w:color="000000"/>
              <w:left w:val="single" w:sz="8" w:space="0" w:color="000000"/>
              <w:bottom w:val="single" w:sz="4" w:space="0" w:color="000000"/>
              <w:right w:val="double" w:sz="6" w:space="0" w:color="000000"/>
            </w:tcBorders>
            <w:shd w:color="auto" w:fill="FFFFFF" w:val="clear"/>
            <w:vAlign w:val="center"/>
          </w:tcPr>
          <w:p>
            <w:pPr>
              <w:pStyle w:val="Normal"/>
              <w:jc w:val="right"/>
              <w:rPr/>
            </w:pPr>
            <w:r>
              <w:rPr/>
              <w:t>125.706,55</w:t>
            </w:r>
          </w:p>
        </w:tc>
      </w:tr>
      <w:tr>
        <w:trPr>
          <w:trHeight w:val="300" w:hRule="atLeast"/>
        </w:trPr>
        <w:tc>
          <w:tcPr>
            <w:tcW w:w="5359" w:type="dxa"/>
            <w:tcBorders>
              <w:top w:val="single" w:sz="8" w:space="0" w:color="000000"/>
              <w:left w:val="double" w:sz="6" w:space="0" w:color="000000"/>
              <w:bottom w:val="single" w:sz="8" w:space="0" w:color="000000"/>
              <w:right w:val="single" w:sz="4" w:space="0" w:color="000000"/>
            </w:tcBorders>
            <w:shd w:fill="auto" w:val="clear"/>
            <w:vAlign w:val="center"/>
          </w:tcPr>
          <w:p>
            <w:pPr>
              <w:pStyle w:val="Normal"/>
              <w:rPr>
                <w:sz w:val="20"/>
                <w:szCs w:val="20"/>
              </w:rPr>
            </w:pPr>
            <w:r>
              <w:rPr>
                <w:sz w:val="20"/>
                <w:szCs w:val="20"/>
              </w:rPr>
              <w:t>z toho : kapitálové  výdavky  obce</w:t>
            </w:r>
          </w:p>
        </w:tc>
        <w:tc>
          <w:tcPr>
            <w:tcW w:w="450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pPr>
            <w:r>
              <w:rPr>
                <w:rStyle w:val="Emphasis"/>
                <w:sz w:val="20"/>
                <w:szCs w:val="20"/>
              </w:rPr>
              <w:t>125.706,55</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 xml:space="preserve">             </w:t>
            </w:r>
            <w:r>
              <w:rPr>
                <w:sz w:val="20"/>
                <w:szCs w:val="20"/>
              </w:rPr>
              <w:t>kapitálové  výdavky  MŠ</w:t>
            </w:r>
          </w:p>
        </w:tc>
        <w:tc>
          <w:tcPr>
            <w:tcW w:w="4506" w:type="dxa"/>
            <w:tcBorders>
              <w:top w:val="single" w:sz="4" w:space="0" w:color="000000"/>
              <w:left w:val="single" w:sz="8" w:space="0" w:color="000000"/>
              <w:bottom w:val="single" w:sz="8" w:space="0" w:color="000000"/>
              <w:right w:val="double" w:sz="6" w:space="0" w:color="000000"/>
            </w:tcBorders>
            <w:shd w:fill="auto" w:val="clear"/>
            <w:vAlign w:val="center"/>
          </w:tcPr>
          <w:p>
            <w:pPr>
              <w:pStyle w:val="Normal"/>
              <w:jc w:val="right"/>
              <w:rPr/>
            </w:pPr>
            <w:r>
              <w:rPr>
                <w:rStyle w:val="Emphasis"/>
                <w:sz w:val="20"/>
                <w:szCs w:val="20"/>
              </w:rPr>
              <w:t>0,00</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pPr>
            <w:r>
              <w:rPr>
                <w:b/>
                <w:i/>
                <w:sz w:val="20"/>
                <w:szCs w:val="20"/>
              </w:rPr>
              <w:t>Kapitálový rozpočet</w:t>
            </w:r>
          </w:p>
        </w:tc>
        <w:tc>
          <w:tcPr>
            <w:tcW w:w="4506" w:type="dxa"/>
            <w:tcBorders>
              <w:top w:val="single" w:sz="8" w:space="0" w:color="000000"/>
              <w:left w:val="single" w:sz="8" w:space="0" w:color="000000"/>
              <w:bottom w:val="single" w:sz="8" w:space="0" w:color="000000"/>
              <w:right w:val="double" w:sz="6" w:space="0" w:color="000000"/>
            </w:tcBorders>
            <w:shd w:color="auto" w:fill="D9D9D9" w:val="clear"/>
            <w:vAlign w:val="center"/>
          </w:tcPr>
          <w:p>
            <w:pPr>
              <w:pStyle w:val="Normal"/>
              <w:jc w:val="right"/>
              <w:rPr/>
            </w:pPr>
            <w:r>
              <w:rPr/>
              <w:t>-124.336,51</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rStyle w:val="Emphasis"/>
                <w:b/>
                <w:bCs/>
                <w:sz w:val="20"/>
                <w:szCs w:val="20"/>
              </w:rPr>
              <w:t>Prebytok/schodok bežného a kapitálového rozpočtu</w:t>
            </w:r>
          </w:p>
        </w:tc>
        <w:tc>
          <w:tcPr>
            <w:tcW w:w="4506" w:type="dxa"/>
            <w:tcBorders>
              <w:top w:val="single" w:sz="8" w:space="0" w:color="000000"/>
              <w:left w:val="single" w:sz="8" w:space="0" w:color="000000"/>
              <w:bottom w:val="single" w:sz="8" w:space="0" w:color="000000"/>
              <w:right w:val="double" w:sz="6" w:space="0" w:color="000000"/>
            </w:tcBorders>
            <w:shd w:color="auto" w:fill="DDD9C3" w:val="clear"/>
            <w:vAlign w:val="center"/>
          </w:tcPr>
          <w:p>
            <w:pPr>
              <w:pStyle w:val="Normal"/>
              <w:jc w:val="right"/>
              <w:rPr>
                <w:b/>
              </w:rPr>
            </w:pPr>
            <w:r>
              <w:rPr>
                <w:b/>
              </w:rPr>
              <w:t>-50.425,92</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FFFFFF" w:val="clear"/>
            <w:vAlign w:val="center"/>
          </w:tcPr>
          <w:p>
            <w:pPr>
              <w:pStyle w:val="Normal"/>
              <w:rPr/>
            </w:pPr>
            <w:r>
              <w:rPr>
                <w:rStyle w:val="Emphasis"/>
                <w:b/>
                <w:sz w:val="20"/>
                <w:szCs w:val="20"/>
              </w:rPr>
              <w:t>Vylúčenie z prebytku/Úprava schodku HČ</w:t>
            </w:r>
          </w:p>
        </w:tc>
        <w:tc>
          <w:tcPr>
            <w:tcW w:w="4506" w:type="dxa"/>
            <w:tcBorders>
              <w:top w:val="single" w:sz="8" w:space="0" w:color="000000"/>
              <w:left w:val="single" w:sz="8" w:space="0" w:color="000000"/>
              <w:bottom w:val="single" w:sz="8" w:space="0" w:color="000000"/>
              <w:right w:val="double" w:sz="6" w:space="0" w:color="000000"/>
            </w:tcBorders>
            <w:shd w:color="auto" w:fill="FFFFFF" w:val="clear"/>
            <w:vAlign w:val="center"/>
          </w:tcPr>
          <w:p>
            <w:pPr>
              <w:pStyle w:val="Normal"/>
              <w:jc w:val="right"/>
              <w:rPr/>
            </w:pPr>
            <w:r>
              <w:rPr/>
              <w:t>-16.334,74</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DDD9C3" w:val="clear"/>
            <w:vAlign w:val="center"/>
          </w:tcPr>
          <w:p>
            <w:pPr>
              <w:pStyle w:val="Normal"/>
              <w:rPr/>
            </w:pPr>
            <w:r>
              <w:rPr>
                <w:rStyle w:val="Emphasis"/>
                <w:b/>
                <w:sz w:val="20"/>
                <w:szCs w:val="20"/>
              </w:rPr>
              <w:t xml:space="preserve">Upravený prebytok/schodok </w:t>
            </w:r>
            <w:r>
              <w:rPr>
                <w:rStyle w:val="Emphasis"/>
                <w:b/>
                <w:bCs/>
                <w:sz w:val="20"/>
                <w:szCs w:val="20"/>
              </w:rPr>
              <w:t>bežného a kapitálového rozpočtu</w:t>
            </w:r>
          </w:p>
        </w:tc>
        <w:tc>
          <w:tcPr>
            <w:tcW w:w="4506" w:type="dxa"/>
            <w:tcBorders>
              <w:top w:val="single" w:sz="8" w:space="0" w:color="000000"/>
              <w:left w:val="single" w:sz="8" w:space="0" w:color="000000"/>
              <w:bottom w:val="single" w:sz="8" w:space="0" w:color="000000"/>
              <w:right w:val="double" w:sz="6" w:space="0" w:color="000000"/>
            </w:tcBorders>
            <w:shd w:color="auto" w:fill="DDD9C3" w:val="clear"/>
            <w:vAlign w:val="center"/>
          </w:tcPr>
          <w:p>
            <w:pPr>
              <w:pStyle w:val="Normal"/>
              <w:jc w:val="right"/>
              <w:rPr/>
            </w:pPr>
            <w:r>
              <w:rPr>
                <w:b/>
              </w:rPr>
              <w:t>-66.760,66</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Príjmové finančné operácie</w:t>
            </w:r>
          </w:p>
        </w:tc>
        <w:tc>
          <w:tcPr>
            <w:tcW w:w="4506" w:type="dxa"/>
            <w:tcBorders>
              <w:top w:val="single" w:sz="4" w:space="0" w:color="000000"/>
              <w:left w:val="single" w:sz="8" w:space="0" w:color="000000"/>
              <w:bottom w:val="single" w:sz="4" w:space="0" w:color="000000"/>
              <w:right w:val="double" w:sz="6" w:space="0" w:color="000000"/>
            </w:tcBorders>
            <w:shd w:fill="auto" w:val="clear"/>
            <w:vAlign w:val="center"/>
          </w:tcPr>
          <w:p>
            <w:pPr>
              <w:pStyle w:val="Normal"/>
              <w:jc w:val="right"/>
              <w:rPr/>
            </w:pPr>
            <w:r>
              <w:rPr>
                <w:i/>
                <w:sz w:val="20"/>
                <w:szCs w:val="20"/>
              </w:rPr>
              <w:t>130.778,72</w:t>
            </w:r>
          </w:p>
        </w:tc>
      </w:tr>
      <w:tr>
        <w:trPr>
          <w:trHeight w:val="300" w:hRule="atLeast"/>
        </w:trPr>
        <w:tc>
          <w:tcPr>
            <w:tcW w:w="5359" w:type="dxa"/>
            <w:tcBorders>
              <w:top w:val="single" w:sz="8" w:space="0" w:color="000000"/>
              <w:left w:val="double" w:sz="6" w:space="0" w:color="000000"/>
              <w:bottom w:val="single" w:sz="8" w:space="0" w:color="000000"/>
              <w:right w:val="single" w:sz="8" w:space="0" w:color="000000"/>
            </w:tcBorders>
            <w:shd w:fill="auto" w:val="clear"/>
            <w:vAlign w:val="center"/>
          </w:tcPr>
          <w:p>
            <w:pPr>
              <w:pStyle w:val="Normal"/>
              <w:rPr/>
            </w:pPr>
            <w:r>
              <w:rPr>
                <w:sz w:val="20"/>
                <w:szCs w:val="20"/>
              </w:rPr>
              <w:t>Výdavkové finančné operácie</w:t>
            </w:r>
          </w:p>
        </w:tc>
        <w:tc>
          <w:tcPr>
            <w:tcW w:w="4506" w:type="dxa"/>
            <w:tcBorders>
              <w:top w:val="single" w:sz="4" w:space="0" w:color="000000"/>
              <w:left w:val="single" w:sz="8" w:space="0" w:color="000000"/>
              <w:bottom w:val="single" w:sz="4" w:space="0" w:color="000000"/>
              <w:right w:val="double" w:sz="6" w:space="0" w:color="000000"/>
            </w:tcBorders>
            <w:shd w:fill="auto" w:val="clear"/>
            <w:vAlign w:val="center"/>
          </w:tcPr>
          <w:p>
            <w:pPr>
              <w:pStyle w:val="Normal"/>
              <w:jc w:val="right"/>
              <w:rPr>
                <w:i/>
                <w:i/>
                <w:sz w:val="20"/>
                <w:szCs w:val="20"/>
              </w:rPr>
            </w:pPr>
            <w:r>
              <w:rPr>
                <w:i/>
                <w:sz w:val="20"/>
                <w:szCs w:val="20"/>
              </w:rPr>
              <w:t>2.869,77</w:t>
            </w:r>
          </w:p>
        </w:tc>
      </w:tr>
      <w:tr>
        <w:trPr>
          <w:trHeight w:val="285" w:hRule="atLeast"/>
        </w:trPr>
        <w:tc>
          <w:tcPr>
            <w:tcW w:w="5359" w:type="dxa"/>
            <w:tcBorders>
              <w:top w:val="single" w:sz="8" w:space="0" w:color="000000"/>
              <w:left w:val="double" w:sz="6" w:space="0" w:color="000000"/>
              <w:bottom w:val="single" w:sz="8" w:space="0" w:color="000000"/>
              <w:right w:val="single" w:sz="8" w:space="0" w:color="000000"/>
            </w:tcBorders>
            <w:shd w:color="auto" w:fill="D9D9D9" w:val="clear"/>
            <w:vAlign w:val="center"/>
          </w:tcPr>
          <w:p>
            <w:pPr>
              <w:pStyle w:val="Normal"/>
              <w:rPr/>
            </w:pPr>
            <w:r>
              <w:rPr>
                <w:rStyle w:val="Emphasis"/>
                <w:b/>
                <w:bCs/>
                <w:sz w:val="20"/>
                <w:szCs w:val="20"/>
              </w:rPr>
              <w:t>Rozdiel finančných operácií</w:t>
            </w:r>
          </w:p>
        </w:tc>
        <w:tc>
          <w:tcPr>
            <w:tcW w:w="4506" w:type="dxa"/>
            <w:tcBorders>
              <w:top w:val="single" w:sz="4" w:space="0" w:color="000000"/>
              <w:left w:val="single" w:sz="8" w:space="0" w:color="000000"/>
              <w:bottom w:val="single" w:sz="8" w:space="0" w:color="000000"/>
              <w:right w:val="double" w:sz="6" w:space="0" w:color="000000"/>
            </w:tcBorders>
            <w:shd w:color="auto" w:fill="D9D9D9" w:val="clear"/>
            <w:vAlign w:val="center"/>
          </w:tcPr>
          <w:p>
            <w:pPr>
              <w:pStyle w:val="Normal"/>
              <w:jc w:val="right"/>
              <w:rPr>
                <w:b/>
              </w:rPr>
            </w:pPr>
            <w:r>
              <w:rPr>
                <w:b/>
              </w:rPr>
              <w:t>127.908,95</w:t>
            </w:r>
          </w:p>
        </w:tc>
      </w:tr>
      <w:tr>
        <w:trPr>
          <w:trHeight w:val="300" w:hRule="atLeast"/>
        </w:trPr>
        <w:tc>
          <w:tcPr>
            <w:tcW w:w="5359" w:type="dxa"/>
            <w:tcBorders>
              <w:top w:val="single" w:sz="6" w:space="0" w:color="000000"/>
              <w:left w:val="double" w:sz="6" w:space="0" w:color="000000"/>
              <w:bottom w:val="single" w:sz="6" w:space="0" w:color="000000"/>
              <w:right w:val="single" w:sz="6" w:space="0" w:color="000000"/>
            </w:tcBorders>
            <w:shd w:fill="auto" w:val="clear"/>
            <w:tcMar>
              <w:left w:w="39" w:type="dxa"/>
              <w:right w:w="108" w:type="dxa"/>
            </w:tcMar>
          </w:tcPr>
          <w:p>
            <w:pPr>
              <w:pStyle w:val="Normal"/>
              <w:ind w:hanging="0" w:left="-85"/>
              <w:rPr>
                <w:caps/>
                <w:sz w:val="20"/>
                <w:szCs w:val="20"/>
              </w:rPr>
            </w:pPr>
            <w:r>
              <w:rPr>
                <w:caps/>
                <w:sz w:val="20"/>
                <w:szCs w:val="20"/>
              </w:rPr>
              <w:t>Príjmy spolu</w:t>
            </w:r>
          </w:p>
        </w:tc>
        <w:tc>
          <w:tcPr>
            <w:tcW w:w="4506" w:type="dxa"/>
            <w:tcBorders>
              <w:top w:val="single" w:sz="6" w:space="0" w:color="000000"/>
              <w:left w:val="single" w:sz="6" w:space="0" w:color="000000"/>
              <w:bottom w:val="single" w:sz="6" w:space="0" w:color="000000"/>
              <w:right w:val="double" w:sz="6" w:space="0" w:color="000000"/>
            </w:tcBorders>
            <w:shd w:fill="auto" w:val="clear"/>
            <w:tcMar>
              <w:left w:w="84" w:type="dxa"/>
              <w:right w:w="108" w:type="dxa"/>
            </w:tcMar>
          </w:tcPr>
          <w:p>
            <w:pPr>
              <w:pStyle w:val="Normal"/>
              <w:ind w:hanging="0" w:right="-51"/>
              <w:jc w:val="right"/>
              <w:rPr/>
            </w:pPr>
            <w:r>
              <w:rPr/>
              <w:t>541.585,81</w:t>
            </w:r>
          </w:p>
        </w:tc>
      </w:tr>
      <w:tr>
        <w:trPr>
          <w:trHeight w:val="300" w:hRule="atLeast"/>
        </w:trPr>
        <w:tc>
          <w:tcPr>
            <w:tcW w:w="5359" w:type="dxa"/>
            <w:tcBorders>
              <w:top w:val="single" w:sz="6" w:space="0" w:color="000000"/>
              <w:left w:val="double" w:sz="6" w:space="0" w:color="000000"/>
              <w:bottom w:val="single" w:sz="6" w:space="0" w:color="000000"/>
              <w:right w:val="single" w:sz="6" w:space="0" w:color="000000"/>
            </w:tcBorders>
            <w:shd w:fill="auto" w:val="clear"/>
            <w:tcMar>
              <w:left w:w="39" w:type="dxa"/>
              <w:right w:w="108" w:type="dxa"/>
            </w:tcMar>
          </w:tcPr>
          <w:p>
            <w:pPr>
              <w:pStyle w:val="Normal"/>
              <w:ind w:hanging="0" w:left="-85"/>
              <w:rPr/>
            </w:pPr>
            <w:r>
              <w:rPr>
                <w:caps/>
                <w:sz w:val="20"/>
                <w:szCs w:val="20"/>
              </w:rPr>
              <w:t>VÝDAVKY</w:t>
            </w:r>
            <w:r>
              <w:rPr>
                <w:sz w:val="20"/>
                <w:szCs w:val="20"/>
              </w:rPr>
              <w:t xml:space="preserve"> SPOLU</w:t>
            </w:r>
          </w:p>
        </w:tc>
        <w:tc>
          <w:tcPr>
            <w:tcW w:w="4506" w:type="dxa"/>
            <w:tcBorders>
              <w:top w:val="single" w:sz="6" w:space="0" w:color="000000"/>
              <w:left w:val="single" w:sz="6" w:space="0" w:color="000000"/>
              <w:bottom w:val="single" w:sz="6" w:space="0" w:color="000000"/>
              <w:right w:val="double" w:sz="6" w:space="0" w:color="000000"/>
            </w:tcBorders>
            <w:shd w:fill="auto" w:val="clear"/>
            <w:tcMar>
              <w:left w:w="84" w:type="dxa"/>
              <w:right w:w="108" w:type="dxa"/>
            </w:tcMar>
          </w:tcPr>
          <w:p>
            <w:pPr>
              <w:pStyle w:val="Normal"/>
              <w:ind w:hanging="0" w:right="-51"/>
              <w:jc w:val="right"/>
              <w:rPr/>
            </w:pPr>
            <w:r>
              <w:rPr/>
              <w:t>464.102,78</w:t>
            </w:r>
          </w:p>
        </w:tc>
      </w:tr>
      <w:tr>
        <w:trPr>
          <w:trHeight w:val="285" w:hRule="atLeast"/>
        </w:trPr>
        <w:tc>
          <w:tcPr>
            <w:tcW w:w="5359" w:type="dxa"/>
            <w:tcBorders>
              <w:top w:val="single" w:sz="6" w:space="0" w:color="000000"/>
              <w:left w:val="double" w:sz="6" w:space="0" w:color="000000"/>
              <w:bottom w:val="single" w:sz="6" w:space="0" w:color="000000"/>
              <w:right w:val="single" w:sz="6" w:space="0" w:color="000000"/>
            </w:tcBorders>
            <w:shd w:color="auto" w:fill="DDD9C3" w:val="clear"/>
            <w:tcMar>
              <w:left w:w="39" w:type="dxa"/>
              <w:right w:w="108" w:type="dxa"/>
            </w:tcMar>
          </w:tcPr>
          <w:p>
            <w:pPr>
              <w:pStyle w:val="Normal"/>
              <w:ind w:hanging="0" w:left="-85"/>
              <w:rPr/>
            </w:pPr>
            <w:r>
              <w:rPr>
                <w:rStyle w:val="Emphasis"/>
                <w:b/>
                <w:bCs/>
                <w:sz w:val="20"/>
                <w:szCs w:val="20"/>
              </w:rPr>
              <w:t>Rozpočtové hospodárenie obce</w:t>
            </w:r>
          </w:p>
        </w:tc>
        <w:tc>
          <w:tcPr>
            <w:tcW w:w="4506" w:type="dxa"/>
            <w:tcBorders>
              <w:top w:val="single" w:sz="6" w:space="0" w:color="000000"/>
              <w:left w:val="single" w:sz="6" w:space="0" w:color="000000"/>
              <w:bottom w:val="single" w:sz="6" w:space="0" w:color="000000"/>
              <w:right w:val="double" w:sz="6" w:space="0" w:color="000000"/>
            </w:tcBorders>
            <w:shd w:color="auto" w:fill="DDD9C3" w:val="clear"/>
            <w:tcMar>
              <w:left w:w="84" w:type="dxa"/>
              <w:right w:w="108" w:type="dxa"/>
            </w:tcMar>
          </w:tcPr>
          <w:p>
            <w:pPr>
              <w:pStyle w:val="Normal"/>
              <w:ind w:hanging="0" w:right="-51"/>
              <w:jc w:val="right"/>
              <w:rPr>
                <w:b/>
              </w:rPr>
            </w:pPr>
            <w:r>
              <w:rPr>
                <w:b/>
              </w:rPr>
              <w:t>77.483,03</w:t>
            </w:r>
          </w:p>
        </w:tc>
      </w:tr>
      <w:tr>
        <w:trPr>
          <w:trHeight w:val="300" w:hRule="atLeast"/>
        </w:trPr>
        <w:tc>
          <w:tcPr>
            <w:tcW w:w="5359" w:type="dxa"/>
            <w:tcBorders>
              <w:top w:val="single" w:sz="6" w:space="0" w:color="000000"/>
              <w:left w:val="double" w:sz="6" w:space="0" w:color="000000"/>
              <w:bottom w:val="single" w:sz="6" w:space="0" w:color="000000"/>
              <w:right w:val="single" w:sz="6" w:space="0" w:color="000000"/>
            </w:tcBorders>
            <w:shd w:fill="auto" w:val="clear"/>
            <w:tcMar>
              <w:left w:w="39" w:type="dxa"/>
              <w:right w:w="108" w:type="dxa"/>
            </w:tcMar>
            <w:vAlign w:val="center"/>
          </w:tcPr>
          <w:p>
            <w:pPr>
              <w:pStyle w:val="Normal"/>
              <w:rPr/>
            </w:pPr>
            <w:r>
              <w:rPr>
                <w:rStyle w:val="Emphasis"/>
                <w:b/>
                <w:sz w:val="20"/>
                <w:szCs w:val="20"/>
              </w:rPr>
              <w:t>Vylúčenie z prebytku/Úprava schodku</w:t>
            </w:r>
          </w:p>
        </w:tc>
        <w:tc>
          <w:tcPr>
            <w:tcW w:w="4506" w:type="dxa"/>
            <w:tcBorders>
              <w:top w:val="single" w:sz="6" w:space="0" w:color="000000"/>
              <w:left w:val="single" w:sz="6" w:space="0" w:color="000000"/>
              <w:bottom w:val="single" w:sz="6" w:space="0" w:color="000000"/>
              <w:right w:val="double" w:sz="6" w:space="0" w:color="000000"/>
            </w:tcBorders>
            <w:shd w:fill="auto" w:val="clear"/>
            <w:tcMar>
              <w:left w:w="84" w:type="dxa"/>
              <w:right w:w="108" w:type="dxa"/>
            </w:tcMar>
          </w:tcPr>
          <w:p>
            <w:pPr>
              <w:pStyle w:val="Normal"/>
              <w:ind w:hanging="0" w:right="-51"/>
              <w:jc w:val="right"/>
              <w:rPr/>
            </w:pPr>
            <w:r>
              <w:rPr/>
              <w:t>16.334,74</w:t>
            </w:r>
          </w:p>
        </w:tc>
      </w:tr>
      <w:tr>
        <w:trPr>
          <w:trHeight w:val="285" w:hRule="atLeast"/>
        </w:trPr>
        <w:tc>
          <w:tcPr>
            <w:tcW w:w="5359" w:type="dxa"/>
            <w:tcBorders>
              <w:top w:val="single" w:sz="6" w:space="0" w:color="000000"/>
              <w:left w:val="double" w:sz="6" w:space="0" w:color="000000"/>
              <w:bottom w:val="double" w:sz="6" w:space="0" w:color="000000"/>
              <w:right w:val="single" w:sz="6" w:space="0" w:color="000000"/>
            </w:tcBorders>
            <w:shd w:color="auto" w:fill="D9D9D9" w:val="clear"/>
            <w:tcMar>
              <w:left w:w="39" w:type="dxa"/>
              <w:right w:w="108" w:type="dxa"/>
            </w:tcMar>
          </w:tcPr>
          <w:p>
            <w:pPr>
              <w:pStyle w:val="Normal"/>
              <w:ind w:hanging="0" w:left="-85"/>
              <w:rPr/>
            </w:pPr>
            <w:r>
              <w:rPr>
                <w:rStyle w:val="Emphasis"/>
                <w:b/>
                <w:bCs/>
                <w:sz w:val="20"/>
                <w:szCs w:val="20"/>
              </w:rPr>
              <w:t>Upravené rozpočtové hospodárenie obce</w:t>
            </w:r>
          </w:p>
        </w:tc>
        <w:tc>
          <w:tcPr>
            <w:tcW w:w="4506" w:type="dxa"/>
            <w:tcBorders>
              <w:top w:val="single" w:sz="6" w:space="0" w:color="000000"/>
              <w:left w:val="single" w:sz="6" w:space="0" w:color="000000"/>
              <w:bottom w:val="double" w:sz="6" w:space="0" w:color="000000"/>
              <w:right w:val="double" w:sz="6" w:space="0" w:color="000000"/>
            </w:tcBorders>
            <w:shd w:color="auto" w:fill="D9D9D9" w:val="clear"/>
            <w:tcMar>
              <w:left w:w="84" w:type="dxa"/>
              <w:right w:w="108" w:type="dxa"/>
            </w:tcMar>
          </w:tcPr>
          <w:p>
            <w:pPr>
              <w:pStyle w:val="Normal"/>
              <w:ind w:hanging="0" w:right="-51"/>
              <w:jc w:val="right"/>
              <w:rPr>
                <w:b/>
              </w:rPr>
            </w:pPr>
            <w:r>
              <w:rPr>
                <w:b/>
              </w:rPr>
              <w:t>61.148,29</w:t>
            </w:r>
          </w:p>
        </w:tc>
      </w:tr>
    </w:tbl>
    <w:p>
      <w:pPr>
        <w:pStyle w:val="Normal"/>
        <w:jc w:val="both"/>
        <w:rPr>
          <w:rFonts w:ascii="Arial" w:hAnsi="Arial" w:cs="Arial"/>
          <w:color w:val="C9211E"/>
          <w:sz w:val="20"/>
        </w:rPr>
      </w:pPr>
      <w:r>
        <w:rPr>
          <w:rFonts w:cs="Arial" w:ascii="Arial" w:hAnsi="Arial"/>
          <w:color w:val="C9211E"/>
          <w:sz w:val="20"/>
        </w:rPr>
      </w:r>
    </w:p>
    <w:p>
      <w:pPr>
        <w:pStyle w:val="Normal"/>
        <w:jc w:val="both"/>
        <w:rPr>
          <w:rFonts w:ascii="Arial" w:hAnsi="Arial" w:cs="Arial"/>
          <w:sz w:val="20"/>
        </w:rPr>
      </w:pPr>
      <w:r>
        <w:rPr>
          <w:rFonts w:cs="Arial" w:ascii="Arial" w:hAnsi="Arial"/>
          <w:sz w:val="20"/>
        </w:rPr>
      </w:r>
    </w:p>
    <w:p>
      <w:pPr>
        <w:pStyle w:val="Normal"/>
        <w:tabs>
          <w:tab w:val="clear" w:pos="708"/>
          <w:tab w:val="right" w:pos="7740" w:leader="none"/>
        </w:tabs>
        <w:jc w:val="both"/>
        <w:rPr>
          <w:rFonts w:ascii="Arial" w:hAnsi="Arial"/>
          <w:sz w:val="20"/>
          <w:szCs w:val="20"/>
        </w:rPr>
      </w:pPr>
      <w:r>
        <w:rPr>
          <w:rFonts w:ascii="Arial" w:hAnsi="Arial"/>
          <w:b/>
          <w:sz w:val="20"/>
          <w:szCs w:val="20"/>
        </w:rPr>
        <w:t>Schodok rozpočtu v sume 50.425,92 EUR</w:t>
      </w:r>
      <w:r>
        <w:rPr>
          <w:rFonts w:ascii="Arial" w:hAnsi="Arial"/>
          <w:sz w:val="20"/>
          <w:szCs w:val="20"/>
        </w:rPr>
        <w:t xml:space="preserve">  zistený podľa ustanovenia § 10 ods. 3 písm. a) a b) zákona č. 583/2004 Z.z. o rozpočtových pravidlách územnej samosprávy a o zmene a doplnení niektorých zákonov v znení neskorších predpisov, </w:t>
      </w:r>
      <w:r>
        <w:rPr>
          <w:rFonts w:ascii="Arial" w:hAnsi="Arial"/>
          <w:b/>
          <w:sz w:val="20"/>
          <w:szCs w:val="20"/>
        </w:rPr>
        <w:t>upravený</w:t>
      </w:r>
      <w:r>
        <w:rPr>
          <w:rFonts w:ascii="Arial" w:hAnsi="Arial"/>
          <w:sz w:val="20"/>
          <w:szCs w:val="20"/>
        </w:rPr>
        <w:t xml:space="preserve"> o nevyčerpané prostriedky  zo ŠR a podľa osobitných predpisov v sume 16.664,74 EUR  bol v rozpočtovom roku 2024 vysporiadaný :</w:t>
      </w:r>
    </w:p>
    <w:p>
      <w:pPr>
        <w:pStyle w:val="Normal"/>
        <w:numPr>
          <w:ilvl w:val="0"/>
          <w:numId w:val="2"/>
        </w:numPr>
        <w:tabs>
          <w:tab w:val="clear" w:pos="708"/>
          <w:tab w:val="right" w:pos="5580" w:leader="none"/>
        </w:tabs>
        <w:jc w:val="both"/>
        <w:rPr>
          <w:rFonts w:ascii="Arial" w:hAnsi="Arial"/>
          <w:sz w:val="20"/>
          <w:szCs w:val="20"/>
        </w:rPr>
      </w:pPr>
      <w:r>
        <w:rPr>
          <w:rFonts w:ascii="Arial" w:hAnsi="Arial"/>
          <w:sz w:val="20"/>
          <w:szCs w:val="20"/>
        </w:rPr>
        <w:t xml:space="preserve">z finančných operácií </w:t>
        <w:tab/>
        <w:t>66.760,66</w:t>
      </w:r>
      <w:r>
        <w:rPr>
          <w:rFonts w:ascii="Arial" w:hAnsi="Arial"/>
          <w:iCs/>
          <w:sz w:val="20"/>
          <w:szCs w:val="20"/>
        </w:rPr>
        <w:t xml:space="preserve"> </w:t>
      </w:r>
      <w:r>
        <w:rPr>
          <w:rFonts w:ascii="Arial" w:hAnsi="Arial"/>
          <w:sz w:val="20"/>
          <w:szCs w:val="20"/>
        </w:rPr>
        <w:t>EUR</w:t>
      </w:r>
    </w:p>
    <w:p>
      <w:pPr>
        <w:pStyle w:val="Normal"/>
        <w:tabs>
          <w:tab w:val="clear" w:pos="708"/>
          <w:tab w:val="right" w:pos="5580" w:leader="none"/>
        </w:tabs>
        <w:jc w:val="both"/>
        <w:rPr>
          <w:rFonts w:ascii="Arial" w:hAnsi="Arial"/>
          <w:sz w:val="20"/>
          <w:szCs w:val="20"/>
        </w:rPr>
      </w:pPr>
      <w:r>
        <w:rPr>
          <w:rFonts w:ascii="Arial" w:hAnsi="Arial"/>
          <w:sz w:val="20"/>
          <w:szCs w:val="20"/>
        </w:rPr>
      </w:r>
    </w:p>
    <w:p>
      <w:pPr>
        <w:pStyle w:val="Normal"/>
        <w:tabs>
          <w:tab w:val="clear" w:pos="708"/>
          <w:tab w:val="right" w:pos="7740" w:leader="none"/>
        </w:tabs>
        <w:jc w:val="both"/>
        <w:rPr>
          <w:rFonts w:ascii="Arial" w:hAnsi="Arial"/>
          <w:sz w:val="20"/>
          <w:szCs w:val="20"/>
        </w:rPr>
      </w:pPr>
      <w:r>
        <w:rPr>
          <w:rFonts w:ascii="Arial" w:hAnsi="Arial"/>
          <w:b/>
          <w:bCs/>
          <w:iCs/>
          <w:sz w:val="20"/>
          <w:szCs w:val="20"/>
        </w:rPr>
        <w:t>Schodok rozpočtu</w:t>
      </w:r>
      <w:r>
        <w:rPr>
          <w:rFonts w:ascii="Arial" w:hAnsi="Arial"/>
          <w:b/>
          <w:bCs/>
          <w:iCs/>
          <w:color w:val="0000FF"/>
          <w:sz w:val="20"/>
          <w:szCs w:val="20"/>
        </w:rPr>
        <w:t xml:space="preserve"> </w:t>
      </w:r>
      <w:r>
        <w:rPr>
          <w:rFonts w:ascii="Arial" w:hAnsi="Arial"/>
          <w:sz w:val="20"/>
          <w:szCs w:val="20"/>
        </w:rPr>
        <w:t>zistený podľa ustanovenia § 10 ods. 3 písm. a) a b) zákona č. 583/2004 Z.z. o rozpočtových pravidlách územnej samosprávy a o zmene a doplnení niektorých zákonov v znení neskorších predpisov</w:t>
      </w:r>
      <w:r>
        <w:rPr>
          <w:rFonts w:ascii="Arial" w:hAnsi="Arial"/>
          <w:bCs/>
          <w:iCs/>
          <w:sz w:val="20"/>
          <w:szCs w:val="20"/>
        </w:rPr>
        <w:t xml:space="preserve"> </w:t>
      </w:r>
      <w:r>
        <w:rPr>
          <w:rFonts w:ascii="Arial" w:hAnsi="Arial"/>
          <w:b/>
          <w:bCs/>
          <w:iCs/>
          <w:sz w:val="20"/>
          <w:szCs w:val="20"/>
        </w:rPr>
        <w:t>sa upravuje - zvyšuje o :</w:t>
      </w:r>
    </w:p>
    <w:p>
      <w:pPr>
        <w:pStyle w:val="Normal"/>
        <w:tabs>
          <w:tab w:val="clear" w:pos="708"/>
          <w:tab w:val="right" w:pos="709" w:leader="none"/>
        </w:tabs>
        <w:ind w:hanging="0"/>
        <w:jc w:val="both"/>
        <w:rPr/>
      </w:pPr>
      <w:r>
        <w:rPr>
          <w:rFonts w:ascii="Arial" w:hAnsi="Arial"/>
          <w:b/>
          <w:bCs/>
          <w:iCs/>
          <w:sz w:val="20"/>
          <w:szCs w:val="20"/>
        </w:rPr>
        <w:t xml:space="preserve">a) </w:t>
      </w:r>
      <w:r>
        <w:rPr>
          <w:rFonts w:ascii="Arial" w:hAnsi="Arial"/>
          <w:iCs/>
          <w:sz w:val="20"/>
          <w:szCs w:val="20"/>
        </w:rPr>
        <w:t xml:space="preserve">nevyčerpané prostriedky </w:t>
      </w:r>
      <w:r>
        <w:rPr>
          <w:rFonts w:ascii="Arial" w:hAnsi="Arial"/>
          <w:b/>
          <w:iCs/>
          <w:sz w:val="20"/>
          <w:szCs w:val="20"/>
        </w:rPr>
        <w:t>zo ŠR</w:t>
      </w:r>
      <w:r>
        <w:rPr>
          <w:rFonts w:ascii="Arial" w:hAnsi="Arial"/>
          <w:iCs/>
          <w:sz w:val="20"/>
          <w:szCs w:val="20"/>
        </w:rPr>
        <w:t xml:space="preserve"> účelovo určené na </w:t>
      </w:r>
      <w:r>
        <w:rPr>
          <w:rFonts w:ascii="Arial" w:hAnsi="Arial"/>
          <w:b/>
          <w:iCs/>
          <w:sz w:val="20"/>
          <w:szCs w:val="20"/>
        </w:rPr>
        <w:t xml:space="preserve">bežné výdavky </w:t>
      </w:r>
      <w:r>
        <w:rPr>
          <w:rFonts w:ascii="Arial" w:hAnsi="Arial"/>
          <w:iCs/>
          <w:sz w:val="20"/>
          <w:szCs w:val="20"/>
        </w:rPr>
        <w:t xml:space="preserve">poskytnuté v predchádzajúcom  rozpočtovom roku  v sume  617,40 EUR, a to na : </w:t>
      </w:r>
    </w:p>
    <w:p>
      <w:pPr>
        <w:pStyle w:val="Normal"/>
        <w:ind w:hanging="0"/>
        <w:jc w:val="both"/>
        <w:rPr/>
      </w:pPr>
      <w:r>
        <w:rPr>
          <w:rFonts w:cs="Arial" w:ascii="Arial" w:hAnsi="Arial"/>
          <w:iCs/>
          <w:sz w:val="20"/>
          <w:szCs w:val="20"/>
        </w:rPr>
        <w:t>- stravné predškoláci 617,40 EUR</w:t>
      </w:r>
    </w:p>
    <w:p>
      <w:pPr>
        <w:pStyle w:val="Normal"/>
        <w:tabs>
          <w:tab w:val="clear" w:pos="708"/>
          <w:tab w:val="right" w:pos="709" w:leader="none"/>
        </w:tabs>
        <w:ind w:hanging="0"/>
        <w:jc w:val="both"/>
        <w:rPr/>
      </w:pPr>
      <w:r>
        <w:rPr>
          <w:rFonts w:cs="Arial" w:ascii="Arial" w:hAnsi="Arial"/>
          <w:iCs/>
          <w:sz w:val="20"/>
          <w:szCs w:val="20"/>
        </w:rPr>
        <w:t>b) nevyčerpané prostriedky</w:t>
      </w:r>
      <w:r>
        <w:rPr>
          <w:rFonts w:cs="Arial" w:ascii="Arial" w:hAnsi="Arial"/>
          <w:b/>
          <w:iCs/>
          <w:sz w:val="20"/>
          <w:szCs w:val="20"/>
        </w:rPr>
        <w:t xml:space="preserve"> za komunálny odpad a drobný stavebný odpad   </w:t>
      </w:r>
      <w:r>
        <w:rPr>
          <w:rFonts w:cs="Arial" w:ascii="Arial" w:hAnsi="Arial"/>
          <w:iCs/>
          <w:sz w:val="20"/>
          <w:szCs w:val="20"/>
        </w:rPr>
        <w:t xml:space="preserve">podľa zákona č.582/2004 Z.z. o miestnych daniach a miestnom poplatku za komunálne odpady a drobné stavebné odpady v z.n.p. v sume 7.634,63 EUR + </w:t>
      </w:r>
      <w:r>
        <w:rPr>
          <w:rFonts w:cs="Arial" w:ascii="Arial" w:hAnsi="Arial"/>
          <w:iCs/>
          <w:sz w:val="20"/>
          <w:szCs w:val="20"/>
          <w:lang w:eastAsia="sk-SK"/>
        </w:rPr>
        <w:t>8.082,71 EUR z r. 2024 = 15.717,34 EUR</w:t>
      </w:r>
    </w:p>
    <w:p>
      <w:pPr>
        <w:pStyle w:val="Normal"/>
        <w:tabs>
          <w:tab w:val="clear" w:pos="708"/>
          <w:tab w:val="right" w:pos="5580" w:leader="none"/>
        </w:tabs>
        <w:jc w:val="both"/>
        <w:rPr>
          <w:rFonts w:ascii="Arial" w:hAnsi="Arial"/>
          <w:b/>
          <w:sz w:val="20"/>
          <w:szCs w:val="20"/>
        </w:rPr>
      </w:pPr>
      <w:r>
        <w:rPr>
          <w:rFonts w:ascii="Arial" w:hAnsi="Arial"/>
          <w:b/>
          <w:sz w:val="20"/>
          <w:szCs w:val="20"/>
        </w:rPr>
      </w:r>
    </w:p>
    <w:p>
      <w:pPr>
        <w:pStyle w:val="Normal"/>
        <w:tabs>
          <w:tab w:val="clear" w:pos="708"/>
          <w:tab w:val="right" w:pos="5580" w:leader="none"/>
        </w:tabs>
        <w:jc w:val="both"/>
        <w:rPr/>
      </w:pPr>
      <w:r>
        <w:rPr>
          <w:rFonts w:ascii="Arial" w:hAnsi="Arial"/>
          <w:b/>
          <w:sz w:val="20"/>
          <w:szCs w:val="20"/>
        </w:rPr>
        <w:t xml:space="preserve">Zostatok  finančných operácií </w:t>
      </w:r>
      <w:r>
        <w:rPr>
          <w:rFonts w:ascii="Arial" w:hAnsi="Arial"/>
          <w:sz w:val="20"/>
          <w:szCs w:val="20"/>
        </w:rPr>
        <w:t>podľa § 15 ods. 1 písm. c)</w:t>
      </w:r>
      <w:r>
        <w:rPr>
          <w:rFonts w:ascii="Arial" w:hAnsi="Arial"/>
          <w:b/>
          <w:sz w:val="20"/>
          <w:szCs w:val="20"/>
        </w:rPr>
        <w:t xml:space="preserve"> </w:t>
      </w:r>
      <w:r>
        <w:rPr>
          <w:rFonts w:ascii="Arial" w:hAnsi="Arial"/>
          <w:sz w:val="20"/>
          <w:szCs w:val="20"/>
        </w:rPr>
        <w:t>zákona č. 583/2004 Z.z. o rozpočtových pravidlách územnej samosprávy a o zmene a doplnení niektorých zákonov v znení neskorších predpisov v sume 61.148,29 EUR</w:t>
      </w:r>
      <w:r>
        <w:rPr>
          <w:rFonts w:ascii="Arial" w:hAnsi="Arial"/>
          <w:b/>
          <w:sz w:val="20"/>
          <w:szCs w:val="20"/>
        </w:rPr>
        <w:t>,</w:t>
      </w:r>
      <w:r>
        <w:rPr>
          <w:rFonts w:ascii="Arial" w:hAnsi="Arial"/>
          <w:sz w:val="20"/>
          <w:szCs w:val="20"/>
        </w:rPr>
        <w:t xml:space="preserve"> navrhujeme použiť na :</w:t>
      </w:r>
    </w:p>
    <w:p>
      <w:pPr>
        <w:pStyle w:val="Normal"/>
        <w:tabs>
          <w:tab w:val="clear" w:pos="708"/>
          <w:tab w:val="right" w:pos="5580" w:leader="none"/>
        </w:tabs>
        <w:jc w:val="both"/>
        <w:rPr>
          <w:rFonts w:ascii="Arial" w:hAnsi="Arial"/>
          <w:sz w:val="20"/>
          <w:szCs w:val="20"/>
        </w:rPr>
      </w:pPr>
      <w:r>
        <w:rPr>
          <w:rFonts w:ascii="Arial" w:hAnsi="Arial"/>
          <w:sz w:val="20"/>
          <w:szCs w:val="20"/>
        </w:rPr>
      </w:r>
    </w:p>
    <w:p>
      <w:pPr>
        <w:pStyle w:val="Normal"/>
        <w:numPr>
          <w:ilvl w:val="0"/>
          <w:numId w:val="2"/>
        </w:numPr>
        <w:tabs>
          <w:tab w:val="clear" w:pos="708"/>
          <w:tab w:val="right" w:pos="5580" w:leader="none"/>
        </w:tabs>
        <w:jc w:val="both"/>
        <w:rPr>
          <w:rFonts w:ascii="Arial" w:hAnsi="Arial"/>
          <w:sz w:val="20"/>
          <w:szCs w:val="20"/>
        </w:rPr>
      </w:pPr>
      <w:r>
        <w:rPr>
          <w:rFonts w:ascii="Arial" w:hAnsi="Arial"/>
          <w:sz w:val="20"/>
          <w:szCs w:val="20"/>
        </w:rPr>
        <w:t>tvorbu rezervného fondu</w:t>
        <w:tab/>
      </w:r>
      <w:r>
        <w:rPr>
          <w:rFonts w:ascii="Arial" w:hAnsi="Arial"/>
          <w:iCs/>
          <w:sz w:val="20"/>
          <w:szCs w:val="20"/>
        </w:rPr>
        <w:t xml:space="preserve">61.148,29 </w:t>
      </w:r>
      <w:r>
        <w:rPr>
          <w:rFonts w:ascii="Arial" w:hAnsi="Arial"/>
          <w:sz w:val="20"/>
          <w:szCs w:val="20"/>
        </w:rPr>
        <w:t xml:space="preserve">EUR </w:t>
      </w:r>
    </w:p>
    <w:p>
      <w:pPr>
        <w:pStyle w:val="Normal"/>
        <w:ind w:hanging="0" w:left="720"/>
        <w:jc w:val="both"/>
        <w:rPr>
          <w:rFonts w:ascii="Arial" w:hAnsi="Arial"/>
          <w:i/>
          <w:i/>
          <w:sz w:val="20"/>
          <w:szCs w:val="20"/>
        </w:rPr>
      </w:pPr>
      <w:r>
        <w:rPr>
          <w:rFonts w:ascii="Arial" w:hAnsi="Arial"/>
          <w:i/>
          <w:sz w:val="20"/>
          <w:szCs w:val="20"/>
        </w:rPr>
      </w:r>
    </w:p>
    <w:p>
      <w:pPr>
        <w:pStyle w:val="Normal"/>
        <w:tabs>
          <w:tab w:val="clear" w:pos="708"/>
          <w:tab w:val="right" w:pos="5580" w:leader="none"/>
        </w:tabs>
        <w:jc w:val="both"/>
        <w:rPr>
          <w:rFonts w:ascii="Arial" w:hAnsi="Arial"/>
          <w:b/>
          <w:bCs/>
          <w:sz w:val="20"/>
          <w:szCs w:val="20"/>
        </w:rPr>
      </w:pPr>
      <w:r>
        <w:rPr>
          <w:rFonts w:cs="Arial" w:ascii="Arial" w:hAnsi="Arial"/>
          <w:b/>
          <w:bCs/>
          <w:sz w:val="20"/>
          <w:szCs w:val="20"/>
        </w:rPr>
        <w:t xml:space="preserve">Na základe uvedených skutočností navrhujeme tvorbu rezervného fondu za rok 2024 vo výške  </w:t>
      </w:r>
      <w:r>
        <w:rPr>
          <w:rFonts w:cs="Arial" w:ascii="Arial" w:hAnsi="Arial"/>
          <w:b/>
          <w:bCs/>
          <w:iCs/>
          <w:sz w:val="20"/>
          <w:szCs w:val="20"/>
        </w:rPr>
        <w:t xml:space="preserve">61.148,29 </w:t>
      </w:r>
      <w:r>
        <w:rPr>
          <w:rFonts w:cs="Arial" w:ascii="Arial" w:hAnsi="Arial"/>
          <w:b/>
          <w:bCs/>
          <w:sz w:val="20"/>
          <w:szCs w:val="20"/>
        </w:rPr>
        <w:t>EUR</w:t>
      </w:r>
    </w:p>
    <w:p>
      <w:pPr>
        <w:pStyle w:val="Normal"/>
        <w:tabs>
          <w:tab w:val="clear" w:pos="708"/>
          <w:tab w:val="left" w:pos="688" w:leader="none"/>
        </w:tabs>
        <w:jc w:val="both"/>
        <w:rPr>
          <w:rFonts w:ascii="Arial" w:hAnsi="Arial" w:cs="Arial"/>
          <w:b/>
          <w:sz w:val="20"/>
        </w:rPr>
      </w:pPr>
      <w:r>
        <w:rPr>
          <w:rFonts w:cs="Arial" w:ascii="Arial" w:hAnsi="Arial"/>
          <w:b/>
          <w:sz w:val="20"/>
        </w:rPr>
      </w:r>
    </w:p>
    <w:p>
      <w:pPr>
        <w:pStyle w:val="Normal"/>
        <w:tabs>
          <w:tab w:val="clear" w:pos="708"/>
          <w:tab w:val="left" w:pos="688" w:leader="none"/>
        </w:tabs>
        <w:jc w:val="both"/>
        <w:rPr/>
      </w:pPr>
      <w:r>
        <w:rPr>
          <w:rFonts w:cs="Arial" w:ascii="Arial" w:hAnsi="Arial"/>
          <w:b/>
          <w:sz w:val="20"/>
        </w:rPr>
        <w:t xml:space="preserve">Tvorba a použitie prostriedkov peňažných fondov </w:t>
      </w:r>
    </w:p>
    <w:p>
      <w:pPr>
        <w:pStyle w:val="Normal"/>
        <w:jc w:val="both"/>
        <w:rPr/>
      </w:pPr>
      <w:r>
        <w:rPr>
          <w:rFonts w:cs="Arial" w:ascii="Arial" w:hAnsi="Arial"/>
          <w:b/>
          <w:sz w:val="20"/>
        </w:rPr>
        <w:t>Rezervný fond</w:t>
      </w:r>
    </w:p>
    <w:p>
      <w:pPr>
        <w:pStyle w:val="Normal"/>
        <w:jc w:val="both"/>
        <w:rPr/>
      </w:pPr>
      <w:r>
        <w:rPr>
          <w:rFonts w:cs="Arial" w:ascii="Arial" w:hAnsi="Arial"/>
          <w:sz w:val="20"/>
        </w:rPr>
        <w:t>Obec vytvára rezervný fond v zmysle ustanovenia § 15 zákona č.583/2004 Z.z. V z.n.p.. O použití rezervného fondu rozhoduje obecné zastupiteľstvo.</w:t>
        <w:tab/>
        <w:tab/>
        <w:tab/>
        <w:t xml:space="preserve">          </w:t>
      </w:r>
    </w:p>
    <w:tbl>
      <w:tblPr>
        <w:tblW w:w="9553" w:type="dxa"/>
        <w:jc w:val="left"/>
        <w:tblInd w:w="104" w:type="dxa"/>
        <w:tblLayout w:type="fixed"/>
        <w:tblCellMar>
          <w:top w:w="0" w:type="dxa"/>
          <w:left w:w="88" w:type="dxa"/>
          <w:bottom w:w="0" w:type="dxa"/>
          <w:right w:w="108" w:type="dxa"/>
        </w:tblCellMar>
        <w:tblLook w:firstRow="0" w:noVBand="0" w:lastRow="0" w:firstColumn="0" w:lastColumn="0" w:noHBand="0" w:val="0000"/>
      </w:tblPr>
      <w:tblGrid>
        <w:gridCol w:w="6434"/>
        <w:gridCol w:w="3118"/>
      </w:tblGrid>
      <w:tr>
        <w:trPr/>
        <w:tc>
          <w:tcPr>
            <w:tcW w:w="6434"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b/>
                <w:sz w:val="20"/>
              </w:rPr>
              <w:t>Fond rezervný</w:t>
            </w:r>
          </w:p>
        </w:tc>
        <w:tc>
          <w:tcPr>
            <w:tcW w:w="3118"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Suma v EUR</w:t>
            </w:r>
          </w:p>
        </w:tc>
      </w:tr>
      <w:tr>
        <w:trPr/>
        <w:tc>
          <w:tcPr>
            <w:tcW w:w="643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ZS k 1.1.2024</w:t>
            </w:r>
          </w:p>
        </w:tc>
        <w:tc>
          <w:tcPr>
            <w:tcW w:w="311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196.063,24</w:t>
            </w:r>
          </w:p>
        </w:tc>
      </w:tr>
      <w:tr>
        <w:trPr/>
        <w:tc>
          <w:tcPr>
            <w:tcW w:w="643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Prírastky -  z výsledku hospodárenia za rok 2024</w:t>
            </w:r>
          </w:p>
        </w:tc>
        <w:tc>
          <w:tcPr>
            <w:tcW w:w="3118"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81.648,85</w:t>
            </w:r>
          </w:p>
        </w:tc>
      </w:tr>
      <w:tr>
        <w:trPr>
          <w:trHeight w:val="424" w:hRule="atLeast"/>
        </w:trPr>
        <w:tc>
          <w:tcPr>
            <w:tcW w:w="643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Úbytky, z toho:</w:t>
            </w:r>
          </w:p>
          <w:p>
            <w:pPr>
              <w:pStyle w:val="Normal"/>
              <w:rPr/>
            </w:pPr>
            <w:r>
              <w:rPr>
                <w:rFonts w:cs="Arial" w:ascii="Arial" w:hAnsi="Arial"/>
                <w:sz w:val="20"/>
              </w:rPr>
              <w:t>kamerový systém                                                4.238,40 EUR</w:t>
            </w:r>
          </w:p>
          <w:p>
            <w:pPr>
              <w:pStyle w:val="Normal"/>
              <w:rPr/>
            </w:pPr>
            <w:r>
              <w:rPr>
                <w:rFonts w:cs="Arial" w:ascii="Arial" w:hAnsi="Arial"/>
                <w:sz w:val="20"/>
              </w:rPr>
              <w:t>Stavby VP                                                         14.000,00 EUR</w:t>
            </w:r>
          </w:p>
          <w:p>
            <w:pPr>
              <w:pStyle w:val="Normal"/>
              <w:rPr/>
            </w:pPr>
            <w:r>
              <w:rPr>
                <w:rFonts w:cs="Arial" w:ascii="Arial" w:hAnsi="Arial"/>
                <w:sz w:val="20"/>
              </w:rPr>
              <w:t>aparatúra KD                                                      3.751,24 EUR</w:t>
            </w:r>
          </w:p>
          <w:p>
            <w:pPr>
              <w:pStyle w:val="Normal"/>
              <w:rPr/>
            </w:pPr>
            <w:r>
              <w:rPr>
                <w:rFonts w:cs="Arial" w:ascii="Arial" w:hAnsi="Arial"/>
                <w:sz w:val="20"/>
              </w:rPr>
              <w:t>most KD                                                            34.471,97 EUR</w:t>
            </w:r>
          </w:p>
          <w:p>
            <w:pPr>
              <w:pStyle w:val="Normal"/>
              <w:rPr/>
            </w:pPr>
            <w:r>
              <w:rPr>
                <w:rFonts w:cs="Arial" w:ascii="Arial" w:hAnsi="Arial"/>
                <w:sz w:val="20"/>
              </w:rPr>
              <w:t>malotraktor                                                        32.856,00 EUR</w:t>
            </w:r>
          </w:p>
          <w:p>
            <w:pPr>
              <w:pStyle w:val="Normal"/>
              <w:rPr/>
            </w:pPr>
            <w:r>
              <w:rPr>
                <w:rFonts w:cs="Arial" w:ascii="Arial" w:hAnsi="Arial"/>
                <w:sz w:val="20"/>
              </w:rPr>
              <w:t>projektové dokumentácie                                  32.408,00 EUR</w:t>
            </w:r>
          </w:p>
        </w:tc>
        <w:tc>
          <w:tcPr>
            <w:tcW w:w="3118"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pPr>
            <w:r>
              <w:rPr>
                <w:rFonts w:cs="Arial" w:ascii="Arial" w:hAnsi="Arial"/>
                <w:sz w:val="20"/>
              </w:rPr>
              <w:t>121.725,61</w:t>
            </w:r>
          </w:p>
          <w:p>
            <w:pPr>
              <w:pStyle w:val="Normal"/>
              <w:jc w:val="right"/>
              <w:rPr>
                <w:rFonts w:ascii="Arial" w:hAnsi="Arial" w:cs="Arial"/>
                <w:sz w:val="20"/>
              </w:rPr>
            </w:pPr>
            <w:r>
              <w:rPr>
                <w:rFonts w:cs="Arial" w:ascii="Arial" w:hAnsi="Arial"/>
                <w:sz w:val="20"/>
              </w:rPr>
            </w:r>
          </w:p>
        </w:tc>
      </w:tr>
      <w:tr>
        <w:trPr/>
        <w:tc>
          <w:tcPr>
            <w:tcW w:w="6434"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sz w:val="20"/>
              </w:rPr>
              <w:t>KZ k 31.12.2024</w:t>
            </w:r>
          </w:p>
        </w:tc>
        <w:tc>
          <w:tcPr>
            <w:tcW w:w="3118"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right"/>
              <w:rPr/>
            </w:pPr>
            <w:r>
              <w:rPr>
                <w:rFonts w:cs="Arial" w:ascii="Arial" w:hAnsi="Arial"/>
                <w:sz w:val="20"/>
              </w:rPr>
              <w:t>155.986,48</w:t>
            </w:r>
          </w:p>
        </w:tc>
      </w:tr>
    </w:tbl>
    <w:p>
      <w:pPr>
        <w:pStyle w:val="Normal"/>
        <w:rPr/>
      </w:pPr>
      <w:r>
        <w:rPr/>
      </w:r>
    </w:p>
    <w:p>
      <w:pPr>
        <w:pStyle w:val="Normal"/>
        <w:rPr/>
      </w:pPr>
      <w:r>
        <w:rPr>
          <w:rFonts w:cs="Arial" w:ascii="Arial" w:hAnsi="Arial"/>
          <w:b/>
          <w:sz w:val="20"/>
        </w:rPr>
        <w:t>Sociálny fond</w:t>
      </w:r>
    </w:p>
    <w:p>
      <w:pPr>
        <w:pStyle w:val="Normal"/>
        <w:rPr/>
      </w:pPr>
      <w:r>
        <w:rPr>
          <w:rFonts w:cs="Arial" w:ascii="Arial" w:hAnsi="Arial"/>
          <w:sz w:val="20"/>
        </w:rPr>
        <w:t>Tvorbu a použitie sociálneho fondu upravuje kolektívna zmluva.</w:t>
      </w:r>
    </w:p>
    <w:tbl>
      <w:tblPr>
        <w:tblW w:w="9554" w:type="dxa"/>
        <w:jc w:val="left"/>
        <w:tblInd w:w="104" w:type="dxa"/>
        <w:tblLayout w:type="fixed"/>
        <w:tblCellMar>
          <w:top w:w="0" w:type="dxa"/>
          <w:left w:w="88" w:type="dxa"/>
          <w:bottom w:w="0" w:type="dxa"/>
          <w:right w:w="108" w:type="dxa"/>
        </w:tblCellMar>
        <w:tblLook w:firstRow="0" w:noVBand="0" w:lastRow="0" w:firstColumn="0" w:lastColumn="0" w:noHBand="0" w:val="0000"/>
      </w:tblPr>
      <w:tblGrid>
        <w:gridCol w:w="5026"/>
        <w:gridCol w:w="4527"/>
      </w:tblGrid>
      <w:tr>
        <w:trPr/>
        <w:tc>
          <w:tcPr>
            <w:tcW w:w="5026"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b/>
                <w:sz w:val="20"/>
              </w:rPr>
              <w:t>Sociálny fond</w:t>
            </w:r>
          </w:p>
        </w:tc>
        <w:tc>
          <w:tcPr>
            <w:tcW w:w="4527"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Suma v EUR</w:t>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ZS k 01.01.2024</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798,67</w:t>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Prírastky - povinný prídel</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876,35</w:t>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ostatné prírastky</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rPr>
              <w:t>Úbytky   - príspevok na stravovanie</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rPr>
              <w:t>588,35</w:t>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regeneráciu PS, dopravu</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dopravné</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5026" w:type="dxa"/>
            <w:tcBorders>
              <w:top w:val="single" w:sz="4" w:space="0" w:color="000080"/>
              <w:left w:val="single" w:sz="4" w:space="0" w:color="000080"/>
              <w:bottom w:val="single" w:sz="4" w:space="0" w:color="000080"/>
            </w:tcBorders>
            <w:shd w:color="auto" w:fill="FFFFFF" w:val="clear"/>
          </w:tcPr>
          <w:p>
            <w:pPr>
              <w:pStyle w:val="Normal"/>
              <w:rPr/>
            </w:pPr>
            <w:r>
              <w:rPr>
                <w:rFonts w:eastAsia="Arial" w:cs="Arial" w:ascii="Arial" w:hAnsi="Arial"/>
                <w:sz w:val="20"/>
              </w:rPr>
              <w:t xml:space="preserve">               </w:t>
            </w:r>
            <w:r>
              <w:rPr>
                <w:rFonts w:cs="Arial" w:ascii="Arial" w:hAnsi="Arial"/>
                <w:sz w:val="20"/>
              </w:rPr>
              <w:t>- ostatné úbytky</w:t>
            </w:r>
          </w:p>
        </w:tc>
        <w:tc>
          <w:tcPr>
            <w:tcW w:w="4527"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jc w:val="right"/>
              <w:rPr>
                <w:rFonts w:ascii="Arial" w:hAnsi="Arial" w:cs="Arial"/>
                <w:sz w:val="20"/>
              </w:rPr>
            </w:pPr>
            <w:r>
              <w:rPr>
                <w:rFonts w:cs="Arial" w:ascii="Arial" w:hAnsi="Arial"/>
                <w:sz w:val="20"/>
              </w:rPr>
            </w:r>
          </w:p>
        </w:tc>
      </w:tr>
      <w:tr>
        <w:trPr/>
        <w:tc>
          <w:tcPr>
            <w:tcW w:w="5026" w:type="dxa"/>
            <w:tcBorders>
              <w:top w:val="single" w:sz="4" w:space="0" w:color="000080"/>
              <w:left w:val="single" w:sz="4" w:space="0" w:color="000080"/>
              <w:bottom w:val="single" w:sz="4" w:space="0" w:color="000080"/>
            </w:tcBorders>
            <w:shd w:color="auto" w:fill="D9D9D9" w:val="clear"/>
          </w:tcPr>
          <w:p>
            <w:pPr>
              <w:pStyle w:val="Normal"/>
              <w:rPr/>
            </w:pPr>
            <w:r>
              <w:rPr>
                <w:rFonts w:cs="Arial" w:ascii="Arial" w:hAnsi="Arial"/>
                <w:sz w:val="20"/>
              </w:rPr>
              <w:t>KZ k 31.12.2024</w:t>
            </w:r>
          </w:p>
        </w:tc>
        <w:tc>
          <w:tcPr>
            <w:tcW w:w="4527"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right"/>
              <w:rPr/>
            </w:pPr>
            <w:r>
              <w:rPr>
                <w:rFonts w:cs="Arial" w:ascii="Arial" w:hAnsi="Arial"/>
                <w:sz w:val="20"/>
              </w:rPr>
              <w:t>1.086,60</w:t>
            </w:r>
          </w:p>
        </w:tc>
      </w:tr>
    </w:tbl>
    <w:p>
      <w:pPr>
        <w:pStyle w:val="Normal"/>
        <w:rPr>
          <w:rFonts w:ascii="Arial" w:hAnsi="Arial" w:cs="Arial"/>
          <w:b/>
          <w:sz w:val="20"/>
        </w:rPr>
      </w:pPr>
      <w:r>
        <w:rPr>
          <w:rFonts w:cs="Arial" w:ascii="Arial" w:hAnsi="Arial"/>
          <w:b/>
          <w:sz w:val="2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rFonts w:ascii="Arial" w:hAnsi="Arial" w:cs="Arial"/>
          <w:b/>
          <w:color w:val="000000"/>
        </w:rPr>
      </w:pPr>
      <w:r>
        <w:rPr>
          <w:rFonts w:cs="Arial" w:ascii="Arial" w:hAnsi="Arial"/>
          <w:b/>
          <w:color w:val="000000"/>
        </w:rPr>
      </w:r>
    </w:p>
    <w:p>
      <w:pPr>
        <w:pStyle w:val="Normal"/>
        <w:rPr>
          <w:sz w:val="28"/>
          <w:szCs w:val="28"/>
        </w:rPr>
      </w:pPr>
      <w:r>
        <w:rPr>
          <w:rFonts w:cs="Arial" w:ascii="Arial" w:hAnsi="Arial"/>
          <w:b/>
          <w:color w:val="000000"/>
          <w:sz w:val="28"/>
          <w:szCs w:val="28"/>
        </w:rPr>
        <w:t>4. Bilancia aktív a pasív k 31. 12. 2024</w:t>
      </w:r>
    </w:p>
    <w:p>
      <w:pPr>
        <w:pStyle w:val="Normal"/>
        <w:rPr>
          <w:rFonts w:ascii="Arial" w:hAnsi="Arial" w:cs="Arial"/>
          <w:color w:val="000000"/>
          <w:sz w:val="20"/>
        </w:rPr>
      </w:pPr>
      <w:r>
        <w:rPr>
          <w:rFonts w:cs="Arial" w:ascii="Arial" w:hAnsi="Arial"/>
          <w:color w:val="000000"/>
          <w:sz w:val="20"/>
        </w:rPr>
      </w:r>
    </w:p>
    <w:tbl>
      <w:tblPr>
        <w:tblW w:w="9806" w:type="dxa"/>
        <w:jc w:val="left"/>
        <w:tblInd w:w="65" w:type="dxa"/>
        <w:tblLayout w:type="fixed"/>
        <w:tblCellMar>
          <w:top w:w="0" w:type="dxa"/>
          <w:left w:w="50" w:type="dxa"/>
          <w:bottom w:w="0" w:type="dxa"/>
          <w:right w:w="70" w:type="dxa"/>
        </w:tblCellMar>
        <w:tblLook w:firstRow="0" w:noVBand="0" w:lastRow="0" w:firstColumn="0" w:lastColumn="0" w:noHBand="0" w:val="0000"/>
      </w:tblPr>
      <w:tblGrid>
        <w:gridCol w:w="3740"/>
        <w:gridCol w:w="2881"/>
        <w:gridCol w:w="3185"/>
      </w:tblGrid>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color w:val="C9211E"/>
              </w:rPr>
            </w:pPr>
            <w:r>
              <w:rPr>
                <w:rFonts w:cs="Arial" w:ascii="Arial" w:hAnsi="Arial"/>
                <w:b/>
                <w:color w:val="000000"/>
                <w:sz w:val="20"/>
              </w:rPr>
              <w:t>Názov</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color w:val="000000"/>
              </w:rPr>
            </w:pPr>
            <w:r>
              <w:rPr>
                <w:rFonts w:cs="Arial" w:ascii="Arial" w:hAnsi="Arial"/>
                <w:b/>
                <w:color w:val="000000"/>
                <w:sz w:val="20"/>
              </w:rPr>
              <w:t>ZS k 1.1.2024</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center"/>
              <w:rPr>
                <w:color w:val="000000"/>
              </w:rPr>
            </w:pPr>
            <w:r>
              <w:rPr>
                <w:rFonts w:cs="Arial" w:ascii="Arial" w:hAnsi="Arial"/>
                <w:b/>
                <w:color w:val="000000"/>
                <w:sz w:val="20"/>
              </w:rPr>
              <w:t>KZ  31.12.2024</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color w:val="000000"/>
                <w:sz w:val="20"/>
              </w:rPr>
              <w:t>1 424 815,46 €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color w:val="000000"/>
                <w:sz w:val="20"/>
              </w:rPr>
              <w:t>1 419 125,00 €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Neobežný 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1 126 232,65 €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1 174 830,73 €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Dlhodobý nehmotný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3 686,14 €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3 744,23 €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Dlhodobý hmotný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961 393,71 €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1 009 933,70 €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Dlhodobý finančný majetok</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161 152,80 €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161 152,80 €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Obežný majetok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296 990,32 €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242 387,11 €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Zásoby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364,12 €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3 916,82 €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Zúčtovanie medzi subjektami VS</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Dlhodobé pohľadávky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3 685,30 €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Krátkodobé pohľadávky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3 721,63 €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530,70 €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Finančné účty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288 565,63 €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237 939,59 €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Poskytnuté návratné fin. výpomoci dlh.</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Poskytnuté návratné fin. výpomoci krát.</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bCs/>
                <w:color w:val="000000"/>
                <w:sz w:val="20"/>
              </w:rPr>
              <w:t>Časové rozlíšenie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1 592,49 €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1 907,16 €</w:t>
            </w:r>
          </w:p>
        </w:tc>
      </w:tr>
    </w:tbl>
    <w:p>
      <w:pPr>
        <w:pStyle w:val="Normal"/>
        <w:rPr>
          <w:color w:val="000000"/>
        </w:rPr>
      </w:pPr>
      <w:r>
        <w:rPr>
          <w:color w:val="000000"/>
        </w:rPr>
      </w:r>
    </w:p>
    <w:tbl>
      <w:tblPr>
        <w:tblW w:w="9806" w:type="dxa"/>
        <w:jc w:val="left"/>
        <w:tblInd w:w="65" w:type="dxa"/>
        <w:tblLayout w:type="fixed"/>
        <w:tblCellMar>
          <w:top w:w="0" w:type="dxa"/>
          <w:left w:w="50" w:type="dxa"/>
          <w:bottom w:w="0" w:type="dxa"/>
          <w:right w:w="70" w:type="dxa"/>
        </w:tblCellMar>
        <w:tblLook w:firstRow="0" w:noVBand="0" w:lastRow="0" w:firstColumn="0" w:lastColumn="0" w:noHBand="0" w:val="0000"/>
      </w:tblPr>
      <w:tblGrid>
        <w:gridCol w:w="3740"/>
        <w:gridCol w:w="2881"/>
        <w:gridCol w:w="3185"/>
      </w:tblGrid>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color w:val="C9211E"/>
              </w:rPr>
            </w:pPr>
            <w:r>
              <w:rPr>
                <w:rFonts w:cs="Arial" w:ascii="Arial" w:hAnsi="Arial"/>
                <w:b/>
                <w:color w:val="000000"/>
                <w:sz w:val="20"/>
              </w:rPr>
              <w:t>Názov</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center"/>
              <w:rPr>
                <w:color w:val="000000"/>
              </w:rPr>
            </w:pPr>
            <w:r>
              <w:rPr>
                <w:rFonts w:cs="Arial" w:ascii="Arial" w:hAnsi="Arial"/>
                <w:b/>
                <w:color w:val="000000"/>
                <w:sz w:val="20"/>
              </w:rPr>
              <w:t>ZS  k 1. 1. 2024</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center"/>
              <w:rPr>
                <w:color w:val="000000"/>
              </w:rPr>
            </w:pPr>
            <w:r>
              <w:rPr>
                <w:rFonts w:cs="Arial" w:ascii="Arial" w:hAnsi="Arial"/>
                <w:b/>
                <w:color w:val="000000"/>
                <w:sz w:val="20"/>
              </w:rPr>
              <w:t>KZ  k   31. 12.2024</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Vlastné imanie a záväzky spolu</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1 424 815,46 €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1 419 125,00 €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Vlastné imanie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1 243 233,07 €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1 246 999,32 €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Oceňovacie rozdiely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Fondy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0,00 €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Výsledok hospodárenia</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1 243 233,07 €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1 246 999,32 €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83 953,69 €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83 090,30 €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 toho :</w:t>
            </w:r>
          </w:p>
        </w:tc>
        <w:tc>
          <w:tcPr>
            <w:tcW w:w="2881" w:type="dxa"/>
            <w:tcBorders>
              <w:top w:val="single" w:sz="4" w:space="0" w:color="000080"/>
              <w:left w:val="single" w:sz="4" w:space="0" w:color="000080"/>
              <w:bottom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napToGrid w:val="false"/>
              <w:spacing w:lineRule="auto" w:line="360"/>
              <w:jc w:val="right"/>
              <w:rPr>
                <w:rFonts w:ascii="Arial" w:hAnsi="Arial" w:cs="Arial"/>
                <w:color w:val="000000"/>
                <w:sz w:val="20"/>
              </w:rPr>
            </w:pPr>
            <w:r>
              <w:rPr>
                <w:rFonts w:cs="Arial" w:ascii="Arial" w:hAnsi="Arial"/>
                <w:color w:val="000000"/>
                <w:sz w:val="20"/>
              </w:rPr>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Rezervy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1 250,00 €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1 250,00 €</w:t>
            </w:r>
          </w:p>
        </w:tc>
      </w:tr>
      <w:tr>
        <w:trPr>
          <w:trHeight w:val="334" w:hRule="atLeast"/>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Zúčtovanie medzi subjektami VS</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970,40 €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617,40 €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Dlhodobé 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798,67 €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1 086,60 €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Krátkodobé záväzky</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10 952,81 €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13 024,26 €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color w:val="000000"/>
                <w:sz w:val="20"/>
              </w:rPr>
              <w:t>Bankové úvery a výpomoci</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69 981,81 €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color w:val="000000"/>
                <w:sz w:val="20"/>
              </w:rPr>
              <w:t>67 112,04 €</w:t>
            </w:r>
          </w:p>
        </w:tc>
      </w:tr>
      <w:tr>
        <w:trPr/>
        <w:tc>
          <w:tcPr>
            <w:tcW w:w="3740" w:type="dxa"/>
            <w:tcBorders>
              <w:top w:val="single" w:sz="4" w:space="0" w:color="000080"/>
              <w:left w:val="single" w:sz="4" w:space="0" w:color="000080"/>
              <w:bottom w:val="single" w:sz="4" w:space="0" w:color="000080"/>
            </w:tcBorders>
            <w:shd w:color="auto" w:fill="FFFFFF" w:val="clear"/>
          </w:tcPr>
          <w:p>
            <w:pPr>
              <w:pStyle w:val="Normal"/>
              <w:spacing w:lineRule="auto" w:line="360"/>
              <w:jc w:val="both"/>
              <w:rPr>
                <w:color w:val="C9211E"/>
              </w:rPr>
            </w:pPr>
            <w:r>
              <w:rPr>
                <w:rFonts w:cs="Arial" w:ascii="Arial" w:hAnsi="Arial"/>
                <w:b/>
                <w:color w:val="000000"/>
                <w:sz w:val="20"/>
              </w:rPr>
              <w:t>Časové rozlíšenie</w:t>
            </w:r>
          </w:p>
        </w:tc>
        <w:tc>
          <w:tcPr>
            <w:tcW w:w="2881" w:type="dxa"/>
            <w:tcBorders>
              <w:top w:val="single" w:sz="4" w:space="0" w:color="000080"/>
              <w:left w:val="single" w:sz="4" w:space="0" w:color="000080"/>
              <w:bottom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97 628,70 €</w:t>
            </w:r>
          </w:p>
        </w:tc>
        <w:tc>
          <w:tcPr>
            <w:tcW w:w="3185" w:type="dxa"/>
            <w:tcBorders>
              <w:top w:val="single" w:sz="4" w:space="0" w:color="000080"/>
              <w:left w:val="single" w:sz="4" w:space="0" w:color="000080"/>
              <w:bottom w:val="single" w:sz="4" w:space="0" w:color="000080"/>
              <w:right w:val="single" w:sz="4" w:space="0" w:color="000080"/>
            </w:tcBorders>
            <w:shd w:color="auto" w:fill="FFFFFF" w:val="clear"/>
          </w:tcPr>
          <w:p>
            <w:pPr>
              <w:pStyle w:val="Normal"/>
              <w:spacing w:lineRule="auto" w:line="360"/>
              <w:jc w:val="right"/>
              <w:rPr>
                <w:color w:val="000000"/>
              </w:rPr>
            </w:pPr>
            <w:r>
              <w:rPr>
                <w:rFonts w:cs="Arial" w:ascii="Arial" w:hAnsi="Arial"/>
                <w:b/>
                <w:bCs/>
                <w:color w:val="000000"/>
                <w:sz w:val="20"/>
              </w:rPr>
              <w:t>89 035,38 €</w:t>
            </w:r>
          </w:p>
        </w:tc>
      </w:tr>
    </w:tbl>
    <w:p>
      <w:pPr>
        <w:pStyle w:val="Normal"/>
        <w:rPr>
          <w:rFonts w:ascii="Arial" w:hAnsi="Arial" w:eastAsia="Arial" w:cs="Arial"/>
          <w:b/>
          <w:color w:val="000000"/>
          <w:sz w:val="20"/>
        </w:rPr>
      </w:pPr>
      <w:r>
        <w:rPr>
          <w:rFonts w:eastAsia="Arial" w:cs="Arial" w:ascii="Arial" w:hAnsi="Arial"/>
          <w:b/>
          <w:color w:val="000000"/>
          <w:sz w:val="20"/>
        </w:rPr>
      </w:r>
    </w:p>
    <w:p>
      <w:pPr>
        <w:pStyle w:val="Normal"/>
        <w:rPr>
          <w:rFonts w:ascii="Arial" w:hAnsi="Arial" w:eastAsia="Arial" w:cs="Arial"/>
          <w:b/>
          <w:color w:val="C9211E"/>
          <w:sz w:val="20"/>
        </w:rPr>
      </w:pPr>
      <w:r>
        <w:rPr>
          <w:rFonts w:eastAsia="Arial" w:cs="Arial" w:ascii="Arial" w:hAnsi="Arial"/>
          <w:b/>
          <w:color w:val="C9211E"/>
          <w:sz w:val="20"/>
        </w:rPr>
      </w:r>
    </w:p>
    <w:p>
      <w:pPr>
        <w:pStyle w:val="Normal"/>
        <w:rPr/>
      </w:pPr>
      <w:r>
        <w:rPr>
          <w:rFonts w:eastAsia="Arial" w:cs="Arial" w:ascii="Arial" w:hAnsi="Arial"/>
          <w:b/>
          <w:color w:val="C9211E"/>
          <w:sz w:val="20"/>
        </w:rPr>
        <w:t xml:space="preserve"> </w:t>
      </w:r>
      <w:r>
        <w:rPr>
          <w:rFonts w:eastAsia="Arial" w:cs="Arial" w:ascii="Arial" w:hAnsi="Arial"/>
          <w:b/>
          <w:color w:val="000000"/>
          <w:sz w:val="20"/>
        </w:rPr>
        <w:t xml:space="preserve"> </w:t>
      </w:r>
      <w:r>
        <w:rPr>
          <w:rFonts w:cs="Arial" w:ascii="Arial" w:hAnsi="Arial"/>
          <w:b/>
          <w:color w:val="000000"/>
          <w:sz w:val="20"/>
        </w:rPr>
        <w:t>Účtovný výsledok hospodárenia obce Smrečany za rok 2024</w:t>
      </w:r>
    </w:p>
    <w:p>
      <w:pPr>
        <w:pStyle w:val="Normal"/>
        <w:rPr>
          <w:rFonts w:ascii="Arial" w:hAnsi="Arial" w:cs="Arial"/>
          <w:color w:val="000000"/>
          <w:sz w:val="20"/>
        </w:rPr>
      </w:pPr>
      <w:r>
        <w:rPr>
          <w:rFonts w:cs="Arial" w:ascii="Arial" w:hAnsi="Arial"/>
          <w:color w:val="000000"/>
          <w:sz w:val="20"/>
        </w:rPr>
      </w:r>
    </w:p>
    <w:p>
      <w:pPr>
        <w:pStyle w:val="Normal"/>
        <w:spacing w:lineRule="auto" w:line="360"/>
        <w:rPr>
          <w:color w:val="000000"/>
        </w:rPr>
      </w:pPr>
      <w:r>
        <w:rPr>
          <w:rFonts w:cs="Arial" w:ascii="Arial" w:hAnsi="Arial"/>
          <w:color w:val="000000"/>
          <w:sz w:val="20"/>
        </w:rPr>
        <w:t xml:space="preserve">    </w:t>
      </w:r>
      <w:r>
        <w:rPr>
          <w:rFonts w:cs="Arial" w:ascii="Arial" w:hAnsi="Arial"/>
          <w:color w:val="000000"/>
          <w:sz w:val="20"/>
        </w:rPr>
        <w:t>- náklady vo výške                                                                    396 596,99 €</w:t>
      </w:r>
    </w:p>
    <w:p>
      <w:pPr>
        <w:pStyle w:val="Normal"/>
        <w:spacing w:lineRule="auto" w:line="360"/>
        <w:rPr>
          <w:color w:val="000000"/>
        </w:rPr>
      </w:pPr>
      <w:r>
        <w:rPr>
          <w:rFonts w:cs="Arial" w:ascii="Arial" w:hAnsi="Arial"/>
          <w:color w:val="000000"/>
          <w:sz w:val="20"/>
        </w:rPr>
        <w:t xml:space="preserve">   </w:t>
      </w:r>
      <w:r>
        <w:rPr>
          <w:rFonts w:cs="Arial" w:ascii="Arial" w:hAnsi="Arial"/>
          <w:color w:val="000000"/>
          <w:sz w:val="20"/>
        </w:rPr>
        <w:t xml:space="preserve">-  výnosy vo výške                                                                     399 913,24 €    </w:t>
      </w:r>
    </w:p>
    <w:p>
      <w:pPr>
        <w:pStyle w:val="Normal"/>
        <w:spacing w:lineRule="auto" w:line="360"/>
        <w:rPr>
          <w:color w:val="000000"/>
        </w:rPr>
      </w:pPr>
      <w:r>
        <w:rPr>
          <w:rFonts w:cs="Arial" w:ascii="Arial" w:hAnsi="Arial"/>
          <w:color w:val="000000"/>
          <w:sz w:val="20"/>
        </w:rPr>
        <w:t xml:space="preserve">   </w:t>
      </w:r>
      <w:r>
        <w:rPr>
          <w:rFonts w:cs="Arial" w:ascii="Arial" w:hAnsi="Arial"/>
          <w:color w:val="000000"/>
          <w:sz w:val="20"/>
        </w:rPr>
        <w:t>-  výsledok hospodárenia po zdanení vo výške                            3 316,25 €</w:t>
      </w:r>
    </w:p>
    <w:p>
      <w:pPr>
        <w:pStyle w:val="Normal"/>
        <w:ind w:hanging="0" w:left="900"/>
        <w:jc w:val="both"/>
        <w:rPr>
          <w:rFonts w:ascii="Arial" w:hAnsi="Arial" w:cs="Arial"/>
          <w:b/>
          <w:color w:val="C9211E"/>
          <w:sz w:val="20"/>
        </w:rPr>
      </w:pPr>
      <w:r>
        <w:rPr>
          <w:rFonts w:cs="Arial" w:ascii="Arial" w:hAnsi="Arial"/>
          <w:b/>
          <w:color w:val="C9211E"/>
          <w:sz w:val="20"/>
        </w:rPr>
      </w:r>
    </w:p>
    <w:p>
      <w:pPr>
        <w:pStyle w:val="Normal"/>
        <w:jc w:val="both"/>
        <w:rPr>
          <w:sz w:val="28"/>
          <w:szCs w:val="28"/>
        </w:rPr>
      </w:pPr>
      <w:r>
        <w:rPr>
          <w:rFonts w:cs="Arial" w:ascii="Arial" w:hAnsi="Arial"/>
          <w:b/>
          <w:color w:val="000000"/>
          <w:sz w:val="28"/>
          <w:szCs w:val="28"/>
        </w:rPr>
        <w:t>5. Vývoj pohľadávok a záväzkov k 31.12.2024</w:t>
      </w:r>
    </w:p>
    <w:p>
      <w:pPr>
        <w:pStyle w:val="Normal"/>
        <w:ind w:hanging="0" w:left="720"/>
        <w:rPr>
          <w:rFonts w:ascii="Arial" w:hAnsi="Arial" w:cs="Arial"/>
          <w:b/>
          <w:color w:val="000000"/>
          <w:sz w:val="20"/>
        </w:rPr>
      </w:pPr>
      <w:r>
        <w:rPr>
          <w:rFonts w:cs="Arial" w:ascii="Arial" w:hAnsi="Arial"/>
          <w:b/>
          <w:color w:val="000000"/>
          <w:sz w:val="20"/>
        </w:rPr>
      </w:r>
    </w:p>
    <w:p>
      <w:pPr>
        <w:pStyle w:val="Normal"/>
        <w:ind w:firstLine="284"/>
        <w:rPr>
          <w:color w:val="000000"/>
        </w:rPr>
      </w:pPr>
      <w:r>
        <w:rPr>
          <w:rFonts w:cs="Arial" w:ascii="Arial" w:hAnsi="Arial"/>
          <w:b/>
          <w:color w:val="000000"/>
          <w:sz w:val="20"/>
        </w:rPr>
        <w:t xml:space="preserve">Obec  k 31.12.2024 eviduje záväzky vo výške 83 090,30 €, z toho: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sociálny fond</w:t>
        <w:tab/>
        <w:tab/>
        <w:tab/>
        <w:tab/>
        <w:tab/>
        <w:tab/>
        <w:t>1 086,60 €</w:t>
        <w:tab/>
        <w:tab/>
        <w:tab/>
        <w:t xml:space="preserve">         </w:t>
        <w:tab/>
        <w:t xml:space="preserve">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dodávatelia</w:t>
        <w:tab/>
        <w:tab/>
        <w:tab/>
        <w:tab/>
        <w:tab/>
        <w:tab/>
        <w:t>4 536,84 €</w:t>
        <w:tab/>
        <w:tab/>
        <w:tab/>
        <w:tab/>
        <w:t xml:space="preserve">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voči zamestnancom (mzdy 12/2024)                                     4 901,74 €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xml:space="preserve">- voči poisťovniam (mzdy 12/2024)   </w:t>
        <w:tab/>
        <w:tab/>
        <w:t xml:space="preserve">                         2 949,06 €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xml:space="preserve">- voči daňovému úradu (mzdy 12/2024)                                     636,62 €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voči bankám (Prima banka)                                                 67 112,04 €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nezúčtovaná dotácia MŠ</w:t>
        <w:tab/>
        <w:tab/>
        <w:tab/>
        <w:t xml:space="preserve">                            617,40 €    </w:t>
      </w:r>
    </w:p>
    <w:p>
      <w:pPr>
        <w:pStyle w:val="Normal"/>
        <w:rPr>
          <w:color w:val="000000"/>
        </w:rPr>
      </w:pPr>
      <w:r>
        <w:rPr>
          <w:rFonts w:eastAsia="Arial" w:cs="Arial" w:ascii="Arial" w:hAnsi="Arial"/>
          <w:color w:val="000000"/>
          <w:sz w:val="20"/>
        </w:rPr>
        <w:t xml:space="preserve">     </w:t>
      </w:r>
      <w:r>
        <w:rPr>
          <w:rFonts w:cs="Arial" w:ascii="Arial" w:hAnsi="Arial"/>
          <w:color w:val="000000"/>
          <w:sz w:val="20"/>
        </w:rPr>
        <w:t>- rezerva na audit 2024</w:t>
        <w:tab/>
        <w:tab/>
        <w:tab/>
        <w:tab/>
        <w:tab/>
        <w:t>1 250,00 €</w:t>
      </w:r>
    </w:p>
    <w:p>
      <w:pPr>
        <w:pStyle w:val="Normal"/>
        <w:rPr>
          <w:color w:val="000000"/>
        </w:rPr>
      </w:pPr>
      <w:r>
        <w:rPr>
          <w:rFonts w:cs="Arial" w:ascii="Arial" w:hAnsi="Arial"/>
          <w:color w:val="000000"/>
          <w:sz w:val="20"/>
        </w:rPr>
        <w:t xml:space="preserve">    </w:t>
      </w:r>
      <w:r>
        <w:rPr>
          <w:rFonts w:eastAsia="Arial" w:cs="Arial" w:ascii="Arial" w:hAnsi="Arial"/>
          <w:b/>
          <w:color w:val="000000"/>
          <w:sz w:val="20"/>
        </w:rPr>
        <w:t xml:space="preserve">  </w:t>
      </w:r>
    </w:p>
    <w:p>
      <w:pPr>
        <w:pStyle w:val="Normal"/>
        <w:ind w:firstLine="284"/>
        <w:rPr>
          <w:color w:val="000000"/>
        </w:rPr>
      </w:pPr>
      <w:r>
        <w:rPr>
          <w:rFonts w:cs="Arial" w:ascii="Arial" w:hAnsi="Arial"/>
          <w:b/>
          <w:color w:val="000000"/>
          <w:sz w:val="20"/>
        </w:rPr>
        <w:t>Obec  k 31.12.2024 eviduje pohľadávky vo výške 530,70 €, z toho:</w:t>
      </w:r>
    </w:p>
    <w:p>
      <w:pPr>
        <w:pStyle w:val="Normal"/>
        <w:ind w:firstLine="284"/>
        <w:rPr>
          <w:color w:val="000000"/>
        </w:rPr>
      </w:pPr>
      <w:r>
        <w:rPr>
          <w:rFonts w:cs="Arial" w:ascii="Arial" w:hAnsi="Arial"/>
          <w:color w:val="000000"/>
          <w:sz w:val="20"/>
        </w:rPr>
        <w:t>- pohľadávky voči zamestnancom stravné</w:t>
        <w:tab/>
        <w:tab/>
        <w:tab/>
        <w:t xml:space="preserve">   225,12 €</w:t>
      </w:r>
    </w:p>
    <w:p>
      <w:pPr>
        <w:pStyle w:val="Normal"/>
        <w:ind w:firstLine="284"/>
        <w:rPr>
          <w:color w:val="000000"/>
        </w:rPr>
      </w:pPr>
      <w:r>
        <w:rPr>
          <w:rFonts w:cs="Arial" w:ascii="Arial" w:hAnsi="Arial"/>
          <w:color w:val="000000"/>
          <w:sz w:val="20"/>
        </w:rPr>
        <w:t>- iná pohľadávky dobropisy</w:t>
        <w:tab/>
        <w:tab/>
        <w:tab/>
        <w:tab/>
        <w:t xml:space="preserve">                305,58 €</w:t>
      </w:r>
    </w:p>
    <w:p>
      <w:pPr>
        <w:pStyle w:val="Normal"/>
        <w:ind w:firstLine="284"/>
        <w:rPr>
          <w:rFonts w:ascii="Arial" w:hAnsi="Arial" w:cs="Arial"/>
          <w:color w:val="000000"/>
          <w:sz w:val="20"/>
        </w:rPr>
      </w:pPr>
      <w:r>
        <w:rPr>
          <w:rFonts w:cs="Arial" w:ascii="Arial" w:hAnsi="Arial"/>
          <w:color w:val="000000"/>
          <w:sz w:val="20"/>
        </w:rPr>
      </w:r>
    </w:p>
    <w:p>
      <w:pPr>
        <w:pStyle w:val="Normal"/>
        <w:tabs>
          <w:tab w:val="clear" w:pos="708"/>
          <w:tab w:val="left" w:pos="709" w:leader="none"/>
          <w:tab w:val="left" w:pos="6663" w:leader="none"/>
        </w:tabs>
        <w:ind w:firstLine="708"/>
        <w:jc w:val="both"/>
        <w:rPr>
          <w:rFonts w:ascii="Arial" w:hAnsi="Arial" w:cs="Arial"/>
          <w:b/>
          <w:color w:val="000000"/>
          <w:sz w:val="20"/>
        </w:rPr>
      </w:pPr>
      <w:r>
        <w:rPr>
          <w:rFonts w:cs="Arial" w:ascii="Arial" w:hAnsi="Arial"/>
          <w:b/>
          <w:color w:val="000000"/>
          <w:sz w:val="20"/>
        </w:rPr>
      </w:r>
    </w:p>
    <w:p>
      <w:pPr>
        <w:pStyle w:val="Normal"/>
        <w:tabs>
          <w:tab w:val="clear" w:pos="708"/>
          <w:tab w:val="left" w:pos="709" w:leader="none"/>
          <w:tab w:val="left" w:pos="6663" w:leader="none"/>
        </w:tabs>
        <w:jc w:val="both"/>
        <w:rPr>
          <w:color w:val="000000"/>
        </w:rPr>
      </w:pPr>
      <w:r>
        <w:rPr>
          <w:rFonts w:cs="Arial" w:ascii="Arial" w:hAnsi="Arial"/>
          <w:b/>
          <w:color w:val="000000"/>
          <w:sz w:val="20"/>
        </w:rPr>
        <w:t>Stav úverov</w:t>
      </w:r>
    </w:p>
    <w:p>
      <w:pPr>
        <w:pStyle w:val="Normal"/>
        <w:tabs>
          <w:tab w:val="clear" w:pos="708"/>
          <w:tab w:val="left" w:pos="6663" w:leader="none"/>
        </w:tabs>
        <w:jc w:val="both"/>
        <w:rPr>
          <w:color w:val="000000"/>
        </w:rPr>
      </w:pPr>
      <w:r>
        <w:rPr>
          <w:rFonts w:cs="Arial" w:ascii="Arial" w:hAnsi="Arial"/>
          <w:color w:val="000000"/>
          <w:sz w:val="20"/>
        </w:rPr>
        <w:t xml:space="preserve">Počiatočný stav úverov (komerčných)  k 1. 1. 2024 bol  69 981,81 €. </w:t>
      </w:r>
    </w:p>
    <w:p>
      <w:pPr>
        <w:pStyle w:val="Normal"/>
        <w:tabs>
          <w:tab w:val="clear" w:pos="708"/>
          <w:tab w:val="left" w:pos="6663" w:leader="none"/>
        </w:tabs>
        <w:jc w:val="both"/>
        <w:rPr>
          <w:color w:val="000000"/>
        </w:rPr>
      </w:pPr>
      <w:r>
        <w:rPr>
          <w:rFonts w:cs="Arial" w:ascii="Arial" w:hAnsi="Arial"/>
          <w:color w:val="000000"/>
          <w:sz w:val="20"/>
        </w:rPr>
        <w:t xml:space="preserve">Splatené boli úvery vo výške 2 869,77 €. </w:t>
      </w:r>
    </w:p>
    <w:p>
      <w:pPr>
        <w:pStyle w:val="Normal"/>
        <w:tabs>
          <w:tab w:val="clear" w:pos="708"/>
          <w:tab w:val="left" w:pos="709" w:leader="none"/>
          <w:tab w:val="left" w:pos="6663" w:leader="none"/>
        </w:tabs>
        <w:jc w:val="both"/>
        <w:rPr>
          <w:rFonts w:ascii="Arial" w:hAnsi="Arial" w:eastAsia="Arial" w:cs="Arial"/>
          <w:b/>
          <w:sz w:val="20"/>
        </w:rPr>
      </w:pPr>
      <w:r>
        <w:rPr>
          <w:rFonts w:eastAsia="Arial" w:cs="Arial" w:ascii="Arial" w:hAnsi="Arial"/>
          <w:b/>
          <w:sz w:val="20"/>
        </w:rPr>
      </w:r>
    </w:p>
    <w:p>
      <w:pPr>
        <w:pStyle w:val="Normal"/>
        <w:tabs>
          <w:tab w:val="clear" w:pos="708"/>
          <w:tab w:val="left" w:pos="709" w:leader="none"/>
          <w:tab w:val="left" w:pos="6663" w:leader="none"/>
        </w:tabs>
        <w:jc w:val="both"/>
        <w:rPr>
          <w:color w:val="000000"/>
        </w:rPr>
      </w:pPr>
      <w:r>
        <w:rPr>
          <w:rFonts w:cs="Arial" w:ascii="Arial" w:hAnsi="Arial"/>
          <w:b/>
          <w:color w:val="000000"/>
          <w:sz w:val="20"/>
        </w:rPr>
        <w:t>Obec eviduje k 31. 12 2024 2 bankové úvery:</w:t>
      </w:r>
    </w:p>
    <w:p>
      <w:pPr>
        <w:pStyle w:val="Normal"/>
        <w:tabs>
          <w:tab w:val="clear" w:pos="708"/>
          <w:tab w:val="left" w:pos="709" w:leader="none"/>
          <w:tab w:val="left" w:pos="6663" w:leader="none"/>
        </w:tabs>
        <w:ind w:firstLine="708" w:left="708"/>
        <w:jc w:val="both"/>
        <w:rPr>
          <w:rFonts w:ascii="Arial" w:hAnsi="Arial" w:cs="Arial"/>
          <w:color w:val="000000"/>
          <w:sz w:val="20"/>
        </w:rPr>
      </w:pPr>
      <w:r>
        <w:rPr>
          <w:rFonts w:cs="Arial" w:ascii="Arial" w:hAnsi="Arial"/>
          <w:color w:val="000000"/>
          <w:sz w:val="20"/>
        </w:rPr>
      </w:r>
    </w:p>
    <w:p>
      <w:pPr>
        <w:pStyle w:val="Default"/>
        <w:rPr/>
      </w:pPr>
      <w:r>
        <w:rPr>
          <w:rFonts w:cs="Arial" w:ascii="Arial" w:hAnsi="Arial"/>
          <w:sz w:val="20"/>
          <w:szCs w:val="20"/>
        </w:rPr>
        <w:t>Bankový úver:   zostatok 8 181,23  €,  čerpanie 19. 12. 2018, splatnosť 30. 7. 2027</w:t>
      </w:r>
    </w:p>
    <w:p>
      <w:pPr>
        <w:pStyle w:val="Default"/>
        <w:rPr/>
      </w:pPr>
      <w:r>
        <w:rPr>
          <w:rFonts w:cs="Arial" w:ascii="Arial" w:hAnsi="Arial"/>
          <w:sz w:val="20"/>
          <w:szCs w:val="20"/>
        </w:rPr>
        <w:t>Bankový úver:   zostatok 58 930,81 €,  čerpanie 23. 7. 2018, splatnosť 12.12.2031</w:t>
      </w:r>
    </w:p>
    <w:p>
      <w:pPr>
        <w:pStyle w:val="Default"/>
        <w:rPr/>
      </w:pPr>
      <w:r>
        <w:rPr>
          <w:rFonts w:eastAsia="Arial" w:cs="Arial" w:ascii="Arial" w:hAnsi="Arial"/>
          <w:sz w:val="20"/>
          <w:szCs w:val="20"/>
        </w:rPr>
        <w:t xml:space="preserve">    </w:t>
      </w:r>
    </w:p>
    <w:p>
      <w:pPr>
        <w:pStyle w:val="Default"/>
        <w:rPr/>
      </w:pPr>
      <w:r>
        <w:rPr>
          <w:rFonts w:cs="Arial" w:ascii="Arial" w:hAnsi="Arial"/>
          <w:sz w:val="20"/>
          <w:szCs w:val="20"/>
        </w:rPr>
        <w:t xml:space="preserve">Stav  celkových  úverov obce je  vo výške 67 112,04 €, v tom </w:t>
      </w:r>
      <w:r>
        <w:rPr>
          <w:rFonts w:cs="Arial" w:ascii="Arial" w:hAnsi="Arial"/>
          <w:b/>
          <w:sz w:val="20"/>
          <w:szCs w:val="20"/>
        </w:rPr>
        <w:t>komerčné úvery vo výške 67 112,04 €.</w:t>
      </w:r>
    </w:p>
    <w:p>
      <w:pPr>
        <w:pStyle w:val="Normal"/>
        <w:tabs>
          <w:tab w:val="clear" w:pos="708"/>
          <w:tab w:val="left" w:pos="709" w:leader="none"/>
          <w:tab w:val="left" w:pos="6663" w:leader="none"/>
        </w:tabs>
        <w:ind w:firstLine="708"/>
        <w:jc w:val="both"/>
        <w:rPr>
          <w:rFonts w:ascii="Arial" w:hAnsi="Arial" w:cs="Arial"/>
          <w:color w:val="000000"/>
          <w:sz w:val="20"/>
        </w:rPr>
      </w:pPr>
      <w:r>
        <w:rPr>
          <w:rFonts w:cs="Arial" w:ascii="Arial" w:hAnsi="Arial"/>
          <w:color w:val="000000"/>
          <w:sz w:val="20"/>
        </w:rPr>
      </w:r>
    </w:p>
    <w:p>
      <w:pPr>
        <w:pStyle w:val="Normal"/>
        <w:jc w:val="both"/>
        <w:rPr>
          <w:rFonts w:ascii="Arial" w:hAnsi="Arial" w:cs="Arial"/>
          <w:b/>
          <w:sz w:val="28"/>
          <w:szCs w:val="28"/>
        </w:rPr>
      </w:pPr>
      <w:r>
        <w:rPr>
          <w:rFonts w:cs="Arial" w:ascii="Arial" w:hAnsi="Arial"/>
          <w:b/>
          <w:sz w:val="28"/>
          <w:szCs w:val="28"/>
        </w:rPr>
        <w:t>6. Ostatné dôležité informácie</w:t>
      </w:r>
    </w:p>
    <w:p>
      <w:pPr>
        <w:pStyle w:val="Normal"/>
        <w:rPr>
          <w:rFonts w:ascii="Arial" w:hAnsi="Arial" w:cs="Arial"/>
          <w:b/>
          <w:sz w:val="20"/>
        </w:rPr>
      </w:pPr>
      <w:r>
        <w:rPr>
          <w:rFonts w:cs="Arial" w:ascii="Arial" w:hAnsi="Arial"/>
          <w:b/>
          <w:sz w:val="20"/>
        </w:rPr>
      </w:r>
    </w:p>
    <w:p>
      <w:pPr>
        <w:pStyle w:val="Normal"/>
        <w:rPr/>
      </w:pPr>
      <w:r>
        <w:rPr>
          <w:rFonts w:cs="Arial" w:ascii="Arial" w:hAnsi="Arial"/>
          <w:b/>
          <w:sz w:val="20"/>
        </w:rPr>
        <w:t xml:space="preserve">Finančné usporiadanie vzťahov voči </w:t>
      </w:r>
    </w:p>
    <w:p>
      <w:pPr>
        <w:pStyle w:val="Normal"/>
        <w:tabs>
          <w:tab w:val="clear" w:pos="708"/>
          <w:tab w:val="left" w:pos="750" w:leader="none"/>
        </w:tabs>
        <w:ind w:hanging="426" w:left="426"/>
        <w:rPr/>
      </w:pPr>
      <w:r>
        <w:rPr>
          <w:rFonts w:eastAsia="Arial" w:cs="Arial" w:ascii="Arial" w:hAnsi="Arial"/>
          <w:sz w:val="20"/>
        </w:rPr>
        <w:t xml:space="preserve"> </w:t>
      </w:r>
      <w:r>
        <w:rPr>
          <w:rFonts w:cs="Arial" w:ascii="Arial" w:hAnsi="Arial"/>
          <w:sz w:val="20"/>
        </w:rPr>
        <w:t>a)  zriadeným a založeným právnickým osobám</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b)  štátnemu rozpočtu</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c)  štátnym fondom</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d)  rozpočtom iných obcí</w:t>
      </w:r>
    </w:p>
    <w:p>
      <w:pPr>
        <w:pStyle w:val="Normal"/>
        <w:tabs>
          <w:tab w:val="clear" w:pos="708"/>
          <w:tab w:val="left" w:pos="426" w:leader="none"/>
        </w:tabs>
        <w:ind w:hanging="426" w:left="426"/>
        <w:rPr/>
      </w:pPr>
      <w:r>
        <w:rPr>
          <w:rFonts w:eastAsia="Arial" w:cs="Arial" w:ascii="Arial" w:hAnsi="Arial"/>
          <w:sz w:val="20"/>
        </w:rPr>
        <w:t xml:space="preserve"> </w:t>
      </w:r>
      <w:r>
        <w:rPr>
          <w:rFonts w:cs="Arial" w:ascii="Arial" w:hAnsi="Arial"/>
          <w:sz w:val="20"/>
        </w:rPr>
        <w:t>e)  rozpočtom VÚC</w:t>
      </w:r>
    </w:p>
    <w:p>
      <w:pPr>
        <w:pStyle w:val="Normal"/>
        <w:tabs>
          <w:tab w:val="clear" w:pos="708"/>
          <w:tab w:val="left" w:pos="426" w:leader="none"/>
        </w:tabs>
        <w:ind w:hanging="426" w:left="426"/>
        <w:rPr>
          <w:rFonts w:ascii="Arial" w:hAnsi="Arial" w:cs="Arial"/>
          <w:sz w:val="20"/>
        </w:rPr>
      </w:pPr>
      <w:r>
        <w:rPr>
          <w:rFonts w:cs="Arial" w:ascii="Arial" w:hAnsi="Arial"/>
          <w:sz w:val="20"/>
        </w:rPr>
      </w:r>
    </w:p>
    <w:p>
      <w:pPr>
        <w:pStyle w:val="Normal"/>
        <w:ind w:firstLine="708"/>
        <w:jc w:val="both"/>
        <w:rPr/>
      </w:pPr>
      <w:r>
        <w:rPr>
          <w:rFonts w:cs="Arial" w:ascii="Arial" w:hAnsi="Arial"/>
          <w:sz w:val="20"/>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rFonts w:ascii="Arial" w:hAnsi="Arial" w:cs="Arial"/>
          <w:color w:val="C9211E"/>
          <w:sz w:val="20"/>
          <w:highlight w:val="lightGray"/>
        </w:rPr>
      </w:pPr>
      <w:r>
        <w:rPr>
          <w:rFonts w:cs="Arial" w:ascii="Arial" w:hAnsi="Arial"/>
          <w:color w:val="C9211E"/>
          <w:sz w:val="20"/>
          <w:highlight w:val="lightGray"/>
        </w:rPr>
      </w:r>
    </w:p>
    <w:p>
      <w:pPr>
        <w:pStyle w:val="Normal"/>
        <w:tabs>
          <w:tab w:val="clear" w:pos="708"/>
          <w:tab w:val="left" w:pos="426" w:leader="none"/>
        </w:tabs>
        <w:ind w:hanging="426" w:left="426"/>
        <w:jc w:val="both"/>
        <w:rPr/>
      </w:pPr>
      <w:r>
        <w:rPr>
          <w:rFonts w:cs="Arial" w:ascii="Arial" w:hAnsi="Arial"/>
          <w:sz w:val="20"/>
        </w:rPr>
        <w:t>a)  Finančné usporiadanie voči zriadeným a založeným právnickým osobám</w:t>
      </w:r>
    </w:p>
    <w:p>
      <w:pPr>
        <w:pStyle w:val="Normal"/>
        <w:ind w:hanging="0" w:left="426"/>
        <w:jc w:val="both"/>
        <w:rPr>
          <w:rFonts w:ascii="Arial" w:hAnsi="Arial" w:cs="Arial"/>
          <w:sz w:val="20"/>
        </w:rPr>
      </w:pPr>
      <w:r>
        <w:rPr>
          <w:rFonts w:cs="Arial" w:ascii="Arial" w:hAnsi="Arial"/>
          <w:sz w:val="20"/>
        </w:rPr>
      </w:r>
    </w:p>
    <w:p>
      <w:pPr>
        <w:pStyle w:val="Normal"/>
        <w:tabs>
          <w:tab w:val="clear" w:pos="708"/>
          <w:tab w:val="left" w:pos="284" w:leader="none"/>
        </w:tabs>
        <w:ind w:hanging="284" w:left="284"/>
        <w:jc w:val="both"/>
        <w:rPr/>
      </w:pPr>
      <w:r>
        <w:rPr>
          <w:rFonts w:eastAsia="Arial" w:cs="Arial" w:ascii="Arial" w:hAnsi="Arial"/>
          <w:b/>
          <w:sz w:val="20"/>
        </w:rPr>
        <w:t xml:space="preserve">        </w:t>
      </w:r>
      <w:r>
        <w:rPr>
          <w:rFonts w:cs="Arial" w:ascii="Arial" w:hAnsi="Arial"/>
          <w:sz w:val="20"/>
        </w:rPr>
        <w:t>prostriedky zriaďovateľa, vlastné prostriedky RO</w:t>
      </w:r>
    </w:p>
    <w:tbl>
      <w:tblPr>
        <w:tblW w:w="9743" w:type="dxa"/>
        <w:jc w:val="left"/>
        <w:tblInd w:w="103" w:type="dxa"/>
        <w:tblLayout w:type="fixed"/>
        <w:tblCellMar>
          <w:top w:w="0" w:type="dxa"/>
          <w:left w:w="93" w:type="dxa"/>
          <w:bottom w:w="0" w:type="dxa"/>
          <w:right w:w="108" w:type="dxa"/>
        </w:tblCellMar>
        <w:tblLook w:firstRow="0" w:noVBand="0" w:lastRow="0" w:firstColumn="0" w:lastColumn="0" w:noHBand="0" w:val="0000"/>
      </w:tblPr>
      <w:tblGrid>
        <w:gridCol w:w="2803"/>
        <w:gridCol w:w="2269"/>
        <w:gridCol w:w="2130"/>
        <w:gridCol w:w="2540"/>
      </w:tblGrid>
      <w:tr>
        <w:trPr/>
        <w:tc>
          <w:tcPr>
            <w:tcW w:w="2803"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sz w:val="20"/>
              </w:rPr>
              <w:t>Rozpočtová organizácia</w:t>
            </w:r>
          </w:p>
        </w:tc>
        <w:tc>
          <w:tcPr>
            <w:tcW w:w="2269"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 finančných prostriedkov</w:t>
            </w:r>
          </w:p>
        </w:tc>
        <w:tc>
          <w:tcPr>
            <w:tcW w:w="2130"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tc>
        <w:tc>
          <w:tcPr>
            <w:tcW w:w="2540"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sz w:val="20"/>
              </w:rPr>
              <w:t>Rozdiel - vrátenie</w:t>
            </w:r>
          </w:p>
        </w:tc>
      </w:tr>
      <w:tr>
        <w:trPr/>
        <w:tc>
          <w:tcPr>
            <w:tcW w:w="2803"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MŠ</w:t>
            </w:r>
          </w:p>
        </w:tc>
        <w:tc>
          <w:tcPr>
            <w:tcW w:w="2269"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92885,53</w:t>
            </w:r>
          </w:p>
        </w:tc>
        <w:tc>
          <w:tcPr>
            <w:tcW w:w="2130" w:type="dxa"/>
            <w:tcBorders>
              <w:top w:val="single" w:sz="4" w:space="0" w:color="000080"/>
              <w:left w:val="single" w:sz="4" w:space="0" w:color="000080"/>
              <w:bottom w:val="single" w:sz="4" w:space="0" w:color="000080"/>
            </w:tcBorders>
            <w:shd w:color="auto" w:fill="FFFFFF" w:val="clear"/>
          </w:tcPr>
          <w:p>
            <w:pPr>
              <w:pStyle w:val="Normal"/>
              <w:jc w:val="center"/>
              <w:rPr/>
            </w:pPr>
            <w:r>
              <w:rPr>
                <w:rFonts w:cs="Arial" w:ascii="Arial" w:hAnsi="Arial"/>
                <w:sz w:val="20"/>
              </w:rPr>
              <w:t>92885,53</w:t>
            </w:r>
          </w:p>
        </w:tc>
        <w:tc>
          <w:tcPr>
            <w:tcW w:w="2540"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center"/>
              <w:rPr/>
            </w:pPr>
            <w:r>
              <w:rPr>
                <w:rFonts w:cs="Arial" w:ascii="Arial" w:hAnsi="Arial"/>
                <w:sz w:val="20"/>
              </w:rPr>
              <w:t>0,00</w:t>
            </w:r>
          </w:p>
        </w:tc>
      </w:tr>
    </w:tbl>
    <w:p>
      <w:pPr>
        <w:pStyle w:val="Normal"/>
        <w:ind w:firstLine="708"/>
        <w:rPr/>
      </w:pPr>
      <w:r>
        <w:rPr/>
      </w:r>
    </w:p>
    <w:p>
      <w:pPr>
        <w:pStyle w:val="Normal"/>
        <w:jc w:val="both"/>
        <w:rPr>
          <w:color w:val="111111"/>
        </w:rPr>
      </w:pPr>
      <w:r>
        <w:rPr>
          <w:rFonts w:cs="Arial" w:ascii="Arial" w:hAnsi="Arial"/>
          <w:color w:val="111111"/>
          <w:sz w:val="20"/>
          <w:szCs w:val="20"/>
        </w:rPr>
        <w:t>Obec Smrečany je členom OZ Žiarska dolina, kde zaplatila v r. 2024 členský príspevok 5 600,-EUR.</w:t>
      </w:r>
    </w:p>
    <w:p>
      <w:pPr>
        <w:pStyle w:val="Normal"/>
        <w:ind w:firstLine="708"/>
        <w:rPr>
          <w:color w:val="C9211E"/>
        </w:rPr>
      </w:pPr>
      <w:r>
        <w:rPr>
          <w:color w:val="C9211E"/>
        </w:rPr>
      </w:r>
    </w:p>
    <w:p>
      <w:pPr>
        <w:pStyle w:val="Normal"/>
        <w:ind w:hanging="0"/>
        <w:rPr/>
      </w:pPr>
      <w:r>
        <w:rPr>
          <w:rFonts w:cs="Arial" w:ascii="Arial" w:hAnsi="Arial"/>
          <w:sz w:val="20"/>
        </w:rPr>
        <w:t>b)  Finančné usporiadanie voči štátnemu rozpočtu:</w:t>
      </w:r>
    </w:p>
    <w:p>
      <w:pPr>
        <w:pStyle w:val="Normal"/>
        <w:ind w:hanging="0" w:left="360"/>
        <w:jc w:val="both"/>
        <w:rPr>
          <w:rFonts w:ascii="Arial" w:hAnsi="Arial" w:cs="Arial"/>
          <w:sz w:val="20"/>
        </w:rPr>
      </w:pPr>
      <w:r>
        <w:rPr>
          <w:rFonts w:cs="Arial" w:ascii="Arial" w:hAnsi="Arial"/>
          <w:sz w:val="20"/>
        </w:rPr>
      </w:r>
    </w:p>
    <w:tbl>
      <w:tblPr>
        <w:tblW w:w="10201" w:type="dxa"/>
        <w:jc w:val="left"/>
        <w:tblInd w:w="103" w:type="dxa"/>
        <w:tblLayout w:type="fixed"/>
        <w:tblCellMar>
          <w:top w:w="0" w:type="dxa"/>
          <w:left w:w="93" w:type="dxa"/>
          <w:bottom w:w="0" w:type="dxa"/>
          <w:right w:w="108" w:type="dxa"/>
        </w:tblCellMar>
        <w:tblLook w:firstRow="0" w:noVBand="0" w:lastRow="0" w:firstColumn="0" w:lastColumn="0" w:noHBand="0" w:val="0000"/>
      </w:tblPr>
      <w:tblGrid>
        <w:gridCol w:w="3068"/>
        <w:gridCol w:w="2441"/>
        <w:gridCol w:w="1570"/>
        <w:gridCol w:w="1562"/>
        <w:gridCol w:w="1560"/>
      </w:tblGrid>
      <w:tr>
        <w:trPr/>
        <w:tc>
          <w:tcPr>
            <w:tcW w:w="3068" w:type="dxa"/>
            <w:tcBorders>
              <w:top w:val="single" w:sz="4" w:space="0" w:color="000080"/>
              <w:left w:val="single" w:sz="4" w:space="0" w:color="000080"/>
              <w:bottom w:val="single" w:sz="4" w:space="0" w:color="00008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Poskytovateľ</w:t>
            </w:r>
          </w:p>
          <w:p>
            <w:pPr>
              <w:pStyle w:val="Normal"/>
              <w:rPr>
                <w:rFonts w:ascii="Arial" w:hAnsi="Arial" w:cs="Arial"/>
                <w:b/>
                <w:sz w:val="20"/>
              </w:rPr>
            </w:pPr>
            <w:r>
              <w:rPr>
                <w:rFonts w:cs="Arial" w:ascii="Arial" w:hAnsi="Arial"/>
                <w:b/>
                <w:sz w:val="20"/>
              </w:rPr>
            </w:r>
          </w:p>
          <w:p>
            <w:pPr>
              <w:pStyle w:val="Normal"/>
              <w:rPr/>
            </w:pPr>
            <w:r>
              <w:rPr/>
            </w:r>
          </w:p>
          <w:p>
            <w:pPr>
              <w:pStyle w:val="Normal"/>
              <w:jc w:val="center"/>
              <w:rPr/>
            </w:pPr>
            <w:r>
              <w:rPr>
                <w:rFonts w:cs="Arial" w:ascii="Arial" w:hAnsi="Arial"/>
                <w:b/>
                <w:sz w:val="20"/>
              </w:rPr>
              <w:t>- 1 -</w:t>
            </w:r>
          </w:p>
        </w:tc>
        <w:tc>
          <w:tcPr>
            <w:tcW w:w="2441"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Účelové určenie grantu, transferu uviesť :</w:t>
            </w:r>
          </w:p>
          <w:p>
            <w:pPr>
              <w:pStyle w:val="Normal"/>
              <w:jc w:val="center"/>
              <w:rPr>
                <w:rFonts w:ascii="Arial" w:hAnsi="Arial" w:cs="Arial"/>
                <w:b/>
                <w:sz w:val="20"/>
              </w:rPr>
            </w:pPr>
            <w:r>
              <w:rPr>
                <w:rFonts w:cs="Arial" w:ascii="Arial" w:hAnsi="Arial"/>
                <w:b/>
                <w:sz w:val="20"/>
              </w:rPr>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570"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w:t>
            </w:r>
          </w:p>
          <w:p>
            <w:pPr>
              <w:pStyle w:val="Normal"/>
              <w:jc w:val="center"/>
              <w:rPr/>
            </w:pPr>
            <w:r>
              <w:rPr>
                <w:rFonts w:cs="Arial" w:ascii="Arial" w:hAnsi="Arial"/>
                <w:b/>
                <w:sz w:val="20"/>
              </w:rPr>
              <w:t>finančných prostriedkov</w:t>
            </w:r>
          </w:p>
          <w:p>
            <w:pPr>
              <w:pStyle w:val="Normal"/>
              <w:jc w:val="center"/>
              <w:rPr/>
            </w:pPr>
            <w:r>
              <w:rPr>
                <w:rFonts w:cs="Arial" w:ascii="Arial" w:hAnsi="Arial"/>
                <w:b/>
                <w:sz w:val="20"/>
              </w:rPr>
              <w:t>- 3 -</w:t>
            </w:r>
          </w:p>
        </w:tc>
        <w:tc>
          <w:tcPr>
            <w:tcW w:w="1562"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- 4 -</w:t>
            </w:r>
          </w:p>
        </w:tc>
        <w:tc>
          <w:tcPr>
            <w:tcW w:w="1560" w:type="dxa"/>
            <w:tcBorders>
              <w:top w:val="single" w:sz="4" w:space="0" w:color="000080"/>
              <w:left w:val="single" w:sz="4" w:space="0" w:color="000080"/>
              <w:bottom w:val="single" w:sz="4" w:space="0" w:color="000080"/>
              <w:right w:val="single" w:sz="4" w:space="0" w:color="000080"/>
            </w:tcBorders>
            <w:shd w:color="auto" w:fill="D9D9D9" w:val="clear"/>
          </w:tcPr>
          <w:p>
            <w:pPr>
              <w:pStyle w:val="Normal"/>
              <w:jc w:val="center"/>
              <w:rPr/>
            </w:pPr>
            <w:r>
              <w:rPr>
                <w:rFonts w:cs="Arial" w:ascii="Arial" w:hAnsi="Arial"/>
                <w:b/>
                <w:sz w:val="20"/>
              </w:rPr>
              <w:t>Rozdiel</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(stĺ.3 - stĺ.4 )</w:t>
            </w:r>
          </w:p>
          <w:p>
            <w:pPr>
              <w:pStyle w:val="Normal"/>
              <w:rPr>
                <w:rFonts w:ascii="Arial" w:hAnsi="Arial" w:cs="Arial"/>
                <w:b/>
                <w:sz w:val="20"/>
              </w:rPr>
            </w:pPr>
            <w:r>
              <w:rPr>
                <w:rFonts w:cs="Arial" w:ascii="Arial" w:hAnsi="Arial"/>
                <w:b/>
                <w:sz w:val="20"/>
              </w:rPr>
            </w:r>
          </w:p>
          <w:p>
            <w:pPr>
              <w:pStyle w:val="Normal"/>
              <w:jc w:val="center"/>
              <w:rPr/>
            </w:pPr>
            <w:r>
              <w:rPr>
                <w:rFonts w:cs="Arial" w:ascii="Arial" w:hAnsi="Arial"/>
                <w:b/>
                <w:sz w:val="20"/>
              </w:rPr>
              <w:t>- 5 -</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Obvodný úrad</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Register obyvateľstva</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252,81 €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252,81 €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Krajský stavebný  úrad</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Stavebný úrad</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1 136,80 €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1 136,80 €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Krajský úrad, cestná dopr.</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Doprava a komunikácie</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30,11 €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30,11 €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Obvodný úrad</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CO</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155,16 €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155,16 €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MIRRI</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Ukrajina</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11 165,44 €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11 165,44 €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MŽP</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Životné prostredie</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84,36 €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84,36 €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0" w:name="__DdeLink__48_2021211997"/>
            <w:r>
              <w:rPr>
                <w:rFonts w:cs="Arial" w:ascii="Arial" w:hAnsi="Arial"/>
                <w:sz w:val="20"/>
              </w:rPr>
              <w:t>0,00</w:t>
            </w:r>
            <w:bookmarkEnd w:id="0"/>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OU ZA</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MŠ</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6 505,00 €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6 505,00 €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Fond na podporu umenia</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Knižnica</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2 050,00 €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2 050,00 €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Geneva CE"/>
              </w:rPr>
              <w:t xml:space="preserve"> </w:t>
            </w:r>
            <w:r>
              <w:rPr>
                <w:rFonts w:cs="Arial" w:ascii="Arial" w:hAnsi="Arial"/>
                <w:sz w:val="20"/>
              </w:rPr>
              <w:t>UPSVaR</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MŠ - stravné</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1 967,00 €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1349,60 €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617,40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Granty od PO a FO</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DHZ</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3 000,00 €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3 000,00 €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r>
              <w:rPr>
                <w:rFonts w:cs="Arial" w:ascii="Arial" w:hAnsi="Arial"/>
                <w:sz w:val="20"/>
              </w:rPr>
              <w:t>0,00</w:t>
            </w:r>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Nadácia Ekopolis</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Ekopolis</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2 500,00 €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2 500,00 €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1" w:name="__DdeLink__48_20212119972"/>
            <w:r>
              <w:rPr>
                <w:rFonts w:cs="Arial" w:ascii="Arial" w:hAnsi="Arial"/>
                <w:sz w:val="20"/>
              </w:rPr>
              <w:t>0,00</w:t>
            </w:r>
            <w:bookmarkEnd w:id="1"/>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cs="Arial" w:ascii="Arial" w:hAnsi="Arial"/>
                <w:sz w:val="20"/>
              </w:rPr>
              <w:t>Okresný úrad</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Voľb</w:t>
            </w:r>
            <w:r>
              <w:rPr>
                <w:rFonts w:cs="Arial" w:ascii="Arial" w:hAnsi="Arial"/>
                <w:b/>
                <w:bCs/>
                <w:sz w:val="20"/>
              </w:rPr>
              <w:t>y</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2 774,35 €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2 774,35 €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2" w:name="__DdeLink__48_20212119972_K%252525252525"/>
            <w:r>
              <w:rPr>
                <w:rFonts w:cs="Arial" w:ascii="Arial" w:hAnsi="Arial"/>
                <w:sz w:val="20"/>
              </w:rPr>
              <w:t>0,00</w:t>
            </w:r>
            <w:bookmarkEnd w:id="2"/>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eastAsia="Arial" w:cs="Arial" w:ascii="Arial" w:hAnsi="Arial"/>
                <w:sz w:val="20"/>
              </w:rPr>
              <w:t xml:space="preserve">  </w:t>
            </w:r>
            <w:r>
              <w:rPr>
                <w:rFonts w:eastAsia="Arial" w:cs="Arial" w:ascii="Arial" w:hAnsi="Arial"/>
                <w:sz w:val="20"/>
              </w:rPr>
              <w:t>MFSR</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Výpadok podiel. daní</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5 365,00 €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rFonts w:cs="Arial" w:ascii="Arial" w:hAnsi="Arial"/>
                <w:sz w:val="20"/>
              </w:rPr>
              <w:t>5 365,00 €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3" w:name="__DdeLink__48_20212119972_K%252525252521"/>
            <w:r>
              <w:rPr>
                <w:rFonts w:cs="Arial" w:ascii="Arial" w:hAnsi="Arial"/>
                <w:sz w:val="20"/>
              </w:rPr>
              <w:t>0,00</w:t>
            </w:r>
            <w:bookmarkEnd w:id="3"/>
          </w:p>
        </w:tc>
      </w:tr>
      <w:tr>
        <w:trPr>
          <w:trHeight w:val="239" w:hRule="atLeast"/>
        </w:trPr>
        <w:tc>
          <w:tcPr>
            <w:tcW w:w="3068"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 xml:space="preserve">  </w:t>
            </w:r>
            <w:r>
              <w:rPr>
                <w:rFonts w:cs="Arial" w:ascii="Arial" w:hAnsi="Arial"/>
                <w:sz w:val="20"/>
              </w:rPr>
              <w:t>Envirofond</w:t>
            </w:r>
          </w:p>
        </w:tc>
        <w:tc>
          <w:tcPr>
            <w:tcW w:w="2441" w:type="dxa"/>
            <w:tcBorders>
              <w:top w:val="single" w:sz="4" w:space="0" w:color="000080"/>
              <w:left w:val="single" w:sz="4" w:space="0" w:color="000080"/>
              <w:bottom w:val="single" w:sz="4" w:space="0" w:color="000080"/>
            </w:tcBorders>
            <w:shd w:color="auto" w:fill="FFFFFF" w:val="clear"/>
            <w:vAlign w:val="center"/>
          </w:tcPr>
          <w:p>
            <w:pPr>
              <w:pStyle w:val="Normal"/>
              <w:rPr/>
            </w:pPr>
            <w:r>
              <w:rPr>
                <w:rFonts w:cs="Arial" w:ascii="Arial" w:hAnsi="Arial"/>
                <w:sz w:val="20"/>
              </w:rPr>
              <w:t>Envirofond</w:t>
            </w:r>
          </w:p>
        </w:tc>
        <w:tc>
          <w:tcPr>
            <w:tcW w:w="1570"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sz w:val="20"/>
              </w:rPr>
              <w:t>1 190,25 €</w:t>
            </w:r>
          </w:p>
        </w:tc>
        <w:tc>
          <w:tcPr>
            <w:tcW w:w="1562" w:type="dxa"/>
            <w:tcBorders>
              <w:top w:val="single" w:sz="4" w:space="0" w:color="000080"/>
              <w:left w:val="single" w:sz="4" w:space="0" w:color="000080"/>
              <w:bottom w:val="single" w:sz="4" w:space="0" w:color="000080"/>
            </w:tcBorders>
            <w:shd w:color="auto" w:fill="FFFFFF" w:val="clear"/>
            <w:vAlign w:val="center"/>
          </w:tcPr>
          <w:p>
            <w:pPr>
              <w:pStyle w:val="Normal"/>
              <w:jc w:val="right"/>
              <w:rPr/>
            </w:pPr>
            <w:r>
              <w:rPr>
                <w:sz w:val="20"/>
              </w:rPr>
              <w:t>1 190,25 €</w:t>
            </w:r>
          </w:p>
        </w:tc>
        <w:tc>
          <w:tcPr>
            <w:tcW w:w="1560" w:type="dxa"/>
            <w:tcBorders>
              <w:top w:val="single" w:sz="4" w:space="0" w:color="000080"/>
              <w:left w:val="single" w:sz="4" w:space="0" w:color="000080"/>
              <w:bottom w:val="single" w:sz="4" w:space="0" w:color="000080"/>
              <w:right w:val="single" w:sz="4" w:space="0" w:color="000080"/>
            </w:tcBorders>
            <w:shd w:color="auto" w:fill="FFFFFF" w:val="clear"/>
            <w:vAlign w:val="center"/>
          </w:tcPr>
          <w:p>
            <w:pPr>
              <w:pStyle w:val="Normal"/>
              <w:spacing w:lineRule="auto" w:line="360"/>
              <w:jc w:val="right"/>
              <w:rPr/>
            </w:pPr>
            <w:bookmarkStart w:id="4" w:name="__DdeLink__48_20212119972_K%252525252522"/>
            <w:r>
              <w:rPr>
                <w:rFonts w:cs="Arial" w:ascii="Arial" w:hAnsi="Arial"/>
                <w:sz w:val="20"/>
              </w:rPr>
              <w:t>0,00</w:t>
            </w:r>
            <w:bookmarkEnd w:id="4"/>
          </w:p>
        </w:tc>
      </w:tr>
    </w:tbl>
    <w:p>
      <w:pPr>
        <w:pStyle w:val="Normal"/>
        <w:tabs>
          <w:tab w:val="clear" w:pos="708"/>
          <w:tab w:val="left" w:pos="690" w:leader="none"/>
        </w:tabs>
        <w:ind w:hanging="426" w:left="426"/>
        <w:jc w:val="both"/>
        <w:rPr/>
      </w:pPr>
      <w:r>
        <w:rPr>
          <w:rFonts w:eastAsia="Arial" w:cs="Arial" w:ascii="Arial" w:hAnsi="Arial"/>
          <w:sz w:val="20"/>
        </w:rPr>
        <w:t xml:space="preserve"> </w:t>
      </w:r>
      <w:r>
        <w:rPr>
          <w:rFonts w:cs="Arial" w:ascii="Arial" w:hAnsi="Arial"/>
          <w:sz w:val="20"/>
        </w:rPr>
        <w:t>c) Finančné usporiadanie voči štátnym fondom</w:t>
      </w:r>
    </w:p>
    <w:p>
      <w:pPr>
        <w:pStyle w:val="Normal"/>
        <w:jc w:val="both"/>
        <w:rPr>
          <w:rFonts w:ascii="Arial" w:hAnsi="Arial" w:cs="Arial"/>
          <w:sz w:val="20"/>
        </w:rPr>
      </w:pPr>
      <w:r>
        <w:rPr>
          <w:rFonts w:cs="Arial" w:ascii="Arial" w:hAnsi="Arial"/>
          <w:sz w:val="20"/>
        </w:rPr>
      </w:r>
    </w:p>
    <w:p>
      <w:pPr>
        <w:pStyle w:val="Normal"/>
        <w:tabs>
          <w:tab w:val="clear" w:pos="708"/>
          <w:tab w:val="left" w:pos="750" w:leader="none"/>
        </w:tabs>
        <w:jc w:val="both"/>
        <w:rPr/>
      </w:pPr>
      <w:r>
        <w:rPr>
          <w:rFonts w:cs="Arial" w:ascii="Arial" w:hAnsi="Arial"/>
          <w:sz w:val="20"/>
        </w:rPr>
        <w:t>Obec neuzatvorila v roku 2024 žiadnu zmluvu so štátn</w:t>
      </w:r>
      <w:r>
        <w:rPr>
          <w:rFonts w:eastAsia="Arial" w:cs="Arial" w:ascii="Arial" w:hAnsi="Arial"/>
          <w:sz w:val="20"/>
        </w:rPr>
        <w:t>ymi fondmi.</w:t>
      </w:r>
    </w:p>
    <w:p>
      <w:pPr>
        <w:pStyle w:val="Normal"/>
        <w:jc w:val="both"/>
        <w:rPr>
          <w:rFonts w:ascii="Arial" w:hAnsi="Arial" w:cs="Arial"/>
          <w:color w:val="C9211E"/>
          <w:sz w:val="20"/>
        </w:rPr>
      </w:pPr>
      <w:r>
        <w:rPr>
          <w:rFonts w:cs="Arial" w:ascii="Arial" w:hAnsi="Arial"/>
          <w:color w:val="C9211E"/>
          <w:sz w:val="20"/>
        </w:rPr>
      </w:r>
    </w:p>
    <w:p>
      <w:pPr>
        <w:pStyle w:val="Normal"/>
        <w:tabs>
          <w:tab w:val="clear" w:pos="708"/>
          <w:tab w:val="left" w:pos="426" w:leader="none"/>
        </w:tabs>
        <w:ind w:hanging="426" w:left="450"/>
        <w:jc w:val="both"/>
        <w:rPr>
          <w:rFonts w:ascii="Arial" w:hAnsi="Arial" w:eastAsia="Arial" w:cs="Arial"/>
          <w:color w:val="C9211E"/>
          <w:sz w:val="20"/>
        </w:rPr>
      </w:pPr>
      <w:r>
        <w:rPr>
          <w:rFonts w:eastAsia="Arial" w:cs="Arial" w:ascii="Arial" w:hAnsi="Arial"/>
          <w:color w:val="C9211E"/>
          <w:sz w:val="20"/>
        </w:rPr>
      </w:r>
    </w:p>
    <w:p>
      <w:pPr>
        <w:pStyle w:val="Normal"/>
        <w:tabs>
          <w:tab w:val="clear" w:pos="708"/>
          <w:tab w:val="left" w:pos="426" w:leader="none"/>
        </w:tabs>
        <w:ind w:hanging="426" w:left="450"/>
        <w:jc w:val="both"/>
        <w:rPr/>
      </w:pPr>
      <w:r>
        <w:rPr>
          <w:rFonts w:cs="Arial" w:ascii="Arial" w:hAnsi="Arial"/>
          <w:sz w:val="20"/>
        </w:rPr>
        <w:t>d) Finančné usporiadanie voči rozpočtom iných obciam.</w:t>
      </w:r>
    </w:p>
    <w:p>
      <w:pPr>
        <w:pStyle w:val="Normal"/>
        <w:tabs>
          <w:tab w:val="clear" w:pos="708"/>
          <w:tab w:val="left" w:pos="426" w:leader="none"/>
        </w:tabs>
        <w:ind w:hanging="426" w:left="450"/>
        <w:jc w:val="both"/>
        <w:rPr/>
      </w:pPr>
      <w:r>
        <w:rPr>
          <w:rFonts w:eastAsia="Arial" w:cs="Arial" w:ascii="Arial" w:hAnsi="Arial"/>
          <w:sz w:val="20"/>
        </w:rPr>
        <w:t xml:space="preserve"> </w:t>
      </w:r>
    </w:p>
    <w:tbl>
      <w:tblPr>
        <w:tblW w:w="9974" w:type="dxa"/>
        <w:jc w:val="center"/>
        <w:tblInd w:w="0" w:type="dxa"/>
        <w:tblLayout w:type="fixed"/>
        <w:tblCellMar>
          <w:top w:w="0" w:type="dxa"/>
          <w:left w:w="98" w:type="dxa"/>
          <w:bottom w:w="0" w:type="dxa"/>
          <w:right w:w="108" w:type="dxa"/>
        </w:tblCellMar>
        <w:tblLook w:firstRow="0" w:noVBand="0" w:lastRow="0" w:firstColumn="0" w:lastColumn="0" w:noHBand="0" w:val="0000"/>
      </w:tblPr>
      <w:tblGrid>
        <w:gridCol w:w="4524"/>
        <w:gridCol w:w="2123"/>
        <w:gridCol w:w="1576"/>
        <w:gridCol w:w="1750"/>
      </w:tblGrid>
      <w:tr>
        <w:trPr/>
        <w:tc>
          <w:tcPr>
            <w:tcW w:w="4524" w:type="dxa"/>
            <w:tcBorders>
              <w:top w:val="single" w:sz="4" w:space="0" w:color="000000"/>
              <w:left w:val="single" w:sz="4" w:space="0" w:color="000000"/>
              <w:bottom w:val="single" w:sz="4" w:space="0" w:color="00000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rPr>
                <w:rFonts w:ascii="Arial" w:hAnsi="Arial" w:cs="Arial"/>
                <w:b/>
                <w:sz w:val="20"/>
              </w:rPr>
            </w:pPr>
            <w:r>
              <w:rPr>
                <w:rFonts w:cs="Arial" w:ascii="Arial" w:hAnsi="Arial"/>
                <w:b/>
                <w:sz w:val="20"/>
              </w:rPr>
            </w:r>
          </w:p>
          <w:p>
            <w:pPr>
              <w:pStyle w:val="Normal"/>
              <w:jc w:val="center"/>
              <w:rPr/>
            </w:pPr>
            <w:r>
              <w:rPr>
                <w:rFonts w:cs="Arial" w:ascii="Arial" w:hAnsi="Arial"/>
                <w:b/>
                <w:sz w:val="20"/>
              </w:rPr>
              <w:t>Obec</w:t>
            </w:r>
          </w:p>
          <w:p>
            <w:pPr>
              <w:pStyle w:val="Normal"/>
              <w:jc w:val="center"/>
              <w:rPr/>
            </w:pPr>
            <w:r>
              <w:rPr>
                <w:rFonts w:cs="Arial" w:ascii="Arial" w:hAnsi="Arial"/>
                <w:b/>
                <w:sz w:val="20"/>
              </w:rPr>
              <w:t>- 1 -</w:t>
            </w:r>
          </w:p>
        </w:tc>
        <w:tc>
          <w:tcPr>
            <w:tcW w:w="2123" w:type="dxa"/>
            <w:tcBorders>
              <w:top w:val="single" w:sz="4" w:space="0" w:color="000000"/>
              <w:left w:val="single" w:sz="4" w:space="0" w:color="000000"/>
              <w:bottom w:val="single" w:sz="4" w:space="0" w:color="000000"/>
            </w:tcBorders>
            <w:shd w:color="auto" w:fill="D9D9D9" w:val="clear"/>
          </w:tcPr>
          <w:p>
            <w:pPr>
              <w:pStyle w:val="Normal"/>
              <w:jc w:val="center"/>
              <w:rPr/>
            </w:pPr>
            <w:r>
              <w:rPr>
                <w:rFonts w:cs="Arial" w:ascii="Arial" w:hAnsi="Arial"/>
                <w:b/>
                <w:sz w:val="20"/>
              </w:rPr>
              <w:t>Suma  poskytnutých</w:t>
            </w:r>
          </w:p>
          <w:p>
            <w:pPr>
              <w:pStyle w:val="Normal"/>
              <w:jc w:val="center"/>
              <w:rPr/>
            </w:pPr>
            <w:r>
              <w:rPr>
                <w:rFonts w:cs="Arial" w:ascii="Arial" w:hAnsi="Arial"/>
                <w:b/>
                <w:sz w:val="20"/>
              </w:rPr>
              <w:t>finančných prostriedkov</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576" w:type="dxa"/>
            <w:tcBorders>
              <w:top w:val="single" w:sz="4" w:space="0" w:color="000000"/>
              <w:left w:val="single" w:sz="4" w:space="0" w:color="000000"/>
              <w:bottom w:val="single" w:sz="4" w:space="0" w:color="00000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- 3-</w:t>
            </w:r>
          </w:p>
        </w:tc>
        <w:tc>
          <w:tcPr>
            <w:tcW w:w="1750" w:type="dxa"/>
            <w:tcBorders>
              <w:top w:val="single" w:sz="4" w:space="0" w:color="000000"/>
              <w:left w:val="single" w:sz="4" w:space="0" w:color="000000"/>
              <w:bottom w:val="single" w:sz="4" w:space="0" w:color="000000"/>
              <w:right w:val="single" w:sz="4" w:space="0" w:color="000000"/>
            </w:tcBorders>
            <w:shd w:color="auto" w:fill="D9D9D9" w:val="clear"/>
          </w:tcPr>
          <w:p>
            <w:pPr>
              <w:pStyle w:val="Normal"/>
              <w:jc w:val="center"/>
              <w:rPr/>
            </w:pPr>
            <w:r>
              <w:rPr>
                <w:rFonts w:cs="Arial" w:ascii="Arial" w:hAnsi="Arial"/>
                <w:b/>
                <w:sz w:val="20"/>
              </w:rPr>
              <w:t>Rozdiel</w:t>
            </w:r>
          </w:p>
          <w:p>
            <w:pPr>
              <w:pStyle w:val="Normal"/>
              <w:jc w:val="center"/>
              <w:rPr/>
            </w:pPr>
            <w:r>
              <w:rPr>
                <w:rFonts w:cs="Arial" w:ascii="Arial" w:hAnsi="Arial"/>
                <w:b/>
                <w:sz w:val="20"/>
              </w:rPr>
              <w:t>(stĺ.3 - stĺ.4 )</w:t>
            </w:r>
          </w:p>
          <w:p>
            <w:pPr>
              <w:pStyle w:val="Normal"/>
              <w:jc w:val="center"/>
              <w:rPr>
                <w:rFonts w:ascii="Arial" w:hAnsi="Arial" w:cs="Arial"/>
                <w:b/>
                <w:sz w:val="20"/>
              </w:rPr>
            </w:pPr>
            <w:r>
              <w:rPr>
                <w:rFonts w:cs="Arial" w:ascii="Arial" w:hAnsi="Arial"/>
                <w:b/>
                <w:sz w:val="20"/>
              </w:rPr>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- 4 -</w:t>
            </w:r>
          </w:p>
        </w:tc>
      </w:tr>
      <w:tr>
        <w:trPr/>
        <w:tc>
          <w:tcPr>
            <w:tcW w:w="4524" w:type="dxa"/>
            <w:tcBorders>
              <w:top w:val="single" w:sz="4" w:space="0" w:color="000000"/>
              <w:left w:val="single" w:sz="4" w:space="0" w:color="000000"/>
              <w:bottom w:val="single" w:sz="4" w:space="0" w:color="000000"/>
            </w:tcBorders>
            <w:shd w:fill="auto" w:val="clear"/>
          </w:tcPr>
          <w:p>
            <w:pPr>
              <w:pStyle w:val="Normal"/>
              <w:snapToGrid w:val="false"/>
              <w:spacing w:lineRule="auto" w:line="360"/>
              <w:rPr/>
            </w:pPr>
            <w:r>
              <w:rPr>
                <w:rFonts w:cs="Arial" w:ascii="Arial" w:hAnsi="Arial"/>
                <w:sz w:val="20"/>
              </w:rPr>
              <w:t>Mesto Liptovský Mikuláš BT na CVČ</w:t>
            </w:r>
          </w:p>
        </w:tc>
        <w:tc>
          <w:tcPr>
            <w:tcW w:w="2123"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rFonts w:cs="Arial" w:ascii="Arial" w:hAnsi="Arial"/>
                <w:sz w:val="20"/>
              </w:rPr>
              <w:t>500</w:t>
            </w:r>
          </w:p>
        </w:tc>
        <w:tc>
          <w:tcPr>
            <w:tcW w:w="1576" w:type="dxa"/>
            <w:tcBorders>
              <w:top w:val="single" w:sz="4" w:space="0" w:color="000000"/>
              <w:left w:val="single" w:sz="4" w:space="0" w:color="000000"/>
              <w:bottom w:val="single" w:sz="4" w:space="0" w:color="000000"/>
            </w:tcBorders>
            <w:shd w:fill="auto" w:val="clear"/>
          </w:tcPr>
          <w:p>
            <w:pPr>
              <w:pStyle w:val="Normal"/>
              <w:spacing w:lineRule="auto" w:line="360"/>
              <w:jc w:val="right"/>
              <w:rPr/>
            </w:pPr>
            <w:r>
              <w:rPr>
                <w:rFonts w:cs="Arial" w:ascii="Arial" w:hAnsi="Arial"/>
                <w:sz w:val="20"/>
              </w:rPr>
              <w:t>500,00</w:t>
            </w:r>
          </w:p>
        </w:tc>
        <w:tc>
          <w:tcPr>
            <w:tcW w:w="1750" w:type="dxa"/>
            <w:tcBorders>
              <w:top w:val="single" w:sz="4" w:space="0" w:color="000000"/>
              <w:left w:val="single" w:sz="4" w:space="0" w:color="000000"/>
              <w:bottom w:val="single" w:sz="4" w:space="0" w:color="000000"/>
              <w:right w:val="single" w:sz="4" w:space="0" w:color="000000"/>
            </w:tcBorders>
            <w:shd w:fill="auto" w:val="clear"/>
          </w:tcPr>
          <w:p>
            <w:pPr>
              <w:pStyle w:val="Normal"/>
              <w:spacing w:lineRule="auto" w:line="360"/>
              <w:jc w:val="right"/>
              <w:rPr/>
            </w:pPr>
            <w:r>
              <w:rPr>
                <w:rFonts w:cs="Arial" w:ascii="Arial" w:hAnsi="Arial"/>
                <w:sz w:val="20"/>
              </w:rPr>
              <w:t>0,00</w:t>
            </w:r>
          </w:p>
        </w:tc>
      </w:tr>
    </w:tbl>
    <w:p>
      <w:pPr>
        <w:pStyle w:val="Normal"/>
        <w:jc w:val="both"/>
        <w:rPr/>
      </w:pPr>
      <w:r>
        <w:rPr/>
      </w:r>
    </w:p>
    <w:p>
      <w:pPr>
        <w:pStyle w:val="Normal"/>
        <w:tabs>
          <w:tab w:val="clear" w:pos="708"/>
          <w:tab w:val="left" w:pos="426" w:leader="none"/>
          <w:tab w:val="left" w:pos="465" w:leader="none"/>
        </w:tabs>
        <w:ind w:hanging="426" w:left="426"/>
        <w:jc w:val="both"/>
        <w:rPr/>
      </w:pPr>
      <w:r>
        <w:rPr>
          <w:rFonts w:eastAsia="Arial" w:cs="Arial" w:ascii="Arial" w:hAnsi="Arial"/>
          <w:sz w:val="20"/>
        </w:rPr>
        <w:t xml:space="preserve">  </w:t>
      </w:r>
      <w:r>
        <w:rPr>
          <w:rFonts w:cs="Arial" w:ascii="Arial" w:hAnsi="Arial"/>
          <w:sz w:val="20"/>
        </w:rPr>
        <w:t>e) Finančné usporiadanie voči rozpočtom VÚC</w:t>
      </w:r>
    </w:p>
    <w:p>
      <w:pPr>
        <w:pStyle w:val="Normal"/>
        <w:jc w:val="both"/>
        <w:rPr>
          <w:rFonts w:ascii="Arial" w:hAnsi="Arial" w:cs="Arial"/>
          <w:color w:val="C9211E"/>
          <w:sz w:val="20"/>
          <w:u w:val="single"/>
        </w:rPr>
      </w:pPr>
      <w:r>
        <w:rPr>
          <w:rFonts w:cs="Arial" w:ascii="Arial" w:hAnsi="Arial"/>
          <w:color w:val="C9211E"/>
          <w:sz w:val="20"/>
          <w:u w:val="single"/>
        </w:rPr>
      </w:r>
    </w:p>
    <w:p>
      <w:pPr>
        <w:pStyle w:val="Normal"/>
        <w:tabs>
          <w:tab w:val="clear" w:pos="708"/>
          <w:tab w:val="left" w:pos="750" w:leader="none"/>
        </w:tabs>
        <w:jc w:val="both"/>
        <w:rPr/>
      </w:pPr>
      <w:r>
        <w:rPr>
          <w:rFonts w:eastAsia="Arial" w:cs="Arial" w:ascii="Arial" w:hAnsi="Arial"/>
          <w:color w:val="C9211E"/>
          <w:sz w:val="20"/>
        </w:rPr>
        <w:t xml:space="preserve"> </w:t>
      </w:r>
      <w:r>
        <w:rPr>
          <w:rFonts w:eastAsia="Arial" w:cs="Arial" w:ascii="Arial" w:hAnsi="Arial"/>
          <w:sz w:val="20"/>
        </w:rPr>
        <w:t xml:space="preserve">     </w:t>
      </w:r>
      <w:r>
        <w:rPr>
          <w:rFonts w:cs="Arial" w:ascii="Arial" w:hAnsi="Arial"/>
          <w:sz w:val="20"/>
        </w:rPr>
        <w:t>Obec neuzatvorila v roku 2024 žiadnu zmluvu s VÚC</w:t>
      </w:r>
    </w:p>
    <w:p>
      <w:pPr>
        <w:pStyle w:val="Normal"/>
        <w:tabs>
          <w:tab w:val="clear" w:pos="708"/>
          <w:tab w:val="left" w:pos="750" w:leader="none"/>
        </w:tabs>
        <w:jc w:val="both"/>
        <w:rPr>
          <w:rFonts w:ascii="Arial" w:hAnsi="Arial" w:eastAsia="Arial" w:cs="Arial"/>
          <w:b/>
          <w:sz w:val="20"/>
        </w:rPr>
      </w:pPr>
      <w:r>
        <w:rPr>
          <w:rFonts w:eastAsia="Arial" w:cs="Arial" w:ascii="Arial" w:hAnsi="Arial"/>
          <w:b/>
          <w:sz w:val="20"/>
        </w:rPr>
      </w:r>
    </w:p>
    <w:p>
      <w:pPr>
        <w:pStyle w:val="Normal"/>
        <w:tabs>
          <w:tab w:val="clear" w:pos="708"/>
          <w:tab w:val="left" w:pos="750" w:leader="none"/>
        </w:tabs>
        <w:jc w:val="both"/>
        <w:rPr/>
      </w:pPr>
      <w:r>
        <w:rPr>
          <w:rFonts w:cs="Arial" w:ascii="Arial" w:hAnsi="Arial"/>
          <w:b/>
          <w:sz w:val="20"/>
        </w:rPr>
        <w:t>Prehľad o poskytnutých dotáciách  právnickým osobám</w:t>
      </w:r>
    </w:p>
    <w:p>
      <w:pPr>
        <w:pStyle w:val="Normal"/>
        <w:rPr>
          <w:rFonts w:ascii="Arial" w:hAnsi="Arial" w:cs="Arial"/>
          <w:sz w:val="20"/>
        </w:rPr>
      </w:pPr>
      <w:r>
        <w:rPr>
          <w:rFonts w:cs="Arial" w:ascii="Arial" w:hAnsi="Arial"/>
          <w:sz w:val="20"/>
        </w:rPr>
      </w:r>
    </w:p>
    <w:p>
      <w:pPr>
        <w:pStyle w:val="Normal"/>
        <w:jc w:val="both"/>
        <w:rPr/>
      </w:pPr>
      <w:r>
        <w:rPr>
          <w:rFonts w:cs="Arial" w:ascii="Arial" w:hAnsi="Arial"/>
          <w:sz w:val="20"/>
        </w:rPr>
        <w:t xml:space="preserve">Obec v roku 2024 poskytla dotácie v súlade so VZN č. 11/2006 o dotáciách, právnickým osobám,  </w:t>
      </w:r>
    </w:p>
    <w:p>
      <w:pPr>
        <w:pStyle w:val="Normal"/>
        <w:jc w:val="both"/>
        <w:rPr/>
      </w:pPr>
      <w:r>
        <w:rPr>
          <w:rFonts w:eastAsia="Arial" w:cs="Arial" w:ascii="Arial" w:hAnsi="Arial"/>
          <w:sz w:val="20"/>
        </w:rPr>
        <w:t xml:space="preserve"> </w:t>
      </w:r>
      <w:r>
        <w:rPr>
          <w:rFonts w:cs="Arial" w:ascii="Arial" w:hAnsi="Arial"/>
          <w:sz w:val="20"/>
        </w:rPr>
        <w:t xml:space="preserve">fyzickým osobám - podnikateľom na podporu všeobecne prospešných služieb, na všeobecne </w:t>
      </w:r>
    </w:p>
    <w:p>
      <w:pPr>
        <w:pStyle w:val="Normal"/>
        <w:jc w:val="both"/>
        <w:rPr/>
      </w:pPr>
      <w:r>
        <w:rPr>
          <w:rFonts w:eastAsia="Arial" w:cs="Arial" w:ascii="Arial" w:hAnsi="Arial"/>
          <w:sz w:val="20"/>
        </w:rPr>
        <w:t xml:space="preserve"> </w:t>
      </w:r>
      <w:r>
        <w:rPr>
          <w:rFonts w:cs="Arial" w:ascii="Arial" w:hAnsi="Arial"/>
          <w:sz w:val="20"/>
        </w:rPr>
        <w:t xml:space="preserve">prospešný alebo verejnoprospešný účel. </w:t>
      </w:r>
    </w:p>
    <w:p>
      <w:pPr>
        <w:pStyle w:val="Normal"/>
        <w:jc w:val="both"/>
        <w:rPr>
          <w:rFonts w:ascii="Arial" w:hAnsi="Arial" w:cs="Arial"/>
          <w:sz w:val="20"/>
        </w:rPr>
      </w:pPr>
      <w:r>
        <w:rPr>
          <w:rFonts w:cs="Arial" w:ascii="Arial" w:hAnsi="Arial"/>
          <w:sz w:val="20"/>
        </w:rPr>
      </w:r>
    </w:p>
    <w:tbl>
      <w:tblPr>
        <w:tblW w:w="9975" w:type="dxa"/>
        <w:jc w:val="left"/>
        <w:tblInd w:w="7" w:type="dxa"/>
        <w:tblLayout w:type="fixed"/>
        <w:tblCellMar>
          <w:top w:w="0" w:type="dxa"/>
          <w:left w:w="93" w:type="dxa"/>
          <w:bottom w:w="0" w:type="dxa"/>
          <w:right w:w="108" w:type="dxa"/>
        </w:tblCellMar>
        <w:tblLook w:firstRow="0" w:noVBand="0" w:lastRow="0" w:firstColumn="0" w:lastColumn="0" w:noHBand="0" w:val="0000"/>
      </w:tblPr>
      <w:tblGrid>
        <w:gridCol w:w="5054"/>
        <w:gridCol w:w="1995"/>
        <w:gridCol w:w="1696"/>
        <w:gridCol w:w="1229"/>
      </w:tblGrid>
      <w:tr>
        <w:trPr/>
        <w:tc>
          <w:tcPr>
            <w:tcW w:w="5054" w:type="dxa"/>
            <w:tcBorders>
              <w:top w:val="single" w:sz="4" w:space="0" w:color="000080"/>
              <w:left w:val="single" w:sz="4" w:space="0" w:color="000080"/>
              <w:bottom w:val="single" w:sz="4" w:space="0" w:color="000080"/>
            </w:tcBorders>
            <w:shd w:color="auto" w:fill="D9D9D9" w:val="clear"/>
          </w:tcPr>
          <w:p>
            <w:pPr>
              <w:pStyle w:val="Normal"/>
              <w:snapToGrid w:val="false"/>
              <w:jc w:val="center"/>
              <w:rPr>
                <w:rFonts w:ascii="Arial" w:hAnsi="Arial" w:cs="Arial"/>
                <w:sz w:val="20"/>
              </w:rPr>
            </w:pPr>
            <w:r>
              <w:rPr>
                <w:rFonts w:cs="Arial" w:ascii="Arial" w:hAnsi="Arial"/>
                <w:sz w:val="20"/>
              </w:rPr>
            </w:r>
          </w:p>
          <w:p>
            <w:pPr>
              <w:pStyle w:val="Normal"/>
              <w:jc w:val="center"/>
              <w:rPr/>
            </w:pPr>
            <w:r>
              <w:rPr>
                <w:rFonts w:cs="Arial" w:ascii="Arial" w:hAnsi="Arial"/>
                <w:b/>
                <w:sz w:val="20"/>
              </w:rPr>
              <w:t>Žiadateľ dotácie</w:t>
            </w:r>
          </w:p>
          <w:p>
            <w:pPr>
              <w:pStyle w:val="Normal"/>
              <w:jc w:val="center"/>
              <w:rPr>
                <w:rFonts w:ascii="Arial" w:hAnsi="Arial" w:cs="Arial"/>
                <w:sz w:val="20"/>
              </w:rPr>
            </w:pPr>
            <w:r>
              <w:rPr>
                <w:rFonts w:cs="Arial" w:ascii="Arial" w:hAnsi="Arial"/>
                <w:sz w:val="20"/>
              </w:rPr>
            </w:r>
          </w:p>
          <w:p>
            <w:pPr>
              <w:pStyle w:val="Normal"/>
              <w:jc w:val="center"/>
              <w:rPr/>
            </w:pPr>
            <w:r>
              <w:rPr>
                <w:rFonts w:cs="Arial" w:ascii="Arial" w:hAnsi="Arial"/>
                <w:b/>
                <w:sz w:val="20"/>
              </w:rPr>
              <w:t>- 1 -</w:t>
            </w:r>
          </w:p>
        </w:tc>
        <w:tc>
          <w:tcPr>
            <w:tcW w:w="1995"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poskytnutých finančných prostriedkov</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- 2 -</w:t>
            </w:r>
          </w:p>
        </w:tc>
        <w:tc>
          <w:tcPr>
            <w:tcW w:w="1696" w:type="dxa"/>
            <w:tcBorders>
              <w:top w:val="single" w:sz="4" w:space="0" w:color="000080"/>
              <w:left w:val="single" w:sz="4" w:space="0" w:color="000080"/>
              <w:bottom w:val="single" w:sz="4" w:space="0" w:color="000080"/>
            </w:tcBorders>
            <w:shd w:color="auto" w:fill="D9D9D9" w:val="clear"/>
          </w:tcPr>
          <w:p>
            <w:pPr>
              <w:pStyle w:val="Normal"/>
              <w:jc w:val="center"/>
              <w:rPr/>
            </w:pPr>
            <w:r>
              <w:rPr>
                <w:rFonts w:cs="Arial" w:ascii="Arial" w:hAnsi="Arial"/>
                <w:b/>
                <w:sz w:val="20"/>
              </w:rPr>
              <w:t>Suma skutočne použitých finančných prostriedkov</w:t>
            </w:r>
          </w:p>
          <w:p>
            <w:pPr>
              <w:pStyle w:val="Normal"/>
              <w:jc w:val="center"/>
              <w:rPr/>
            </w:pPr>
            <w:r>
              <w:rPr>
                <w:rFonts w:cs="Arial" w:ascii="Arial" w:hAnsi="Arial"/>
                <w:b/>
                <w:sz w:val="20"/>
              </w:rPr>
              <w:t>- 3 -</w:t>
            </w:r>
          </w:p>
        </w:tc>
        <w:tc>
          <w:tcPr>
            <w:tcW w:w="1229" w:type="dxa"/>
            <w:tcBorders>
              <w:top w:val="single" w:sz="4" w:space="0" w:color="000080"/>
              <w:left w:val="single" w:sz="4" w:space="0" w:color="000080"/>
              <w:bottom w:val="single" w:sz="4" w:space="0" w:color="000080"/>
              <w:right w:val="single" w:sz="4" w:space="0" w:color="000080"/>
            </w:tcBorders>
            <w:shd w:color="auto" w:fill="D9D9D9" w:val="clear"/>
          </w:tcPr>
          <w:p>
            <w:pPr>
              <w:pStyle w:val="Normal"/>
              <w:snapToGrid w:val="false"/>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Rozdiel</w:t>
            </w:r>
          </w:p>
          <w:p>
            <w:pPr>
              <w:pStyle w:val="Normal"/>
              <w:jc w:val="center"/>
              <w:rPr/>
            </w:pPr>
            <w:r>
              <w:rPr>
                <w:rFonts w:cs="Arial" w:ascii="Arial" w:hAnsi="Arial"/>
                <w:b/>
                <w:sz w:val="20"/>
              </w:rPr>
              <w:t>(stĺ.2 - stĺ.3 )</w:t>
            </w:r>
          </w:p>
          <w:p>
            <w:pPr>
              <w:pStyle w:val="Normal"/>
              <w:jc w:val="center"/>
              <w:rPr>
                <w:rFonts w:ascii="Arial" w:hAnsi="Arial" w:cs="Arial"/>
                <w:b/>
                <w:sz w:val="20"/>
              </w:rPr>
            </w:pPr>
            <w:r>
              <w:rPr>
                <w:rFonts w:cs="Arial" w:ascii="Arial" w:hAnsi="Arial"/>
                <w:b/>
                <w:sz w:val="20"/>
              </w:rPr>
            </w:r>
          </w:p>
          <w:p>
            <w:pPr>
              <w:pStyle w:val="Normal"/>
              <w:jc w:val="center"/>
              <w:rPr/>
            </w:pPr>
            <w:r>
              <w:rPr>
                <w:rFonts w:cs="Arial" w:ascii="Arial" w:hAnsi="Arial"/>
                <w:b/>
                <w:sz w:val="20"/>
              </w:rPr>
              <w:t>- 4 -</w:t>
            </w:r>
          </w:p>
        </w:tc>
      </w:tr>
      <w:tr>
        <w:trPr/>
        <w:tc>
          <w:tcPr>
            <w:tcW w:w="5054" w:type="dxa"/>
            <w:tcBorders>
              <w:top w:val="single" w:sz="4" w:space="0" w:color="000080"/>
              <w:left w:val="single" w:sz="4" w:space="0" w:color="000080"/>
              <w:bottom w:val="single" w:sz="4" w:space="0" w:color="000080"/>
            </w:tcBorders>
            <w:shd w:color="auto" w:fill="FFFFFF" w:val="clear"/>
          </w:tcPr>
          <w:p>
            <w:pPr>
              <w:pStyle w:val="Normal"/>
              <w:rPr/>
            </w:pPr>
            <w:r>
              <w:rPr>
                <w:rFonts w:cs="Arial" w:ascii="Arial" w:hAnsi="Arial"/>
                <w:sz w:val="20"/>
                <w:szCs w:val="20"/>
              </w:rPr>
              <w:t>ECAV</w:t>
            </w:r>
          </w:p>
        </w:tc>
        <w:tc>
          <w:tcPr>
            <w:tcW w:w="1995"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szCs w:val="20"/>
              </w:rPr>
              <w:t>3 000,00 €</w:t>
            </w:r>
          </w:p>
        </w:tc>
        <w:tc>
          <w:tcPr>
            <w:tcW w:w="1696" w:type="dxa"/>
            <w:tcBorders>
              <w:top w:val="single" w:sz="4" w:space="0" w:color="000080"/>
              <w:left w:val="single" w:sz="4" w:space="0" w:color="000080"/>
              <w:bottom w:val="single" w:sz="4" w:space="0" w:color="000080"/>
            </w:tcBorders>
            <w:shd w:color="auto" w:fill="FFFFFF" w:val="clear"/>
          </w:tcPr>
          <w:p>
            <w:pPr>
              <w:pStyle w:val="Normal"/>
              <w:jc w:val="right"/>
              <w:rPr/>
            </w:pPr>
            <w:r>
              <w:rPr>
                <w:rFonts w:cs="Arial" w:ascii="Arial" w:hAnsi="Arial"/>
                <w:sz w:val="20"/>
                <w:szCs w:val="20"/>
              </w:rPr>
              <w:t>3 000,00 €</w:t>
            </w:r>
          </w:p>
        </w:tc>
        <w:tc>
          <w:tcPr>
            <w:tcW w:w="1229"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cs="Arial" w:ascii="Arial" w:hAnsi="Arial"/>
                <w:sz w:val="20"/>
                <w:szCs w:val="20"/>
              </w:rPr>
              <w:t>0,00 €</w:t>
            </w:r>
          </w:p>
        </w:tc>
      </w:tr>
      <w:tr>
        <w:trPr>
          <w:trHeight w:val="211" w:hRule="atLeast"/>
        </w:trPr>
        <w:tc>
          <w:tcPr>
            <w:tcW w:w="5054" w:type="dxa"/>
            <w:tcBorders>
              <w:top w:val="single" w:sz="4" w:space="0" w:color="000080"/>
              <w:left w:val="single" w:sz="4" w:space="0" w:color="000080"/>
              <w:bottom w:val="single" w:sz="4" w:space="0" w:color="000080"/>
            </w:tcBorders>
            <w:shd w:color="auto" w:fill="FFFFFF" w:val="clear"/>
          </w:tcPr>
          <w:p>
            <w:pPr>
              <w:pStyle w:val="Normal"/>
              <w:rPr/>
            </w:pPr>
            <w:r>
              <w:rPr>
                <w:rFonts w:ascii="Arial" w:hAnsi="Arial"/>
                <w:sz w:val="20"/>
                <w:szCs w:val="20"/>
              </w:rPr>
              <w:t>SČK</w:t>
            </w:r>
          </w:p>
        </w:tc>
        <w:tc>
          <w:tcPr>
            <w:tcW w:w="1995"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830,00 €</w:t>
            </w:r>
          </w:p>
        </w:tc>
        <w:tc>
          <w:tcPr>
            <w:tcW w:w="1696"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830,00 €</w:t>
            </w:r>
          </w:p>
        </w:tc>
        <w:tc>
          <w:tcPr>
            <w:tcW w:w="1229"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ascii="Arial" w:hAnsi="Arial"/>
                <w:sz w:val="20"/>
                <w:szCs w:val="20"/>
              </w:rPr>
              <w:t>0,00 €</w:t>
            </w:r>
          </w:p>
        </w:tc>
      </w:tr>
      <w:tr>
        <w:trPr>
          <w:trHeight w:val="211" w:hRule="atLeast"/>
        </w:trPr>
        <w:tc>
          <w:tcPr>
            <w:tcW w:w="5054" w:type="dxa"/>
            <w:tcBorders>
              <w:top w:val="single" w:sz="4" w:space="0" w:color="000080"/>
              <w:left w:val="single" w:sz="4" w:space="0" w:color="000080"/>
              <w:bottom w:val="single" w:sz="4" w:space="0" w:color="000080"/>
            </w:tcBorders>
            <w:shd w:color="auto" w:fill="FFFFFF" w:val="clear"/>
          </w:tcPr>
          <w:p>
            <w:pPr>
              <w:pStyle w:val="Normal"/>
              <w:rPr/>
            </w:pPr>
            <w:r>
              <w:rPr>
                <w:rFonts w:ascii="Arial" w:hAnsi="Arial"/>
                <w:sz w:val="20"/>
                <w:szCs w:val="20"/>
              </w:rPr>
              <w:t>Folklórny súbor</w:t>
            </w:r>
          </w:p>
        </w:tc>
        <w:tc>
          <w:tcPr>
            <w:tcW w:w="1995"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300,00 €</w:t>
            </w:r>
          </w:p>
        </w:tc>
        <w:tc>
          <w:tcPr>
            <w:tcW w:w="1696"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300,00 €</w:t>
            </w:r>
          </w:p>
        </w:tc>
        <w:tc>
          <w:tcPr>
            <w:tcW w:w="1229"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ascii="Arial" w:hAnsi="Arial"/>
                <w:sz w:val="20"/>
                <w:szCs w:val="20"/>
              </w:rPr>
              <w:t>0,00 €</w:t>
            </w:r>
          </w:p>
        </w:tc>
      </w:tr>
      <w:tr>
        <w:trPr>
          <w:trHeight w:val="211" w:hRule="atLeast"/>
        </w:trPr>
        <w:tc>
          <w:tcPr>
            <w:tcW w:w="5054" w:type="dxa"/>
            <w:tcBorders>
              <w:top w:val="single" w:sz="4" w:space="0" w:color="000080"/>
              <w:left w:val="single" w:sz="4" w:space="0" w:color="000080"/>
              <w:bottom w:val="single" w:sz="4" w:space="0" w:color="000080"/>
            </w:tcBorders>
            <w:shd w:color="auto" w:fill="FFFFFF" w:val="clear"/>
          </w:tcPr>
          <w:p>
            <w:pPr>
              <w:pStyle w:val="Normal"/>
              <w:rPr/>
            </w:pPr>
            <w:r>
              <w:rPr>
                <w:rFonts w:ascii="Arial" w:hAnsi="Arial"/>
                <w:sz w:val="20"/>
                <w:szCs w:val="20"/>
              </w:rPr>
              <w:t>Spišská katolická charita</w:t>
            </w:r>
          </w:p>
        </w:tc>
        <w:tc>
          <w:tcPr>
            <w:tcW w:w="1995"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1 200,00 €</w:t>
            </w:r>
          </w:p>
        </w:tc>
        <w:tc>
          <w:tcPr>
            <w:tcW w:w="1696" w:type="dxa"/>
            <w:tcBorders>
              <w:top w:val="single" w:sz="4" w:space="0" w:color="000080"/>
              <w:left w:val="single" w:sz="4" w:space="0" w:color="000080"/>
              <w:bottom w:val="single" w:sz="4" w:space="0" w:color="000080"/>
            </w:tcBorders>
            <w:shd w:color="auto" w:fill="FFFFFF" w:val="clear"/>
          </w:tcPr>
          <w:p>
            <w:pPr>
              <w:pStyle w:val="Normal"/>
              <w:jc w:val="right"/>
              <w:rPr/>
            </w:pPr>
            <w:r>
              <w:rPr>
                <w:rFonts w:ascii="Arial" w:hAnsi="Arial"/>
                <w:sz w:val="20"/>
                <w:szCs w:val="20"/>
              </w:rPr>
              <w:t>1 200,00 €</w:t>
            </w:r>
          </w:p>
        </w:tc>
        <w:tc>
          <w:tcPr>
            <w:tcW w:w="1229" w:type="dxa"/>
            <w:tcBorders>
              <w:top w:val="single" w:sz="4" w:space="0" w:color="000080"/>
              <w:left w:val="single" w:sz="4" w:space="0" w:color="000080"/>
              <w:bottom w:val="single" w:sz="4" w:space="0" w:color="000080"/>
              <w:right w:val="single" w:sz="4" w:space="0" w:color="000080"/>
            </w:tcBorders>
            <w:shd w:color="auto" w:fill="FFFFFF" w:val="clear"/>
          </w:tcPr>
          <w:p>
            <w:pPr>
              <w:pStyle w:val="Normal"/>
              <w:jc w:val="right"/>
              <w:rPr/>
            </w:pPr>
            <w:r>
              <w:rPr>
                <w:rFonts w:ascii="Arial" w:hAnsi="Arial"/>
                <w:sz w:val="20"/>
                <w:szCs w:val="20"/>
              </w:rPr>
              <w:t>0,00 €</w:t>
            </w:r>
          </w:p>
        </w:tc>
      </w:tr>
    </w:tbl>
    <w:p>
      <w:pPr>
        <w:pStyle w:val="Normal"/>
        <w:jc w:val="both"/>
        <w:rPr>
          <w:rFonts w:ascii="Arial" w:hAnsi="Arial" w:cs="Arial"/>
          <w:sz w:val="20"/>
          <w:szCs w:val="20"/>
        </w:rPr>
      </w:pPr>
      <w:r>
        <w:rPr>
          <w:rFonts w:cs="Arial" w:ascii="Arial" w:hAnsi="Arial"/>
          <w:sz w:val="20"/>
          <w:szCs w:val="20"/>
        </w:rPr>
      </w:r>
    </w:p>
    <w:p>
      <w:pPr>
        <w:pStyle w:val="Normal"/>
        <w:jc w:val="both"/>
        <w:rPr/>
      </w:pPr>
      <w:r>
        <w:rPr>
          <w:rFonts w:cs="Arial" w:ascii="Arial" w:hAnsi="Arial"/>
          <w:sz w:val="20"/>
          <w:szCs w:val="20"/>
        </w:rPr>
        <w:t>K 31.12.2024 boli vyúčtované všetky dotácie, ktoré boli poskytnuté v súlade so VZN č. 11/2006 o dotáciách.</w:t>
      </w:r>
    </w:p>
    <w:p>
      <w:pPr>
        <w:pStyle w:val="Normal"/>
        <w:jc w:val="both"/>
        <w:rPr>
          <w:rFonts w:ascii="Arial" w:hAnsi="Arial" w:cs="Arial"/>
          <w:bCs/>
          <w:smallCaps/>
          <w:color w:val="C9211E"/>
          <w:sz w:val="20"/>
          <w:highlight w:val="lightGray"/>
        </w:rPr>
      </w:pPr>
      <w:r>
        <w:rPr>
          <w:rFonts w:cs="Arial" w:ascii="Arial" w:hAnsi="Arial"/>
          <w:bCs/>
          <w:smallCaps/>
          <w:color w:val="C9211E"/>
          <w:sz w:val="20"/>
          <w:highlight w:val="lightGray"/>
        </w:rPr>
      </w:r>
    </w:p>
    <w:p>
      <w:pPr>
        <w:pStyle w:val="Normal"/>
        <w:tabs>
          <w:tab w:val="clear" w:pos="708"/>
          <w:tab w:val="left" w:pos="7380" w:leader="none"/>
          <w:tab w:val="left" w:pos="9720" w:leader="none"/>
          <w:tab w:val="left" w:pos="11880" w:leader="none"/>
        </w:tabs>
        <w:jc w:val="both"/>
        <w:rPr/>
      </w:pPr>
      <w:r>
        <w:rPr>
          <w:b/>
          <w:bCs/>
        </w:rPr>
        <w:t>Prehľad dlhodobého majetku</w:t>
      </w:r>
    </w:p>
    <w:p>
      <w:pPr>
        <w:pStyle w:val="Normal"/>
        <w:tabs>
          <w:tab w:val="clear" w:pos="708"/>
          <w:tab w:val="left" w:pos="7380" w:leader="none"/>
          <w:tab w:val="left" w:pos="9720" w:leader="none"/>
          <w:tab w:val="left" w:pos="11880" w:leader="none"/>
        </w:tabs>
        <w:jc w:val="both"/>
        <w:rPr/>
      </w:pPr>
      <w:r>
        <w:rPr/>
      </w:r>
    </w:p>
    <w:tbl>
      <w:tblPr>
        <w:tblW w:w="9737" w:type="dxa"/>
        <w:jc w:val="left"/>
        <w:tblInd w:w="122" w:type="dxa"/>
        <w:tblLayout w:type="fixed"/>
        <w:tblCellMar>
          <w:top w:w="0" w:type="dxa"/>
          <w:left w:w="98" w:type="dxa"/>
          <w:bottom w:w="0" w:type="dxa"/>
          <w:right w:w="108" w:type="dxa"/>
        </w:tblCellMar>
        <w:tblLook w:firstRow="0" w:noVBand="0" w:lastRow="0" w:firstColumn="0" w:lastColumn="0" w:noHBand="0" w:val="0000"/>
      </w:tblPr>
      <w:tblGrid>
        <w:gridCol w:w="2363"/>
        <w:gridCol w:w="744"/>
        <w:gridCol w:w="3265"/>
        <w:gridCol w:w="3364"/>
      </w:tblGrid>
      <w:tr>
        <w:trPr>
          <w:trHeight w:val="565" w:hRule="atLeast"/>
        </w:trPr>
        <w:tc>
          <w:tcPr>
            <w:tcW w:w="2363" w:type="dxa"/>
            <w:tcBorders>
              <w:top w:val="single" w:sz="4" w:space="0" w:color="000000"/>
              <w:left w:val="single" w:sz="4" w:space="0" w:color="000000"/>
              <w:bottom w:val="single" w:sz="4" w:space="0" w:color="000000"/>
            </w:tcBorders>
            <w:shd w:color="auto" w:fill="8DB3E2" w:val="clear"/>
          </w:tcPr>
          <w:p>
            <w:pPr>
              <w:pStyle w:val="Normal"/>
              <w:jc w:val="center"/>
              <w:rPr>
                <w:sz w:val="20"/>
                <w:szCs w:val="20"/>
              </w:rPr>
            </w:pPr>
            <w:r>
              <w:rPr>
                <w:b/>
                <w:sz w:val="20"/>
                <w:szCs w:val="20"/>
              </w:rPr>
              <w:t>Názov</w:t>
            </w:r>
          </w:p>
        </w:tc>
        <w:tc>
          <w:tcPr>
            <w:tcW w:w="744" w:type="dxa"/>
            <w:tcBorders>
              <w:top w:val="single" w:sz="4" w:space="0" w:color="000000"/>
              <w:left w:val="single" w:sz="4" w:space="0" w:color="000000"/>
              <w:bottom w:val="single" w:sz="4" w:space="0" w:color="000000"/>
            </w:tcBorders>
            <w:shd w:color="auto" w:fill="8DB3E2" w:val="clear"/>
          </w:tcPr>
          <w:p>
            <w:pPr>
              <w:pStyle w:val="Normal"/>
              <w:jc w:val="center"/>
              <w:rPr>
                <w:sz w:val="20"/>
                <w:szCs w:val="20"/>
              </w:rPr>
            </w:pPr>
            <w:r>
              <w:rPr>
                <w:b/>
                <w:sz w:val="20"/>
                <w:szCs w:val="20"/>
              </w:rPr>
              <w:t>Účet</w:t>
            </w:r>
          </w:p>
        </w:tc>
        <w:tc>
          <w:tcPr>
            <w:tcW w:w="3265" w:type="dxa"/>
            <w:tcBorders>
              <w:top w:val="single" w:sz="4" w:space="0" w:color="000000"/>
              <w:left w:val="single" w:sz="4" w:space="0" w:color="000000"/>
              <w:bottom w:val="single" w:sz="4" w:space="0" w:color="000000"/>
            </w:tcBorders>
            <w:shd w:color="auto" w:fill="8DB3E2" w:val="clear"/>
          </w:tcPr>
          <w:p>
            <w:pPr>
              <w:pStyle w:val="Normal"/>
              <w:jc w:val="center"/>
              <w:rPr>
                <w:sz w:val="20"/>
                <w:szCs w:val="20"/>
              </w:rPr>
            </w:pPr>
            <w:r>
              <w:rPr>
                <w:b/>
                <w:sz w:val="20"/>
                <w:szCs w:val="20"/>
              </w:rPr>
              <w:t>OC</w:t>
            </w:r>
          </w:p>
          <w:p>
            <w:pPr>
              <w:pStyle w:val="Normal"/>
              <w:jc w:val="center"/>
              <w:rPr>
                <w:sz w:val="20"/>
                <w:szCs w:val="20"/>
              </w:rPr>
            </w:pPr>
            <w:r>
              <w:rPr>
                <w:b/>
                <w:sz w:val="20"/>
                <w:szCs w:val="20"/>
              </w:rPr>
              <w:t>k 31.12.2024</w:t>
            </w:r>
          </w:p>
        </w:tc>
        <w:tc>
          <w:tcPr>
            <w:tcW w:w="3364"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sz w:val="20"/>
                <w:szCs w:val="20"/>
              </w:rPr>
            </w:pPr>
            <w:r>
              <w:rPr>
                <w:b/>
                <w:sz w:val="20"/>
                <w:szCs w:val="20"/>
              </w:rPr>
              <w:t>OC</w:t>
            </w:r>
          </w:p>
          <w:p>
            <w:pPr>
              <w:pStyle w:val="Normal"/>
              <w:jc w:val="center"/>
              <w:rPr>
                <w:sz w:val="20"/>
                <w:szCs w:val="20"/>
              </w:rPr>
            </w:pPr>
            <w:r>
              <w:rPr>
                <w:b/>
                <w:sz w:val="20"/>
                <w:szCs w:val="20"/>
              </w:rPr>
              <w:t>k 31.12.2024</w:t>
            </w:r>
          </w:p>
        </w:tc>
      </w:tr>
      <w:tr>
        <w:trPr>
          <w:trHeight w:val="314" w:hRule="atLeast"/>
        </w:trPr>
        <w:tc>
          <w:tcPr>
            <w:tcW w:w="2363"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b/>
              </w:rPr>
            </w:pPr>
            <w:r>
              <w:rPr>
                <w:b/>
                <w:sz w:val="20"/>
                <w:szCs w:val="20"/>
              </w:rPr>
              <w:t>Spolu DNM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0"/>
                <w:szCs w:val="20"/>
              </w:rPr>
            </w:pPr>
            <w:r>
              <w:rPr>
                <w:b/>
                <w:sz w:val="20"/>
                <w:szCs w:val="20"/>
              </w:rPr>
            </w:r>
          </w:p>
        </w:tc>
        <w:tc>
          <w:tcPr>
            <w:tcW w:w="326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right"/>
              <w:rPr>
                <w:b/>
              </w:rPr>
            </w:pPr>
            <w:r>
              <w:rPr>
                <w:b/>
                <w:sz w:val="20"/>
                <w:szCs w:val="20"/>
              </w:rPr>
              <w:t>3.686,14</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snapToGrid w:val="false"/>
              <w:jc w:val="right"/>
              <w:rPr>
                <w:b/>
              </w:rPr>
            </w:pPr>
            <w:r>
              <w:rPr>
                <w:b/>
                <w:sz w:val="20"/>
                <w:szCs w:val="20"/>
              </w:rPr>
              <w:t xml:space="preserve"> </w:t>
            </w:r>
            <w:r>
              <w:rPr>
                <w:b/>
                <w:sz w:val="20"/>
                <w:szCs w:val="20"/>
              </w:rPr>
              <w:t>3.744,23</w:t>
            </w:r>
          </w:p>
        </w:tc>
      </w:tr>
      <w:tr>
        <w:trPr>
          <w:trHeight w:val="314"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Ostatný DNM</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019</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1.131,36</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514,20</w:t>
            </w:r>
          </w:p>
        </w:tc>
      </w:tr>
      <w:tr>
        <w:trPr>
          <w:trHeight w:val="314"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Obstaranie DNM</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041</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2.554,78</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3.230,03</w:t>
            </w:r>
          </w:p>
        </w:tc>
      </w:tr>
      <w:tr>
        <w:trPr>
          <w:trHeight w:val="314" w:hRule="atLeast"/>
        </w:trPr>
        <w:tc>
          <w:tcPr>
            <w:tcW w:w="2363"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b/>
              </w:rPr>
            </w:pPr>
            <w:bookmarkStart w:id="5" w:name="OLE_LINK24"/>
            <w:bookmarkStart w:id="6" w:name="OLE_LINK25"/>
            <w:bookmarkStart w:id="7" w:name="_Hlk431753295"/>
            <w:bookmarkEnd w:id="5"/>
            <w:bookmarkEnd w:id="6"/>
            <w:bookmarkEnd w:id="7"/>
            <w:r>
              <w:rPr>
                <w:b/>
                <w:sz w:val="20"/>
                <w:szCs w:val="20"/>
              </w:rPr>
              <w:t>Spolu DHM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0"/>
                <w:szCs w:val="20"/>
              </w:rPr>
            </w:pPr>
            <w:r>
              <w:rPr>
                <w:b/>
                <w:sz w:val="20"/>
                <w:szCs w:val="20"/>
              </w:rPr>
            </w:r>
          </w:p>
        </w:tc>
        <w:tc>
          <w:tcPr>
            <w:tcW w:w="326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b/>
              </w:rPr>
            </w:pPr>
            <w:r>
              <w:rPr>
                <w:b/>
                <w:sz w:val="20"/>
                <w:szCs w:val="20"/>
              </w:rPr>
              <w:t>961.393,71</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b/>
              </w:rPr>
            </w:pPr>
            <w:r>
              <w:rPr>
                <w:b/>
                <w:sz w:val="20"/>
                <w:szCs w:val="20"/>
              </w:rPr>
              <w:t>1.009.933,70</w:t>
            </w:r>
          </w:p>
        </w:tc>
      </w:tr>
      <w:tr>
        <w:trPr>
          <w:trHeight w:val="314"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Obstaranie DHM</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042</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sz w:val="20"/>
                <w:szCs w:val="20"/>
              </w:rPr>
            </w:pPr>
            <w:r>
              <w:rPr>
                <w:sz w:val="20"/>
                <w:szCs w:val="20"/>
              </w:rPr>
              <w:t>14.987,25</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sz w:val="20"/>
                <w:szCs w:val="20"/>
              </w:rPr>
            </w:pPr>
            <w:r>
              <w:rPr>
                <w:sz w:val="20"/>
                <w:szCs w:val="20"/>
              </w:rPr>
              <w:t>42.907,12</w:t>
            </w:r>
          </w:p>
        </w:tc>
      </w:tr>
      <w:tr>
        <w:trPr>
          <w:trHeight w:val="276"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Pozemky</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031</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sz w:val="20"/>
                <w:szCs w:val="20"/>
              </w:rPr>
            </w:pPr>
            <w:r>
              <w:rPr>
                <w:sz w:val="20"/>
                <w:szCs w:val="20"/>
              </w:rPr>
              <w:t>189.469,88</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sz w:val="20"/>
                <w:szCs w:val="20"/>
              </w:rPr>
            </w:pPr>
            <w:r>
              <w:rPr>
                <w:sz w:val="20"/>
                <w:szCs w:val="20"/>
              </w:rPr>
              <w:t>190.862,94</w:t>
            </w:r>
          </w:p>
        </w:tc>
      </w:tr>
      <w:tr>
        <w:trPr>
          <w:trHeight w:val="266"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Umelec.diela a zbierky</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032</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r>
      <w:tr>
        <w:trPr>
          <w:trHeight w:val="207"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Stavby</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021</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sz w:val="20"/>
                <w:szCs w:val="20"/>
              </w:rPr>
            </w:pPr>
            <w:r>
              <w:rPr>
                <w:sz w:val="20"/>
                <w:szCs w:val="20"/>
              </w:rPr>
              <w:t>753.731,48</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sz w:val="20"/>
                <w:szCs w:val="20"/>
              </w:rPr>
            </w:pPr>
            <w:r>
              <w:rPr>
                <w:sz w:val="20"/>
                <w:szCs w:val="20"/>
              </w:rPr>
              <w:t>733.290,99</w:t>
            </w:r>
          </w:p>
        </w:tc>
      </w:tr>
      <w:tr>
        <w:trPr>
          <w:trHeight w:val="276"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Samost. hnutelné veci</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022</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sz w:val="20"/>
                <w:szCs w:val="20"/>
              </w:rPr>
            </w:pPr>
            <w:r>
              <w:rPr>
                <w:sz w:val="20"/>
                <w:szCs w:val="20"/>
              </w:rPr>
              <w:t>3.205,10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sz w:val="20"/>
                <w:szCs w:val="20"/>
              </w:rPr>
            </w:pPr>
            <w:r>
              <w:rPr>
                <w:sz w:val="20"/>
                <w:szCs w:val="20"/>
              </w:rPr>
              <w:t>12.683,65</w:t>
            </w:r>
          </w:p>
        </w:tc>
      </w:tr>
      <w:tr>
        <w:trPr>
          <w:trHeight w:val="280"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Dopravné prostriedky</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023</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30.189,00</w:t>
            </w:r>
          </w:p>
        </w:tc>
      </w:tr>
      <w:tr>
        <w:trPr>
          <w:trHeight w:val="280"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Ostatný DHM</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029</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r>
      <w:tr>
        <w:trPr>
          <w:trHeight w:val="280" w:hRule="atLeast"/>
        </w:trPr>
        <w:tc>
          <w:tcPr>
            <w:tcW w:w="2363"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b/>
              </w:rPr>
            </w:pPr>
            <w:r>
              <w:rPr>
                <w:b/>
                <w:sz w:val="20"/>
                <w:szCs w:val="20"/>
              </w:rPr>
              <w:t>Spolu DFM</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0"/>
                <w:szCs w:val="20"/>
              </w:rPr>
            </w:pPr>
            <w:r>
              <w:rPr>
                <w:b/>
                <w:sz w:val="20"/>
                <w:szCs w:val="20"/>
              </w:rPr>
            </w:r>
          </w:p>
        </w:tc>
        <w:tc>
          <w:tcPr>
            <w:tcW w:w="326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b/>
              </w:rPr>
            </w:pPr>
            <w:r>
              <w:rPr>
                <w:b/>
                <w:sz w:val="20"/>
                <w:szCs w:val="20"/>
              </w:rPr>
              <w:t>161.152,80</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b/>
              </w:rPr>
            </w:pPr>
            <w:r>
              <w:rPr>
                <w:b/>
                <w:sz w:val="20"/>
                <w:szCs w:val="20"/>
              </w:rPr>
              <w:t>161.152,80</w:t>
            </w:r>
          </w:p>
        </w:tc>
      </w:tr>
      <w:tr>
        <w:trPr>
          <w:trHeight w:val="280"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Podielové CP a pod.</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062</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r>
      <w:tr>
        <w:trPr>
          <w:trHeight w:val="280"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Realizované CP a pod.</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063</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right"/>
              <w:rPr>
                <w:sz w:val="20"/>
                <w:szCs w:val="20"/>
              </w:rPr>
            </w:pPr>
            <w:r>
              <w:rPr>
                <w:sz w:val="20"/>
                <w:szCs w:val="20"/>
              </w:rPr>
              <w:t>161.152,80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jc w:val="right"/>
              <w:rPr>
                <w:sz w:val="20"/>
                <w:szCs w:val="20"/>
              </w:rPr>
            </w:pPr>
            <w:r>
              <w:rPr>
                <w:sz w:val="20"/>
                <w:szCs w:val="20"/>
              </w:rPr>
              <w:t>161.152,80</w:t>
            </w:r>
          </w:p>
        </w:tc>
      </w:tr>
      <w:tr>
        <w:trPr>
          <w:trHeight w:val="280" w:hRule="atLeast"/>
        </w:trPr>
        <w:tc>
          <w:tcPr>
            <w:tcW w:w="2363"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Ostatný DFM</w:t>
            </w:r>
          </w:p>
        </w:tc>
        <w:tc>
          <w:tcPr>
            <w:tcW w:w="744"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jc w:val="both"/>
              <w:rPr>
                <w:sz w:val="20"/>
                <w:szCs w:val="20"/>
              </w:rPr>
            </w:pPr>
            <w:r>
              <w:rPr>
                <w:sz w:val="20"/>
                <w:szCs w:val="20"/>
              </w:rPr>
              <w:t>069</w:t>
            </w:r>
          </w:p>
        </w:tc>
        <w:tc>
          <w:tcPr>
            <w:tcW w:w="3265" w:type="dxa"/>
            <w:tcBorders>
              <w:top w:val="single" w:sz="4" w:space="0" w:color="000000"/>
              <w:left w:val="single" w:sz="4" w:space="0" w:color="000000"/>
              <w:bottom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c>
          <w:tcPr>
            <w:tcW w:w="3364" w:type="dxa"/>
            <w:tcBorders>
              <w:top w:val="single" w:sz="4" w:space="0" w:color="000000"/>
              <w:left w:val="single" w:sz="4" w:space="0" w:color="000000"/>
              <w:bottom w:val="single" w:sz="4" w:space="0" w:color="000000"/>
              <w:right w:val="single" w:sz="4" w:space="0" w:color="000000"/>
            </w:tcBorders>
            <w:shd w:fill="auto" w:val="clear"/>
          </w:tcPr>
          <w:p>
            <w:pPr>
              <w:pStyle w:val="Normal"/>
              <w:tabs>
                <w:tab w:val="clear" w:pos="708"/>
                <w:tab w:val="left" w:pos="1087" w:leader="none"/>
              </w:tabs>
              <w:snapToGrid w:val="false"/>
              <w:jc w:val="right"/>
              <w:rPr>
                <w:sz w:val="20"/>
                <w:szCs w:val="20"/>
              </w:rPr>
            </w:pPr>
            <w:r>
              <w:rPr>
                <w:sz w:val="20"/>
                <w:szCs w:val="20"/>
              </w:rPr>
              <w:t>0,00</w:t>
            </w:r>
          </w:p>
        </w:tc>
      </w:tr>
      <w:tr>
        <w:trPr>
          <w:trHeight w:val="412" w:hRule="atLeast"/>
        </w:trPr>
        <w:tc>
          <w:tcPr>
            <w:tcW w:w="2363"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both"/>
              <w:rPr>
                <w:b/>
              </w:rPr>
            </w:pPr>
            <w:r>
              <w:rPr>
                <w:b/>
                <w:sz w:val="20"/>
                <w:szCs w:val="20"/>
              </w:rPr>
              <w:t>Spolu</w:t>
            </w:r>
          </w:p>
        </w:tc>
        <w:tc>
          <w:tcPr>
            <w:tcW w:w="744"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snapToGrid w:val="false"/>
              <w:jc w:val="both"/>
              <w:rPr>
                <w:b/>
                <w:sz w:val="20"/>
                <w:szCs w:val="20"/>
              </w:rPr>
            </w:pPr>
            <w:r>
              <w:rPr>
                <w:b/>
                <w:sz w:val="20"/>
                <w:szCs w:val="20"/>
              </w:rPr>
            </w:r>
          </w:p>
        </w:tc>
        <w:tc>
          <w:tcPr>
            <w:tcW w:w="3265"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1087" w:leader="none"/>
              </w:tabs>
              <w:jc w:val="right"/>
              <w:rPr>
                <w:b/>
              </w:rPr>
            </w:pPr>
            <w:r>
              <w:rPr>
                <w:b/>
                <w:sz w:val="20"/>
                <w:szCs w:val="20"/>
              </w:rPr>
              <w:t>1.126.232,65</w:t>
            </w:r>
          </w:p>
        </w:tc>
        <w:tc>
          <w:tcPr>
            <w:tcW w:w="3364" w:type="dxa"/>
            <w:tcBorders>
              <w:top w:val="single" w:sz="4" w:space="0" w:color="000000"/>
              <w:left w:val="single" w:sz="4" w:space="0" w:color="000000"/>
              <w:bottom w:val="single" w:sz="4" w:space="0" w:color="000000"/>
              <w:right w:val="single" w:sz="4" w:space="0" w:color="000000"/>
            </w:tcBorders>
            <w:shd w:color="auto" w:fill="FFFF99" w:val="clear"/>
          </w:tcPr>
          <w:p>
            <w:pPr>
              <w:pStyle w:val="Normal"/>
              <w:tabs>
                <w:tab w:val="clear" w:pos="708"/>
                <w:tab w:val="left" w:pos="1087" w:leader="none"/>
              </w:tabs>
              <w:jc w:val="right"/>
              <w:rPr>
                <w:b/>
              </w:rPr>
            </w:pPr>
            <w:r>
              <w:rPr>
                <w:b/>
                <w:sz w:val="20"/>
                <w:szCs w:val="20"/>
              </w:rPr>
              <w:t>1.174.830,73</w:t>
            </w:r>
          </w:p>
        </w:tc>
      </w:tr>
    </w:tbl>
    <w:p>
      <w:pPr>
        <w:pStyle w:val="Normal"/>
        <w:tabs>
          <w:tab w:val="clear" w:pos="708"/>
          <w:tab w:val="left" w:pos="330" w:leader="none"/>
        </w:tabs>
        <w:rPr/>
      </w:pPr>
      <w:r>
        <w:br w:type="page"/>
      </w:r>
      <w:r>
        <w:rPr>
          <w:b/>
          <w:bCs/>
          <w:sz w:val="28"/>
          <w:szCs w:val="28"/>
        </w:rPr>
        <w:t>Analýza nákladov a výnosov</w:t>
      </w:r>
    </w:p>
    <w:p>
      <w:pPr>
        <w:pStyle w:val="Normal"/>
        <w:tabs>
          <w:tab w:val="clear" w:pos="708"/>
          <w:tab w:val="left" w:pos="1087" w:leader="none"/>
        </w:tabs>
        <w:ind w:hanging="0" w:left="54"/>
        <w:jc w:val="both"/>
        <w:rPr>
          <w:b/>
        </w:rPr>
      </w:pPr>
      <w:r>
        <w:rPr>
          <w:b/>
        </w:rPr>
      </w:r>
    </w:p>
    <w:p>
      <w:pPr>
        <w:pStyle w:val="Normal"/>
        <w:tabs>
          <w:tab w:val="clear" w:pos="708"/>
          <w:tab w:val="left" w:pos="1087" w:leader="none"/>
        </w:tabs>
        <w:ind w:hanging="0" w:left="54"/>
        <w:jc w:val="both"/>
        <w:rPr/>
      </w:pPr>
      <w:r>
        <w:rPr>
          <w:b/>
        </w:rPr>
        <w:t>Individuálna účtovná závierka</w:t>
      </w:r>
    </w:p>
    <w:p>
      <w:pPr>
        <w:pStyle w:val="Normal"/>
        <w:ind w:hanging="0" w:left="54"/>
        <w:jc w:val="both"/>
        <w:rPr/>
      </w:pPr>
      <w:r>
        <w:rPr/>
        <w:tab/>
        <w:t>V rámci individuálnej účtovnej závierky obce za rok 2024 boli vyčíslené nasledujúce druhy nákladov, ktoré boli zahrnuté vo výkaze ziskov a strát Úč ROPO SFOV 2-01.</w:t>
      </w:r>
    </w:p>
    <w:p>
      <w:pPr>
        <w:pStyle w:val="Normal"/>
        <w:ind w:hanging="0" w:left="54"/>
        <w:jc w:val="both"/>
        <w:rPr>
          <w:color w:val="C9211E"/>
          <w:highlight w:val="red"/>
        </w:rPr>
      </w:pPr>
      <w:r>
        <w:rPr>
          <w:color w:val="C9211E"/>
          <w:highlight w:val="red"/>
        </w:rPr>
      </w:r>
    </w:p>
    <w:p>
      <w:pPr>
        <w:pStyle w:val="Normal"/>
        <w:tabs>
          <w:tab w:val="clear" w:pos="708"/>
          <w:tab w:val="left" w:pos="1087" w:leader="none"/>
        </w:tabs>
        <w:ind w:hanging="0" w:left="54"/>
        <w:jc w:val="both"/>
        <w:rPr/>
      </w:pPr>
      <w:r>
        <w:rPr>
          <w:b/>
        </w:rPr>
        <w:t xml:space="preserve">Prehľad nákladov </w:t>
      </w:r>
    </w:p>
    <w:p>
      <w:pPr>
        <w:pStyle w:val="Normal"/>
        <w:tabs>
          <w:tab w:val="clear" w:pos="708"/>
          <w:tab w:val="left" w:pos="1087" w:leader="none"/>
        </w:tabs>
        <w:ind w:hanging="0" w:left="54"/>
        <w:jc w:val="both"/>
        <w:rPr>
          <w:b/>
          <w:color w:val="C9211E"/>
        </w:rPr>
      </w:pPr>
      <w:r>
        <w:rPr>
          <w:b/>
          <w:color w:val="C9211E"/>
        </w:rPr>
      </w:r>
    </w:p>
    <w:tbl>
      <w:tblPr>
        <w:tblW w:w="9962" w:type="dxa"/>
        <w:jc w:val="left"/>
        <w:tblInd w:w="69" w:type="dxa"/>
        <w:tblLayout w:type="fixed"/>
        <w:tblCellMar>
          <w:top w:w="0" w:type="dxa"/>
          <w:left w:w="60" w:type="dxa"/>
          <w:bottom w:w="0" w:type="dxa"/>
          <w:right w:w="70" w:type="dxa"/>
        </w:tblCellMar>
        <w:tblLook w:firstRow="0" w:noVBand="0" w:lastRow="0" w:firstColumn="0" w:lastColumn="0" w:noHBand="0" w:val="0000"/>
      </w:tblPr>
      <w:tblGrid>
        <w:gridCol w:w="1119"/>
        <w:gridCol w:w="5966"/>
        <w:gridCol w:w="1495"/>
        <w:gridCol w:w="1381"/>
      </w:tblGrid>
      <w:tr>
        <w:trPr/>
        <w:tc>
          <w:tcPr>
            <w:tcW w:w="1119"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Číslo účtu</w:t>
            </w:r>
          </w:p>
        </w:tc>
        <w:tc>
          <w:tcPr>
            <w:tcW w:w="5966"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Popis /číslo účtu a názov/</w:t>
            </w:r>
          </w:p>
        </w:tc>
        <w:tc>
          <w:tcPr>
            <w:tcW w:w="1495"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Suma k  31.12.2024</w:t>
            </w:r>
          </w:p>
        </w:tc>
        <w:tc>
          <w:tcPr>
            <w:tcW w:w="1381" w:type="dxa"/>
            <w:tcBorders>
              <w:top w:val="single" w:sz="4" w:space="0" w:color="000000"/>
              <w:left w:val="single" w:sz="4" w:space="0" w:color="000000"/>
              <w:bottom w:val="single" w:sz="4" w:space="0" w:color="000000"/>
              <w:right w:val="single" w:sz="4" w:space="0" w:color="000000"/>
            </w:tcBorders>
            <w:shd w:color="auto" w:fill="8DB3E2" w:val="clear"/>
            <w:vAlign w:val="center"/>
          </w:tcPr>
          <w:p>
            <w:pPr>
              <w:pStyle w:val="Normal"/>
              <w:jc w:val="center"/>
              <w:rPr>
                <w:sz w:val="20"/>
                <w:szCs w:val="20"/>
              </w:rPr>
            </w:pPr>
            <w:r>
              <w:rPr>
                <w:b/>
                <w:sz w:val="20"/>
                <w:szCs w:val="20"/>
              </w:rPr>
              <w:t>Suma k  31.12.2024</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50</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Spotrebované nákupy</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jc w:val="right"/>
              <w:rPr>
                <w:b/>
              </w:rPr>
            </w:pPr>
            <w:r>
              <w:rPr>
                <w:b/>
                <w:sz w:val="20"/>
                <w:szCs w:val="20"/>
              </w:rPr>
              <w:t>41.320,09</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jc w:val="right"/>
              <w:rPr>
                <w:b/>
              </w:rPr>
            </w:pPr>
            <w:r>
              <w:rPr>
                <w:b/>
                <w:sz w:val="20"/>
                <w:szCs w:val="20"/>
              </w:rPr>
              <w:t>33.859,10</w:t>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501 – Spotreba materiálu</w:t>
            </w:r>
          </w:p>
        </w:tc>
        <w:tc>
          <w:tcPr>
            <w:tcW w:w="1495" w:type="dxa"/>
            <w:tcBorders>
              <w:top w:val="single" w:sz="4" w:space="0" w:color="000000"/>
              <w:left w:val="single" w:sz="4" w:space="0" w:color="000000"/>
              <w:bottom w:val="single" w:sz="4" w:space="0" w:color="000000"/>
            </w:tcBorders>
            <w:shd w:fill="auto" w:val="clear"/>
            <w:vAlign w:val="center"/>
          </w:tcPr>
          <w:p>
            <w:pPr>
              <w:pStyle w:val="Normal"/>
              <w:jc w:val="right"/>
              <w:rPr>
                <w:sz w:val="20"/>
                <w:szCs w:val="20"/>
              </w:rPr>
            </w:pPr>
            <w:r>
              <w:rPr>
                <w:sz w:val="20"/>
                <w:szCs w:val="20"/>
              </w:rPr>
              <w:t>26.323,40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sz w:val="20"/>
                <w:szCs w:val="20"/>
              </w:rPr>
            </w:pPr>
            <w:r>
              <w:rPr>
                <w:sz w:val="20"/>
                <w:szCs w:val="20"/>
              </w:rPr>
              <w:t>21.203,40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502 – Spotreba energie</w:t>
            </w:r>
          </w:p>
        </w:tc>
        <w:tc>
          <w:tcPr>
            <w:tcW w:w="1495" w:type="dxa"/>
            <w:tcBorders>
              <w:top w:val="single" w:sz="4" w:space="0" w:color="000000"/>
              <w:left w:val="single" w:sz="4" w:space="0" w:color="000000"/>
              <w:bottom w:val="single" w:sz="4" w:space="0" w:color="000000"/>
            </w:tcBorders>
            <w:shd w:fill="auto" w:val="clear"/>
            <w:vAlign w:val="center"/>
          </w:tcPr>
          <w:p>
            <w:pPr>
              <w:pStyle w:val="Normal"/>
              <w:jc w:val="right"/>
              <w:rPr>
                <w:sz w:val="20"/>
                <w:szCs w:val="20"/>
              </w:rPr>
            </w:pPr>
            <w:r>
              <w:rPr>
                <w:sz w:val="20"/>
                <w:szCs w:val="20"/>
              </w:rPr>
              <w:t>14.996,69</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sz w:val="20"/>
                <w:szCs w:val="20"/>
              </w:rPr>
            </w:pPr>
            <w:r>
              <w:rPr>
                <w:sz w:val="20"/>
                <w:szCs w:val="20"/>
              </w:rPr>
              <w:t>12.655,70</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51</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Služby</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60.772,38</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49.927,34</w:t>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511 – Opravy a udržiavanie</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13.281,07</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4.348,72</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512 – Cestovné</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28,45</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17,88</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513 – Náklady na reprezentáciu</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1.259,64</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1.798,80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518 – Ostatné služby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46.203,22</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43.761,94</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52</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Osobné náklady</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89.710,26</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112.386,11</w:t>
            </w:r>
          </w:p>
        </w:tc>
      </w:tr>
      <w:tr>
        <w:trPr>
          <w:trHeight w:val="326" w:hRule="atLeast"/>
        </w:trPr>
        <w:tc>
          <w:tcPr>
            <w:tcW w:w="1119"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521 – Mzdové náklady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63.265,66</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81.187,55</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524 – Zákonné sociálne poistenie</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22.865,73</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26.120,10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527-  Zákonné sociálne náklady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3.578,87</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5.078,46</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528 – Ostatné sociálne náklady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53</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Dane a poplatky</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400,70</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151,86</w:t>
            </w:r>
          </w:p>
        </w:tc>
      </w:tr>
      <w:tr>
        <w:trPr/>
        <w:tc>
          <w:tcPr>
            <w:tcW w:w="1119" w:type="dxa"/>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538 – Ostatné dane a poplatky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400,70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151,86</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54</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Ostatné náklady na prevádzkovú činnosť</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1.608,12</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3.050,70</w:t>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541 – Zostatková cena predaného DN a DH majetku</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0,17</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130,22</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545 – Ostatné pokuty, penále a úroky z.</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546 – Odpis pohľadávky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548 – Ostatné náklady na prevádzkovú činnosť</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1.607,95</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2.920,48</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55</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Odpisy, rezervy a opravné položky z prev. a fin. činnosti</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92.265,80</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81.225,00</w:t>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551 – Odpisy DN a DH majetku</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87.602,80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76.652,12</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553 – Tvorba ostatných rezerv z prevádzkovej činnosti</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3.688,25</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1.250,00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558 – Tvorba ostatných OP z prevádzkovej činnosti</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2.438,25</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3.322,88</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56</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Finančné náklady</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3.500,36</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sz w:val="20"/>
                <w:szCs w:val="20"/>
              </w:rPr>
            </w:pPr>
            <w:r>
              <w:rPr>
                <w:b/>
                <w:sz w:val="20"/>
                <w:szCs w:val="20"/>
              </w:rPr>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uppressAutoHyphens w:val="false"/>
              <w:snapToGrid w:val="false"/>
              <w:jc w:val="center"/>
              <w:rPr>
                <w:b/>
                <w:sz w:val="20"/>
                <w:szCs w:val="20"/>
              </w:rPr>
            </w:pPr>
            <w:r>
              <w:rPr>
                <w:b/>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562 – Úroky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2.916,15</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3.364,14</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568 – Ostatné finančné náklady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584,21</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578,21</w:t>
            </w:r>
          </w:p>
        </w:tc>
      </w:tr>
      <w:tr>
        <w:trPr/>
        <w:tc>
          <w:tcPr>
            <w:tcW w:w="1119"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58</w:t>
            </w:r>
          </w:p>
        </w:tc>
        <w:tc>
          <w:tcPr>
            <w:tcW w:w="5966"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Náklady na transfery a náklady z odvodu príjmov</w:t>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121.490,05</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112.054,53</w:t>
            </w:r>
          </w:p>
        </w:tc>
      </w:tr>
      <w:tr>
        <w:trPr/>
        <w:tc>
          <w:tcPr>
            <w:tcW w:w="1119" w:type="dxa"/>
            <w:vMerge w:val="restart"/>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p>
            <w:pPr>
              <w:pStyle w:val="Normal"/>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584 – Náklady na transfery z rozpočtu obce, VUC do RO a PO zriadených obcou, VUC</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101.844,78</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92.885,53</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585 – Náklady na transfery z rozpočtu obce ostatným subjektom VS</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3.886,83</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5.529,00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sz w:val="20"/>
                <w:szCs w:val="20"/>
              </w:rPr>
            </w:pPr>
            <w:r>
              <w:rPr>
                <w:sz w:val="20"/>
                <w:szCs w:val="20"/>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586 – Náklady na transfery z rozpočtu obce alebo VUC subjektom mimo VS</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13.487,44</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11.500,00</w:t>
            </w:r>
          </w:p>
        </w:tc>
      </w:tr>
      <w:tr>
        <w:trPr/>
        <w:tc>
          <w:tcPr>
            <w:tcW w:w="1119"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pPr>
            <w:r>
              <w:rPr/>
            </w:r>
          </w:p>
        </w:tc>
        <w:tc>
          <w:tcPr>
            <w:tcW w:w="5966"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587 – Náklady na ostatné transfery</w:t>
            </w:r>
          </w:p>
        </w:tc>
        <w:tc>
          <w:tcPr>
            <w:tcW w:w="1495"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2.271,00</w:t>
            </w:r>
          </w:p>
        </w:tc>
        <w:tc>
          <w:tcPr>
            <w:tcW w:w="1381"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2.140,00</w:t>
            </w:r>
          </w:p>
        </w:tc>
      </w:tr>
      <w:tr>
        <w:trPr>
          <w:trHeight w:val="422" w:hRule="atLeast"/>
        </w:trPr>
        <w:tc>
          <w:tcPr>
            <w:tcW w:w="1119"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Spolu náklady</w:t>
            </w:r>
          </w:p>
        </w:tc>
        <w:tc>
          <w:tcPr>
            <w:tcW w:w="5966" w:type="dxa"/>
            <w:tcBorders>
              <w:top w:val="single" w:sz="4" w:space="0" w:color="000000"/>
              <w:left w:val="single" w:sz="4" w:space="0" w:color="000000"/>
              <w:bottom w:val="single" w:sz="4" w:space="0" w:color="000000"/>
            </w:tcBorders>
            <w:shd w:color="auto" w:fill="FFFF99" w:val="clear"/>
          </w:tcPr>
          <w:p>
            <w:pPr>
              <w:pStyle w:val="Normal"/>
              <w:snapToGrid w:val="false"/>
              <w:rPr>
                <w:b/>
                <w:sz w:val="20"/>
                <w:szCs w:val="20"/>
              </w:rPr>
            </w:pPr>
            <w:r>
              <w:rPr>
                <w:b/>
                <w:sz w:val="20"/>
                <w:szCs w:val="20"/>
              </w:rPr>
            </w:r>
          </w:p>
        </w:tc>
        <w:tc>
          <w:tcPr>
            <w:tcW w:w="1495"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411.067,76</w:t>
            </w:r>
          </w:p>
        </w:tc>
        <w:tc>
          <w:tcPr>
            <w:tcW w:w="1381"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396.596,99</w:t>
            </w:r>
          </w:p>
        </w:tc>
      </w:tr>
    </w:tbl>
    <w:p>
      <w:pPr>
        <w:pStyle w:val="Normal"/>
        <w:ind w:hanging="0" w:left="54"/>
        <w:jc w:val="both"/>
        <w:rPr>
          <w:b/>
          <w:color w:val="C9211E"/>
        </w:rPr>
      </w:pPr>
      <w:r>
        <w:rPr>
          <w:b/>
          <w:color w:val="C9211E"/>
        </w:rPr>
      </w:r>
    </w:p>
    <w:p>
      <w:pPr>
        <w:pStyle w:val="Normal"/>
        <w:ind w:firstLine="654" w:left="54"/>
        <w:jc w:val="both"/>
        <w:rPr>
          <w:b/>
          <w:color w:val="C9211E"/>
        </w:rPr>
      </w:pPr>
      <w:r>
        <w:rPr>
          <w:b/>
          <w:color w:val="C9211E"/>
        </w:rPr>
      </w:r>
    </w:p>
    <w:p>
      <w:pPr>
        <w:pStyle w:val="Normal"/>
        <w:tabs>
          <w:tab w:val="clear" w:pos="708"/>
          <w:tab w:val="left" w:pos="1087" w:leader="none"/>
        </w:tabs>
        <w:ind w:hanging="0" w:left="54"/>
        <w:jc w:val="both"/>
        <w:rPr>
          <w:b/>
          <w:color w:val="C9211E"/>
        </w:rPr>
      </w:pPr>
      <w:r>
        <w:rPr>
          <w:b/>
          <w:color w:val="C9211E"/>
        </w:rPr>
      </w:r>
    </w:p>
    <w:p>
      <w:pPr>
        <w:pStyle w:val="Normal"/>
        <w:tabs>
          <w:tab w:val="clear" w:pos="708"/>
          <w:tab w:val="left" w:pos="1087" w:leader="none"/>
        </w:tabs>
        <w:ind w:hanging="0" w:left="54"/>
        <w:jc w:val="both"/>
        <w:rPr>
          <w:b/>
          <w:color w:val="C9211E"/>
        </w:rPr>
      </w:pPr>
      <w:r>
        <w:rPr>
          <w:b/>
          <w:color w:val="C9211E"/>
        </w:rPr>
      </w:r>
      <w:r>
        <w:br w:type="page"/>
      </w:r>
    </w:p>
    <w:p>
      <w:pPr>
        <w:pStyle w:val="Normal"/>
        <w:tabs>
          <w:tab w:val="clear" w:pos="708"/>
          <w:tab w:val="left" w:pos="1087" w:leader="none"/>
        </w:tabs>
        <w:spacing w:before="0" w:after="0"/>
        <w:ind w:hanging="0" w:left="54"/>
        <w:jc w:val="both"/>
        <w:rPr/>
      </w:pPr>
      <w:r>
        <w:rPr>
          <w:b/>
        </w:rPr>
        <w:t xml:space="preserve">Prehľad výnosov </w:t>
      </w:r>
    </w:p>
    <w:p>
      <w:pPr>
        <w:pStyle w:val="Normal"/>
        <w:tabs>
          <w:tab w:val="clear" w:pos="708"/>
          <w:tab w:val="left" w:pos="1087" w:leader="none"/>
        </w:tabs>
        <w:ind w:hanging="0" w:left="54"/>
        <w:jc w:val="both"/>
        <w:rPr>
          <w:b/>
          <w:color w:val="C9211E"/>
        </w:rPr>
      </w:pPr>
      <w:r>
        <w:rPr>
          <w:b/>
          <w:color w:val="C9211E"/>
        </w:rPr>
      </w:r>
    </w:p>
    <w:tbl>
      <w:tblPr>
        <w:tblW w:w="9870" w:type="dxa"/>
        <w:jc w:val="left"/>
        <w:tblInd w:w="109" w:type="dxa"/>
        <w:tblLayout w:type="fixed"/>
        <w:tblCellMar>
          <w:top w:w="0" w:type="dxa"/>
          <w:left w:w="60" w:type="dxa"/>
          <w:bottom w:w="0" w:type="dxa"/>
          <w:right w:w="70" w:type="dxa"/>
        </w:tblCellMar>
        <w:tblLook w:firstRow="0" w:noVBand="0" w:lastRow="0" w:firstColumn="0" w:lastColumn="0" w:noHBand="0" w:val="0000"/>
      </w:tblPr>
      <w:tblGrid>
        <w:gridCol w:w="900"/>
        <w:gridCol w:w="6134"/>
        <w:gridCol w:w="1409"/>
        <w:gridCol w:w="1426"/>
      </w:tblGrid>
      <w:tr>
        <w:trPr/>
        <w:tc>
          <w:tcPr>
            <w:tcW w:w="900"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Číslo účtu</w:t>
            </w:r>
          </w:p>
        </w:tc>
        <w:tc>
          <w:tcPr>
            <w:tcW w:w="6134"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Popis /číslo účtu a názov/</w:t>
            </w:r>
          </w:p>
        </w:tc>
        <w:tc>
          <w:tcPr>
            <w:tcW w:w="1409" w:type="dxa"/>
            <w:tcBorders>
              <w:top w:val="single" w:sz="4" w:space="0" w:color="000000"/>
              <w:left w:val="single" w:sz="4" w:space="0" w:color="000000"/>
              <w:bottom w:val="single" w:sz="4" w:space="0" w:color="000000"/>
            </w:tcBorders>
            <w:shd w:color="auto" w:fill="8DB3E2" w:val="clear"/>
          </w:tcPr>
          <w:p>
            <w:pPr>
              <w:pStyle w:val="Normal"/>
              <w:jc w:val="center"/>
              <w:rPr>
                <w:sz w:val="20"/>
                <w:szCs w:val="20"/>
              </w:rPr>
            </w:pPr>
            <w:r>
              <w:rPr>
                <w:b/>
                <w:sz w:val="20"/>
                <w:szCs w:val="20"/>
              </w:rPr>
              <w:t>Suma k  31.12.2024</w:t>
            </w:r>
          </w:p>
        </w:tc>
        <w:tc>
          <w:tcPr>
            <w:tcW w:w="1426"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sz w:val="20"/>
                <w:szCs w:val="20"/>
              </w:rPr>
            </w:pPr>
            <w:r>
              <w:rPr>
                <w:b/>
                <w:sz w:val="20"/>
                <w:szCs w:val="20"/>
              </w:rPr>
              <w:t>Suma k  31.12.2024</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60</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Tržby za vlastné výkony  a tovary</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2.929,70</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4.668,97</w:t>
            </w:r>
          </w:p>
        </w:tc>
      </w:tr>
      <w:tr>
        <w:trPr/>
        <w:tc>
          <w:tcPr>
            <w:tcW w:w="900"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214"/>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601 – Tržby za vlastné výrobky</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40,00</w:t>
            </w:r>
          </w:p>
        </w:tc>
      </w:tr>
      <w:tr>
        <w:trPr/>
        <w:tc>
          <w:tcPr>
            <w:tcW w:w="900"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214"/>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602 – Tržby z predaja služieb</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2.929,70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4.628,97</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63</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Daňové a colné výnosy a výnosy z poplatkov</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338.950,43</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348.375,85</w:t>
            </w:r>
          </w:p>
        </w:tc>
      </w:tr>
      <w:tr>
        <w:trPr/>
        <w:tc>
          <w:tcPr>
            <w:tcW w:w="900" w:type="dxa"/>
            <w:vMerge w:val="restart"/>
            <w:tcBorders>
              <w:top w:val="single" w:sz="4" w:space="0" w:color="000000"/>
              <w:left w:val="single" w:sz="4" w:space="0" w:color="000000"/>
              <w:bottom w:val="single" w:sz="4" w:space="0" w:color="000000"/>
            </w:tcBorders>
            <w:shd w:fill="auto" w:val="clear"/>
          </w:tcPr>
          <w:p>
            <w:pPr>
              <w:pStyle w:val="Normal"/>
              <w:tabs>
                <w:tab w:val="clear" w:pos="708"/>
                <w:tab w:val="left" w:pos="356" w:leader="none"/>
              </w:tabs>
              <w:suppressAutoHyphens w:val="false"/>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632 – Daňové výnosy samosprávy</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312.379,26</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318.775,68</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633 – Výnosy z poplatkov</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26.571,17</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29.600,17</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b/>
              </w:rPr>
            </w:pPr>
            <w:r>
              <w:rPr>
                <w:b/>
                <w:sz w:val="20"/>
                <w:szCs w:val="20"/>
              </w:rPr>
              <w:t>64</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Ostatné výnosy z prevádzkovej činnosti</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19.441,96</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3.106,42</w:t>
            </w:r>
          </w:p>
        </w:tc>
      </w:tr>
      <w:tr>
        <w:trPr/>
        <w:tc>
          <w:tcPr>
            <w:tcW w:w="900" w:type="dxa"/>
            <w:vMerge w:val="restart"/>
            <w:tcBorders>
              <w:top w:val="single" w:sz="4" w:space="0" w:color="000000"/>
              <w:left w:val="single" w:sz="4" w:space="0" w:color="000000"/>
              <w:bottom w:val="single" w:sz="4" w:space="0" w:color="000000"/>
            </w:tcBorders>
            <w:shd w:fill="auto" w:val="clear"/>
          </w:tcPr>
          <w:p>
            <w:pPr>
              <w:pStyle w:val="Normal"/>
              <w:tabs>
                <w:tab w:val="clear" w:pos="708"/>
                <w:tab w:val="left" w:pos="356" w:leader="none"/>
              </w:tabs>
              <w:suppressAutoHyphens w:val="false"/>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641 –  Tržby z predaja DNM a DHM</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4.589,52</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1.370,04</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645 – Ostatné pokuty, penále a úroky z omeškania</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rPr>
                <w:sz w:val="20"/>
                <w:szCs w:val="20"/>
              </w:rPr>
            </w:pPr>
            <w:r>
              <w:rPr>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648 – Ostatné výnosy z prevádzkovej činnosti</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14.852,44</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1.736,38</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tabs>
                <w:tab w:val="clear" w:pos="708"/>
                <w:tab w:val="left" w:pos="356" w:leader="none"/>
              </w:tabs>
              <w:suppressAutoHyphens w:val="false"/>
              <w:jc w:val="center"/>
              <w:rPr>
                <w:b/>
              </w:rPr>
            </w:pPr>
            <w:r>
              <w:rPr>
                <w:b/>
                <w:sz w:val="20"/>
                <w:szCs w:val="20"/>
              </w:rPr>
              <w:t>65</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Zúčtovanie rezerv, OP z prev. a fin. činnosti, časového r...</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1.250,00</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1.250,00</w:t>
            </w:r>
          </w:p>
        </w:tc>
      </w:tr>
      <w:tr>
        <w:trPr/>
        <w:tc>
          <w:tcPr>
            <w:tcW w:w="900" w:type="dxa"/>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653 – Zúčtovanie ostatných rezerv z prevádzkovej činnosti</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1.250,00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1.250,00</w:t>
            </w:r>
          </w:p>
        </w:tc>
      </w:tr>
      <w:tr>
        <w:trPr>
          <w:trHeight w:val="410" w:hRule="atLeast"/>
        </w:trPr>
        <w:tc>
          <w:tcPr>
            <w:tcW w:w="900" w:type="dxa"/>
            <w:tcBorders>
              <w:top w:val="single" w:sz="4" w:space="0" w:color="000000"/>
              <w:left w:val="single" w:sz="4" w:space="0" w:color="000000"/>
              <w:bottom w:val="single" w:sz="4" w:space="0" w:color="000000"/>
            </w:tcBorders>
            <w:shd w:color="auto" w:fill="FFFF99" w:val="clear"/>
          </w:tcPr>
          <w:p>
            <w:pPr>
              <w:pStyle w:val="Normal"/>
              <w:suppressAutoHyphens w:val="false"/>
              <w:jc w:val="center"/>
              <w:rPr>
                <w:b/>
              </w:rPr>
            </w:pPr>
            <w:r>
              <w:rPr>
                <w:b/>
                <w:sz w:val="20"/>
                <w:szCs w:val="20"/>
              </w:rPr>
              <w:t>66</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Finančné výnosy</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4,40</w:t>
            </w:r>
          </w:p>
        </w:tc>
      </w:tr>
      <w:tr>
        <w:trPr/>
        <w:tc>
          <w:tcPr>
            <w:tcW w:w="900"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356"/>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662 – Úroky</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4,40</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67</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Mimoriadne výnosy</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tabs>
                <w:tab w:val="clear" w:pos="708"/>
                <w:tab w:val="left" w:pos="1087" w:leader="none"/>
              </w:tabs>
              <w:snapToGrid w:val="false"/>
              <w:jc w:val="right"/>
              <w:rPr>
                <w:b/>
              </w:rPr>
            </w:pPr>
            <w:r>
              <w:rPr>
                <w:b/>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tabs>
                <w:tab w:val="clear" w:pos="708"/>
                <w:tab w:val="left" w:pos="1087" w:leader="none"/>
              </w:tabs>
              <w:snapToGrid w:val="false"/>
              <w:jc w:val="right"/>
              <w:rPr>
                <w:b/>
              </w:rPr>
            </w:pPr>
            <w:r>
              <w:rPr>
                <w:b/>
                <w:sz w:val="20"/>
                <w:szCs w:val="20"/>
              </w:rPr>
              <w:t>0,00</w:t>
            </w:r>
          </w:p>
        </w:tc>
      </w:tr>
      <w:tr>
        <w:trPr/>
        <w:tc>
          <w:tcPr>
            <w:tcW w:w="900" w:type="dxa"/>
            <w:tcBorders>
              <w:top w:val="single" w:sz="4" w:space="0" w:color="000000"/>
              <w:left w:val="single" w:sz="4" w:space="0" w:color="000000"/>
              <w:bottom w:val="single" w:sz="4" w:space="0" w:color="000000"/>
            </w:tcBorders>
            <w:shd w:fill="auto" w:val="clear"/>
          </w:tcPr>
          <w:p>
            <w:pPr>
              <w:pStyle w:val="Normal"/>
              <w:suppressAutoHyphens w:val="false"/>
              <w:snapToGrid w:val="false"/>
              <w:ind w:hanging="0" w:left="356"/>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672 –  Náhrady škôd</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69</w:t>
            </w:r>
          </w:p>
        </w:tc>
        <w:tc>
          <w:tcPr>
            <w:tcW w:w="6134" w:type="dxa"/>
            <w:tcBorders>
              <w:top w:val="single" w:sz="4" w:space="0" w:color="000000"/>
              <w:left w:val="single" w:sz="4" w:space="0" w:color="000000"/>
              <w:bottom w:val="single" w:sz="4" w:space="0" w:color="000000"/>
            </w:tcBorders>
            <w:shd w:color="auto" w:fill="FFFF99" w:val="clear"/>
          </w:tcPr>
          <w:p>
            <w:pPr>
              <w:pStyle w:val="Normal"/>
              <w:rPr>
                <w:b/>
              </w:rPr>
            </w:pPr>
            <w:r>
              <w:rPr>
                <w:b/>
                <w:sz w:val="20"/>
                <w:szCs w:val="20"/>
              </w:rPr>
              <w:t>Výnosy z transferov a RP v obciach, VUC a v RO, PO nimi zriadené</w:t>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74.179,19</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42.507,60</w:t>
            </w:r>
          </w:p>
        </w:tc>
      </w:tr>
      <w:tr>
        <w:trPr/>
        <w:tc>
          <w:tcPr>
            <w:tcW w:w="900" w:type="dxa"/>
            <w:vMerge w:val="restart"/>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693 – Výnosy samosprávy z BT zo ŠR a od iných sub. VS</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54.456,12</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23.014,03</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694 – Výnosy samosprávy z KT zo ŠR a od iných sub. VS</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3.447,24</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3.447,24</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697 – Výnosy samosprávy z BT od  ostatných sub. mimo VS</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7.285,71</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7.307,41</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696 -  Výnosy samosprávy z KT od ostatných sub. mimo VS</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4.467,12</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4.528,92</w:t>
            </w:r>
          </w:p>
        </w:tc>
      </w:tr>
      <w:tr>
        <w:trPr/>
        <w:tc>
          <w:tcPr>
            <w:tcW w:w="900" w:type="dxa"/>
            <w:vMerge w:val="continue"/>
            <w:tcBorders>
              <w:top w:val="single" w:sz="4" w:space="0" w:color="000000"/>
              <w:left w:val="single" w:sz="4" w:space="0" w:color="000000"/>
              <w:bottom w:val="single" w:sz="4" w:space="0" w:color="000000"/>
            </w:tcBorders>
            <w:shd w:fill="auto" w:val="clear"/>
          </w:tcPr>
          <w:p>
            <w:pPr>
              <w:pStyle w:val="Normal"/>
              <w:snapToGrid w:val="false"/>
              <w:jc w:val="center"/>
              <w:rPr>
                <w:b/>
                <w:sz w:val="20"/>
                <w:szCs w:val="20"/>
              </w:rPr>
            </w:pPr>
            <w:r>
              <w:rPr>
                <w:b/>
                <w:sz w:val="20"/>
                <w:szCs w:val="20"/>
              </w:rPr>
            </w:r>
          </w:p>
        </w:tc>
        <w:tc>
          <w:tcPr>
            <w:tcW w:w="6134"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699 – Výnosy samosprávy z odvodu rozpočtových príjmov</w:t>
            </w:r>
          </w:p>
        </w:tc>
        <w:tc>
          <w:tcPr>
            <w:tcW w:w="1409"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4.523,00</w:t>
            </w:r>
          </w:p>
        </w:tc>
        <w:tc>
          <w:tcPr>
            <w:tcW w:w="1426"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4.210,00</w:t>
            </w:r>
          </w:p>
        </w:tc>
      </w:tr>
      <w:tr>
        <w:trPr/>
        <w:tc>
          <w:tcPr>
            <w:tcW w:w="900" w:type="dxa"/>
            <w:tcBorders>
              <w:top w:val="single" w:sz="4" w:space="0" w:color="000000"/>
              <w:left w:val="single" w:sz="4" w:space="0" w:color="000000"/>
              <w:bottom w:val="single" w:sz="4" w:space="0" w:color="000000"/>
            </w:tcBorders>
            <w:shd w:color="auto" w:fill="FFFF99" w:val="clear"/>
          </w:tcPr>
          <w:p>
            <w:pPr>
              <w:pStyle w:val="Normal"/>
              <w:jc w:val="center"/>
              <w:rPr>
                <w:b/>
              </w:rPr>
            </w:pPr>
            <w:r>
              <w:rPr>
                <w:b/>
                <w:sz w:val="20"/>
                <w:szCs w:val="20"/>
              </w:rPr>
              <w:t>Spolu výnosy</w:t>
            </w:r>
          </w:p>
        </w:tc>
        <w:tc>
          <w:tcPr>
            <w:tcW w:w="6134" w:type="dxa"/>
            <w:tcBorders>
              <w:top w:val="single" w:sz="4" w:space="0" w:color="000000"/>
              <w:left w:val="single" w:sz="4" w:space="0" w:color="000000"/>
              <w:bottom w:val="single" w:sz="4" w:space="0" w:color="000000"/>
            </w:tcBorders>
            <w:shd w:color="auto" w:fill="FFFF99" w:val="clear"/>
          </w:tcPr>
          <w:p>
            <w:pPr>
              <w:pStyle w:val="Normal"/>
              <w:snapToGrid w:val="false"/>
              <w:rPr>
                <w:b/>
                <w:sz w:val="20"/>
                <w:szCs w:val="20"/>
              </w:rPr>
            </w:pPr>
            <w:r>
              <w:rPr>
                <w:b/>
                <w:sz w:val="20"/>
                <w:szCs w:val="20"/>
              </w:rPr>
            </w:r>
          </w:p>
        </w:tc>
        <w:tc>
          <w:tcPr>
            <w:tcW w:w="1409"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b/>
              </w:rPr>
            </w:pPr>
            <w:r>
              <w:rPr>
                <w:b/>
                <w:sz w:val="20"/>
                <w:szCs w:val="20"/>
              </w:rPr>
              <w:t>436.751,28</w:t>
            </w:r>
          </w:p>
        </w:tc>
        <w:tc>
          <w:tcPr>
            <w:tcW w:w="1426"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b/>
              </w:rPr>
            </w:pPr>
            <w:r>
              <w:rPr>
                <w:b/>
                <w:sz w:val="20"/>
                <w:szCs w:val="20"/>
              </w:rPr>
              <w:t>399.913,24</w:t>
            </w:r>
          </w:p>
        </w:tc>
      </w:tr>
    </w:tbl>
    <w:p>
      <w:pPr>
        <w:pStyle w:val="Normal"/>
        <w:tabs>
          <w:tab w:val="clear" w:pos="708"/>
          <w:tab w:val="left" w:pos="1087" w:leader="none"/>
        </w:tabs>
        <w:jc w:val="both"/>
        <w:rPr>
          <w:b/>
          <w:color w:val="C9211E"/>
          <w:sz w:val="28"/>
          <w:szCs w:val="28"/>
        </w:rPr>
      </w:pPr>
      <w:r>
        <w:rPr>
          <w:b/>
          <w:color w:val="C9211E"/>
          <w:sz w:val="28"/>
          <w:szCs w:val="28"/>
        </w:rPr>
      </w:r>
    </w:p>
    <w:tbl>
      <w:tblPr>
        <w:tblW w:w="9915" w:type="dxa"/>
        <w:jc w:val="left"/>
        <w:tblInd w:w="69" w:type="dxa"/>
        <w:tblLayout w:type="fixed"/>
        <w:tblCellMar>
          <w:top w:w="0" w:type="dxa"/>
          <w:left w:w="60" w:type="dxa"/>
          <w:bottom w:w="0" w:type="dxa"/>
          <w:right w:w="70" w:type="dxa"/>
        </w:tblCellMar>
        <w:tblLook w:firstRow="0" w:noVBand="0" w:lastRow="0" w:firstColumn="0" w:lastColumn="0" w:noHBand="0" w:val="0000"/>
      </w:tblPr>
      <w:tblGrid>
        <w:gridCol w:w="1116"/>
        <w:gridCol w:w="5963"/>
        <w:gridCol w:w="1260"/>
        <w:gridCol w:w="1575"/>
      </w:tblGrid>
      <w:tr>
        <w:trPr/>
        <w:tc>
          <w:tcPr>
            <w:tcW w:w="1116"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Číslo účtu</w:t>
            </w:r>
          </w:p>
        </w:tc>
        <w:tc>
          <w:tcPr>
            <w:tcW w:w="5963" w:type="dxa"/>
            <w:tcBorders>
              <w:top w:val="single" w:sz="4" w:space="0" w:color="000000"/>
              <w:left w:val="single" w:sz="4" w:space="0" w:color="000000"/>
              <w:bottom w:val="single" w:sz="4" w:space="0" w:color="000000"/>
            </w:tcBorders>
            <w:shd w:color="auto" w:fill="8DB3E2" w:val="clear"/>
            <w:vAlign w:val="center"/>
          </w:tcPr>
          <w:p>
            <w:pPr>
              <w:pStyle w:val="Normal"/>
              <w:jc w:val="center"/>
              <w:rPr>
                <w:sz w:val="20"/>
                <w:szCs w:val="20"/>
              </w:rPr>
            </w:pPr>
            <w:r>
              <w:rPr>
                <w:b/>
                <w:sz w:val="20"/>
                <w:szCs w:val="20"/>
              </w:rPr>
              <w:t>Výsledok hospodárenia</w:t>
            </w:r>
          </w:p>
        </w:tc>
        <w:tc>
          <w:tcPr>
            <w:tcW w:w="1260" w:type="dxa"/>
            <w:tcBorders>
              <w:top w:val="single" w:sz="4" w:space="0" w:color="000000"/>
              <w:left w:val="single" w:sz="4" w:space="0" w:color="000000"/>
              <w:bottom w:val="single" w:sz="4" w:space="0" w:color="000000"/>
            </w:tcBorders>
            <w:shd w:color="auto" w:fill="8DB3E2" w:val="clear"/>
          </w:tcPr>
          <w:p>
            <w:pPr>
              <w:pStyle w:val="Normal"/>
              <w:jc w:val="center"/>
              <w:rPr>
                <w:sz w:val="20"/>
                <w:szCs w:val="20"/>
              </w:rPr>
            </w:pPr>
            <w:r>
              <w:rPr>
                <w:b/>
                <w:sz w:val="20"/>
                <w:szCs w:val="20"/>
              </w:rPr>
              <w:t>Suma k  31.12.2024</w:t>
            </w:r>
          </w:p>
        </w:tc>
        <w:tc>
          <w:tcPr>
            <w:tcW w:w="1575" w:type="dxa"/>
            <w:tcBorders>
              <w:top w:val="single" w:sz="4" w:space="0" w:color="000000"/>
              <w:left w:val="single" w:sz="4" w:space="0" w:color="000000"/>
              <w:bottom w:val="single" w:sz="4" w:space="0" w:color="000000"/>
              <w:right w:val="single" w:sz="4" w:space="0" w:color="000000"/>
            </w:tcBorders>
            <w:shd w:color="auto" w:fill="8DB3E2" w:val="clear"/>
          </w:tcPr>
          <w:p>
            <w:pPr>
              <w:pStyle w:val="Normal"/>
              <w:jc w:val="center"/>
              <w:rPr>
                <w:sz w:val="20"/>
                <w:szCs w:val="20"/>
              </w:rPr>
            </w:pPr>
            <w:r>
              <w:rPr>
                <w:b/>
                <w:sz w:val="20"/>
                <w:szCs w:val="20"/>
              </w:rPr>
              <w:t>Suma k  31.12.2024</w:t>
            </w:r>
          </w:p>
        </w:tc>
      </w:tr>
      <w:tr>
        <w:trPr>
          <w:trHeight w:val="310" w:hRule="atLeast"/>
        </w:trPr>
        <w:tc>
          <w:tcPr>
            <w:tcW w:w="7079" w:type="dxa"/>
            <w:gridSpan w:val="2"/>
            <w:tcBorders>
              <w:top w:val="single" w:sz="4" w:space="0" w:color="000000"/>
              <w:left w:val="single" w:sz="4" w:space="0" w:color="000000"/>
              <w:bottom w:val="single" w:sz="4" w:space="0" w:color="000000"/>
            </w:tcBorders>
            <w:shd w:color="auto" w:fill="FFFF99" w:val="clear"/>
            <w:vAlign w:val="center"/>
          </w:tcPr>
          <w:p>
            <w:pPr>
              <w:pStyle w:val="Normal"/>
              <w:rPr>
                <w:sz w:val="20"/>
                <w:szCs w:val="20"/>
              </w:rPr>
            </w:pPr>
            <w:r>
              <w:rPr>
                <w:b/>
                <w:sz w:val="20"/>
                <w:szCs w:val="20"/>
              </w:rPr>
              <w:t>Výsledok hospodárenia pred zdanením</w:t>
            </w:r>
          </w:p>
        </w:tc>
        <w:tc>
          <w:tcPr>
            <w:tcW w:w="1260"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sz w:val="20"/>
                <w:szCs w:val="20"/>
              </w:rPr>
            </w:pPr>
            <w:r>
              <w:rPr>
                <w:b/>
                <w:sz w:val="20"/>
                <w:szCs w:val="20"/>
              </w:rPr>
              <w:t>25.683,52</w:t>
            </w:r>
          </w:p>
        </w:tc>
        <w:tc>
          <w:tcPr>
            <w:tcW w:w="157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sz w:val="20"/>
                <w:szCs w:val="20"/>
              </w:rPr>
            </w:pPr>
            <w:r>
              <w:rPr>
                <w:b/>
                <w:sz w:val="20"/>
                <w:szCs w:val="20"/>
              </w:rPr>
              <w:t>3.316,25</w:t>
            </w:r>
          </w:p>
        </w:tc>
      </w:tr>
      <w:tr>
        <w:trPr/>
        <w:tc>
          <w:tcPr>
            <w:tcW w:w="1116" w:type="dxa"/>
            <w:tcBorders>
              <w:top w:val="single" w:sz="4" w:space="0" w:color="000000"/>
              <w:left w:val="single" w:sz="4" w:space="0" w:color="000000"/>
              <w:bottom w:val="single" w:sz="4" w:space="0" w:color="000000"/>
            </w:tcBorders>
            <w:shd w:fill="auto" w:val="clear"/>
          </w:tcPr>
          <w:p>
            <w:pPr>
              <w:pStyle w:val="Normal"/>
              <w:jc w:val="center"/>
              <w:rPr>
                <w:sz w:val="20"/>
                <w:szCs w:val="20"/>
              </w:rPr>
            </w:pPr>
            <w:r>
              <w:rPr>
                <w:sz w:val="20"/>
                <w:szCs w:val="20"/>
              </w:rPr>
              <w:t>591</w:t>
            </w:r>
          </w:p>
        </w:tc>
        <w:tc>
          <w:tcPr>
            <w:tcW w:w="5963"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Splatná daň z príjmov</w:t>
            </w:r>
          </w:p>
        </w:tc>
        <w:tc>
          <w:tcPr>
            <w:tcW w:w="1260"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5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c>
          <w:tcPr>
            <w:tcW w:w="1116" w:type="dxa"/>
            <w:tcBorders>
              <w:top w:val="single" w:sz="4" w:space="0" w:color="000000"/>
              <w:left w:val="single" w:sz="4" w:space="0" w:color="000000"/>
              <w:bottom w:val="single" w:sz="4" w:space="0" w:color="000000"/>
            </w:tcBorders>
            <w:shd w:fill="auto" w:val="clear"/>
          </w:tcPr>
          <w:p>
            <w:pPr>
              <w:pStyle w:val="Normal"/>
              <w:jc w:val="center"/>
              <w:rPr>
                <w:sz w:val="20"/>
                <w:szCs w:val="20"/>
              </w:rPr>
            </w:pPr>
            <w:r>
              <w:rPr>
                <w:sz w:val="20"/>
                <w:szCs w:val="20"/>
              </w:rPr>
              <w:t>595</w:t>
            </w:r>
          </w:p>
        </w:tc>
        <w:tc>
          <w:tcPr>
            <w:tcW w:w="5963" w:type="dxa"/>
            <w:tcBorders>
              <w:top w:val="single" w:sz="4" w:space="0" w:color="000000"/>
              <w:left w:val="single" w:sz="4" w:space="0" w:color="000000"/>
              <w:bottom w:val="single" w:sz="4" w:space="0" w:color="000000"/>
            </w:tcBorders>
            <w:shd w:fill="auto" w:val="clear"/>
          </w:tcPr>
          <w:p>
            <w:pPr>
              <w:pStyle w:val="Normal"/>
              <w:rPr>
                <w:sz w:val="20"/>
                <w:szCs w:val="20"/>
              </w:rPr>
            </w:pPr>
            <w:r>
              <w:rPr>
                <w:sz w:val="20"/>
                <w:szCs w:val="20"/>
              </w:rPr>
              <w:t>Dodatočne platená daň z príjmov</w:t>
            </w:r>
          </w:p>
        </w:tc>
        <w:tc>
          <w:tcPr>
            <w:tcW w:w="1260" w:type="dxa"/>
            <w:tcBorders>
              <w:top w:val="single" w:sz="4" w:space="0" w:color="000000"/>
              <w:left w:val="single" w:sz="4" w:space="0" w:color="000000"/>
              <w:bottom w:val="single" w:sz="4" w:space="0" w:color="000000"/>
            </w:tcBorders>
            <w:shd w:fill="auto" w:val="clear"/>
            <w:vAlign w:val="center"/>
          </w:tcPr>
          <w:p>
            <w:pPr>
              <w:pStyle w:val="Normal"/>
              <w:snapToGrid w:val="false"/>
              <w:jc w:val="right"/>
              <w:rPr>
                <w:sz w:val="20"/>
                <w:szCs w:val="20"/>
              </w:rPr>
            </w:pPr>
            <w:r>
              <w:rPr>
                <w:sz w:val="20"/>
                <w:szCs w:val="20"/>
              </w:rPr>
              <w:t>0,00</w:t>
            </w:r>
          </w:p>
        </w:tc>
        <w:tc>
          <w:tcPr>
            <w:tcW w:w="157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jc w:val="right"/>
              <w:rPr>
                <w:sz w:val="20"/>
                <w:szCs w:val="20"/>
              </w:rPr>
            </w:pPr>
            <w:r>
              <w:rPr>
                <w:sz w:val="20"/>
                <w:szCs w:val="20"/>
              </w:rPr>
              <w:t>0,00</w:t>
            </w:r>
          </w:p>
        </w:tc>
      </w:tr>
      <w:tr>
        <w:trPr>
          <w:trHeight w:val="436" w:hRule="atLeast"/>
        </w:trPr>
        <w:tc>
          <w:tcPr>
            <w:tcW w:w="7079" w:type="dxa"/>
            <w:gridSpan w:val="2"/>
            <w:tcBorders>
              <w:top w:val="single" w:sz="4" w:space="0" w:color="000000"/>
              <w:left w:val="single" w:sz="4" w:space="0" w:color="000000"/>
              <w:bottom w:val="single" w:sz="4" w:space="0" w:color="000000"/>
            </w:tcBorders>
            <w:shd w:color="auto" w:fill="FFFF99" w:val="clear"/>
            <w:vAlign w:val="center"/>
          </w:tcPr>
          <w:p>
            <w:pPr>
              <w:pStyle w:val="Normal"/>
              <w:rPr>
                <w:sz w:val="20"/>
                <w:szCs w:val="20"/>
              </w:rPr>
            </w:pPr>
            <w:r>
              <w:rPr>
                <w:b/>
                <w:sz w:val="20"/>
                <w:szCs w:val="20"/>
              </w:rPr>
              <w:t>Výsledok hospodárenia po zdanení</w:t>
            </w:r>
          </w:p>
        </w:tc>
        <w:tc>
          <w:tcPr>
            <w:tcW w:w="1260" w:type="dxa"/>
            <w:tcBorders>
              <w:top w:val="single" w:sz="4" w:space="0" w:color="000000"/>
              <w:left w:val="single" w:sz="4" w:space="0" w:color="000000"/>
              <w:bottom w:val="single" w:sz="4" w:space="0" w:color="000000"/>
            </w:tcBorders>
            <w:shd w:color="auto" w:fill="FFFF99" w:val="clear"/>
            <w:vAlign w:val="center"/>
          </w:tcPr>
          <w:p>
            <w:pPr>
              <w:pStyle w:val="Normal"/>
              <w:snapToGrid w:val="false"/>
              <w:jc w:val="right"/>
              <w:rPr>
                <w:sz w:val="20"/>
                <w:szCs w:val="20"/>
              </w:rPr>
            </w:pPr>
            <w:r>
              <w:rPr>
                <w:b/>
                <w:sz w:val="20"/>
                <w:szCs w:val="20"/>
              </w:rPr>
              <w:t>25.683,52</w:t>
            </w:r>
          </w:p>
        </w:tc>
        <w:tc>
          <w:tcPr>
            <w:tcW w:w="1575"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Normal"/>
              <w:snapToGrid w:val="false"/>
              <w:jc w:val="right"/>
              <w:rPr>
                <w:sz w:val="20"/>
                <w:szCs w:val="20"/>
              </w:rPr>
            </w:pPr>
            <w:r>
              <w:rPr>
                <w:b/>
                <w:sz w:val="20"/>
                <w:szCs w:val="20"/>
              </w:rPr>
              <w:t>3.316,25</w:t>
            </w:r>
          </w:p>
        </w:tc>
      </w:tr>
    </w:tbl>
    <w:p>
      <w:pPr>
        <w:pStyle w:val="Normal"/>
        <w:tabs>
          <w:tab w:val="clear" w:pos="708"/>
          <w:tab w:val="left" w:pos="1087" w:leader="none"/>
        </w:tabs>
        <w:jc w:val="both"/>
        <w:rPr>
          <w:b/>
          <w:color w:val="C9211E"/>
          <w:sz w:val="28"/>
          <w:szCs w:val="28"/>
        </w:rPr>
      </w:pPr>
      <w:r>
        <w:rPr>
          <w:b/>
          <w:color w:val="C9211E"/>
          <w:sz w:val="28"/>
          <w:szCs w:val="28"/>
        </w:rPr>
      </w:r>
    </w:p>
    <w:p>
      <w:pPr>
        <w:pStyle w:val="Normal"/>
        <w:tabs>
          <w:tab w:val="clear" w:pos="708"/>
          <w:tab w:val="left" w:pos="1087" w:leader="none"/>
        </w:tabs>
        <w:jc w:val="both"/>
        <w:rPr>
          <w:color w:val="000000"/>
        </w:rPr>
      </w:pPr>
      <w:r>
        <w:rPr>
          <w:b/>
          <w:color w:val="000000"/>
          <w:sz w:val="28"/>
          <w:szCs w:val="28"/>
        </w:rPr>
        <w:t>7. Konsolidovaná účtovná závierka</w:t>
      </w:r>
    </w:p>
    <w:p>
      <w:pPr>
        <w:pStyle w:val="BodyText"/>
        <w:tabs>
          <w:tab w:val="clear" w:pos="708"/>
          <w:tab w:val="left" w:pos="360" w:leader="none"/>
        </w:tabs>
        <w:jc w:val="both"/>
        <w:rPr>
          <w:color w:val="C9211E"/>
        </w:rPr>
      </w:pPr>
      <w:r>
        <w:rPr>
          <w:color w:val="C9211E"/>
          <w:sz w:val="24"/>
        </w:rPr>
        <w:tab/>
      </w:r>
    </w:p>
    <w:p>
      <w:pPr>
        <w:pStyle w:val="Normal"/>
        <w:rPr>
          <w:color w:val="C9211E"/>
        </w:rPr>
      </w:pPr>
      <w:r>
        <w:rPr>
          <w:b/>
          <w:color w:val="000000"/>
          <w:sz w:val="28"/>
          <w:szCs w:val="28"/>
        </w:rPr>
        <w:t>Konsolidovaný celok</w:t>
      </w:r>
    </w:p>
    <w:p>
      <w:pPr>
        <w:pStyle w:val="Normal"/>
        <w:spacing w:lineRule="atLeast" w:line="100"/>
        <w:jc w:val="both"/>
        <w:rPr>
          <w:color w:val="000000"/>
        </w:rPr>
      </w:pPr>
      <w:r>
        <w:rPr>
          <w:color w:val="000000"/>
        </w:rPr>
        <w:t xml:space="preserve">Obec </w:t>
      </w:r>
      <w:bookmarkStart w:id="8" w:name="OLE_LINK7"/>
      <w:bookmarkStart w:id="9" w:name="OLE_LINK8"/>
      <w:bookmarkStart w:id="10" w:name="OLE_LINK9"/>
      <w:bookmarkStart w:id="11" w:name="OLE_LINK10"/>
      <w:bookmarkStart w:id="12" w:name="OLE_LINK11"/>
      <w:bookmarkStart w:id="13" w:name="OLE_LINK12"/>
      <w:bookmarkStart w:id="14" w:name="OLE_LINK13"/>
      <w:bookmarkStart w:id="15" w:name="OLE_LINK14"/>
      <w:r>
        <w:rPr>
          <w:color w:val="000000"/>
        </w:rPr>
        <w:t xml:space="preserve">Smrečany </w:t>
      </w:r>
      <w:bookmarkEnd w:id="8"/>
      <w:bookmarkEnd w:id="9"/>
      <w:bookmarkEnd w:id="10"/>
      <w:bookmarkEnd w:id="11"/>
      <w:bookmarkEnd w:id="12"/>
      <w:bookmarkEnd w:id="13"/>
      <w:bookmarkEnd w:id="14"/>
      <w:bookmarkEnd w:id="15"/>
      <w:r>
        <w:rPr>
          <w:color w:val="000000"/>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color w:val="000000"/>
          <w:highlight w:val="red"/>
        </w:rPr>
      </w:pPr>
      <w:r>
        <w:rPr>
          <w:color w:val="000000"/>
          <w:highlight w:val="red"/>
        </w:rPr>
      </w:r>
    </w:p>
    <w:p>
      <w:pPr>
        <w:pStyle w:val="Normal"/>
        <w:jc w:val="both"/>
        <w:rPr>
          <w:color w:val="C9211E"/>
        </w:rPr>
      </w:pPr>
      <w:r>
        <w:rPr>
          <w:b/>
          <w:bCs/>
          <w:color w:val="000000"/>
        </w:rPr>
        <w:t xml:space="preserve">a) Rozpočtová  organizácia, ktorej zriaďovateľom je Obec </w:t>
      </w:r>
      <w:r>
        <w:rPr>
          <w:b/>
          <w:color w:val="000000"/>
        </w:rPr>
        <w:t>Smrečany</w:t>
      </w:r>
      <w:r>
        <w:rPr>
          <w:b/>
          <w:bCs/>
          <w:color w:val="000000"/>
        </w:rPr>
        <w:t>:</w:t>
      </w:r>
    </w:p>
    <w:p>
      <w:pPr>
        <w:pStyle w:val="Normal"/>
        <w:jc w:val="both"/>
        <w:rPr>
          <w:color w:val="C9211E"/>
        </w:rPr>
      </w:pPr>
      <w:r>
        <w:rPr>
          <w:b/>
          <w:bCs/>
          <w:color w:val="000000"/>
        </w:rPr>
        <w:t>Materská školou Smrečany</w:t>
      </w:r>
    </w:p>
    <w:p>
      <w:pPr>
        <w:pStyle w:val="Normal"/>
        <w:rPr>
          <w:color w:val="C9211E"/>
        </w:rPr>
      </w:pPr>
      <w:r>
        <w:rPr>
          <w:b/>
          <w:bCs/>
          <w:color w:val="000000"/>
        </w:rPr>
        <w:t>Adresa:</w:t>
      </w:r>
      <w:r>
        <w:rPr>
          <w:color w:val="000000"/>
        </w:rPr>
        <w:t xml:space="preserve"> Smrečany 117, 032 05  Smrečany </w:t>
      </w:r>
    </w:p>
    <w:p>
      <w:pPr>
        <w:pStyle w:val="Normal"/>
        <w:rPr>
          <w:color w:val="C9211E"/>
        </w:rPr>
      </w:pPr>
      <w:r>
        <w:rPr>
          <w:b/>
          <w:bCs/>
          <w:color w:val="000000"/>
        </w:rPr>
        <w:t xml:space="preserve">Riaditeľ: </w:t>
      </w:r>
      <w:r>
        <w:rPr>
          <w:color w:val="000000"/>
        </w:rPr>
        <w:t>Vladimíra Kubincová</w:t>
      </w:r>
    </w:p>
    <w:p>
      <w:pPr>
        <w:pStyle w:val="Normal"/>
        <w:jc w:val="both"/>
        <w:rPr>
          <w:color w:val="C9211E"/>
        </w:rPr>
      </w:pPr>
      <w:r>
        <w:rPr>
          <w:color w:val="000000"/>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color w:val="C9211E"/>
        </w:rPr>
      </w:pPr>
      <w:r>
        <w:rPr>
          <w:rFonts w:eastAsia="TimesNewRoman" w:cs="TimesNewRoman" w:ascii="TimesNewRoman" w:hAnsi="TimesNewRoman"/>
          <w:color w:val="000000"/>
        </w:rPr>
        <w:tab/>
      </w:r>
      <w:r>
        <w:rPr>
          <w:color w:val="000000"/>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color w:val="000000"/>
        </w:rPr>
        <w:t>č</w:t>
      </w:r>
      <w:r>
        <w:rPr>
          <w:color w:val="000000"/>
        </w:rPr>
        <w:t>ovaní položiek konsolidovanej ú</w:t>
      </w:r>
      <w:r>
        <w:rPr>
          <w:rFonts w:eastAsia="TimesNewRoman" w:cs="TimesNewRoman"/>
          <w:color w:val="000000"/>
        </w:rPr>
        <w:t>č</w:t>
      </w:r>
      <w:r>
        <w:rPr>
          <w:color w:val="000000"/>
        </w:rPr>
        <w:t>tovnej závierky vo verejnej správe v súlade s §22 ods. 13 citovaného zákona o ú</w:t>
      </w:r>
      <w:r>
        <w:rPr>
          <w:rFonts w:eastAsia="TimesNewRoman" w:cs="TimesNewRoman"/>
          <w:color w:val="000000"/>
        </w:rPr>
        <w:t>č</w:t>
      </w:r>
      <w:r>
        <w:rPr>
          <w:color w:val="000000"/>
        </w:rPr>
        <w:t>tovníctve boli konsolidovaným ú</w:t>
      </w:r>
      <w:r>
        <w:rPr>
          <w:rFonts w:eastAsia="TimesNewRoman" w:cs="TimesNewRoman"/>
          <w:color w:val="000000"/>
        </w:rPr>
        <w:t>č</w:t>
      </w:r>
      <w:r>
        <w:rPr>
          <w:color w:val="000000"/>
        </w:rPr>
        <w:t>tovným jednotkám Obce Smrečany  zaslané informácie k príprave na konsolidovanú ú</w:t>
      </w:r>
      <w:r>
        <w:rPr>
          <w:rFonts w:eastAsia="TimesNewRoman" w:cs="TimesNewRoman"/>
          <w:color w:val="000000"/>
        </w:rPr>
        <w:t>č</w:t>
      </w:r>
      <w:r>
        <w:rPr>
          <w:color w:val="000000"/>
        </w:rPr>
        <w:t>tovnú závierku za rok 2024 listom, ktorým bola oznámená povinnosť Obce Smrečany a ním založených a zriadených organizácii vykona</w:t>
      </w:r>
      <w:r>
        <w:rPr>
          <w:rFonts w:eastAsia="TimesNewRoman" w:cs="TimesNewRoman"/>
          <w:color w:val="000000"/>
        </w:rPr>
        <w:t xml:space="preserve">ť </w:t>
      </w:r>
      <w:r>
        <w:rPr>
          <w:color w:val="000000"/>
        </w:rPr>
        <w:t>konsolidovanú účtovnú závierku.</w:t>
      </w:r>
    </w:p>
    <w:p>
      <w:pPr>
        <w:pStyle w:val="Normal"/>
        <w:jc w:val="both"/>
        <w:rPr>
          <w:color w:val="C9211E"/>
        </w:rPr>
      </w:pPr>
      <w:r>
        <w:rPr>
          <w:color w:val="000000"/>
        </w:rPr>
        <w:t xml:space="preserve">Vzhľadom na štruktúru konsolidovaných účtovných jednotiek a majetkovú účasť Obce Smrečany je </w:t>
      </w:r>
      <w:r>
        <w:rPr>
          <w:b/>
          <w:color w:val="000000"/>
        </w:rPr>
        <w:t>vo vzťahu k rozpočtovej organizácii použitá metóda úplnej konsolidácie</w:t>
      </w:r>
      <w:r>
        <w:rPr>
          <w:color w:val="000000"/>
        </w:rPr>
        <w:t>.</w:t>
      </w:r>
    </w:p>
    <w:p>
      <w:pPr>
        <w:pStyle w:val="Normal"/>
        <w:jc w:val="both"/>
        <w:rPr>
          <w:color w:val="C9211E"/>
        </w:rPr>
      </w:pPr>
      <w:r>
        <w:rPr>
          <w:color w:val="000000"/>
        </w:rPr>
        <w:tab/>
      </w:r>
    </w:p>
    <w:p>
      <w:pPr>
        <w:pStyle w:val="Normal"/>
        <w:ind w:firstLine="708"/>
        <w:jc w:val="both"/>
        <w:rPr>
          <w:color w:val="C9211E"/>
        </w:rPr>
      </w:pPr>
      <w:r>
        <w:rPr>
          <w:color w:val="000000"/>
        </w:rPr>
        <w:t>Obec Smrečany vlastní podiely v :</w:t>
      </w:r>
    </w:p>
    <w:p>
      <w:pPr>
        <w:pStyle w:val="Normal"/>
        <w:jc w:val="both"/>
        <w:rPr>
          <w:color w:val="C9211E"/>
        </w:rPr>
      </w:pPr>
      <w:r>
        <w:rPr>
          <w:b/>
          <w:bCs/>
          <w:color w:val="000000"/>
        </w:rPr>
        <w:t>Liptovská vodárenská spoločnosť, a. s.</w:t>
      </w:r>
      <w:r>
        <w:rPr>
          <w:color w:val="000000"/>
        </w:rPr>
        <w:t>, kde podiel na základnom imaní nespĺňajú podmienky na zahrnutie do konsolidovaného celku.</w:t>
      </w:r>
    </w:p>
    <w:p>
      <w:pPr>
        <w:pStyle w:val="Normal"/>
        <w:jc w:val="both"/>
        <w:rPr>
          <w:color w:val="000000"/>
        </w:rPr>
      </w:pPr>
      <w:r>
        <w:rPr>
          <w:color w:val="000000"/>
        </w:rPr>
      </w:r>
    </w:p>
    <w:p>
      <w:pPr>
        <w:pStyle w:val="Normal"/>
        <w:jc w:val="both"/>
        <w:rPr>
          <w:color w:val="C9211E"/>
        </w:rPr>
      </w:pPr>
      <w:r>
        <w:rPr>
          <w:b/>
          <w:color w:val="000000"/>
        </w:rPr>
        <w:t>Konsolidácia účtovnej závierky sa skladá zo 4 krokov</w:t>
      </w:r>
    </w:p>
    <w:p>
      <w:pPr>
        <w:pStyle w:val="Normal"/>
        <w:jc w:val="both"/>
        <w:rPr>
          <w:color w:val="000000"/>
          <w:sz w:val="16"/>
          <w:szCs w:val="16"/>
        </w:rPr>
      </w:pPr>
      <w:r>
        <w:rPr>
          <w:color w:val="000000"/>
          <w:sz w:val="16"/>
          <w:szCs w:val="16"/>
        </w:rPr>
      </w:r>
    </w:p>
    <w:p>
      <w:pPr>
        <w:pStyle w:val="Normal"/>
        <w:jc w:val="both"/>
        <w:rPr>
          <w:color w:val="C9211E"/>
        </w:rPr>
      </w:pPr>
      <w:r>
        <w:rPr>
          <w:b/>
          <w:color w:val="000000"/>
        </w:rPr>
        <w:t>1. Konsolidácia kapitálu (nevzťahuje sa na RO, PO)</w:t>
      </w:r>
    </w:p>
    <w:p>
      <w:pPr>
        <w:pStyle w:val="Normal"/>
        <w:jc w:val="both"/>
        <w:rPr>
          <w:color w:val="C9211E"/>
        </w:rPr>
      </w:pPr>
      <w:r>
        <w:rPr>
          <w:color w:val="000000"/>
        </w:rPr>
        <w:t>V tomto kroku sa vylučuje tá časť podielu materskej spoločnosti (dlhodobý finančný majetok - aktíva) v dcérskej účtovnej jednotke, ktorá pripadá na majetok a záväzky v konsolidovanej účtovnej jednotke.</w:t>
      </w:r>
    </w:p>
    <w:p>
      <w:pPr>
        <w:pStyle w:val="Normal"/>
        <w:jc w:val="both"/>
        <w:rPr>
          <w:color w:val="C9211E"/>
        </w:rPr>
      </w:pPr>
      <w:r>
        <w:rPr>
          <w:b/>
          <w:color w:val="000000"/>
        </w:rPr>
        <w:t>2. Konsolidácia pohľadávok a záväzkov</w:t>
      </w:r>
    </w:p>
    <w:p>
      <w:pPr>
        <w:pStyle w:val="Normal"/>
        <w:jc w:val="both"/>
        <w:rPr>
          <w:color w:val="C9211E"/>
        </w:rPr>
      </w:pPr>
      <w:r>
        <w:rPr>
          <w:color w:val="000000"/>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color w:val="C9211E"/>
        </w:rPr>
      </w:pPr>
      <w:r>
        <w:rPr>
          <w:color w:val="000000"/>
        </w:rPr>
        <w:t xml:space="preserve">a) Pravé (vytvorené napr. rezervami, opravnými položkami vo vzájomných vzťahoch). </w:t>
      </w:r>
    </w:p>
    <w:p>
      <w:pPr>
        <w:pStyle w:val="Normal"/>
        <w:jc w:val="both"/>
        <w:rPr>
          <w:color w:val="C9211E"/>
        </w:rPr>
      </w:pPr>
      <w:r>
        <w:rPr>
          <w:color w:val="000000"/>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color w:val="C9211E"/>
        </w:rPr>
      </w:pPr>
      <w:r>
        <w:rPr>
          <w:color w:val="000000"/>
        </w:rPr>
        <w:t>b) Nepravé (vytvorené napr. chybným zaúčtovaním, časovým posunom v zaúčtovaní a pod.).</w:t>
      </w:r>
    </w:p>
    <w:p>
      <w:pPr>
        <w:pStyle w:val="Normal"/>
        <w:jc w:val="both"/>
        <w:rPr>
          <w:color w:val="C9211E"/>
        </w:rPr>
      </w:pPr>
      <w:r>
        <w:rPr>
          <w:color w:val="000000"/>
        </w:rPr>
        <w:t>Nepravé rozdiely budú vysporiadané v procese odsúhlasovania zostatkov záväzkov a pohľadávok, resp. v rámci konsolidačných operácií mesta a konsolidovaných ÚJ.</w:t>
      </w:r>
    </w:p>
    <w:p>
      <w:pPr>
        <w:pStyle w:val="Normal"/>
        <w:jc w:val="both"/>
        <w:rPr>
          <w:color w:val="C9211E"/>
        </w:rPr>
      </w:pPr>
      <w:r>
        <w:rPr>
          <w:b/>
          <w:color w:val="000000"/>
        </w:rPr>
        <w:t>3. Konsolidácia medzivýsledku</w:t>
      </w:r>
    </w:p>
    <w:p>
      <w:pPr>
        <w:pStyle w:val="Normal"/>
        <w:jc w:val="both"/>
        <w:rPr>
          <w:color w:val="C9211E"/>
        </w:rPr>
      </w:pPr>
      <w:r>
        <w:rPr>
          <w:color w:val="000000"/>
        </w:rPr>
        <w:t>Konsolidácia medzivýsledku vzniká medzi 2 účtovnými jednotkami pri predaji majetku medzi nimi dvomi, pričom ocenenie majetku kupujúceho je vyššie, než bolo ocenenie majetku, ak by k tejto transakcii nedošlo.</w:t>
      </w:r>
    </w:p>
    <w:p>
      <w:pPr>
        <w:pStyle w:val="Normal"/>
        <w:jc w:val="both"/>
        <w:rPr>
          <w:color w:val="C9211E"/>
        </w:rPr>
      </w:pPr>
      <w:r>
        <w:rPr>
          <w:b/>
          <w:color w:val="000000"/>
        </w:rPr>
        <w:t xml:space="preserve">4. Konsolidácia nákladov a výnosov </w:t>
      </w:r>
      <w:r>
        <w:rPr>
          <w:color w:val="000000"/>
        </w:rPr>
        <w:t>Konsolidácia nákladov a výnosov eliminuje z výkazov ziskov a strát vzájomné transakcie v konsolidačnom celku identifikované účtovnou jednotkou (identifikátorom je IČO organizácie).</w:t>
      </w:r>
    </w:p>
    <w:p>
      <w:pPr>
        <w:pStyle w:val="Normal"/>
        <w:rPr/>
      </w:pPr>
      <w:r>
        <w:rPr>
          <w:b/>
          <w:sz w:val="28"/>
          <w:szCs w:val="28"/>
        </w:rPr>
        <w:t>Hospodárenie konsolidovaného celku za rok 2024</w:t>
      </w:r>
    </w:p>
    <w:p>
      <w:pPr>
        <w:pStyle w:val="Normal"/>
        <w:rPr/>
      </w:pPr>
      <w:r>
        <w:rPr/>
      </w:r>
    </w:p>
    <w:p>
      <w:pPr>
        <w:pStyle w:val="Normal"/>
        <w:tabs>
          <w:tab w:val="clear" w:pos="708"/>
          <w:tab w:val="left" w:pos="360" w:leader="none"/>
        </w:tabs>
        <w:jc w:val="both"/>
        <w:rPr/>
      </w:pPr>
      <w:r>
        <w:rPr>
          <w:b/>
        </w:rPr>
        <w:t>Údaje konsolidovanej súvahy obce Smrečany uvádzame v nasledovnej tabuľke</w:t>
      </w:r>
    </w:p>
    <w:p>
      <w:pPr>
        <w:pStyle w:val="Normal"/>
        <w:tabs>
          <w:tab w:val="clear" w:pos="708"/>
          <w:tab w:val="left" w:pos="360" w:leader="none"/>
        </w:tabs>
        <w:jc w:val="both"/>
        <w:rPr>
          <w:b/>
          <w:color w:val="C9211E"/>
          <w:highlight w:val="red"/>
        </w:rPr>
      </w:pPr>
      <w:r>
        <w:rPr>
          <w:b/>
          <w:color w:val="C9211E"/>
          <w:highlight w:val="red"/>
        </w:rPr>
      </w:r>
    </w:p>
    <w:tbl>
      <w:tblPr>
        <w:tblW w:w="9750" w:type="dxa"/>
        <w:jc w:val="left"/>
        <w:tblInd w:w="94" w:type="dxa"/>
        <w:tblLayout w:type="fixed"/>
        <w:tblCellMar>
          <w:top w:w="55" w:type="dxa"/>
          <w:left w:w="45" w:type="dxa"/>
          <w:bottom w:w="55" w:type="dxa"/>
          <w:right w:w="55" w:type="dxa"/>
        </w:tblCellMar>
        <w:tblLook w:firstRow="0" w:noVBand="0" w:lastRow="0" w:firstColumn="0" w:lastColumn="0" w:noHBand="0" w:val="0000"/>
      </w:tblPr>
      <w:tblGrid>
        <w:gridCol w:w="1529"/>
        <w:gridCol w:w="1245"/>
        <w:gridCol w:w="1140"/>
        <w:gridCol w:w="1291"/>
        <w:gridCol w:w="990"/>
        <w:gridCol w:w="885"/>
        <w:gridCol w:w="1425"/>
        <w:gridCol w:w="1243"/>
      </w:tblGrid>
      <w:tr>
        <w:trPr>
          <w:trHeight w:val="276" w:hRule="atLeast"/>
        </w:trPr>
        <w:tc>
          <w:tcPr>
            <w:tcW w:w="1529" w:type="dxa"/>
            <w:tcBorders>
              <w:top w:val="single" w:sz="4" w:space="0" w:color="000000"/>
              <w:left w:val="single" w:sz="4" w:space="0" w:color="000000"/>
              <w:bottom w:val="single" w:sz="4" w:space="0" w:color="000000"/>
            </w:tcBorders>
            <w:shd w:color="auto" w:fill="8DB3E2" w:val="clear"/>
          </w:tcPr>
          <w:p>
            <w:pPr>
              <w:pStyle w:val="Obsahtabuky"/>
              <w:snapToGrid w:val="false"/>
              <w:rPr>
                <w:sz w:val="20"/>
                <w:szCs w:val="20"/>
              </w:rPr>
            </w:pPr>
            <w:r>
              <w:rPr>
                <w:b/>
                <w:bCs/>
                <w:sz w:val="20"/>
                <w:szCs w:val="20"/>
              </w:rPr>
              <w:t>Aktíva</w:t>
            </w:r>
          </w:p>
        </w:tc>
        <w:tc>
          <w:tcPr>
            <w:tcW w:w="124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1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MŠ</w:t>
            </w:r>
          </w:p>
        </w:tc>
        <w:tc>
          <w:tcPr>
            <w:tcW w:w="129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99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Md</w:t>
            </w:r>
          </w:p>
        </w:tc>
        <w:tc>
          <w:tcPr>
            <w:tcW w:w="88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Dal</w:t>
            </w:r>
          </w:p>
        </w:tc>
        <w:tc>
          <w:tcPr>
            <w:tcW w:w="142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w:t>
            </w:r>
            <w:r>
              <w:rPr>
                <w:b/>
                <w:bCs/>
                <w:sz w:val="20"/>
                <w:szCs w:val="20"/>
              </w:rPr>
              <w:t>3</w:t>
            </w:r>
          </w:p>
        </w:tc>
        <w:tc>
          <w:tcPr>
            <w:tcW w:w="124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DNM</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3.744,23</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3.744,23</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3.686,14</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center"/>
              <w:rPr>
                <w:sz w:val="20"/>
                <w:szCs w:val="20"/>
              </w:rPr>
            </w:pPr>
            <w:r>
              <w:rPr>
                <w:sz w:val="20"/>
                <w:szCs w:val="20"/>
              </w:rPr>
              <w:t>3.744,23</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DHM</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1.009.933,70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1.009.933,70</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961.393,71</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1.009.933,70</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DFM</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161.152,80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161.152,80</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161.152,80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161.152,80</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Zásob</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3.916,82</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39,87</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3.956,69</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481,05</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3.956,69</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Zaúčt.OP RO</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Iné pohľad.</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3.685,30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Pohľadávky</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530,70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55,84</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586,54</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3.857,12</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586,54</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Zaúčt.sub.VS</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 účty</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237.939,59</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6.197,87</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244.137,46</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301.003,52</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244.137,46</w:t>
            </w:r>
          </w:p>
        </w:tc>
      </w:tr>
      <w:tr>
        <w:trPr>
          <w:trHeight w:val="276" w:hRule="atLeast"/>
        </w:trPr>
        <w:tc>
          <w:tcPr>
            <w:tcW w:w="1529"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Čas.rozlíš.</w:t>
            </w:r>
          </w:p>
        </w:tc>
        <w:tc>
          <w:tcPr>
            <w:tcW w:w="124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1.907,16</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135,47</w:t>
            </w:r>
          </w:p>
        </w:tc>
        <w:tc>
          <w:tcPr>
            <w:tcW w:w="129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2.042,63</w:t>
            </w:r>
          </w:p>
        </w:tc>
        <w:tc>
          <w:tcPr>
            <w:tcW w:w="99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135,47</w:t>
            </w:r>
          </w:p>
        </w:tc>
        <w:tc>
          <w:tcPr>
            <w:tcW w:w="14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1.592,49</w:t>
            </w:r>
          </w:p>
        </w:tc>
        <w:tc>
          <w:tcPr>
            <w:tcW w:w="1243"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1.907,16</w:t>
            </w:r>
          </w:p>
        </w:tc>
      </w:tr>
      <w:tr>
        <w:trPr>
          <w:trHeight w:val="276" w:hRule="atLeast"/>
        </w:trPr>
        <w:tc>
          <w:tcPr>
            <w:tcW w:w="1529"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b/>
                <w:bCs/>
              </w:rPr>
            </w:pPr>
            <w:r>
              <w:rPr>
                <w:b/>
                <w:bCs/>
                <w:sz w:val="20"/>
                <w:szCs w:val="20"/>
              </w:rPr>
              <w:t>Majetok spolu</w:t>
            </w:r>
          </w:p>
        </w:tc>
        <w:tc>
          <w:tcPr>
            <w:tcW w:w="124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1.419.125,00</w:t>
            </w:r>
          </w:p>
        </w:tc>
        <w:tc>
          <w:tcPr>
            <w:tcW w:w="1140"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6.429,05</w:t>
            </w:r>
          </w:p>
        </w:tc>
        <w:tc>
          <w:tcPr>
            <w:tcW w:w="1291"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1.425.554,05</w:t>
            </w:r>
          </w:p>
        </w:tc>
        <w:tc>
          <w:tcPr>
            <w:tcW w:w="990"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88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135,47</w:t>
            </w:r>
          </w:p>
        </w:tc>
        <w:tc>
          <w:tcPr>
            <w:tcW w:w="142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1.436.852,13</w:t>
            </w:r>
          </w:p>
        </w:tc>
        <w:tc>
          <w:tcPr>
            <w:tcW w:w="124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b/>
                <w:bCs/>
              </w:rPr>
            </w:pPr>
            <w:r>
              <w:rPr>
                <w:b/>
                <w:bCs/>
                <w:sz w:val="20"/>
                <w:szCs w:val="20"/>
              </w:rPr>
              <w:t>1.425.418,58</w:t>
            </w:r>
          </w:p>
        </w:tc>
      </w:tr>
      <w:tr>
        <w:trPr>
          <w:trHeight w:val="630" w:hRule="atLeast"/>
        </w:trPr>
        <w:tc>
          <w:tcPr>
            <w:tcW w:w="1529" w:type="dxa"/>
            <w:tcBorders>
              <w:top w:val="single" w:sz="4" w:space="0" w:color="000000"/>
              <w:left w:val="single" w:sz="4" w:space="0" w:color="000000"/>
              <w:bottom w:val="single" w:sz="4" w:space="0" w:color="000000"/>
            </w:tcBorders>
            <w:shd w:color="auto" w:fill="8DB3E2" w:val="clear"/>
          </w:tcPr>
          <w:p>
            <w:pPr>
              <w:pStyle w:val="Obsahtabuky"/>
              <w:snapToGrid w:val="false"/>
              <w:jc w:val="both"/>
              <w:rPr>
                <w:sz w:val="20"/>
                <w:szCs w:val="20"/>
              </w:rPr>
            </w:pPr>
            <w:r>
              <w:rPr>
                <w:b/>
                <w:bCs/>
                <w:sz w:val="20"/>
                <w:szCs w:val="20"/>
              </w:rPr>
              <w:t>Pasíva</w:t>
            </w:r>
          </w:p>
          <w:p>
            <w:pPr>
              <w:pStyle w:val="Obsahtabuky"/>
              <w:snapToGrid w:val="false"/>
              <w:jc w:val="both"/>
              <w:rPr>
                <w:b/>
                <w:bCs/>
                <w:sz w:val="20"/>
                <w:szCs w:val="20"/>
              </w:rPr>
            </w:pPr>
            <w:r>
              <w:rPr>
                <w:b/>
                <w:bCs/>
                <w:sz w:val="20"/>
                <w:szCs w:val="20"/>
              </w:rPr>
            </w:r>
          </w:p>
        </w:tc>
        <w:tc>
          <w:tcPr>
            <w:tcW w:w="124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1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MŠ</w:t>
            </w:r>
          </w:p>
        </w:tc>
        <w:tc>
          <w:tcPr>
            <w:tcW w:w="129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99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Md</w:t>
            </w:r>
          </w:p>
        </w:tc>
        <w:tc>
          <w:tcPr>
            <w:tcW w:w="88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w:t>
            </w:r>
          </w:p>
          <w:p>
            <w:pPr>
              <w:pStyle w:val="Obsahtabuky"/>
              <w:snapToGrid w:val="false"/>
              <w:jc w:val="center"/>
              <w:rPr>
                <w:sz w:val="20"/>
                <w:szCs w:val="20"/>
              </w:rPr>
            </w:pPr>
            <w:r>
              <w:rPr>
                <w:b/>
                <w:bCs/>
                <w:sz w:val="20"/>
                <w:szCs w:val="20"/>
              </w:rPr>
              <w:t>Dal</w:t>
            </w:r>
          </w:p>
        </w:tc>
        <w:tc>
          <w:tcPr>
            <w:tcW w:w="142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w:t>
            </w:r>
            <w:r>
              <w:rPr>
                <w:b/>
                <w:bCs/>
                <w:sz w:val="20"/>
                <w:szCs w:val="20"/>
              </w:rPr>
              <w:t>3</w:t>
            </w:r>
          </w:p>
        </w:tc>
        <w:tc>
          <w:tcPr>
            <w:tcW w:w="1243"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435"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Vlastné imanie</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1.246.999,32</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-542,91</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1.246.456,41</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1.240.988,09</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1.246.456,41</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Oceň. rozdiely</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0,00</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Fondy</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0,00</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Nevysp. HV</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1.243.683,07</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-1.247,11</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1.242.435,96</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1.218.002,36</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1.242.435,96</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bCs/>
                <w:sz w:val="20"/>
                <w:szCs w:val="20"/>
              </w:rPr>
              <w:t>Výsledok 2024</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3.316,25</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704,20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4.020,45</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22.985,73</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4.020,45</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Záväzky</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83.090,30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6.971,96</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90.062,26</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98.297,14</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90.062,26</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Rezervy</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1.250,00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1.250,00</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1.250,00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1.250,00</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Zaúčt.subj.VS</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617,40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617,40</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970,40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617,40</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Dlhodobé záv.</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1.086,60</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335,64</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1.422,24</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1.261,53</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1.422,24</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Krátkod. záv.</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13.024,26</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6.636,32</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19.660,58</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24.833,40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19.660,58</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sz w:val="20"/>
                <w:szCs w:val="20"/>
              </w:rPr>
            </w:pPr>
            <w:r>
              <w:rPr>
                <w:sz w:val="20"/>
                <w:szCs w:val="20"/>
              </w:rPr>
              <w:t>Bankové úvery</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67.112,04</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67.112,04</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sz w:val="20"/>
                <w:szCs w:val="20"/>
              </w:rPr>
            </w:pPr>
            <w:r>
              <w:rPr>
                <w:sz w:val="20"/>
                <w:szCs w:val="20"/>
              </w:rPr>
              <w:t>69.981,81</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sz w:val="20"/>
                <w:szCs w:val="20"/>
              </w:rPr>
            </w:pPr>
            <w:r>
              <w:rPr>
                <w:sz w:val="20"/>
                <w:szCs w:val="20"/>
              </w:rPr>
              <w:t>67.112,04</w:t>
            </w:r>
          </w:p>
        </w:tc>
      </w:tr>
      <w:tr>
        <w:trPr>
          <w:trHeight w:val="276" w:hRule="atLeast"/>
        </w:trPr>
        <w:tc>
          <w:tcPr>
            <w:tcW w:w="1529" w:type="dxa"/>
            <w:tcBorders>
              <w:top w:val="single" w:sz="4" w:space="0" w:color="000000"/>
              <w:left w:val="single" w:sz="4" w:space="0" w:color="000000"/>
              <w:bottom w:val="single" w:sz="4" w:space="0" w:color="000000"/>
            </w:tcBorders>
            <w:shd w:fill="auto" w:val="clear"/>
            <w:vAlign w:val="center"/>
          </w:tcPr>
          <w:p>
            <w:pPr>
              <w:pStyle w:val="Obsahtabuky"/>
              <w:snapToGrid w:val="false"/>
              <w:rPr>
                <w:b/>
                <w:bCs/>
              </w:rPr>
            </w:pPr>
            <w:r>
              <w:rPr>
                <w:b/>
                <w:bCs/>
                <w:sz w:val="20"/>
                <w:szCs w:val="20"/>
              </w:rPr>
              <w:t>Čas.rozlíšenie</w:t>
            </w:r>
          </w:p>
        </w:tc>
        <w:tc>
          <w:tcPr>
            <w:tcW w:w="124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89.035,38</w:t>
            </w:r>
          </w:p>
        </w:tc>
        <w:tc>
          <w:tcPr>
            <w:tcW w:w="114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0,00</w:t>
            </w:r>
          </w:p>
        </w:tc>
        <w:tc>
          <w:tcPr>
            <w:tcW w:w="1291"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89.035,38</w:t>
            </w:r>
          </w:p>
        </w:tc>
        <w:tc>
          <w:tcPr>
            <w:tcW w:w="990"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135,47</w:t>
            </w:r>
          </w:p>
        </w:tc>
        <w:tc>
          <w:tcPr>
            <w:tcW w:w="88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sz w:val="20"/>
                <w:szCs w:val="20"/>
              </w:rPr>
            </w:pPr>
            <w:r>
              <w:rPr>
                <w:b/>
                <w:bCs/>
                <w:sz w:val="20"/>
                <w:szCs w:val="20"/>
              </w:rPr>
            </w:r>
          </w:p>
        </w:tc>
        <w:tc>
          <w:tcPr>
            <w:tcW w:w="1425"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97.566,90</w:t>
            </w:r>
          </w:p>
        </w:tc>
        <w:tc>
          <w:tcPr>
            <w:tcW w:w="1243" w:type="dxa"/>
            <w:tcBorders>
              <w:top w:val="single" w:sz="4" w:space="0" w:color="000000"/>
              <w:left w:val="single" w:sz="4" w:space="0" w:color="000000"/>
              <w:bottom w:val="single" w:sz="4" w:space="0" w:color="000000"/>
              <w:right w:val="single" w:sz="4" w:space="0" w:color="000000"/>
            </w:tcBorders>
            <w:shd w:fill="auto" w:val="clear"/>
            <w:vAlign w:val="center"/>
          </w:tcPr>
          <w:p>
            <w:pPr>
              <w:pStyle w:val="Obsahtabuky"/>
              <w:snapToGrid w:val="false"/>
              <w:jc w:val="right"/>
              <w:rPr>
                <w:b/>
                <w:bCs/>
              </w:rPr>
            </w:pPr>
            <w:r>
              <w:rPr>
                <w:b/>
                <w:bCs/>
                <w:sz w:val="20"/>
                <w:szCs w:val="20"/>
              </w:rPr>
              <w:t>88.899,91</w:t>
            </w:r>
          </w:p>
        </w:tc>
      </w:tr>
      <w:tr>
        <w:trPr>
          <w:trHeight w:val="276" w:hRule="atLeast"/>
        </w:trPr>
        <w:tc>
          <w:tcPr>
            <w:tcW w:w="1529"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rPr>
                <w:b/>
                <w:bCs/>
              </w:rPr>
            </w:pPr>
            <w:r>
              <w:rPr>
                <w:b/>
                <w:bCs/>
                <w:sz w:val="20"/>
                <w:szCs w:val="20"/>
              </w:rPr>
              <w:t>VI a záväzky</w:t>
            </w:r>
          </w:p>
        </w:tc>
        <w:tc>
          <w:tcPr>
            <w:tcW w:w="124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1.419.125,00</w:t>
            </w:r>
          </w:p>
        </w:tc>
        <w:tc>
          <w:tcPr>
            <w:tcW w:w="1140"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6.429,05</w:t>
            </w:r>
          </w:p>
        </w:tc>
        <w:tc>
          <w:tcPr>
            <w:tcW w:w="1291"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1.425.554,05</w:t>
            </w:r>
          </w:p>
        </w:tc>
        <w:tc>
          <w:tcPr>
            <w:tcW w:w="990"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135,47</w:t>
            </w:r>
          </w:p>
        </w:tc>
        <w:tc>
          <w:tcPr>
            <w:tcW w:w="88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sz w:val="20"/>
                <w:szCs w:val="20"/>
              </w:rPr>
            </w:pPr>
            <w:r>
              <w:rPr>
                <w:b/>
                <w:bCs/>
                <w:sz w:val="20"/>
                <w:szCs w:val="20"/>
              </w:rPr>
            </w:r>
          </w:p>
        </w:tc>
        <w:tc>
          <w:tcPr>
            <w:tcW w:w="1425" w:type="dxa"/>
            <w:tcBorders>
              <w:top w:val="single" w:sz="4" w:space="0" w:color="000000"/>
              <w:left w:val="single" w:sz="4" w:space="0" w:color="000000"/>
              <w:bottom w:val="single" w:sz="4" w:space="0" w:color="000000"/>
            </w:tcBorders>
            <w:shd w:color="auto" w:fill="FFFF99" w:val="clear"/>
            <w:vAlign w:val="center"/>
          </w:tcPr>
          <w:p>
            <w:pPr>
              <w:pStyle w:val="Obsahtabuky"/>
              <w:snapToGrid w:val="false"/>
              <w:jc w:val="right"/>
              <w:rPr>
                <w:b/>
                <w:bCs/>
              </w:rPr>
            </w:pPr>
            <w:r>
              <w:rPr>
                <w:b/>
                <w:bCs/>
                <w:sz w:val="20"/>
                <w:szCs w:val="20"/>
              </w:rPr>
              <w:t>1.436.852,13</w:t>
            </w:r>
          </w:p>
        </w:tc>
        <w:tc>
          <w:tcPr>
            <w:tcW w:w="1243" w:type="dxa"/>
            <w:tcBorders>
              <w:top w:val="single" w:sz="4" w:space="0" w:color="000000"/>
              <w:left w:val="single" w:sz="4" w:space="0" w:color="000000"/>
              <w:bottom w:val="single" w:sz="4" w:space="0" w:color="000000"/>
              <w:right w:val="single" w:sz="4" w:space="0" w:color="000000"/>
            </w:tcBorders>
            <w:shd w:color="auto" w:fill="FFFF99" w:val="clear"/>
            <w:vAlign w:val="center"/>
          </w:tcPr>
          <w:p>
            <w:pPr>
              <w:pStyle w:val="Obsahtabuky"/>
              <w:snapToGrid w:val="false"/>
              <w:jc w:val="right"/>
              <w:rPr>
                <w:b/>
                <w:bCs/>
              </w:rPr>
            </w:pPr>
            <w:r>
              <w:rPr>
                <w:b/>
                <w:bCs/>
                <w:sz w:val="20"/>
                <w:szCs w:val="20"/>
              </w:rPr>
              <w:t>1.425.418,58</w:t>
            </w:r>
          </w:p>
        </w:tc>
      </w:tr>
    </w:tbl>
    <w:p>
      <w:pPr>
        <w:pStyle w:val="Normal"/>
        <w:tabs>
          <w:tab w:val="clear" w:pos="708"/>
          <w:tab w:val="left" w:pos="360" w:leader="none"/>
        </w:tabs>
        <w:jc w:val="both"/>
        <w:rPr>
          <w:color w:val="C9211E"/>
          <w:sz w:val="20"/>
          <w:szCs w:val="20"/>
          <w:highlight w:val="red"/>
        </w:rPr>
      </w:pPr>
      <w:r>
        <w:rPr>
          <w:color w:val="C9211E"/>
          <w:sz w:val="20"/>
          <w:szCs w:val="20"/>
          <w:highlight w:val="red"/>
        </w:rPr>
      </w:r>
    </w:p>
    <w:p>
      <w:pPr>
        <w:pStyle w:val="Normal"/>
        <w:tabs>
          <w:tab w:val="clear" w:pos="708"/>
          <w:tab w:val="left" w:pos="360" w:leader="none"/>
        </w:tabs>
        <w:jc w:val="both"/>
        <w:rPr/>
      </w:pPr>
      <w:r>
        <w:rPr>
          <w:b/>
        </w:rPr>
        <w:t xml:space="preserve">Okrem konsolidácie majetku a záväzkov, boli za rok 2024 konsolidované náklady a výnosy. </w:t>
      </w:r>
    </w:p>
    <w:p>
      <w:pPr>
        <w:pStyle w:val="Normal"/>
        <w:tabs>
          <w:tab w:val="clear" w:pos="708"/>
          <w:tab w:val="left" w:pos="360" w:leader="none"/>
        </w:tabs>
        <w:jc w:val="both"/>
        <w:rPr>
          <w:b/>
          <w:color w:val="C9211E"/>
          <w:sz w:val="20"/>
          <w:szCs w:val="20"/>
        </w:rPr>
      </w:pPr>
      <w:r>
        <w:rPr>
          <w:b/>
          <w:color w:val="C9211E"/>
          <w:sz w:val="20"/>
          <w:szCs w:val="20"/>
        </w:rPr>
      </w:r>
    </w:p>
    <w:p>
      <w:pPr>
        <w:pStyle w:val="Normal"/>
        <w:tabs>
          <w:tab w:val="clear" w:pos="708"/>
          <w:tab w:val="left" w:pos="360" w:leader="none"/>
        </w:tabs>
        <w:jc w:val="both"/>
        <w:rPr/>
      </w:pPr>
      <w:r>
        <w:rPr>
          <w:b/>
        </w:rPr>
        <w:t>Prehľad nákladov a výnosov za konsolidovaný celok uvádzame v nasledujúcich tabuľkách.</w:t>
      </w:r>
    </w:p>
    <w:tbl>
      <w:tblPr>
        <w:tblW w:w="9700" w:type="dxa"/>
        <w:jc w:val="left"/>
        <w:tblInd w:w="109" w:type="dxa"/>
        <w:tblLayout w:type="fixed"/>
        <w:tblCellMar>
          <w:top w:w="55" w:type="dxa"/>
          <w:left w:w="45" w:type="dxa"/>
          <w:bottom w:w="55" w:type="dxa"/>
          <w:right w:w="55" w:type="dxa"/>
        </w:tblCellMar>
        <w:tblLook w:firstRow="0" w:noVBand="0" w:lastRow="0" w:firstColumn="0" w:lastColumn="0" w:noHBand="0" w:val="0000"/>
      </w:tblPr>
      <w:tblGrid>
        <w:gridCol w:w="1485"/>
        <w:gridCol w:w="1244"/>
        <w:gridCol w:w="1140"/>
        <w:gridCol w:w="1304"/>
        <w:gridCol w:w="1021"/>
        <w:gridCol w:w="900"/>
        <w:gridCol w:w="1365"/>
        <w:gridCol w:w="1239"/>
      </w:tblGrid>
      <w:tr>
        <w:trPr>
          <w:trHeight w:val="276" w:hRule="atLeast"/>
        </w:trPr>
        <w:tc>
          <w:tcPr>
            <w:tcW w:w="148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Náklady</w:t>
            </w:r>
          </w:p>
        </w:tc>
        <w:tc>
          <w:tcPr>
            <w:tcW w:w="124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14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MŠ</w:t>
            </w:r>
          </w:p>
        </w:tc>
        <w:tc>
          <w:tcPr>
            <w:tcW w:w="1304"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1021"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Md</w:t>
            </w:r>
          </w:p>
        </w:tc>
        <w:tc>
          <w:tcPr>
            <w:tcW w:w="90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Dal</w:t>
            </w:r>
          </w:p>
        </w:tc>
        <w:tc>
          <w:tcPr>
            <w:tcW w:w="136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w:t>
            </w:r>
            <w:r>
              <w:rPr>
                <w:b/>
                <w:bCs/>
                <w:sz w:val="20"/>
                <w:szCs w:val="20"/>
              </w:rPr>
              <w:t>3</w:t>
            </w:r>
          </w:p>
        </w:tc>
        <w:tc>
          <w:tcPr>
            <w:tcW w:w="1239"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343"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Prev. činnosť</w:t>
            </w:r>
          </w:p>
        </w:tc>
        <w:tc>
          <w:tcPr>
            <w:tcW w:w="1244" w:type="dxa"/>
            <w:tcBorders>
              <w:top w:val="single" w:sz="4" w:space="0" w:color="000000"/>
              <w:left w:val="single" w:sz="4" w:space="0" w:color="000000"/>
              <w:bottom w:val="single" w:sz="4" w:space="0" w:color="000000"/>
            </w:tcBorders>
            <w:shd w:fill="auto" w:val="clear"/>
            <w:vAlign w:val="center"/>
          </w:tcPr>
          <w:p>
            <w:pPr>
              <w:pStyle w:val="Obsahtabuky"/>
              <w:snapToGrid w:val="false"/>
              <w:jc w:val="right"/>
              <w:rPr>
                <w:b/>
                <w:bCs/>
              </w:rPr>
            </w:pPr>
            <w:r>
              <w:rPr>
                <w:b/>
                <w:bCs/>
                <w:sz w:val="20"/>
                <w:szCs w:val="20"/>
              </w:rPr>
              <w:t>280.600,11</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107.171,50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387.771,61</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411.775,57</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387.771,61</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Materiál, ener.</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33.859,10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18.136,41</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51.995,51</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73.295,59</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51.995,51</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Služby</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49.927,34</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12.022,47</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61.949,81</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71.966,50</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61.949,81</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Osob.náklady</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112.386,11</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76.815,26</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189.201,37</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172.020,97</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189.201,37</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Dane a popl.</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151,86</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151,86</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400,70</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151,86</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Ostatné nákl.</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3.050,70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197,36</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3.248,06</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1.826,01</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3.248,06</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Odpisy, rezer.</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81.225,00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81.225,00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92.265,80</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81.225,00</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Finan. činnosť</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3.942,35</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123,30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4.065,65</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3.641,16</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4.065,65</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Finančné nákl.</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3.942,35</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123,30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4.065,65</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3.641,16</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4.065,65</w:t>
            </w:r>
          </w:p>
        </w:tc>
      </w:tr>
      <w:tr>
        <w:trPr>
          <w:trHeight w:val="276"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Mim. činnosť</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49" w:hRule="atLeast"/>
        </w:trPr>
        <w:tc>
          <w:tcPr>
            <w:tcW w:w="148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Transfery</w:t>
            </w:r>
          </w:p>
        </w:tc>
        <w:tc>
          <w:tcPr>
            <w:tcW w:w="124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112.054,53</w:t>
            </w:r>
          </w:p>
        </w:tc>
        <w:tc>
          <w:tcPr>
            <w:tcW w:w="1140"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4.210,00</w:t>
            </w:r>
          </w:p>
        </w:tc>
        <w:tc>
          <w:tcPr>
            <w:tcW w:w="1304"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116.264,53</w:t>
            </w:r>
          </w:p>
        </w:tc>
        <w:tc>
          <w:tcPr>
            <w:tcW w:w="1021"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900"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97.095,53</w:t>
            </w:r>
          </w:p>
        </w:tc>
        <w:tc>
          <w:tcPr>
            <w:tcW w:w="136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19.645,27</w:t>
            </w:r>
          </w:p>
        </w:tc>
        <w:tc>
          <w:tcPr>
            <w:tcW w:w="1239"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19.169,00</w:t>
            </w:r>
          </w:p>
        </w:tc>
      </w:tr>
      <w:tr>
        <w:trPr>
          <w:trHeight w:val="276" w:hRule="atLeast"/>
        </w:trPr>
        <w:tc>
          <w:tcPr>
            <w:tcW w:w="1485" w:type="dxa"/>
            <w:tcBorders>
              <w:top w:val="single" w:sz="4" w:space="0" w:color="000000"/>
              <w:left w:val="single" w:sz="4" w:space="0" w:color="000000"/>
              <w:bottom w:val="single" w:sz="4" w:space="0" w:color="000000"/>
            </w:tcBorders>
            <w:shd w:color="auto" w:fill="FFFF99" w:val="clear"/>
          </w:tcPr>
          <w:p>
            <w:pPr>
              <w:pStyle w:val="Obsahtabuky"/>
              <w:snapToGrid w:val="false"/>
              <w:jc w:val="both"/>
              <w:rPr>
                <w:b/>
                <w:bCs/>
              </w:rPr>
            </w:pPr>
            <w:r>
              <w:rPr>
                <w:b/>
                <w:bCs/>
                <w:sz w:val="20"/>
                <w:szCs w:val="20"/>
              </w:rPr>
              <w:t>Celkom</w:t>
            </w:r>
          </w:p>
        </w:tc>
        <w:tc>
          <w:tcPr>
            <w:tcW w:w="124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396.596,99</w:t>
            </w:r>
          </w:p>
        </w:tc>
        <w:tc>
          <w:tcPr>
            <w:tcW w:w="114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111.504,80</w:t>
            </w:r>
          </w:p>
        </w:tc>
        <w:tc>
          <w:tcPr>
            <w:tcW w:w="1304"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508.101,79</w:t>
            </w:r>
          </w:p>
        </w:tc>
        <w:tc>
          <w:tcPr>
            <w:tcW w:w="1021"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sz w:val="20"/>
                <w:szCs w:val="20"/>
              </w:rPr>
            </w:pPr>
            <w:r>
              <w:rPr>
                <w:b/>
                <w:bCs/>
                <w:sz w:val="20"/>
                <w:szCs w:val="20"/>
              </w:rPr>
            </w:r>
          </w:p>
        </w:tc>
        <w:tc>
          <w:tcPr>
            <w:tcW w:w="90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97.095,53</w:t>
            </w:r>
          </w:p>
        </w:tc>
        <w:tc>
          <w:tcPr>
            <w:tcW w:w="1365"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435.062,00</w:t>
            </w:r>
          </w:p>
        </w:tc>
        <w:tc>
          <w:tcPr>
            <w:tcW w:w="1239"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b/>
                <w:bCs/>
              </w:rPr>
            </w:pPr>
            <w:r>
              <w:rPr>
                <w:b/>
                <w:bCs/>
                <w:sz w:val="20"/>
                <w:szCs w:val="20"/>
              </w:rPr>
              <w:t>411.006,26</w:t>
            </w:r>
          </w:p>
        </w:tc>
      </w:tr>
    </w:tbl>
    <w:p>
      <w:pPr>
        <w:pStyle w:val="Normal"/>
        <w:tabs>
          <w:tab w:val="clear" w:pos="708"/>
          <w:tab w:val="left" w:pos="360" w:leader="none"/>
        </w:tabs>
        <w:jc w:val="both"/>
        <w:rPr/>
      </w:pPr>
      <w:r>
        <w:rPr/>
        <w:tab/>
        <w:tab/>
      </w:r>
    </w:p>
    <w:p>
      <w:pPr>
        <w:pStyle w:val="Normal"/>
        <w:tabs>
          <w:tab w:val="clear" w:pos="708"/>
          <w:tab w:val="left" w:pos="360" w:leader="none"/>
        </w:tabs>
        <w:jc w:val="both"/>
        <w:rPr>
          <w:color w:val="C9211E"/>
          <w:highlight w:val="red"/>
        </w:rPr>
      </w:pPr>
      <w:r>
        <w:rPr>
          <w:color w:val="C9211E"/>
          <w:highlight w:val="red"/>
        </w:rPr>
      </w:r>
    </w:p>
    <w:tbl>
      <w:tblPr>
        <w:tblW w:w="9617" w:type="dxa"/>
        <w:jc w:val="left"/>
        <w:tblInd w:w="169" w:type="dxa"/>
        <w:tblLayout w:type="fixed"/>
        <w:tblCellMar>
          <w:top w:w="55" w:type="dxa"/>
          <w:left w:w="45" w:type="dxa"/>
          <w:bottom w:w="55" w:type="dxa"/>
          <w:right w:w="55" w:type="dxa"/>
        </w:tblCellMar>
        <w:tblLook w:firstRow="0" w:noVBand="0" w:lastRow="0" w:firstColumn="0" w:lastColumn="0" w:noHBand="0" w:val="0000"/>
      </w:tblPr>
      <w:tblGrid>
        <w:gridCol w:w="1395"/>
        <w:gridCol w:w="1305"/>
        <w:gridCol w:w="1125"/>
        <w:gridCol w:w="1305"/>
        <w:gridCol w:w="1125"/>
        <w:gridCol w:w="750"/>
        <w:gridCol w:w="1428"/>
        <w:gridCol w:w="1182"/>
      </w:tblGrid>
      <w:tr>
        <w:trPr>
          <w:trHeight w:val="276" w:hRule="atLeast"/>
        </w:trPr>
        <w:tc>
          <w:tcPr>
            <w:tcW w:w="139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Výnosy</w:t>
            </w:r>
          </w:p>
        </w:tc>
        <w:tc>
          <w:tcPr>
            <w:tcW w:w="130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Obec</w:t>
            </w:r>
          </w:p>
        </w:tc>
        <w:tc>
          <w:tcPr>
            <w:tcW w:w="112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MŠ</w:t>
            </w:r>
          </w:p>
        </w:tc>
        <w:tc>
          <w:tcPr>
            <w:tcW w:w="130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Spolu</w:t>
            </w:r>
          </w:p>
        </w:tc>
        <w:tc>
          <w:tcPr>
            <w:tcW w:w="1125"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Md</w:t>
            </w:r>
          </w:p>
        </w:tc>
        <w:tc>
          <w:tcPr>
            <w:tcW w:w="750"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 Dal</w:t>
            </w:r>
          </w:p>
        </w:tc>
        <w:tc>
          <w:tcPr>
            <w:tcW w:w="1428" w:type="dxa"/>
            <w:tcBorders>
              <w:top w:val="single" w:sz="4" w:space="0" w:color="000000"/>
              <w:left w:val="single" w:sz="4" w:space="0" w:color="000000"/>
              <w:bottom w:val="single" w:sz="4" w:space="0" w:color="000000"/>
            </w:tcBorders>
            <w:shd w:color="auto" w:fill="8DB3E2" w:val="clear"/>
          </w:tcPr>
          <w:p>
            <w:pPr>
              <w:pStyle w:val="Obsahtabuky"/>
              <w:snapToGrid w:val="false"/>
              <w:jc w:val="center"/>
              <w:rPr>
                <w:sz w:val="20"/>
                <w:szCs w:val="20"/>
              </w:rPr>
            </w:pPr>
            <w:r>
              <w:rPr>
                <w:b/>
                <w:bCs/>
                <w:sz w:val="20"/>
                <w:szCs w:val="20"/>
              </w:rPr>
              <w:t>KÚZ k  31.12.202</w:t>
            </w:r>
            <w:r>
              <w:rPr>
                <w:b/>
                <w:bCs/>
                <w:sz w:val="20"/>
                <w:szCs w:val="20"/>
              </w:rPr>
              <w:t>3</w:t>
            </w:r>
          </w:p>
        </w:tc>
        <w:tc>
          <w:tcPr>
            <w:tcW w:w="1182" w:type="dxa"/>
            <w:tcBorders>
              <w:top w:val="single" w:sz="4" w:space="0" w:color="000000"/>
              <w:left w:val="single" w:sz="4" w:space="0" w:color="000000"/>
              <w:bottom w:val="single" w:sz="4" w:space="0" w:color="000000"/>
              <w:right w:val="single" w:sz="4" w:space="0" w:color="000000"/>
            </w:tcBorders>
            <w:shd w:color="auto" w:fill="8DB3E2" w:val="clear"/>
          </w:tcPr>
          <w:p>
            <w:pPr>
              <w:pStyle w:val="Obsahtabuky"/>
              <w:snapToGrid w:val="false"/>
              <w:jc w:val="center"/>
              <w:rPr>
                <w:sz w:val="20"/>
                <w:szCs w:val="20"/>
              </w:rPr>
            </w:pPr>
            <w:r>
              <w:rPr>
                <w:b/>
                <w:bCs/>
                <w:sz w:val="20"/>
                <w:szCs w:val="20"/>
              </w:rPr>
              <w:t>KÚZ k  31.12.2024</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Prev.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11.135,97</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368.537,21</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376.654,64</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376.654,64</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Tržby, výkony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4.668,97</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6.783,97</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11.452,94</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12.451,45</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12.451,45</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Dane a popl.</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348.375,85</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4.352,00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352.727,85</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343.473,43</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343.473,43</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Ostatné výnos.</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3.106,42</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3.106,42</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19.479,76</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19.479,76</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Zúčt. rezerv</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1.250,00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1.250,00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1.250,00</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1.250,00</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Finan.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4,40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4,40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Finan.výnosy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4,40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4,40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Mim. činnosť</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0,00</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0,00</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sz w:val="20"/>
                <w:szCs w:val="20"/>
              </w:rPr>
            </w:pPr>
            <w:r>
              <w:rPr>
                <w:sz w:val="20"/>
                <w:szCs w:val="20"/>
              </w:rPr>
              <w:t>Mimoriad.výn.</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sz w:val="20"/>
                <w:szCs w:val="20"/>
              </w:rPr>
            </w:pPr>
            <w:r>
              <w:rPr>
                <w:sz w:val="20"/>
                <w:szCs w:val="20"/>
              </w:rPr>
              <w:t>0,00</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sz w:val="20"/>
                <w:szCs w:val="20"/>
              </w:rPr>
            </w:pPr>
            <w:r>
              <w:rPr>
                <w:sz w:val="20"/>
                <w:szCs w:val="20"/>
              </w:rPr>
              <w:t>0,00</w:t>
            </w:r>
          </w:p>
        </w:tc>
      </w:tr>
      <w:tr>
        <w:trPr>
          <w:trHeight w:val="276" w:hRule="atLeast"/>
        </w:trPr>
        <w:tc>
          <w:tcPr>
            <w:tcW w:w="1395" w:type="dxa"/>
            <w:tcBorders>
              <w:top w:val="single" w:sz="4" w:space="0" w:color="000000"/>
              <w:left w:val="single" w:sz="4" w:space="0" w:color="000000"/>
              <w:bottom w:val="single" w:sz="4" w:space="0" w:color="000000"/>
            </w:tcBorders>
            <w:shd w:fill="auto" w:val="clear"/>
          </w:tcPr>
          <w:p>
            <w:pPr>
              <w:pStyle w:val="Obsahtabuky"/>
              <w:snapToGrid w:val="false"/>
              <w:jc w:val="both"/>
              <w:rPr>
                <w:b/>
                <w:bCs/>
              </w:rPr>
            </w:pPr>
            <w:r>
              <w:rPr>
                <w:b/>
                <w:bCs/>
                <w:sz w:val="20"/>
                <w:szCs w:val="20"/>
              </w:rPr>
              <w:t>Transfery</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42.507,60</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101.073,03</w:t>
            </w:r>
          </w:p>
        </w:tc>
        <w:tc>
          <w:tcPr>
            <w:tcW w:w="130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143.580,63</w:t>
            </w:r>
          </w:p>
        </w:tc>
        <w:tc>
          <w:tcPr>
            <w:tcW w:w="1125"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97.095,53</w:t>
            </w:r>
          </w:p>
        </w:tc>
        <w:tc>
          <w:tcPr>
            <w:tcW w:w="750" w:type="dxa"/>
            <w:tcBorders>
              <w:top w:val="single" w:sz="4" w:space="0" w:color="000000"/>
              <w:left w:val="single" w:sz="4" w:space="0" w:color="000000"/>
              <w:bottom w:val="single" w:sz="4" w:space="0" w:color="000000"/>
            </w:tcBorders>
            <w:shd w:fill="auto" w:val="clear"/>
          </w:tcPr>
          <w:p>
            <w:pPr>
              <w:pStyle w:val="Obsahtabuky"/>
              <w:snapToGrid w:val="false"/>
              <w:jc w:val="right"/>
              <w:rPr>
                <w:b/>
                <w:bCs/>
                <w:sz w:val="20"/>
                <w:szCs w:val="20"/>
              </w:rPr>
            </w:pPr>
            <w:r>
              <w:rPr>
                <w:b/>
                <w:bCs/>
                <w:sz w:val="20"/>
                <w:szCs w:val="20"/>
              </w:rPr>
            </w:r>
          </w:p>
        </w:tc>
        <w:tc>
          <w:tcPr>
            <w:tcW w:w="1428" w:type="dxa"/>
            <w:tcBorders>
              <w:top w:val="single" w:sz="4" w:space="0" w:color="000000"/>
              <w:left w:val="single" w:sz="4" w:space="0" w:color="000000"/>
              <w:bottom w:val="single" w:sz="4" w:space="0" w:color="000000"/>
            </w:tcBorders>
            <w:shd w:fill="auto" w:val="clear"/>
          </w:tcPr>
          <w:p>
            <w:pPr>
              <w:pStyle w:val="Obsahtabuky"/>
              <w:snapToGrid w:val="false"/>
              <w:jc w:val="right"/>
              <w:rPr>
                <w:b/>
                <w:bCs/>
              </w:rPr>
            </w:pPr>
            <w:r>
              <w:rPr>
                <w:b/>
                <w:bCs/>
                <w:sz w:val="20"/>
                <w:szCs w:val="20"/>
              </w:rPr>
              <w:t>81.393,09</w:t>
            </w:r>
          </w:p>
        </w:tc>
        <w:tc>
          <w:tcPr>
            <w:tcW w:w="1182" w:type="dxa"/>
            <w:tcBorders>
              <w:top w:val="single" w:sz="4" w:space="0" w:color="000000"/>
              <w:left w:val="single" w:sz="4" w:space="0" w:color="000000"/>
              <w:bottom w:val="single" w:sz="4" w:space="0" w:color="000000"/>
              <w:right w:val="single" w:sz="4" w:space="0" w:color="000000"/>
            </w:tcBorders>
            <w:shd w:fill="auto" w:val="clear"/>
          </w:tcPr>
          <w:p>
            <w:pPr>
              <w:pStyle w:val="Obsahtabuky"/>
              <w:snapToGrid w:val="false"/>
              <w:jc w:val="right"/>
              <w:rPr>
                <w:b/>
                <w:bCs/>
              </w:rPr>
            </w:pPr>
            <w:r>
              <w:rPr>
                <w:b/>
                <w:bCs/>
                <w:sz w:val="20"/>
                <w:szCs w:val="20"/>
              </w:rPr>
              <w:t>46.485,10</w:t>
            </w:r>
          </w:p>
        </w:tc>
      </w:tr>
      <w:tr>
        <w:trPr>
          <w:trHeight w:val="276" w:hRule="atLeast"/>
        </w:trPr>
        <w:tc>
          <w:tcPr>
            <w:tcW w:w="1395" w:type="dxa"/>
            <w:tcBorders>
              <w:top w:val="single" w:sz="4" w:space="0" w:color="000000"/>
              <w:left w:val="single" w:sz="4" w:space="0" w:color="000000"/>
              <w:bottom w:val="single" w:sz="4" w:space="0" w:color="000000"/>
            </w:tcBorders>
            <w:shd w:color="auto" w:fill="FFFF99" w:val="clear"/>
          </w:tcPr>
          <w:p>
            <w:pPr>
              <w:pStyle w:val="Obsahtabuky"/>
              <w:snapToGrid w:val="false"/>
              <w:jc w:val="both"/>
              <w:rPr>
                <w:b/>
                <w:bCs/>
              </w:rPr>
            </w:pPr>
            <w:r>
              <w:rPr>
                <w:b/>
                <w:bCs/>
                <w:sz w:val="20"/>
                <w:szCs w:val="20"/>
              </w:rPr>
              <w:t>Celkom</w:t>
            </w:r>
          </w:p>
        </w:tc>
        <w:tc>
          <w:tcPr>
            <w:tcW w:w="1305" w:type="dxa"/>
            <w:tcBorders>
              <w:top w:val="single" w:sz="4" w:space="0" w:color="000000"/>
              <w:left w:val="single" w:sz="4" w:space="0" w:color="000000"/>
              <w:bottom w:val="single" w:sz="4" w:space="0" w:color="000000"/>
            </w:tcBorders>
            <w:shd w:color="auto" w:fill="FFFF99" w:val="clear"/>
          </w:tcPr>
          <w:p>
            <w:pPr>
              <w:pStyle w:val="Obsahtabuky"/>
              <w:snapToGrid w:val="false"/>
              <w:jc w:val="center"/>
              <w:rPr>
                <w:b/>
                <w:bCs/>
              </w:rPr>
            </w:pPr>
            <w:r>
              <w:rPr>
                <w:b/>
                <w:bCs/>
                <w:sz w:val="20"/>
                <w:szCs w:val="20"/>
              </w:rPr>
              <w:t>399.913,24</w:t>
            </w:r>
          </w:p>
        </w:tc>
        <w:tc>
          <w:tcPr>
            <w:tcW w:w="1125"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112.209,00</w:t>
            </w:r>
          </w:p>
        </w:tc>
        <w:tc>
          <w:tcPr>
            <w:tcW w:w="1305"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512.122,24</w:t>
            </w:r>
          </w:p>
        </w:tc>
        <w:tc>
          <w:tcPr>
            <w:tcW w:w="1125"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97.095,53</w:t>
            </w:r>
          </w:p>
        </w:tc>
        <w:tc>
          <w:tcPr>
            <w:tcW w:w="750"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sz w:val="20"/>
                <w:szCs w:val="20"/>
              </w:rPr>
            </w:pPr>
            <w:r>
              <w:rPr>
                <w:b/>
                <w:bCs/>
                <w:sz w:val="20"/>
                <w:szCs w:val="20"/>
              </w:rPr>
            </w:r>
          </w:p>
        </w:tc>
        <w:tc>
          <w:tcPr>
            <w:tcW w:w="1428" w:type="dxa"/>
            <w:tcBorders>
              <w:top w:val="single" w:sz="4" w:space="0" w:color="000000"/>
              <w:left w:val="single" w:sz="4" w:space="0" w:color="000000"/>
              <w:bottom w:val="single" w:sz="4" w:space="0" w:color="000000"/>
            </w:tcBorders>
            <w:shd w:color="auto" w:fill="FFFF99" w:val="clear"/>
          </w:tcPr>
          <w:p>
            <w:pPr>
              <w:pStyle w:val="Obsahtabuky"/>
              <w:snapToGrid w:val="false"/>
              <w:jc w:val="right"/>
              <w:rPr>
                <w:b/>
                <w:bCs/>
              </w:rPr>
            </w:pPr>
            <w:r>
              <w:rPr>
                <w:b/>
                <w:bCs/>
                <w:sz w:val="20"/>
                <w:szCs w:val="20"/>
              </w:rPr>
              <w:t>458.047,73</w:t>
            </w:r>
          </w:p>
        </w:tc>
        <w:tc>
          <w:tcPr>
            <w:tcW w:w="1182" w:type="dxa"/>
            <w:tcBorders>
              <w:top w:val="single" w:sz="4" w:space="0" w:color="000000"/>
              <w:left w:val="single" w:sz="4" w:space="0" w:color="000000"/>
              <w:bottom w:val="single" w:sz="4" w:space="0" w:color="000000"/>
              <w:right w:val="single" w:sz="4" w:space="0" w:color="000000"/>
            </w:tcBorders>
            <w:shd w:color="auto" w:fill="FFFF99" w:val="clear"/>
          </w:tcPr>
          <w:p>
            <w:pPr>
              <w:pStyle w:val="Obsahtabuky"/>
              <w:snapToGrid w:val="false"/>
              <w:jc w:val="right"/>
              <w:rPr>
                <w:b/>
                <w:bCs/>
              </w:rPr>
            </w:pPr>
            <w:r>
              <w:rPr>
                <w:b/>
                <w:bCs/>
                <w:sz w:val="20"/>
                <w:szCs w:val="20"/>
              </w:rPr>
              <w:t>415.026,71</w:t>
            </w:r>
          </w:p>
        </w:tc>
      </w:tr>
    </w:tbl>
    <w:p>
      <w:pPr>
        <w:pStyle w:val="Normal"/>
        <w:tabs>
          <w:tab w:val="clear" w:pos="708"/>
          <w:tab w:val="left" w:pos="360" w:leader="none"/>
        </w:tabs>
        <w:jc w:val="both"/>
        <w:rPr>
          <w:color w:val="C9211E"/>
        </w:rPr>
      </w:pPr>
      <w:r>
        <w:rPr>
          <w:color w:val="C9211E"/>
        </w:rPr>
        <w:tab/>
      </w:r>
    </w:p>
    <w:p>
      <w:pPr>
        <w:pStyle w:val="Normal"/>
        <w:tabs>
          <w:tab w:val="clear" w:pos="708"/>
          <w:tab w:val="left" w:pos="360" w:leader="none"/>
        </w:tabs>
        <w:jc w:val="both"/>
        <w:rPr/>
      </w:pPr>
      <w:r>
        <w:rPr>
          <w:color w:val="000000"/>
        </w:rPr>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clear" w:pos="708"/>
          <w:tab w:val="left" w:pos="1087" w:leader="none"/>
        </w:tabs>
        <w:ind w:hanging="0" w:left="54"/>
        <w:jc w:val="both"/>
        <w:rPr>
          <w:b/>
          <w:color w:val="C9211E"/>
          <w:sz w:val="28"/>
          <w:szCs w:val="28"/>
          <w:highlight w:val="red"/>
        </w:rPr>
      </w:pPr>
      <w:r>
        <w:rPr>
          <w:b/>
          <w:color w:val="C9211E"/>
          <w:sz w:val="28"/>
          <w:szCs w:val="28"/>
          <w:highlight w:val="red"/>
        </w:rPr>
      </w:r>
    </w:p>
    <w:p>
      <w:pPr>
        <w:pStyle w:val="Normal"/>
        <w:tabs>
          <w:tab w:val="clear" w:pos="708"/>
          <w:tab w:val="left" w:pos="1087" w:leader="none"/>
        </w:tabs>
        <w:ind w:hanging="0" w:left="54"/>
        <w:jc w:val="both"/>
        <w:rPr>
          <w:color w:val="000000"/>
        </w:rPr>
      </w:pPr>
      <w:r>
        <w:rPr>
          <w:b/>
          <w:color w:val="000000"/>
          <w:sz w:val="28"/>
          <w:szCs w:val="28"/>
        </w:rPr>
        <w:t>8. Predpokladaný budúci vývoj – zámery obce</w:t>
      </w:r>
    </w:p>
    <w:p>
      <w:pPr>
        <w:pStyle w:val="Normal"/>
        <w:tabs>
          <w:tab w:val="clear" w:pos="708"/>
          <w:tab w:val="left" w:pos="7380" w:leader="none"/>
          <w:tab w:val="left" w:pos="9720" w:leader="none"/>
          <w:tab w:val="left" w:pos="11880" w:leader="none"/>
        </w:tabs>
        <w:jc w:val="both"/>
        <w:rPr>
          <w:bCs/>
          <w:color w:val="000000"/>
          <w:sz w:val="20"/>
          <w:szCs w:val="20"/>
        </w:rPr>
      </w:pPr>
      <w:r>
        <w:rPr>
          <w:bCs/>
          <w:color w:val="000000"/>
          <w:sz w:val="20"/>
          <w:szCs w:val="20"/>
        </w:rPr>
      </w:r>
    </w:p>
    <w:p>
      <w:pPr>
        <w:pStyle w:val="BodyText"/>
        <w:tabs>
          <w:tab w:val="clear" w:pos="708"/>
          <w:tab w:val="left" w:pos="360" w:leader="none"/>
        </w:tabs>
        <w:jc w:val="both"/>
        <w:rPr>
          <w:color w:val="000000"/>
        </w:rPr>
      </w:pPr>
      <w:r>
        <w:rPr>
          <w:color w:val="000000"/>
          <w:sz w:val="24"/>
        </w:rPr>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BodyText"/>
        <w:tabs>
          <w:tab w:val="clear" w:pos="708"/>
          <w:tab w:val="left" w:pos="360" w:leader="none"/>
        </w:tabs>
        <w:jc w:val="both"/>
        <w:rPr>
          <w:b/>
          <w:color w:val="C9211E"/>
          <w:sz w:val="20"/>
          <w:szCs w:val="20"/>
          <w:highlight w:val="red"/>
        </w:rPr>
      </w:pPr>
      <w:r>
        <w:rPr>
          <w:b/>
          <w:color w:val="C9211E"/>
          <w:sz w:val="20"/>
          <w:szCs w:val="20"/>
          <w:highlight w:val="red"/>
        </w:rPr>
      </w:r>
    </w:p>
    <w:p>
      <w:pPr>
        <w:pStyle w:val="Normal"/>
        <w:tabs>
          <w:tab w:val="clear" w:pos="708"/>
          <w:tab w:val="left" w:pos="1087" w:leader="none"/>
        </w:tabs>
        <w:ind w:hanging="0" w:left="54"/>
        <w:jc w:val="both"/>
        <w:rPr>
          <w:color w:val="000000"/>
        </w:rPr>
      </w:pPr>
      <w:r>
        <w:rPr>
          <w:b/>
          <w:color w:val="000000"/>
          <w:sz w:val="28"/>
          <w:szCs w:val="28"/>
        </w:rPr>
        <w:t>9. Udalosti osobitného významu po skončení účtovného obdobia</w:t>
      </w:r>
    </w:p>
    <w:p>
      <w:pPr>
        <w:pStyle w:val="Normal"/>
        <w:tabs>
          <w:tab w:val="clear" w:pos="708"/>
          <w:tab w:val="left" w:pos="7380" w:leader="none"/>
          <w:tab w:val="left" w:pos="9720" w:leader="none"/>
          <w:tab w:val="left" w:pos="11880" w:leader="none"/>
        </w:tabs>
        <w:rPr>
          <w:b/>
          <w:bCs/>
          <w:color w:val="000000"/>
          <w:sz w:val="20"/>
          <w:szCs w:val="20"/>
        </w:rPr>
      </w:pPr>
      <w:r>
        <w:rPr>
          <w:b/>
          <w:bCs/>
          <w:color w:val="000000"/>
          <w:sz w:val="20"/>
          <w:szCs w:val="20"/>
        </w:rPr>
      </w:r>
    </w:p>
    <w:p>
      <w:pPr>
        <w:pStyle w:val="Normal"/>
        <w:jc w:val="both"/>
        <w:rPr>
          <w:color w:val="000000"/>
        </w:rPr>
      </w:pPr>
      <w:r>
        <w:rPr>
          <w:bCs/>
          <w:color w:val="000000"/>
        </w:rPr>
        <w:t xml:space="preserve">Po ukončení účtovného obdobia nenastali žiadne udalosti osobitného významu, ktoré by  bolo potrebné uviesť v tejto výročnej správe.  </w:t>
      </w:r>
    </w:p>
    <w:p>
      <w:pPr>
        <w:pStyle w:val="Normal"/>
        <w:tabs>
          <w:tab w:val="clear" w:pos="708"/>
          <w:tab w:val="left" w:pos="567" w:leader="none"/>
          <w:tab w:val="left" w:pos="7380" w:leader="none"/>
          <w:tab w:val="left" w:pos="9720" w:leader="none"/>
          <w:tab w:val="left" w:pos="11880" w:leader="none"/>
        </w:tabs>
        <w:jc w:val="both"/>
        <w:rPr>
          <w:bCs/>
          <w:color w:val="000000"/>
          <w:sz w:val="20"/>
          <w:szCs w:val="20"/>
        </w:rPr>
      </w:pPr>
      <w:r>
        <w:rPr>
          <w:bCs/>
          <w:color w:val="000000"/>
          <w:sz w:val="20"/>
          <w:szCs w:val="20"/>
        </w:rPr>
      </w:r>
    </w:p>
    <w:p>
      <w:pPr>
        <w:pStyle w:val="Normal"/>
        <w:tabs>
          <w:tab w:val="clear" w:pos="708"/>
          <w:tab w:val="left" w:pos="567" w:leader="none"/>
          <w:tab w:val="left" w:pos="7380" w:leader="none"/>
          <w:tab w:val="left" w:pos="9720" w:leader="none"/>
          <w:tab w:val="left" w:pos="11880" w:leader="none"/>
        </w:tabs>
        <w:jc w:val="both"/>
        <w:rPr>
          <w:color w:val="000000"/>
        </w:rPr>
      </w:pPr>
      <w:r>
        <w:rPr>
          <w:bCs/>
          <w:color w:val="000000"/>
        </w:rPr>
        <w:t xml:space="preserve">Táto výročná správa sa vyhotovuje za účtovné obdobie od 1.1.2024 do 31.12.2024. Obec </w:t>
      </w:r>
      <w:r>
        <w:rPr>
          <w:color w:val="000000"/>
        </w:rPr>
        <w:t xml:space="preserve">Smrečany </w:t>
      </w:r>
      <w:r>
        <w:rPr>
          <w:bCs/>
          <w:color w:val="000000"/>
        </w:rPr>
        <w:t xml:space="preserve">zostavovala za rok 2024 po dvanásty-krát konsolidovanú účtovnú závierku za konsolidovaný celok. </w:t>
      </w:r>
    </w:p>
    <w:p>
      <w:pPr>
        <w:pStyle w:val="Normal"/>
        <w:ind w:hanging="0"/>
        <w:jc w:val="both"/>
        <w:rPr>
          <w:color w:val="000000"/>
        </w:rPr>
      </w:pPr>
      <w:r>
        <w:rPr>
          <w:bCs/>
          <w:color w:val="000000"/>
        </w:rPr>
        <w:t>Účtovné závierky boli odovzdané metodikovi pre účtovníctvo na Daňovom úrade v Liptovskom Mikuláši v zákonom stanovenom termíne.</w:t>
      </w:r>
    </w:p>
    <w:p>
      <w:pPr>
        <w:pStyle w:val="Normal"/>
        <w:jc w:val="both"/>
        <w:rPr>
          <w:b/>
          <w:bCs/>
          <w:color w:val="000000"/>
          <w:sz w:val="20"/>
          <w:szCs w:val="20"/>
        </w:rPr>
      </w:pPr>
      <w:r>
        <w:rPr>
          <w:b/>
          <w:bCs/>
          <w:color w:val="000000"/>
          <w:sz w:val="20"/>
          <w:szCs w:val="20"/>
        </w:rPr>
      </w:r>
    </w:p>
    <w:p>
      <w:pPr>
        <w:pStyle w:val="Normal"/>
        <w:jc w:val="both"/>
        <w:rPr>
          <w:color w:val="C9211E"/>
        </w:rPr>
      </w:pPr>
      <w:r>
        <w:rPr>
          <w:b/>
          <w:bCs/>
          <w:color w:val="000000"/>
        </w:rPr>
        <w:t>Prílohy:</w:t>
      </w:r>
    </w:p>
    <w:p>
      <w:pPr>
        <w:pStyle w:val="Normal"/>
        <w:jc w:val="both"/>
        <w:rPr>
          <w:color w:val="C9211E"/>
        </w:rPr>
      </w:pPr>
      <w:r>
        <w:rPr>
          <w:bCs/>
          <w:color w:val="000000"/>
        </w:rPr>
        <w:t>Individuálna účtovná závierka: Súvaha, Výkaz ziskov a strát, Poznámky, Správa audítora</w:t>
      </w:r>
    </w:p>
    <w:p>
      <w:pPr>
        <w:pStyle w:val="Normal"/>
        <w:jc w:val="both"/>
        <w:rPr/>
      </w:pPr>
      <w:r>
        <w:rPr>
          <w:bCs/>
          <w:color w:val="000000"/>
        </w:rPr>
        <w:t>Konsolidovaná účtovná závierka: K Súvaha, K Výkaz ziskov a strát, K Poznámky, Správa audítora</w:t>
      </w:r>
    </w:p>
    <w:sectPr>
      <w:footerReference w:type="default" r:id="rId8"/>
      <w:type w:val="nextPage"/>
      <w:pgSz w:w="11906" w:h="16838"/>
      <w:pgMar w:left="1276" w:right="848" w:gutter="0" w:header="0" w:top="750" w:footer="133" w:bottom="568"/>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Helvetica">
    <w:altName w:val="Arial"/>
    <w:charset w:val="ee"/>
    <w:family w:val="roman"/>
    <w:pitch w:val="variable"/>
  </w:font>
  <w:font w:name="Book Antiqua">
    <w:charset w:val="ee"/>
    <w:family w:val="roman"/>
    <w:pitch w:val="variable"/>
  </w:font>
  <w:font w:name="TimesNewRoman">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23</w:t>
    </w:r>
    <w:r>
      <w:rPr/>
      <w:fldChar w:fldCharType="end"/>
    </w:r>
  </w:p>
  <w:p>
    <w:pPr>
      <w:pStyle w:val="Footer"/>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432" w:hanging="432"/>
      </w:pPr>
      <w:rPr/>
    </w:lvl>
    <w:lvl w:ilvl="1">
      <w:start w:val="1"/>
      <w:numFmt w:val="none"/>
      <w:suff w:val="nothing"/>
      <w:lvlText w:val=""/>
      <w:lvlJc w:val="left"/>
      <w:pPr>
        <w:tabs>
          <w:tab w:val="num" w:pos="0"/>
        </w:tabs>
        <w:ind w:left="576" w:hanging="576"/>
      </w:pPr>
      <w:rPr/>
    </w:lvl>
    <w:lvl w:ilvl="2">
      <w:start w:val="1"/>
      <w:numFmt w:val="none"/>
      <w:suff w:val="nothing"/>
      <w:lvlText w:val=""/>
      <w:lvlJc w:val="left"/>
      <w:pPr>
        <w:tabs>
          <w:tab w:val="num" w:pos="0"/>
        </w:tabs>
        <w:ind w:left="720" w:hanging="720"/>
      </w:pPr>
      <w:rPr/>
    </w:lvl>
    <w:lvl w:ilvl="3">
      <w:start w:val="1"/>
      <w:numFmt w:val="none"/>
      <w:suff w:val="nothing"/>
      <w:lvlText w:val=""/>
      <w:lvlJc w:val="left"/>
      <w:pPr>
        <w:tabs>
          <w:tab w:val="num" w:pos="0"/>
        </w:tabs>
        <w:ind w:left="864" w:hanging="864"/>
      </w:pPr>
      <w:rPr/>
    </w:lvl>
    <w:lvl w:ilvl="4">
      <w:start w:val="1"/>
      <w:numFmt w:val="none"/>
      <w:suff w:val="nothing"/>
      <w:lvlText w:val=""/>
      <w:lvlJc w:val="left"/>
      <w:pPr>
        <w:tabs>
          <w:tab w:val="num" w:pos="0"/>
        </w:tabs>
        <w:ind w:left="1008" w:hanging="1008"/>
      </w:pPr>
      <w:rPr/>
    </w:lvl>
    <w:lvl w:ilvl="5">
      <w:start w:val="1"/>
      <w:numFmt w:val="none"/>
      <w:suff w:val="nothing"/>
      <w:lvlText w:val=""/>
      <w:lvlJc w:val="left"/>
      <w:pPr>
        <w:tabs>
          <w:tab w:val="num" w:pos="0"/>
        </w:tabs>
        <w:ind w:left="1152" w:hanging="1152"/>
      </w:pPr>
      <w:rPr/>
    </w:lvl>
    <w:lvl w:ilvl="6">
      <w:start w:val="1"/>
      <w:numFmt w:val="none"/>
      <w:suff w:val="nothing"/>
      <w:lvlText w:val=""/>
      <w:lvlJc w:val="left"/>
      <w:pPr>
        <w:tabs>
          <w:tab w:val="num" w:pos="0"/>
        </w:tabs>
        <w:ind w:left="1296" w:hanging="1296"/>
      </w:pPr>
      <w:rPr/>
    </w:lvl>
    <w:lvl w:ilvl="7">
      <w:start w:val="1"/>
      <w:numFmt w:val="none"/>
      <w:suff w:val="nothing"/>
      <w:lvlText w:val=""/>
      <w:lvlJc w:val="left"/>
      <w:pPr>
        <w:tabs>
          <w:tab w:val="num" w:pos="0"/>
        </w:tabs>
        <w:ind w:left="1440" w:hanging="1440"/>
      </w:pPr>
      <w:rPr/>
    </w:lvl>
    <w:lvl w:ilvl="8">
      <w:start w:val="1"/>
      <w:numFmt w:val="none"/>
      <w:suff w:val="nothing"/>
      <w:lvlText w:val=""/>
      <w:lvlJc w:val="left"/>
      <w:pPr>
        <w:tabs>
          <w:tab w:val="num" w:pos="0"/>
        </w:tabs>
        <w:ind w:left="1584" w:hanging="1584"/>
      </w:pPr>
      <w:rPr/>
    </w:lvl>
  </w:abstractNum>
  <w:abstractNum w:abstractNumId="2">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embedSystemFonts/>
  <w:defaultTabStop w:val="708"/>
  <w:autoHyphenation w:val="true"/>
  <w:compat>
    <w:compatSetting w:name="compatibilityMode" w:uri="http://schemas.microsoft.com/office/word" w:val="12"/>
    <w:compatSetting w:name="useWord2013TrackBottomHyphenation"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ar-SA" w:bidi="ar-SA"/>
    </w:rPr>
  </w:style>
  <w:style w:type="paragraph" w:styleId="Heading1">
    <w:name w:val="Heading 1"/>
    <w:basedOn w:val="Normal"/>
    <w:qFormat/>
    <w:pPr>
      <w:keepNext w:val="true"/>
      <w:outlineLvl w:val="0"/>
    </w:pPr>
    <w:rPr>
      <w:b/>
      <w:bCs/>
    </w:rPr>
  </w:style>
  <w:style w:type="paragraph" w:styleId="Heading2">
    <w:name w:val="Heading 2"/>
    <w:basedOn w:val="Normal"/>
    <w:qFormat/>
    <w:pPr>
      <w:keepNext w:val="true"/>
      <w:outlineLvl w:val="1"/>
    </w:pPr>
    <w:rPr>
      <w:bCs/>
      <w:u w:val="single"/>
    </w:rPr>
  </w:style>
  <w:style w:type="paragraph" w:styleId="Heading3">
    <w:name w:val="Heading 3"/>
    <w:basedOn w:val="Normal"/>
    <w:qFormat/>
    <w:pPr>
      <w:keepNext w:val="true"/>
      <w:outlineLvl w:val="2"/>
    </w:pPr>
    <w:rPr>
      <w:b/>
      <w:bCs/>
      <w:sz w:val="36"/>
    </w:rPr>
  </w:style>
  <w:style w:type="paragraph" w:styleId="Heading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Hypertextovprepojenie1" w:customStyle="1">
    <w:name w:val="Hypertextové prepojenie1"/>
    <w:qFormat/>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vraznenie1" w:customStyle="1">
    <w:name w:val="Zvýraznenie1"/>
    <w:qFormat/>
    <w:rPr>
      <w:i/>
      <w:iCs/>
    </w:rPr>
  </w:style>
  <w:style w:type="character" w:styleId="Hyperlink">
    <w:name w:val="Hyperlink"/>
    <w:rPr>
      <w:color w:val="000080"/>
      <w:u w:val="single"/>
    </w:rPr>
  </w:style>
  <w:style w:type="character" w:styleId="Emphasis">
    <w:name w:val="Emphasis"/>
    <w:basedOn w:val="Predvolenpsmoodseku1"/>
    <w:qFormat/>
    <w:rPr>
      <w:i/>
      <w:iCs/>
    </w:rPr>
  </w:style>
  <w:style w:type="paragraph" w:styleId="Nadpis" w:customStyle="1">
    <w:name w:val="Nadpis"/>
    <w:basedOn w:val="Normal"/>
    <w:next w:val="BodyText"/>
    <w:qFormat/>
    <w:pPr>
      <w:keepNext w:val="true"/>
      <w:spacing w:before="240" w:after="120"/>
    </w:pPr>
    <w:rPr>
      <w:rFonts w:ascii="Arial" w:hAnsi="Arial" w:eastAsia="MS Mincho" w:cs="Tahoma"/>
      <w:sz w:val="28"/>
      <w:szCs w:val="28"/>
    </w:rPr>
  </w:style>
  <w:style w:type="paragraph" w:styleId="BodyText">
    <w:name w:val="Body Text"/>
    <w:basedOn w:val="Normal"/>
    <w:pPr/>
    <w:rPr>
      <w:sz w:val="32"/>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Caption1">
    <w:name w:val="caption1"/>
    <w:basedOn w:val="Normal"/>
    <w:qFormat/>
    <w:pPr>
      <w:suppressLineNumbers/>
      <w:spacing w:before="120" w:after="120"/>
    </w:pPr>
    <w:rPr>
      <w:rFonts w:cs="Arial"/>
      <w:i/>
      <w:iCs/>
    </w:rPr>
  </w:style>
  <w:style w:type="paragraph" w:styleId="Caption11" w:customStyle="1">
    <w:name w:val="caption11"/>
    <w:basedOn w:val="Normal"/>
    <w:qFormat/>
    <w:pPr>
      <w:suppressLineNumbers/>
      <w:spacing w:before="120" w:after="120"/>
    </w:pPr>
    <w:rPr>
      <w:rFonts w:cs="Arial"/>
      <w:i/>
      <w:iCs/>
    </w:rPr>
  </w:style>
  <w:style w:type="paragraph" w:styleId="Caption111" w:customStyle="1">
    <w:name w:val="caption111"/>
    <w:basedOn w:val="Normal"/>
    <w:qFormat/>
    <w:pPr>
      <w:suppressLineNumbers/>
      <w:spacing w:before="120" w:after="120"/>
    </w:pPr>
    <w:rPr>
      <w:rFonts w:cs="Arial"/>
      <w:i/>
      <w:iCs/>
    </w:rPr>
  </w:style>
  <w:style w:type="paragraph" w:styleId="Popisok" w:customStyle="1">
    <w:name w:val="Popisok"/>
    <w:basedOn w:val="Normal"/>
    <w:qFormat/>
    <w:pPr>
      <w:suppressLineNumbers/>
      <w:spacing w:before="120" w:after="120"/>
    </w:pPr>
    <w:rPr>
      <w:rFonts w:cs="Tahoma"/>
      <w:i/>
      <w:iCs/>
    </w:rPr>
  </w:style>
  <w:style w:type="paragraph" w:styleId="Title">
    <w:name w:val="Title"/>
    <w:basedOn w:val="Nadpis"/>
    <w:qFormat/>
    <w:pPr/>
    <w:rPr/>
  </w:style>
  <w:style w:type="paragraph" w:styleId="Subtitle">
    <w:name w:val="Subtitle"/>
    <w:basedOn w:val="Nadpis"/>
    <w:qFormat/>
    <w:pPr>
      <w:jc w:val="center"/>
    </w:pPr>
    <w:rPr>
      <w:i/>
      <w:iCs/>
    </w:rPr>
  </w:style>
  <w:style w:type="paragraph" w:styleId="Popis1" w:customStyle="1">
    <w:name w:val="Popis1"/>
    <w:basedOn w:val="Normal"/>
    <w:qFormat/>
    <w:pPr/>
    <w:rPr>
      <w:b/>
      <w:bCs/>
    </w:rPr>
  </w:style>
  <w:style w:type="paragraph" w:styleId="Hlavikaapta" w:customStyle="1">
    <w:name w:val="Hlavička a päta"/>
    <w:basedOn w:val="Normal"/>
    <w:qFormat/>
    <w:pPr/>
    <w:rPr/>
  </w:style>
  <w:style w:type="paragraph" w:styleId="Header">
    <w:name w:val="Header"/>
    <w:basedOn w:val="Normal"/>
    <w:pPr>
      <w:tabs>
        <w:tab w:val="clear" w:pos="708"/>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BodyText"/>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BodyText"/>
    <w:qFormat/>
    <w:pPr>
      <w:suppressLineNumbers/>
    </w:pPr>
    <w:rPr/>
  </w:style>
  <w:style w:type="paragraph" w:styleId="WW-Nadpistabuky1" w:customStyle="1">
    <w:name w:val="WW-Nadpis tabuľky1"/>
    <w:basedOn w:val="WW-Obsahtabuky1"/>
    <w:qFormat/>
    <w:pPr>
      <w:jc w:val="center"/>
    </w:pPr>
    <w:rPr>
      <w:b/>
      <w:bCs/>
      <w:i/>
      <w:iCs/>
    </w:rPr>
  </w:style>
  <w:style w:type="paragraph" w:styleId="Footer">
    <w:name w:val="Footer"/>
    <w:basedOn w:val="Normal"/>
    <w:pPr>
      <w:tabs>
        <w:tab w:val="clear" w:pos="708"/>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hanging="0" w:left="720"/>
    </w:pPr>
    <w:rPr>
      <w:lang w:val="cs-CZ" w:eastAsia="zh-CN"/>
    </w:rPr>
  </w:style>
  <w:style w:type="paragraph" w:styleId="Zkladntext1" w:customStyle="1">
    <w:name w:val="Základní text1"/>
    <w:qFormat/>
    <w:pPr>
      <w:widowControl/>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Default" w:customStyle="1">
    <w:name w:val="Default"/>
    <w:qFormat/>
    <w:pPr>
      <w:widowControl w:val="false"/>
      <w:overflowPunct w:val="true"/>
      <w:bidi w:val="0"/>
      <w:spacing w:before="0" w:after="0"/>
      <w:jc w:val="left"/>
    </w:pPr>
    <w:rPr>
      <w:rFonts w:ascii="Helvetica" w:hAnsi="Helvetica" w:eastAsia="Times New Roman" w:cs="Helvetica"/>
      <w:color w:val="000000"/>
      <w:kern w:val="2"/>
      <w:sz w:val="24"/>
      <w:szCs w:val="24"/>
      <w:lang w:val="sk-SK" w:eastAsia="sk-SK" w:bidi="ar-SA"/>
    </w:rPr>
  </w:style>
  <w:style w:type="paragraph" w:styleId="Zhlavietabuky" w:customStyle="1">
    <w:name w:val="Záhlavie tabuľky"/>
    <w:basedOn w:val="Obsahtabuky"/>
    <w:qFormat/>
    <w:pPr>
      <w:jc w:val="center"/>
    </w:pPr>
    <w:rPr>
      <w:b/>
      <w:bCs/>
    </w:rPr>
  </w:style>
  <w:style w:type="numbering" w:styleId="NoList" w:default="1">
    <w:name w:val="No List"/>
    <w:uiPriority w:val="99"/>
    <w:semiHidden/>
    <w:unhideWhenUsed/>
    <w:qFormat/>
  </w:style>
  <w:style w:type="numbering" w:styleId="WW8Num3" w:customStyle="1">
    <w:name w:val="WW8Num3"/>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268</TotalTime>
  <Application>LibreOffice/7.6.3.2$Windows_X86_64 LibreOffice_project/29d686fea9f6705b262d369fede658f824154cc0</Application>
  <AppVersion>15.0000</AppVersion>
  <DocSecurity>0</DocSecurity>
  <Pages>23</Pages>
  <Words>7749</Words>
  <Characters>44356</Characters>
  <CharactersWithSpaces>52615</CharactersWithSpaces>
  <Paragraphs>1719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2024-09-09T09:41:00Z</dcterms:created>
  <dc:creator>OcU</dc:creator>
  <dc:description/>
  <dc:language>sk-SK</dc:language>
  <cp:lastModifiedBy/>
  <cp:lastPrinted>2025-07-10T08:14:19Z</cp:lastPrinted>
  <dcterms:modified xsi:type="dcterms:W3CDTF">2025-07-15T14:00:10Z</dcterms:modified>
  <cp:revision>25</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