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png" ContentType="image/png"/>
  <Override PartName="/word/media/image3.jpeg" ContentType="image/jpe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rPr>
          <w:color w:val="C9211E"/>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color w:val="C9211E"/>
        </w:rPr>
        <w:t xml:space="preserve">  </w:t>
      </w:r>
    </w:p>
    <w:p>
      <w:pPr>
        <w:pStyle w:val="Header"/>
        <w:tabs>
          <w:tab w:val="left" w:pos="3240" w:leader="none"/>
          <w:tab w:val="center" w:pos="4536" w:leader="none"/>
          <w:tab w:val="right" w:pos="9072" w:leader="none"/>
        </w:tabs>
        <w:spacing w:lineRule="auto" w:line="360"/>
        <w:jc w:val="center"/>
        <w:rPr>
          <w:color w:val="C9211E"/>
        </w:rPr>
      </w:pPr>
      <w:r>
        <w:rPr>
          <w:rFonts w:cs="Book Antiqua"/>
          <w:b/>
          <w:bCs/>
          <w:i/>
          <w:iCs/>
          <w:color w:val="auto"/>
          <w:sz w:val="32"/>
        </w:rPr>
        <w:t xml:space="preserve">OBEC    </w:t>
      </w:r>
      <w:r>
        <w:rPr>
          <w:rFonts w:cs="Book Antiqua"/>
          <w:b/>
          <w:bCs/>
          <w:i/>
          <w:iCs/>
          <w:color w:val="auto"/>
          <w:sz w:val="32"/>
          <w:szCs w:val="32"/>
        </w:rPr>
        <w:t>ĽUBEĽA</w:t>
      </w:r>
    </w:p>
    <w:p>
      <w:pPr>
        <w:pStyle w:val="Header"/>
        <w:tabs>
          <w:tab w:val="left" w:pos="3060" w:leader="none"/>
          <w:tab w:val="center" w:pos="4536" w:leader="none"/>
          <w:tab w:val="right" w:pos="9072" w:leader="none"/>
        </w:tabs>
        <w:spacing w:lineRule="auto" w:line="360"/>
        <w:jc w:val="center"/>
        <w:rPr>
          <w:color w:val="C9211E"/>
        </w:rPr>
      </w:pPr>
      <w:r>
        <w:rPr>
          <w:rFonts w:cs="Book Antiqua" w:ascii="Book Antiqua" w:hAnsi="Book Antiqua"/>
          <w:b/>
          <w:bCs/>
          <w:i/>
          <w:iCs/>
          <w:color w:val="auto"/>
          <w:sz w:val="28"/>
        </w:rPr>
        <w:t xml:space="preserve">Ľubeľa 346 </w:t>
      </w:r>
    </w:p>
    <w:p>
      <w:pPr>
        <w:pStyle w:val="Header"/>
        <w:tabs>
          <w:tab w:val="left" w:pos="3240" w:leader="none"/>
          <w:tab w:val="center" w:pos="4536" w:leader="none"/>
          <w:tab w:val="right" w:pos="9072" w:leader="none"/>
        </w:tabs>
        <w:spacing w:lineRule="auto" w:line="360"/>
        <w:jc w:val="center"/>
        <w:rPr>
          <w:color w:val="C9211E"/>
        </w:rPr>
      </w:pPr>
      <w:r>
        <w:rPr>
          <w:rFonts w:cs="Book Antiqua" w:ascii="Book Antiqua" w:hAnsi="Book Antiqua"/>
          <w:b/>
          <w:bCs/>
          <w:i/>
          <w:iCs/>
          <w:color w:val="auto"/>
          <w:sz w:val="28"/>
          <w:szCs w:val="28"/>
          <w:lang w:val="sk-SK"/>
        </w:rPr>
        <w:t>032 14   Ľubeľa</w:t>
      </w:r>
    </w:p>
    <w:p>
      <w:pPr>
        <w:pStyle w:val="Normal"/>
        <w:jc w:val="center"/>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rPr>
          <w:color w:val="auto"/>
        </w:rPr>
      </w:pPr>
      <w:r>
        <w:rPr>
          <w:color w:val="auto"/>
        </w:rPr>
      </w:r>
    </w:p>
    <w:p>
      <w:pPr>
        <w:pStyle w:val="Normal"/>
        <w:jc w:val="center"/>
        <w:rPr>
          <w:color w:val="C9211E"/>
        </w:rPr>
      </w:pPr>
      <w:r>
        <w:rPr>
          <w:b/>
          <w:bCs/>
          <w:color w:val="auto"/>
          <w:sz w:val="52"/>
          <w:szCs w:val="52"/>
        </w:rPr>
        <w:t>Výročná správa  obce  Ľubeľa</w:t>
      </w:r>
    </w:p>
    <w:p>
      <w:pPr>
        <w:pStyle w:val="Normal"/>
        <w:jc w:val="center"/>
        <w:rPr>
          <w:color w:val="C9211E"/>
        </w:rPr>
      </w:pPr>
      <w:r>
        <w:rPr>
          <w:b/>
          <w:bCs/>
          <w:color w:val="auto"/>
          <w:sz w:val="52"/>
          <w:szCs w:val="52"/>
        </w:rPr>
        <w:t>za konsolidovaný celok</w:t>
      </w:r>
    </w:p>
    <w:p>
      <w:pPr>
        <w:pStyle w:val="Normal"/>
        <w:rPr>
          <w:b/>
          <w:bCs/>
          <w:color w:val="auto"/>
          <w:sz w:val="20"/>
          <w:szCs w:val="20"/>
        </w:rPr>
      </w:pPr>
      <w:r>
        <w:rPr>
          <w:b/>
          <w:bCs/>
          <w:color w:val="auto"/>
          <w:sz w:val="20"/>
          <w:szCs w:val="20"/>
        </w:rPr>
      </w:r>
    </w:p>
    <w:p>
      <w:pPr>
        <w:pStyle w:val="Normal"/>
        <w:tabs>
          <w:tab w:val="clear" w:pos="708"/>
          <w:tab w:val="left" w:pos="3261" w:leader="none"/>
        </w:tabs>
        <w:rPr>
          <w:color w:val="C9211E"/>
        </w:rPr>
      </w:pPr>
      <w:r>
        <w:rPr>
          <w:b/>
          <w:bCs/>
          <w:color w:val="auto"/>
          <w:sz w:val="40"/>
        </w:rPr>
        <w:t xml:space="preserve">                            </w:t>
      </w:r>
      <w:r>
        <w:rPr>
          <w:b/>
          <w:bCs/>
          <w:color w:val="auto"/>
          <w:sz w:val="40"/>
        </w:rPr>
        <w:tab/>
        <w:t xml:space="preserve">  </w:t>
      </w:r>
      <w:r>
        <w:rPr>
          <w:b/>
          <w:bCs/>
          <w:color w:val="auto"/>
          <w:sz w:val="56"/>
          <w:szCs w:val="56"/>
        </w:rPr>
        <w:t>za rok  2024</w:t>
      </w:r>
    </w:p>
    <w:p>
      <w:pPr>
        <w:pStyle w:val="Normal"/>
        <w:jc w:val="center"/>
        <w:rPr>
          <w:color w:val="auto"/>
          <w:sz w:val="40"/>
        </w:rPr>
      </w:pPr>
      <w:r>
        <w:rPr>
          <w:color w:val="auto"/>
          <w:sz w:val="40"/>
        </w:rPr>
      </w:r>
    </w:p>
    <w:p>
      <w:pPr>
        <w:pStyle w:val="Normal"/>
        <w:rPr>
          <w:color w:val="auto"/>
        </w:rPr>
      </w:pPr>
      <w:r>
        <w:rPr>
          <w:color w:val="auto"/>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jc w:val="both"/>
        <w:rPr>
          <w:color w:val="C9211E"/>
        </w:rPr>
      </w:pPr>
      <w:r>
        <w:rPr>
          <w:b/>
          <w:color w:val="auto"/>
          <w:sz w:val="26"/>
          <w:szCs w:val="26"/>
        </w:rPr>
        <w:t>Vypracoval:</w:t>
      </w:r>
      <w:r>
        <w:rPr>
          <w:color w:val="auto"/>
          <w:sz w:val="26"/>
          <w:szCs w:val="26"/>
        </w:rPr>
        <w:t xml:space="preserve"> Ing. Juraj Brziak</w:t>
      </w:r>
    </w:p>
    <w:p>
      <w:pPr>
        <w:pStyle w:val="Normal"/>
        <w:jc w:val="center"/>
        <w:rPr>
          <w:b/>
          <w:color w:val="auto"/>
        </w:rPr>
      </w:pPr>
      <w:r>
        <w:rPr>
          <w:b/>
          <w:color w:val="auto"/>
        </w:rPr>
      </w:r>
    </w:p>
    <w:p>
      <w:pPr>
        <w:pStyle w:val="Normal"/>
        <w:tabs>
          <w:tab w:val="clear" w:pos="708"/>
          <w:tab w:val="left" w:pos="6946" w:leader="none"/>
        </w:tabs>
        <w:jc w:val="both"/>
        <w:rPr>
          <w:color w:val="C9211E"/>
        </w:rPr>
      </w:pPr>
      <w:r>
        <w:rPr>
          <w:b/>
          <w:color w:val="auto"/>
          <w:sz w:val="28"/>
          <w:szCs w:val="28"/>
        </w:rPr>
        <w:t xml:space="preserve">                                                                                    </w:t>
      </w:r>
      <w:r>
        <w:rPr>
          <w:b/>
          <w:color w:val="auto"/>
          <w:sz w:val="28"/>
          <w:szCs w:val="28"/>
        </w:rPr>
        <w:t xml:space="preserve">Ing. </w:t>
      </w:r>
      <w:r>
        <w:rPr>
          <w:b/>
          <w:color w:val="auto"/>
          <w:sz w:val="26"/>
          <w:szCs w:val="26"/>
        </w:rPr>
        <w:t>Erik Gemzický, PhD., MBA</w:t>
      </w:r>
    </w:p>
    <w:p>
      <w:pPr>
        <w:pStyle w:val="Normal"/>
        <w:tabs>
          <w:tab w:val="clear" w:pos="708"/>
          <w:tab w:val="left" w:pos="7095" w:leader="none"/>
          <w:tab w:val="left" w:pos="7513" w:leader="none"/>
        </w:tabs>
        <w:jc w:val="both"/>
        <w:rPr>
          <w:color w:val="auto"/>
        </w:rPr>
      </w:pPr>
      <w:r>
        <w:rPr>
          <w:b/>
          <w:color w:val="auto"/>
          <w:sz w:val="26"/>
          <w:szCs w:val="26"/>
        </w:rPr>
        <w:t>V Ľubeli, júl 2025</w:t>
        <w:tab/>
      </w:r>
      <w:r>
        <w:rPr>
          <w:b/>
          <w:color w:val="auto"/>
          <w:sz w:val="28"/>
          <w:szCs w:val="28"/>
        </w:rPr>
        <w:t>starosta</w:t>
      </w:r>
    </w:p>
    <w:p>
      <w:pPr>
        <w:pStyle w:val="Normal"/>
        <w:rPr>
          <w:b/>
          <w:color w:val="auto"/>
        </w:rPr>
      </w:pPr>
      <w:r>
        <w:rPr>
          <w:b/>
          <w:color w:val="auto"/>
        </w:rPr>
      </w:r>
    </w:p>
    <w:p>
      <w:pPr>
        <w:pStyle w:val="Normal"/>
        <w:ind w:firstLine="708"/>
        <w:jc w:val="both"/>
        <w:rPr>
          <w:color w:val="C9211E"/>
        </w:rPr>
      </w:pPr>
      <w:r>
        <w:rPr>
          <w:b/>
          <w:color w:val="auto"/>
        </w:rPr>
        <w:t>OBSAH</w:t>
      </w:r>
    </w:p>
    <w:p>
      <w:pPr>
        <w:pStyle w:val="Normal"/>
        <w:ind w:firstLine="708"/>
        <w:jc w:val="both"/>
        <w:rPr>
          <w:color w:val="auto"/>
        </w:rPr>
      </w:pPr>
      <w:r>
        <w:rPr>
          <w:color w:val="auto"/>
        </w:rPr>
      </w:r>
    </w:p>
    <w:p>
      <w:pPr>
        <w:pStyle w:val="Normal"/>
        <w:ind w:firstLine="708"/>
        <w:jc w:val="both"/>
        <w:rPr>
          <w:color w:val="C9211E"/>
        </w:rPr>
      </w:pPr>
      <w:r>
        <w:rPr>
          <w:b/>
          <w:bCs/>
          <w:color w:val="auto"/>
        </w:rPr>
        <w:t xml:space="preserve">1. Základná charakteristika obce, história a poslanie </w:t>
      </w:r>
    </w:p>
    <w:p>
      <w:pPr>
        <w:pStyle w:val="Normal"/>
        <w:ind w:firstLine="708"/>
        <w:jc w:val="both"/>
        <w:rPr>
          <w:color w:val="C9211E"/>
        </w:rPr>
      </w:pPr>
      <w:r>
        <w:rPr>
          <w:color w:val="auto"/>
        </w:rPr>
        <w:t>Identifikačné údaje</w:t>
      </w:r>
    </w:p>
    <w:p>
      <w:pPr>
        <w:pStyle w:val="Normal"/>
        <w:ind w:firstLine="708"/>
        <w:jc w:val="both"/>
        <w:rPr>
          <w:color w:val="C9211E"/>
        </w:rPr>
      </w:pPr>
      <w:r>
        <w:rPr>
          <w:color w:val="auto"/>
        </w:rPr>
        <w:t>Geografické údaje</w:t>
      </w:r>
    </w:p>
    <w:p>
      <w:pPr>
        <w:pStyle w:val="Normal"/>
        <w:ind w:firstLine="708"/>
        <w:jc w:val="both"/>
        <w:rPr>
          <w:color w:val="C9211E"/>
        </w:rPr>
      </w:pPr>
      <w:r>
        <w:rPr>
          <w:color w:val="auto"/>
        </w:rPr>
        <w:t>Demografické údaje</w:t>
      </w:r>
    </w:p>
    <w:p>
      <w:pPr>
        <w:pStyle w:val="Normal"/>
        <w:ind w:firstLine="708"/>
        <w:jc w:val="both"/>
        <w:rPr>
          <w:color w:val="C9211E"/>
        </w:rPr>
      </w:pPr>
      <w:r>
        <w:rPr>
          <w:color w:val="auto"/>
        </w:rPr>
        <w:t>História obce</w:t>
      </w:r>
    </w:p>
    <w:p>
      <w:pPr>
        <w:pStyle w:val="Normal"/>
        <w:ind w:firstLine="708"/>
        <w:jc w:val="both"/>
        <w:rPr>
          <w:color w:val="C9211E"/>
        </w:rPr>
      </w:pPr>
      <w:r>
        <w:rPr>
          <w:color w:val="auto"/>
        </w:rPr>
        <w:t>Kultúrne pamiatky obce</w:t>
      </w:r>
    </w:p>
    <w:p>
      <w:pPr>
        <w:pStyle w:val="Normal"/>
        <w:ind w:firstLine="708"/>
        <w:jc w:val="both"/>
        <w:rPr>
          <w:color w:val="C9211E"/>
        </w:rPr>
      </w:pPr>
      <w:r>
        <w:rPr>
          <w:color w:val="auto"/>
        </w:rPr>
        <w:t>Významné osobnosti obce</w:t>
      </w:r>
    </w:p>
    <w:p>
      <w:pPr>
        <w:pStyle w:val="Normal"/>
        <w:ind w:firstLine="708"/>
        <w:jc w:val="both"/>
        <w:rPr>
          <w:color w:val="C9211E"/>
        </w:rPr>
      </w:pPr>
      <w:r>
        <w:rPr>
          <w:color w:val="auto"/>
        </w:rPr>
        <w:t>Symboly obce</w:t>
      </w:r>
    </w:p>
    <w:p>
      <w:pPr>
        <w:pStyle w:val="Normal"/>
        <w:ind w:firstLine="708"/>
        <w:jc w:val="both"/>
        <w:rPr>
          <w:color w:val="C9211E"/>
        </w:rPr>
      </w:pPr>
      <w:r>
        <w:rPr>
          <w:color w:val="auto"/>
        </w:rPr>
        <w:t>Obec a jej úlohy</w:t>
      </w:r>
    </w:p>
    <w:p>
      <w:pPr>
        <w:pStyle w:val="Normal"/>
        <w:ind w:firstLine="708"/>
        <w:jc w:val="both"/>
        <w:rPr>
          <w:color w:val="C9211E"/>
        </w:rPr>
      </w:pPr>
      <w:r>
        <w:rPr>
          <w:color w:val="auto"/>
        </w:rPr>
        <w:t>Základné orgány obce</w:t>
      </w:r>
    </w:p>
    <w:p>
      <w:pPr>
        <w:pStyle w:val="Normal"/>
        <w:ind w:firstLine="708"/>
        <w:jc w:val="both"/>
        <w:rPr>
          <w:color w:val="C9211E"/>
        </w:rPr>
      </w:pPr>
      <w:r>
        <w:rPr>
          <w:color w:val="auto"/>
        </w:rPr>
        <w:t>Obecný úrad</w:t>
      </w:r>
    </w:p>
    <w:p>
      <w:pPr>
        <w:pStyle w:val="Normal"/>
        <w:ind w:firstLine="708"/>
        <w:jc w:val="both"/>
        <w:rPr>
          <w:color w:val="C9211E"/>
        </w:rPr>
      </w:pPr>
      <w:r>
        <w:rPr>
          <w:color w:val="auto"/>
        </w:rPr>
        <w:t>Financovanie obce</w:t>
      </w:r>
    </w:p>
    <w:p>
      <w:pPr>
        <w:pStyle w:val="Normal"/>
        <w:ind w:firstLine="708"/>
        <w:jc w:val="both"/>
        <w:rPr>
          <w:color w:val="C9211E"/>
        </w:rPr>
      </w:pPr>
      <w:r>
        <w:rPr>
          <w:color w:val="auto"/>
        </w:rPr>
        <w:t>Výchova a vzdelávanie</w:t>
      </w:r>
    </w:p>
    <w:p>
      <w:pPr>
        <w:pStyle w:val="Normal"/>
        <w:ind w:firstLine="708"/>
        <w:jc w:val="both"/>
        <w:rPr>
          <w:color w:val="C9211E"/>
        </w:rPr>
      </w:pPr>
      <w:r>
        <w:rPr>
          <w:color w:val="auto"/>
        </w:rPr>
        <w:t>Kultúra</w:t>
      </w:r>
    </w:p>
    <w:p>
      <w:pPr>
        <w:pStyle w:val="Normal"/>
        <w:ind w:firstLine="708"/>
        <w:jc w:val="both"/>
        <w:rPr>
          <w:color w:val="C9211E"/>
        </w:rPr>
      </w:pPr>
      <w:r>
        <w:rPr>
          <w:color w:val="auto"/>
        </w:rPr>
        <w:t>Sociálne zabezpečenie</w:t>
      </w:r>
    </w:p>
    <w:p>
      <w:pPr>
        <w:pStyle w:val="Normal"/>
        <w:ind w:firstLine="708"/>
        <w:jc w:val="both"/>
        <w:rPr>
          <w:color w:val="C9211E"/>
        </w:rPr>
      </w:pPr>
      <w:r>
        <w:rPr>
          <w:color w:val="auto"/>
        </w:rPr>
        <w:t>Hospodárstvo</w:t>
      </w:r>
    </w:p>
    <w:p>
      <w:pPr>
        <w:pStyle w:val="Normal"/>
        <w:ind w:firstLine="708"/>
        <w:jc w:val="both"/>
        <w:rPr>
          <w:color w:val="C9211E"/>
        </w:rPr>
      </w:pPr>
      <w:r>
        <w:rPr>
          <w:color w:val="auto"/>
        </w:rPr>
        <w:t>Zdravotníctvo</w:t>
      </w:r>
    </w:p>
    <w:p>
      <w:pPr>
        <w:pStyle w:val="Normal"/>
        <w:ind w:firstLine="708"/>
        <w:jc w:val="both"/>
        <w:rPr>
          <w:color w:val="C9211E"/>
        </w:rPr>
      </w:pPr>
      <w:r>
        <w:rPr>
          <w:color w:val="auto"/>
        </w:rPr>
        <w:t>Rozpočtová  organizácia</w:t>
      </w:r>
    </w:p>
    <w:p>
      <w:pPr>
        <w:pStyle w:val="Normal"/>
        <w:ind w:firstLine="708"/>
        <w:jc w:val="both"/>
        <w:rPr>
          <w:color w:val="auto"/>
        </w:rPr>
      </w:pPr>
      <w:r>
        <w:rPr>
          <w:color w:val="auto"/>
        </w:rPr>
      </w:r>
    </w:p>
    <w:p>
      <w:pPr>
        <w:pStyle w:val="Normal"/>
        <w:ind w:firstLine="708"/>
        <w:jc w:val="both"/>
        <w:rPr>
          <w:color w:val="C9211E"/>
        </w:rPr>
      </w:pPr>
      <w:r>
        <w:rPr>
          <w:b/>
          <w:bCs/>
          <w:color w:val="auto"/>
        </w:rPr>
        <w:t>2. Rozpočet obce za rok 2024 a jeho plnenie</w:t>
      </w:r>
    </w:p>
    <w:p>
      <w:pPr>
        <w:pStyle w:val="Normal"/>
        <w:ind w:firstLine="708"/>
        <w:jc w:val="both"/>
        <w:rPr>
          <w:color w:val="C9211E"/>
        </w:rPr>
      </w:pPr>
      <w:r>
        <w:rPr>
          <w:color w:val="auto"/>
        </w:rPr>
        <w:t>Rozbor plnenia príjmov za rok 2024</w:t>
      </w:r>
    </w:p>
    <w:p>
      <w:pPr>
        <w:pStyle w:val="Normal"/>
        <w:ind w:firstLine="708"/>
        <w:jc w:val="both"/>
        <w:rPr>
          <w:color w:val="C9211E"/>
        </w:rPr>
      </w:pPr>
      <w:r>
        <w:rPr>
          <w:color w:val="auto"/>
        </w:rPr>
        <w:t>Rozbor plnenia výdavkov  za rok 2024</w:t>
      </w:r>
    </w:p>
    <w:p>
      <w:pPr>
        <w:pStyle w:val="Normal"/>
        <w:ind w:firstLine="708"/>
        <w:jc w:val="both"/>
        <w:rPr>
          <w:color w:val="auto"/>
        </w:rPr>
      </w:pPr>
      <w:r>
        <w:rPr>
          <w:color w:val="auto"/>
        </w:rPr>
      </w:r>
    </w:p>
    <w:p>
      <w:pPr>
        <w:pStyle w:val="Normal"/>
        <w:ind w:firstLine="708"/>
        <w:jc w:val="both"/>
        <w:rPr>
          <w:color w:val="C9211E"/>
        </w:rPr>
      </w:pPr>
      <w:r>
        <w:rPr>
          <w:b/>
          <w:bCs/>
          <w:color w:val="auto"/>
        </w:rPr>
        <w:t>3. Hospodárenie obce a rozdelenie výsledku hospodárenia za rok 2024</w:t>
      </w:r>
    </w:p>
    <w:p>
      <w:pPr>
        <w:pStyle w:val="Normal"/>
        <w:ind w:firstLine="708"/>
        <w:jc w:val="both"/>
        <w:rPr>
          <w:color w:val="C9211E"/>
        </w:rPr>
      </w:pPr>
      <w:r>
        <w:rPr>
          <w:color w:val="auto"/>
        </w:rPr>
        <w:t>Skutočnosť a výsledok rozpočtového hospodárenia za rok 2024</w:t>
      </w:r>
    </w:p>
    <w:p>
      <w:pPr>
        <w:pStyle w:val="Normal"/>
        <w:ind w:firstLine="708"/>
        <w:jc w:val="both"/>
        <w:rPr>
          <w:color w:val="auto"/>
        </w:rPr>
      </w:pPr>
      <w:r>
        <w:rPr>
          <w:color w:val="auto"/>
        </w:rPr>
      </w:r>
    </w:p>
    <w:p>
      <w:pPr>
        <w:pStyle w:val="Normal"/>
        <w:ind w:firstLine="708"/>
        <w:jc w:val="both"/>
        <w:rPr>
          <w:color w:val="C9211E"/>
        </w:rPr>
      </w:pPr>
      <w:r>
        <w:rPr>
          <w:b/>
          <w:bCs/>
          <w:color w:val="auto"/>
        </w:rPr>
        <w:t>4. Bilancia aktív a pasív k 31.12.2024</w:t>
      </w:r>
    </w:p>
    <w:p>
      <w:pPr>
        <w:pStyle w:val="Normal"/>
        <w:ind w:firstLine="708"/>
        <w:jc w:val="both"/>
        <w:rPr>
          <w:color w:val="C9211E"/>
        </w:rPr>
      </w:pPr>
      <w:r>
        <w:rPr>
          <w:color w:val="auto"/>
        </w:rPr>
        <w:t>Aktíva</w:t>
      </w:r>
    </w:p>
    <w:p>
      <w:pPr>
        <w:pStyle w:val="Normal"/>
        <w:ind w:firstLine="708"/>
        <w:jc w:val="both"/>
        <w:rPr>
          <w:color w:val="C9211E"/>
        </w:rPr>
      </w:pPr>
      <w:r>
        <w:rPr>
          <w:color w:val="auto"/>
        </w:rPr>
        <w:t>Pasíva</w:t>
      </w:r>
    </w:p>
    <w:p>
      <w:pPr>
        <w:pStyle w:val="Normal"/>
        <w:ind w:firstLine="708"/>
        <w:jc w:val="both"/>
        <w:rPr>
          <w:color w:val="auto"/>
        </w:rPr>
      </w:pPr>
      <w:r>
        <w:rPr>
          <w:color w:val="auto"/>
        </w:rPr>
      </w:r>
    </w:p>
    <w:p>
      <w:pPr>
        <w:pStyle w:val="Normal"/>
        <w:ind w:firstLine="708"/>
        <w:jc w:val="both"/>
        <w:rPr>
          <w:color w:val="C9211E"/>
        </w:rPr>
      </w:pPr>
      <w:r>
        <w:rPr>
          <w:b/>
          <w:bCs/>
          <w:color w:val="auto"/>
        </w:rPr>
        <w:t>5. Vývoj pohľadávok a záväzkov  k 31.12.2024</w:t>
      </w:r>
    </w:p>
    <w:p>
      <w:pPr>
        <w:pStyle w:val="Normal"/>
        <w:ind w:firstLine="708"/>
        <w:jc w:val="both"/>
        <w:rPr>
          <w:color w:val="C9211E"/>
        </w:rPr>
      </w:pPr>
      <w:r>
        <w:rPr>
          <w:color w:val="auto"/>
        </w:rPr>
        <w:t xml:space="preserve">Pohľadávky </w:t>
      </w:r>
    </w:p>
    <w:p>
      <w:pPr>
        <w:pStyle w:val="Normal"/>
        <w:ind w:firstLine="708"/>
        <w:jc w:val="both"/>
        <w:rPr>
          <w:color w:val="C9211E"/>
        </w:rPr>
      </w:pPr>
      <w:r>
        <w:rPr>
          <w:color w:val="auto"/>
        </w:rPr>
        <w:t>Záväzky</w:t>
      </w:r>
    </w:p>
    <w:p>
      <w:pPr>
        <w:pStyle w:val="Normal"/>
        <w:ind w:firstLine="708"/>
        <w:jc w:val="both"/>
        <w:rPr>
          <w:color w:val="auto"/>
        </w:rPr>
      </w:pPr>
      <w:r>
        <w:rPr>
          <w:color w:val="auto"/>
        </w:rPr>
      </w:r>
    </w:p>
    <w:p>
      <w:pPr>
        <w:pStyle w:val="Normal"/>
        <w:ind w:firstLine="708"/>
        <w:jc w:val="both"/>
        <w:rPr>
          <w:color w:val="C9211E"/>
        </w:rPr>
      </w:pPr>
      <w:r>
        <w:rPr>
          <w:b/>
          <w:bCs/>
          <w:color w:val="auto"/>
        </w:rPr>
        <w:t>6. Ostatné dôležité informácie</w:t>
      </w:r>
    </w:p>
    <w:p>
      <w:pPr>
        <w:pStyle w:val="Normal"/>
        <w:ind w:firstLine="708"/>
        <w:jc w:val="both"/>
        <w:rPr>
          <w:color w:val="C9211E"/>
        </w:rPr>
      </w:pPr>
      <w:r>
        <w:rPr>
          <w:color w:val="auto"/>
        </w:rPr>
        <w:t>Finančné usporiadanie vzťahov /prijaté granty a transfery/</w:t>
      </w:r>
    </w:p>
    <w:p>
      <w:pPr>
        <w:pStyle w:val="Normal"/>
        <w:ind w:firstLine="708"/>
        <w:jc w:val="both"/>
        <w:rPr/>
      </w:pPr>
      <w:r>
        <w:rPr>
          <w:color w:val="auto"/>
        </w:rPr>
        <w:t>Prehľad o poskytnutých dotáciách</w:t>
      </w:r>
    </w:p>
    <w:p>
      <w:pPr>
        <w:pStyle w:val="Normal"/>
        <w:ind w:firstLine="708"/>
        <w:jc w:val="both"/>
        <w:rPr>
          <w:color w:val="auto"/>
        </w:rPr>
      </w:pPr>
      <w:r>
        <w:rPr>
          <w:color w:val="auto"/>
        </w:rPr>
        <w:t>Prehľad dlhodobého majetku</w:t>
      </w:r>
    </w:p>
    <w:p>
      <w:pPr>
        <w:pStyle w:val="Normal"/>
        <w:ind w:firstLine="708"/>
        <w:jc w:val="both"/>
        <w:rPr>
          <w:color w:val="C9211E"/>
        </w:rPr>
      </w:pPr>
      <w:r>
        <w:rPr>
          <w:color w:val="auto"/>
        </w:rPr>
        <w:t>Analýza nákladov a výnosov</w:t>
      </w:r>
    </w:p>
    <w:p>
      <w:pPr>
        <w:pStyle w:val="Normal"/>
        <w:ind w:firstLine="708"/>
        <w:jc w:val="both"/>
        <w:rPr>
          <w:color w:val="auto"/>
        </w:rPr>
      </w:pPr>
      <w:r>
        <w:rPr>
          <w:color w:val="auto"/>
        </w:rPr>
      </w:r>
    </w:p>
    <w:p>
      <w:pPr>
        <w:pStyle w:val="Normal"/>
        <w:ind w:firstLine="708"/>
        <w:jc w:val="both"/>
        <w:rPr>
          <w:color w:val="C9211E"/>
        </w:rPr>
      </w:pPr>
      <w:r>
        <w:rPr>
          <w:b/>
          <w:bCs/>
          <w:color w:val="auto"/>
        </w:rPr>
        <w:t>7. Konsolidovaná účtovná závierka</w:t>
      </w:r>
    </w:p>
    <w:p>
      <w:pPr>
        <w:pStyle w:val="Normal"/>
        <w:ind w:firstLine="708"/>
        <w:jc w:val="both"/>
        <w:rPr>
          <w:color w:val="C9211E"/>
        </w:rPr>
      </w:pPr>
      <w:r>
        <w:rPr>
          <w:color w:val="auto"/>
        </w:rPr>
        <w:t>Konsolidovaný celok</w:t>
      </w:r>
    </w:p>
    <w:p>
      <w:pPr>
        <w:pStyle w:val="Normal"/>
        <w:ind w:firstLine="708"/>
        <w:jc w:val="both"/>
        <w:rPr>
          <w:color w:val="C9211E"/>
        </w:rPr>
      </w:pPr>
      <w:r>
        <w:rPr>
          <w:color w:val="auto"/>
        </w:rPr>
        <w:t>Hospodárenie konsolidovaného celku</w:t>
      </w:r>
    </w:p>
    <w:p>
      <w:pPr>
        <w:pStyle w:val="Normal"/>
        <w:ind w:firstLine="708"/>
        <w:jc w:val="both"/>
        <w:rPr>
          <w:color w:val="auto"/>
        </w:rPr>
      </w:pPr>
      <w:r>
        <w:rPr>
          <w:color w:val="auto"/>
        </w:rPr>
      </w:r>
    </w:p>
    <w:p>
      <w:pPr>
        <w:pStyle w:val="Normal"/>
        <w:ind w:firstLine="708"/>
        <w:jc w:val="both"/>
        <w:rPr>
          <w:color w:val="C9211E"/>
        </w:rPr>
      </w:pPr>
      <w:r>
        <w:rPr>
          <w:b/>
          <w:bCs/>
          <w:color w:val="auto"/>
        </w:rPr>
        <w:t>8. Predpokladaný budúci vývoj – zámery obce</w:t>
      </w:r>
    </w:p>
    <w:p>
      <w:pPr>
        <w:pStyle w:val="Normal"/>
        <w:ind w:firstLine="708"/>
        <w:jc w:val="both"/>
        <w:rPr>
          <w:color w:val="auto"/>
        </w:rPr>
      </w:pPr>
      <w:r>
        <w:rPr>
          <w:color w:val="auto"/>
        </w:rPr>
      </w:r>
    </w:p>
    <w:p>
      <w:pPr>
        <w:pStyle w:val="Normal"/>
        <w:ind w:firstLine="708"/>
        <w:jc w:val="both"/>
        <w:rPr>
          <w:color w:val="C9211E"/>
        </w:rPr>
      </w:pPr>
      <w:r>
        <w:rPr>
          <w:b/>
          <w:bCs/>
          <w:color w:val="auto"/>
        </w:rPr>
        <w:t>9. Udalosti osobitného významu po skončení účtovného obdobia</w:t>
      </w:r>
    </w:p>
    <w:p>
      <w:pPr>
        <w:pStyle w:val="Normal"/>
        <w:ind w:hanging="0" w:left="432"/>
        <w:rPr>
          <w:color w:val="auto"/>
          <w:highlight w:val="red"/>
        </w:rPr>
      </w:pPr>
      <w:r>
        <w:rPr>
          <w:color w:val="auto"/>
          <w:highlight w:val="red"/>
        </w:rPr>
      </w:r>
      <w:r>
        <w:br w:type="page"/>
      </w:r>
    </w:p>
    <w:p>
      <w:pPr>
        <w:pStyle w:val="Heading1"/>
        <w:spacing w:before="0" w:after="0"/>
        <w:rPr>
          <w:color w:val="C9211E"/>
        </w:rPr>
      </w:pPr>
      <w:r>
        <w:rPr>
          <w:color w:val="auto"/>
          <w:sz w:val="28"/>
          <w:szCs w:val="28"/>
        </w:rPr>
        <w:t xml:space="preserve">1. Základná  charakteristika obce, história a poslanie </w:t>
      </w:r>
    </w:p>
    <w:p>
      <w:pPr>
        <w:pStyle w:val="Normal"/>
        <w:rPr>
          <w:color w:val="C9211E"/>
        </w:rPr>
      </w:pPr>
      <w:r>
        <w:rPr>
          <w:color w:val="auto"/>
        </w:rPr>
        <w:t xml:space="preserve">                                                                                   </w:t>
      </w:r>
    </w:p>
    <w:p>
      <w:pPr>
        <w:pStyle w:val="Normal"/>
        <w:rPr>
          <w:color w:val="C9211E"/>
        </w:rPr>
      </w:pPr>
      <w:r>
        <w:rPr>
          <w:b/>
          <w:bCs/>
          <w:color w:val="auto"/>
          <w:sz w:val="28"/>
          <w:szCs w:val="28"/>
        </w:rPr>
        <w:t>Identifikačné údaje :</w:t>
      </w:r>
    </w:p>
    <w:p>
      <w:pPr>
        <w:pStyle w:val="Normal"/>
        <w:rPr>
          <w:color w:val="C9211E"/>
        </w:rPr>
      </w:pPr>
      <w:r>
        <w:rPr>
          <w:b/>
          <w:bCs/>
          <w:color w:val="auto"/>
        </w:rPr>
        <w:t>Názov:</w:t>
      </w:r>
      <w:r>
        <w:rPr>
          <w:color w:val="auto"/>
        </w:rPr>
        <w:t xml:space="preserve">   Obec Ľubeľa</w:t>
      </w:r>
    </w:p>
    <w:p>
      <w:pPr>
        <w:pStyle w:val="Normal"/>
        <w:rPr>
          <w:color w:val="C9211E"/>
        </w:rPr>
      </w:pPr>
      <w:r>
        <w:rPr>
          <w:b/>
          <w:bCs/>
          <w:color w:val="auto"/>
        </w:rPr>
        <w:t>Adresa:</w:t>
      </w:r>
      <w:r>
        <w:rPr>
          <w:color w:val="auto"/>
        </w:rPr>
        <w:t xml:space="preserve"> Obecný úrad Ľubeľa</w:t>
      </w:r>
    </w:p>
    <w:p>
      <w:pPr>
        <w:pStyle w:val="Normal"/>
        <w:ind w:firstLine="708"/>
        <w:rPr>
          <w:color w:val="C9211E"/>
        </w:rPr>
      </w:pPr>
      <w:r>
        <w:rPr>
          <w:color w:val="auto"/>
        </w:rPr>
        <w:t xml:space="preserve">   </w:t>
      </w:r>
      <w:r>
        <w:rPr>
          <w:color w:val="auto"/>
        </w:rPr>
        <w:t>Ľubeľa 346</w:t>
      </w:r>
    </w:p>
    <w:p>
      <w:pPr>
        <w:pStyle w:val="Normal"/>
        <w:ind w:firstLine="143" w:left="708"/>
        <w:rPr>
          <w:color w:val="C9211E"/>
        </w:rPr>
      </w:pPr>
      <w:r>
        <w:rPr>
          <w:color w:val="auto"/>
        </w:rPr>
        <w:t>032 14  Ľubeľa</w:t>
      </w:r>
    </w:p>
    <w:p>
      <w:pPr>
        <w:pStyle w:val="Normal"/>
        <w:rPr>
          <w:color w:val="C9211E"/>
        </w:rPr>
      </w:pPr>
      <w:r>
        <w:rPr>
          <w:b/>
          <w:color w:val="auto"/>
        </w:rPr>
        <w:t>Štatutárny orgán:</w:t>
      </w:r>
      <w:r>
        <w:rPr>
          <w:color w:val="auto"/>
        </w:rPr>
        <w:t xml:space="preserve"> Ing. Erik Gemzický, PhD., MBA</w:t>
      </w:r>
    </w:p>
    <w:p>
      <w:pPr>
        <w:pStyle w:val="Normal"/>
        <w:rPr>
          <w:color w:val="C9211E"/>
        </w:rPr>
      </w:pPr>
      <w:r>
        <w:rPr>
          <w:color w:val="auto"/>
        </w:rPr>
        <w:t>IČO: 00315567</w:t>
      </w:r>
    </w:p>
    <w:p>
      <w:pPr>
        <w:pStyle w:val="Normal"/>
        <w:rPr>
          <w:color w:val="C9211E"/>
        </w:rPr>
      </w:pPr>
      <w:r>
        <w:rPr>
          <w:color w:val="auto"/>
        </w:rPr>
        <w:t>DIČ: 2020581552</w:t>
      </w:r>
    </w:p>
    <w:p>
      <w:pPr>
        <w:pStyle w:val="Normal"/>
        <w:rPr>
          <w:color w:val="C9211E"/>
        </w:rPr>
      </w:pPr>
      <w:r>
        <w:rPr>
          <w:b/>
          <w:bCs/>
          <w:color w:val="auto"/>
        </w:rPr>
        <w:t>Právna forma:</w:t>
      </w:r>
      <w:r>
        <w:rPr>
          <w:color w:val="auto"/>
        </w:rPr>
        <w:t xml:space="preserve"> právnická osoba </w:t>
      </w:r>
    </w:p>
    <w:p>
      <w:pPr>
        <w:pStyle w:val="Normal"/>
        <w:rPr>
          <w:color w:val="C9211E"/>
        </w:rPr>
      </w:pPr>
      <w:r>
        <w:rPr>
          <w:b/>
          <w:bCs/>
          <w:color w:val="auto"/>
        </w:rPr>
        <w:t xml:space="preserve">e-mail: </w:t>
      </w:r>
      <w:r>
        <w:rPr>
          <w:color w:val="auto"/>
        </w:rPr>
        <w:t xml:space="preserve">lubela@lubela.sk </w:t>
      </w:r>
    </w:p>
    <w:p>
      <w:pPr>
        <w:pStyle w:val="Normal"/>
        <w:rPr/>
      </w:pPr>
      <w:hyperlink r:id="rId3">
        <w:r>
          <w:rPr>
            <w:rStyle w:val="Hyperlink"/>
            <w:color w:val="auto"/>
          </w:rPr>
          <w:t xml:space="preserve">web: </w:t>
        </w:r>
      </w:hyperlink>
      <w:hyperlink r:id="rId4" w:tgtFrame="newwindow">
        <w:r>
          <w:rPr>
            <w:rStyle w:val="Hyperlink"/>
            <w:color w:val="auto"/>
          </w:rPr>
          <w:t>www.lubela.sk</w:t>
        </w:r>
      </w:hyperlink>
      <w:r>
        <w:rPr>
          <w:rStyle w:val="Hyperlink"/>
          <w:color w:val="auto"/>
        </w:rPr>
        <w:t xml:space="preserve"> </w:t>
      </w:r>
    </w:p>
    <w:p>
      <w:pPr>
        <w:pStyle w:val="Normal"/>
        <w:rPr>
          <w:color w:val="C9211E"/>
        </w:rPr>
      </w:pPr>
      <w:r>
        <w:rPr>
          <w:b/>
          <w:bCs/>
          <w:color w:val="auto"/>
        </w:rPr>
        <w:t xml:space="preserve">telefón a fax: </w:t>
      </w:r>
      <w:r>
        <w:rPr>
          <w:color w:val="auto"/>
        </w:rPr>
        <w:t>044/559 32 46</w:t>
      </w:r>
    </w:p>
    <w:p>
      <w:pPr>
        <w:pStyle w:val="Normal"/>
        <w:rPr>
          <w:color w:val="auto"/>
          <w:sz w:val="20"/>
          <w:szCs w:val="20"/>
          <w:highlight w:val="red"/>
        </w:rPr>
      </w:pPr>
      <w:r>
        <w:rPr>
          <w:color w:val="auto"/>
          <w:sz w:val="20"/>
          <w:szCs w:val="20"/>
          <w:highlight w:val="red"/>
        </w:rPr>
      </w:r>
    </w:p>
    <w:p>
      <w:pPr>
        <w:pStyle w:val="Normal"/>
        <w:ind w:firstLine="708"/>
        <w:jc w:val="both"/>
        <w:rPr>
          <w:color w:val="C9211E"/>
        </w:rPr>
      </w:pPr>
      <w:r>
        <w:rPr>
          <w:color w:val="auto"/>
        </w:rPr>
        <w:t>Obec ako samostatný územný samosprávny a správny celok sa riadi zákonom č. 369/1990 Zb. o obecnom zriadení v znení neskorších zmien a doplnkov a Ústavou Slovenskej republiky.</w:t>
      </w:r>
    </w:p>
    <w:p>
      <w:pPr>
        <w:pStyle w:val="Normal"/>
        <w:rPr>
          <w:color w:val="auto"/>
          <w:sz w:val="20"/>
          <w:szCs w:val="20"/>
          <w:highlight w:val="red"/>
        </w:rPr>
      </w:pPr>
      <w:r>
        <w:rPr>
          <w:color w:val="auto"/>
          <w:sz w:val="20"/>
          <w:szCs w:val="20"/>
          <w:highlight w:val="red"/>
        </w:rPr>
      </w:r>
    </w:p>
    <w:p>
      <w:pPr>
        <w:pStyle w:val="Normal"/>
        <w:rPr>
          <w:color w:val="C9211E"/>
        </w:rPr>
      </w:pPr>
      <w:r>
        <w:rPr>
          <w:b/>
          <w:bCs/>
          <w:color w:val="auto"/>
          <w:sz w:val="28"/>
          <w:szCs w:val="28"/>
        </w:rPr>
        <w:t>Geografické údaje :</w:t>
      </w:r>
    </w:p>
    <w:p>
      <w:pPr>
        <w:pStyle w:val="Normal"/>
        <w:rPr>
          <w:color w:val="C9211E"/>
        </w:rPr>
      </w:pPr>
      <w:r>
        <w:rPr>
          <w:bCs/>
          <w:color w:val="auto"/>
        </w:rPr>
        <w:t xml:space="preserve">Geografická poloha obce: </w:t>
        <w:tab/>
        <w:t>okres Liptovský Mikuláš, región Liptov</w:t>
      </w:r>
    </w:p>
    <w:p>
      <w:pPr>
        <w:pStyle w:val="Normal"/>
        <w:rPr>
          <w:color w:val="C9211E"/>
        </w:rPr>
      </w:pPr>
      <w:r>
        <w:rPr>
          <w:bCs/>
          <w:color w:val="auto"/>
        </w:rPr>
        <w:t>Susedné mestá a obce:</w:t>
        <w:tab/>
        <w:t>Dúbrava, Liptovské Kľačany</w:t>
      </w:r>
    </w:p>
    <w:p>
      <w:pPr>
        <w:pStyle w:val="Normal"/>
        <w:rPr>
          <w:color w:val="C9211E"/>
        </w:rPr>
      </w:pPr>
      <w:r>
        <w:rPr>
          <w:color w:val="auto"/>
        </w:rPr>
        <w:t xml:space="preserve">Celková rozloha obce :   </w:t>
        <w:tab/>
        <w:t>1746 ha</w:t>
      </w:r>
    </w:p>
    <w:p>
      <w:pPr>
        <w:pStyle w:val="Normal"/>
        <w:rPr>
          <w:color w:val="C9211E"/>
        </w:rPr>
      </w:pPr>
      <w:r>
        <w:rPr>
          <w:color w:val="auto"/>
        </w:rPr>
        <w:t xml:space="preserve">Nadmorská výška :  </w:t>
        <w:tab/>
        <w:tab/>
        <w:t xml:space="preserve">617 m. n. m.     </w:t>
      </w:r>
    </w:p>
    <w:p>
      <w:pPr>
        <w:pStyle w:val="Normal"/>
        <w:rPr>
          <w:color w:val="C9211E"/>
        </w:rPr>
      </w:pPr>
      <w:r>
        <w:rPr>
          <w:color w:val="auto"/>
        </w:rPr>
        <w:t xml:space="preserve">                      </w:t>
      </w:r>
    </w:p>
    <w:p>
      <w:pPr>
        <w:pStyle w:val="Normal"/>
        <w:rPr>
          <w:color w:val="C9211E"/>
        </w:rPr>
      </w:pPr>
      <w:r>
        <w:rPr>
          <w:b/>
          <w:bCs/>
          <w:color w:val="auto"/>
          <w:sz w:val="28"/>
          <w:szCs w:val="28"/>
        </w:rPr>
        <w:t>Demografické údaje:</w:t>
      </w:r>
    </w:p>
    <w:p>
      <w:pPr>
        <w:pStyle w:val="Normal"/>
        <w:rPr>
          <w:color w:val="C9211E"/>
        </w:rPr>
      </w:pPr>
      <w:r>
        <w:rPr>
          <w:bCs/>
          <w:color w:val="auto"/>
        </w:rPr>
        <w:t>Národnostná štruktúra: Prevažujúca národnosť slovenská</w:t>
      </w:r>
    </w:p>
    <w:p>
      <w:pPr>
        <w:pStyle w:val="Normal"/>
        <w:jc w:val="both"/>
        <w:rPr>
          <w:bCs/>
          <w:color w:val="auto"/>
          <w:sz w:val="20"/>
          <w:szCs w:val="20"/>
        </w:rPr>
      </w:pPr>
      <w:r>
        <w:rPr>
          <w:bCs/>
          <w:color w:val="auto"/>
          <w:sz w:val="20"/>
          <w:szCs w:val="20"/>
        </w:rPr>
      </w:r>
    </w:p>
    <w:p>
      <w:pPr>
        <w:pStyle w:val="Normal"/>
        <w:rPr>
          <w:color w:val="auto"/>
        </w:rPr>
      </w:pPr>
      <w:r>
        <w:rPr>
          <w:b/>
          <w:color w:val="auto"/>
        </w:rPr>
        <w:t xml:space="preserve">Počet obyvateľov obce Ľubeľa  k 31.12.2024:  </w:t>
      </w:r>
      <w:r>
        <w:rPr>
          <w:color w:val="auto"/>
        </w:rPr>
        <w:t>1192 obyvateľov (68,27 obyvateľa/km²)</w:t>
      </w:r>
    </w:p>
    <w:p>
      <w:pPr>
        <w:pStyle w:val="Normal"/>
        <w:rPr>
          <w:b/>
          <w:color w:val="auto"/>
          <w:sz w:val="28"/>
          <w:szCs w:val="28"/>
        </w:rPr>
      </w:pPr>
      <w:r>
        <w:rPr>
          <w:b/>
          <w:color w:val="auto"/>
          <w:sz w:val="28"/>
          <w:szCs w:val="28"/>
        </w:rPr>
      </w:r>
    </w:p>
    <w:p>
      <w:pPr>
        <w:pStyle w:val="Normal"/>
        <w:rPr>
          <w:color w:val="auto"/>
        </w:rPr>
      </w:pPr>
      <w:r>
        <w:rPr>
          <w:b/>
          <w:color w:val="auto"/>
          <w:sz w:val="28"/>
          <w:szCs w:val="28"/>
        </w:rPr>
        <w:t xml:space="preserve">História obce: </w:t>
      </w:r>
    </w:p>
    <w:p>
      <w:pPr>
        <w:pStyle w:val="Normal"/>
        <w:rPr/>
      </w:pPr>
      <w:r>
        <w:rPr>
          <w:color w:val="auto"/>
        </w:rPr>
        <w:t>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(Lubele Nymes, Nyemes Lubele).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w:t>
      </w:r>
      <w:r>
        <w:rPr>
          <w:color w:val="C9211E"/>
        </w:rPr>
        <w:t xml:space="preserve"> </w:t>
      </w:r>
      <w:r>
        <w:rPr>
          <w:color w:val="auto"/>
        </w:rPr>
        <w:t xml:space="preserve">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b/>
          <w:bCs/>
          <w:sz w:val="28"/>
          <w:szCs w:val="28"/>
        </w:rPr>
      </w:pPr>
      <w:r>
        <w:rPr>
          <w:b/>
          <w:bCs/>
          <w:sz w:val="28"/>
          <w:szCs w:val="28"/>
        </w:rPr>
      </w:r>
    </w:p>
    <w:p>
      <w:pPr>
        <w:pStyle w:val="Normal"/>
        <w:rPr>
          <w:color w:val="C9211E"/>
        </w:rPr>
      </w:pPr>
      <w:r>
        <w:rPr>
          <w:b/>
          <w:bCs/>
          <w:color w:val="auto"/>
          <w:sz w:val="28"/>
          <w:szCs w:val="28"/>
        </w:rPr>
        <w:t>Kultúrne pamiatky v obci:</w:t>
      </w:r>
    </w:p>
    <w:p>
      <w:pPr>
        <w:pStyle w:val="Normal"/>
        <w:rPr>
          <w:color w:val="auto"/>
        </w:rPr>
      </w:pPr>
      <w:r>
        <w:rPr>
          <w:color w:val="auto"/>
        </w:rPr>
        <w:t>V obci sa nenachádzajú kultúrne pamiatky významnejšieho charakteru.</w:t>
      </w:r>
    </w:p>
    <w:p>
      <w:pPr>
        <w:pStyle w:val="Normal"/>
        <w:rPr>
          <w:b/>
          <w:bCs/>
          <w:color w:val="auto"/>
          <w:sz w:val="28"/>
          <w:szCs w:val="28"/>
        </w:rPr>
      </w:pPr>
      <w:r>
        <w:rPr>
          <w:b/>
          <w:bCs/>
          <w:color w:val="auto"/>
          <w:sz w:val="28"/>
          <w:szCs w:val="28"/>
        </w:rPr>
      </w:r>
    </w:p>
    <w:p>
      <w:pPr>
        <w:pStyle w:val="Normal"/>
        <w:jc w:val="both"/>
        <w:rPr>
          <w:color w:val="C9211E"/>
        </w:rPr>
      </w:pPr>
      <w:r>
        <w:rPr>
          <w:b/>
          <w:color w:val="auto"/>
          <w:sz w:val="28"/>
          <w:szCs w:val="28"/>
        </w:rPr>
        <w:t>Významné osobnosti obce:</w:t>
      </w:r>
    </w:p>
    <w:p>
      <w:pPr>
        <w:pStyle w:val="Normal"/>
        <w:spacing w:lineRule="auto" w:line="360"/>
        <w:jc w:val="both"/>
        <w:rPr>
          <w:color w:val="auto"/>
        </w:rPr>
      </w:pPr>
      <w:r>
        <w:rPr>
          <w:color w:val="auto"/>
        </w:rPr>
        <w:t>Jonáš Bohumil Guoth – významný národovec a lekár</w:t>
      </w:r>
    </w:p>
    <w:p>
      <w:pPr>
        <w:pStyle w:val="Normal"/>
        <w:rPr>
          <w:b/>
          <w:bCs/>
          <w:color w:val="auto"/>
          <w:sz w:val="28"/>
          <w:szCs w:val="28"/>
        </w:rPr>
      </w:pPr>
      <w:r>
        <w:rPr>
          <w:b/>
          <w:bCs/>
          <w:color w:val="auto"/>
          <w:sz w:val="28"/>
          <w:szCs w:val="28"/>
        </w:rPr>
      </w:r>
    </w:p>
    <w:p>
      <w:pPr>
        <w:pStyle w:val="Normal"/>
        <w:rPr>
          <w:color w:val="C9211E"/>
        </w:rPr>
      </w:pPr>
      <w:r>
        <w:rPr>
          <w:b/>
          <w:bCs/>
          <w:color w:val="auto"/>
          <w:sz w:val="28"/>
          <w:szCs w:val="28"/>
        </w:rPr>
        <w:t xml:space="preserve">Symboly obce: </w:t>
      </w:r>
    </w:p>
    <w:p>
      <w:pPr>
        <w:pStyle w:val="Normal"/>
        <w:rPr>
          <w:color w:val="C9211E"/>
        </w:rPr>
      </w:pPr>
      <w:r>
        <w:rPr>
          <w:color w:val="auto"/>
        </w:rPr>
        <w:t>Erb, vlajka, pečať</w:t>
      </w:r>
    </w:p>
    <w:p>
      <w:pPr>
        <w:pStyle w:val="NormalWeb"/>
        <w:spacing w:before="0" w:after="0"/>
        <w:jc w:val="center"/>
        <w:rPr>
          <w:color w:val="C9211E"/>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5"/>
                    <a:stretch>
                      <a:fillRect/>
                    </a:stretch>
                  </pic:blipFill>
                  <pic:spPr bwMode="auto">
                    <a:xfrm>
                      <a:off x="0" y="0"/>
                      <a:ext cx="885190" cy="1060450"/>
                    </a:xfrm>
                    <a:prstGeom prst="rect">
                      <a:avLst/>
                    </a:prstGeom>
                  </pic:spPr>
                </pic:pic>
              </a:graphicData>
            </a:graphic>
          </wp:inline>
        </w:drawing>
      </w:r>
      <w:r>
        <w:rPr>
          <w:color w:val="auto"/>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6"/>
                    <a:stretch>
                      <a:fillRect/>
                    </a:stretch>
                  </pic:blipFill>
                  <pic:spPr bwMode="auto">
                    <a:xfrm>
                      <a:off x="0" y="0"/>
                      <a:ext cx="1594485" cy="1031240"/>
                    </a:xfrm>
                    <a:prstGeom prst="rect">
                      <a:avLst/>
                    </a:prstGeom>
                  </pic:spPr>
                </pic:pic>
              </a:graphicData>
            </a:graphic>
          </wp:inline>
        </w:drawing>
      </w:r>
    </w:p>
    <w:p>
      <w:pPr>
        <w:pStyle w:val="NormalWeb"/>
        <w:spacing w:before="0" w:after="0"/>
        <w:rPr>
          <w:color w:val="C9211E"/>
        </w:rPr>
      </w:pPr>
      <w:r>
        <w:rPr>
          <w:i/>
          <w:iCs/>
          <w:color w:val="auto"/>
          <w:sz w:val="20"/>
          <w:szCs w:val="20"/>
        </w:rPr>
        <w:t xml:space="preserve">                                                             •</w:t>
      </w:r>
      <w:r>
        <w:rPr>
          <w:i/>
          <w:iCs/>
          <w:color w:val="auto"/>
          <w:sz w:val="20"/>
          <w:szCs w:val="20"/>
        </w:rPr>
        <w:t xml:space="preserve">Obecný erb             • Obecná vlajka         </w:t>
      </w:r>
    </w:p>
    <w:p>
      <w:pPr>
        <w:pStyle w:val="Default"/>
        <w:rPr>
          <w:b/>
          <w:color w:val="auto"/>
        </w:rPr>
      </w:pPr>
      <w:r>
        <w:rPr>
          <w:b/>
          <w:color w:val="auto"/>
        </w:rPr>
      </w:r>
    </w:p>
    <w:p>
      <w:pPr>
        <w:pStyle w:val="Default"/>
        <w:rPr>
          <w:color w:val="C9211E"/>
        </w:rPr>
      </w:pPr>
      <w:r>
        <w:rPr>
          <w:rFonts w:cs="Times New Roman" w:ascii="Times New Roman" w:hAnsi="Times New Roman"/>
          <w:b/>
          <w:bCs/>
          <w:color w:val="auto"/>
        </w:rPr>
        <w:t xml:space="preserve">Erb obce </w:t>
      </w:r>
      <w:r>
        <w:rPr>
          <w:rFonts w:cs="Times New Roman" w:ascii="Times New Roman" w:hAnsi="Times New Roman"/>
          <w:color w:val="auto"/>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color w:val="C9211E"/>
        </w:rPr>
      </w:pPr>
      <w:r>
        <w:rPr>
          <w:rFonts w:cs="Times New Roman" w:ascii="Times New Roman" w:hAnsi="Times New Roman"/>
          <w:b/>
          <w:bCs/>
          <w:color w:val="auto"/>
        </w:rPr>
        <w:t xml:space="preserve">Vlajka obce </w:t>
      </w:r>
      <w:r>
        <w:rPr>
          <w:rFonts w:cs="Times New Roman" w:ascii="Times New Roman" w:hAnsi="Times New Roman"/>
          <w:color w:val="auto"/>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color w:val="C9211E"/>
        </w:rPr>
      </w:pPr>
      <w:r>
        <w:rPr>
          <w:rFonts w:cs="Times New Roman" w:ascii="Times New Roman" w:hAnsi="Times New Roman"/>
          <w:b/>
          <w:bCs/>
          <w:color w:val="auto"/>
        </w:rPr>
        <w:t>Pečať obce</w:t>
      </w:r>
      <w:r>
        <w:rPr>
          <w:rFonts w:cs="Times New Roman" w:ascii="Times New Roman" w:hAnsi="Times New Roman"/>
          <w:color w:val="auto"/>
        </w:rPr>
        <w:t xml:space="preserve"> : je tvorená okružím veľkého znaku a kruhopisom “OBEC ĽUBEĽA“ po obvode. Stred tvorí erb obce Ľubeľa. </w:t>
      </w:r>
    </w:p>
    <w:p>
      <w:pPr>
        <w:pStyle w:val="Normal"/>
        <w:jc w:val="both"/>
        <w:rPr>
          <w:color w:val="auto"/>
        </w:rPr>
      </w:pPr>
      <w:r>
        <w:rPr>
          <w:color w:val="auto"/>
        </w:rPr>
      </w:r>
    </w:p>
    <w:p>
      <w:pPr>
        <w:pStyle w:val="Normal"/>
        <w:rPr>
          <w:color w:val="C9211E"/>
        </w:rPr>
      </w:pPr>
      <w:r>
        <w:rPr>
          <w:b/>
          <w:bCs/>
          <w:color w:val="auto"/>
          <w:sz w:val="28"/>
          <w:szCs w:val="28"/>
        </w:rPr>
        <w:t>Obec a jej úlohy</w:t>
      </w:r>
    </w:p>
    <w:p>
      <w:pPr>
        <w:pStyle w:val="Normal"/>
        <w:ind w:firstLine="708"/>
        <w:jc w:val="both"/>
        <w:rPr>
          <w:color w:val="C9211E"/>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color w:val="C9211E"/>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Cs/>
          <w:color w:val="auto"/>
          <w:highlight w:val="red"/>
        </w:rPr>
      </w:pPr>
      <w:r>
        <w:rPr>
          <w:b/>
          <w:bCs/>
          <w:color w:val="auto"/>
          <w:highlight w:val="red"/>
        </w:rPr>
      </w:r>
    </w:p>
    <w:p>
      <w:pPr>
        <w:pStyle w:val="Normal"/>
        <w:rPr>
          <w:color w:val="auto"/>
        </w:rPr>
      </w:pPr>
      <w:r>
        <w:rPr>
          <w:b/>
          <w:bCs/>
          <w:color w:val="auto"/>
          <w:sz w:val="28"/>
          <w:szCs w:val="28"/>
        </w:rPr>
        <w:t>Základné orgány obce:</w:t>
      </w:r>
    </w:p>
    <w:p>
      <w:pPr>
        <w:pStyle w:val="Normal"/>
        <w:rPr>
          <w:color w:val="C9211E"/>
        </w:rPr>
      </w:pPr>
      <w:r>
        <w:rPr>
          <w:color w:val="auto"/>
        </w:rPr>
        <w:t>1.Obecné zastupiteľstvo</w:t>
      </w:r>
    </w:p>
    <w:p>
      <w:pPr>
        <w:pStyle w:val="Normal"/>
        <w:rPr>
          <w:color w:val="C9211E"/>
        </w:rPr>
      </w:pPr>
      <w:r>
        <w:rPr>
          <w:color w:val="auto"/>
        </w:rPr>
        <w:t xml:space="preserve">2.Starosta obce </w:t>
      </w:r>
    </w:p>
    <w:p>
      <w:pPr>
        <w:pStyle w:val="Normal"/>
        <w:rPr>
          <w:b/>
          <w:color w:val="auto"/>
        </w:rPr>
      </w:pPr>
      <w:r>
        <w:rPr>
          <w:b/>
          <w:color w:val="auto"/>
        </w:rPr>
      </w:r>
    </w:p>
    <w:p>
      <w:pPr>
        <w:pStyle w:val="Normal"/>
        <w:ind w:firstLine="708"/>
        <w:jc w:val="both"/>
        <w:rPr>
          <w:color w:val="C9211E"/>
        </w:rPr>
      </w:pPr>
      <w:r>
        <w:rPr>
          <w:color w:val="auto"/>
        </w:rPr>
        <w:t>V roku 2024 vykonávali samosprávu obce jeho obyvatelia prostredníctvom volených orgánov obce, ktoré vzišli z komunálnych volieb na obdobie 4 rokov zo dňa  29. októbra 2022.</w:t>
      </w:r>
    </w:p>
    <w:p>
      <w:pPr>
        <w:pStyle w:val="Normal"/>
        <w:ind w:firstLine="708"/>
        <w:jc w:val="both"/>
        <w:rPr>
          <w:color w:val="C9211E"/>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color w:val="C9211E"/>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C9211E"/>
        </w:rPr>
      </w:pPr>
      <w:r>
        <w:rPr>
          <w:b/>
          <w:color w:val="auto"/>
        </w:rPr>
        <w:t>Obecnému zastupiteľstvu je vyhradené najmä:</w:t>
      </w:r>
    </w:p>
    <w:p>
      <w:pPr>
        <w:pStyle w:val="Normal"/>
        <w:ind w:hanging="284" w:left="284"/>
        <w:jc w:val="both"/>
        <w:rPr>
          <w:color w:val="C9211E"/>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hanging="284" w:left="284"/>
        <w:jc w:val="both"/>
        <w:rPr>
          <w:color w:val="C9211E"/>
        </w:rPr>
      </w:pPr>
      <w:r>
        <w:rPr>
          <w:color w:val="auto"/>
        </w:rPr>
        <w:t>b) schvaľovať rozpočet obce a jeho zmeny, kontrolovať jeho čerpanie a schvaľovať záverečný účet, schvaľovať počet a v akej výške môže zmeny v rozpočte vykonávať starosta,</w:t>
      </w:r>
    </w:p>
    <w:p>
      <w:pPr>
        <w:pStyle w:val="Normal"/>
        <w:ind w:hanging="284" w:left="284"/>
        <w:jc w:val="both"/>
        <w:rPr>
          <w:color w:val="C9211E"/>
        </w:rPr>
      </w:pPr>
      <w:r>
        <w:rPr>
          <w:color w:val="auto"/>
        </w:rPr>
        <w:t>c) schvaľovať územný plán obce alebo jeho časti a koncepcie rozvoja jednotlivých oblasti života obce,</w:t>
      </w:r>
    </w:p>
    <w:p>
      <w:pPr>
        <w:pStyle w:val="Normal"/>
        <w:ind w:hanging="284" w:left="284"/>
        <w:jc w:val="both"/>
        <w:rPr>
          <w:color w:val="C9211E"/>
        </w:rPr>
      </w:pPr>
      <w:r>
        <w:rPr>
          <w:color w:val="auto"/>
        </w:rPr>
        <w:t>d) určovať náležitosti dane a poplatku poľa osobitných predpisov a rozhodovať o prijatí úveru alebo pôžičky,</w:t>
      </w:r>
    </w:p>
    <w:p>
      <w:pPr>
        <w:pStyle w:val="Normal"/>
        <w:ind w:hanging="284" w:left="284"/>
        <w:jc w:val="both"/>
        <w:rPr>
          <w:color w:val="C9211E"/>
        </w:rPr>
      </w:pPr>
      <w:r>
        <w:rPr>
          <w:color w:val="auto"/>
        </w:rPr>
        <w:t>e) vyhlasovať miestne referendum o najdôležitejších otázkach života a rozvoja obce a zvolávať verejné zhromaždenia občanov,</w:t>
      </w:r>
    </w:p>
    <w:p>
      <w:pPr>
        <w:pStyle w:val="Normal"/>
        <w:jc w:val="both"/>
        <w:rPr>
          <w:color w:val="C9211E"/>
        </w:rPr>
      </w:pPr>
      <w:r>
        <w:rPr>
          <w:color w:val="auto"/>
        </w:rPr>
        <w:t>f) uznášať sa na nariadeniach obce,</w:t>
      </w:r>
    </w:p>
    <w:p>
      <w:pPr>
        <w:pStyle w:val="Normal"/>
        <w:ind w:hanging="284" w:left="284"/>
        <w:jc w:val="both"/>
        <w:rPr>
          <w:color w:val="C9211E"/>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C9211E"/>
        </w:rPr>
      </w:pPr>
      <w:r>
        <w:rPr>
          <w:color w:val="auto"/>
        </w:rPr>
        <w:t>h) schvaľovať združovanie obecných prostriedkov a činnosti a účasť v združeniach,</w:t>
      </w:r>
    </w:p>
    <w:p>
      <w:pPr>
        <w:pStyle w:val="Normal"/>
        <w:jc w:val="both"/>
        <w:rPr>
          <w:color w:val="C9211E"/>
        </w:rPr>
      </w:pPr>
      <w:r>
        <w:rPr>
          <w:color w:val="auto"/>
        </w:rPr>
        <w:t>i) zriaďovať orgány potrebné na samosprávu obce a určovať náplň ich práce,</w:t>
      </w:r>
    </w:p>
    <w:p>
      <w:pPr>
        <w:pStyle w:val="Normal"/>
        <w:jc w:val="both"/>
        <w:rPr>
          <w:color w:val="C9211E"/>
        </w:rPr>
      </w:pPr>
      <w:r>
        <w:rPr>
          <w:color w:val="auto"/>
        </w:rPr>
        <w:t>j) udeľovať čestné občianstvo obce, obecné vyznamenania a ceny,</w:t>
      </w:r>
    </w:p>
    <w:p>
      <w:pPr>
        <w:pStyle w:val="Normal"/>
        <w:ind w:hanging="284" w:left="284"/>
        <w:jc w:val="both"/>
        <w:rPr>
          <w:color w:val="C9211E"/>
        </w:rPr>
      </w:pPr>
      <w:r>
        <w:rPr>
          <w:color w:val="auto"/>
        </w:rPr>
        <w:t>k) voliť a odvolávať hlavného kontrolóra obce, určiť rozsah výkonu funkcie hlavného kontrolóra a jeho plat, schvaľovať odmenu hlavnému kontrolórovi,</w:t>
      </w:r>
    </w:p>
    <w:p>
      <w:pPr>
        <w:pStyle w:val="Normal"/>
        <w:jc w:val="both"/>
        <w:rPr>
          <w:color w:val="C9211E"/>
        </w:rPr>
      </w:pPr>
      <w:r>
        <w:rPr>
          <w:color w:val="auto"/>
        </w:rPr>
        <w:t>l) ustanoviť erb, vlajku obce, pečať obce,</w:t>
      </w:r>
    </w:p>
    <w:p>
      <w:pPr>
        <w:pStyle w:val="Normal"/>
        <w:ind w:hanging="284" w:left="284"/>
        <w:jc w:val="both"/>
        <w:rPr>
          <w:color w:val="C9211E"/>
        </w:rPr>
      </w:pPr>
      <w:r>
        <w:rPr>
          <w:color w:val="auto"/>
        </w:rPr>
        <w:t>m)schvaľovať štatút obce, rokovací poriadok obecného zastupiteľstva a zásady odmeňovania poslancov.</w:t>
      </w:r>
    </w:p>
    <w:p>
      <w:pPr>
        <w:pStyle w:val="Normal"/>
        <w:jc w:val="both"/>
        <w:rPr>
          <w:color w:val="C9211E"/>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C9211E"/>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b/>
          <w:bCs/>
          <w:color w:val="C9211E"/>
        </w:rPr>
      </w:pPr>
      <w:r>
        <w:rPr>
          <w:b/>
          <w:bCs/>
          <w:color w:val="C9211E"/>
        </w:rPr>
      </w:r>
    </w:p>
    <w:p>
      <w:pPr>
        <w:pStyle w:val="Normal"/>
        <w:rPr>
          <w:color w:val="C9211E"/>
        </w:rPr>
      </w:pPr>
      <w:r>
        <w:rPr>
          <w:b/>
          <w:bCs/>
          <w:color w:val="auto"/>
        </w:rPr>
        <w:t>Orgány obce vo volebnom období 2022 - 2026</w:t>
      </w:r>
    </w:p>
    <w:p>
      <w:pPr>
        <w:pStyle w:val="Normal"/>
        <w:ind w:firstLine="708"/>
        <w:jc w:val="both"/>
        <w:rPr>
          <w:color w:val="C9211E"/>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color w:val="C9211E"/>
        </w:rPr>
      </w:pPr>
      <w:r>
        <w:rPr>
          <w:b/>
          <w:color w:val="auto"/>
        </w:rPr>
        <w:t>Starosta obce:</w:t>
      </w:r>
      <w:r>
        <w:rPr>
          <w:b/>
          <w:bCs/>
          <w:color w:val="auto"/>
        </w:rPr>
        <w:t xml:space="preserve"> </w:t>
      </w:r>
      <w:r>
        <w:rPr>
          <w:color w:val="auto"/>
        </w:rPr>
        <w:t>Ing. Erik Gemzický, PhD.,MBA</w:t>
      </w:r>
    </w:p>
    <w:p>
      <w:pPr>
        <w:pStyle w:val="Normal"/>
        <w:jc w:val="both"/>
        <w:rPr>
          <w:color w:val="C9211E"/>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2022 - 2026</w:t>
      </w:r>
    </w:p>
    <w:p>
      <w:pPr>
        <w:pStyle w:val="Normal"/>
        <w:rPr>
          <w:color w:val="C9211E"/>
        </w:rPr>
      </w:pPr>
      <w:r>
        <w:rPr>
          <w:color w:val="auto"/>
        </w:rPr>
        <w:t>1/ Ľubomír Kubík – zástupca starostu obce</w:t>
      </w:r>
    </w:p>
    <w:p>
      <w:pPr>
        <w:pStyle w:val="Normal"/>
        <w:rPr>
          <w:color w:val="C9211E"/>
        </w:rPr>
      </w:pPr>
      <w:r>
        <w:rPr>
          <w:color w:val="auto"/>
        </w:rPr>
        <w:t>2/ Ing. František Vyšňan</w:t>
      </w:r>
    </w:p>
    <w:p>
      <w:pPr>
        <w:pStyle w:val="Normal"/>
        <w:rPr>
          <w:color w:val="C9211E"/>
        </w:rPr>
      </w:pPr>
      <w:r>
        <w:rPr>
          <w:color w:val="auto"/>
        </w:rPr>
        <w:t>3/ Ing. Andrej Kubík</w:t>
      </w:r>
    </w:p>
    <w:p>
      <w:pPr>
        <w:pStyle w:val="Normal"/>
        <w:rPr>
          <w:color w:val="C9211E"/>
        </w:rPr>
      </w:pPr>
      <w:r>
        <w:rPr>
          <w:color w:val="auto"/>
        </w:rPr>
        <w:t>4/ Ing. Jaroslav Štěch</w:t>
      </w:r>
    </w:p>
    <w:p>
      <w:pPr>
        <w:pStyle w:val="Normal"/>
        <w:rPr>
          <w:color w:val="C9211E"/>
        </w:rPr>
      </w:pPr>
      <w:r>
        <w:rPr>
          <w:color w:val="auto"/>
        </w:rPr>
        <w:t>5</w:t>
      </w:r>
      <w:r>
        <w:rPr>
          <w:color w:val="auto"/>
        </w:rPr>
        <w:t>/ Ing. Zuzana Lúčanová</w:t>
      </w:r>
    </w:p>
    <w:p>
      <w:pPr>
        <w:pStyle w:val="Normal"/>
        <w:rPr>
          <w:color w:val="C9211E"/>
        </w:rPr>
      </w:pPr>
      <w:r>
        <w:rPr>
          <w:color w:val="auto"/>
        </w:rPr>
        <w:t>6/ PhDr. Mariana Magerčiaková PhD.</w:t>
      </w:r>
    </w:p>
    <w:p>
      <w:pPr>
        <w:pStyle w:val="Normal"/>
        <w:rPr>
          <w:color w:val="C9211E"/>
        </w:rPr>
      </w:pPr>
      <w:r>
        <w:rPr>
          <w:color w:val="auto"/>
        </w:rPr>
        <w:t>7/ Marian Matejovie</w:t>
      </w:r>
    </w:p>
    <w:p>
      <w:pPr>
        <w:pStyle w:val="Normal"/>
        <w:rPr>
          <w:color w:val="C9211E"/>
        </w:rPr>
      </w:pPr>
      <w:r>
        <w:rPr>
          <w:color w:val="auto"/>
        </w:rPr>
        <w:t>8/ Mgr. Erika Miklášová</w:t>
      </w:r>
    </w:p>
    <w:p>
      <w:pPr>
        <w:pStyle w:val="Normal"/>
        <w:rPr>
          <w:color w:val="C9211E"/>
        </w:rPr>
      </w:pPr>
      <w:r>
        <w:rPr>
          <w:color w:val="auto"/>
        </w:rPr>
        <w:t>9/ Vladimír Škvarka</w:t>
      </w:r>
    </w:p>
    <w:p>
      <w:pPr>
        <w:pStyle w:val="Normal"/>
        <w:rPr>
          <w:color w:val="auto"/>
        </w:rPr>
      </w:pPr>
      <w:r>
        <w:rPr>
          <w:color w:val="auto"/>
        </w:rPr>
      </w:r>
    </w:p>
    <w:p>
      <w:pPr>
        <w:pStyle w:val="Heading1"/>
        <w:numPr>
          <w:ilvl w:val="0"/>
          <w:numId w:val="8"/>
        </w:numPr>
        <w:jc w:val="both"/>
        <w:rPr>
          <w:color w:val="C9211E"/>
        </w:rPr>
      </w:pPr>
      <w:r>
        <w:rPr>
          <w:bCs w:val="false"/>
          <w:color w:val="auto"/>
        </w:rPr>
        <w:t xml:space="preserve">Pri obecnom zastupiteľstve vykonávali v roku 2024 svoju činnosť jeho poradné orgány, a to: </w:t>
      </w:r>
    </w:p>
    <w:p>
      <w:pPr>
        <w:pStyle w:val="Normal"/>
        <w:rPr>
          <w:color w:val="auto"/>
        </w:rPr>
      </w:pPr>
      <w:r>
        <w:rPr>
          <w:color w:val="auto"/>
        </w:rPr>
        <w:t>1. Komisia pre ochranu verejného poriadku</w:t>
      </w:r>
    </w:p>
    <w:p>
      <w:pPr>
        <w:pStyle w:val="Normal"/>
        <w:rPr>
          <w:color w:val="C9211E"/>
        </w:rPr>
      </w:pPr>
      <w:r>
        <w:rPr>
          <w:color w:val="auto"/>
        </w:rPr>
        <w:t>2. Komisia výstavby a životného prostredia</w:t>
      </w:r>
    </w:p>
    <w:p>
      <w:pPr>
        <w:pStyle w:val="Normal"/>
        <w:rPr>
          <w:color w:val="C9211E"/>
        </w:rPr>
      </w:pPr>
      <w:r>
        <w:rPr>
          <w:color w:val="auto"/>
        </w:rPr>
        <w:t>3. Komisia kultúry, školstva a sociálnych vecí</w:t>
      </w:r>
    </w:p>
    <w:p>
      <w:pPr>
        <w:pStyle w:val="Normal"/>
        <w:rPr>
          <w:color w:val="C9211E"/>
        </w:rPr>
      </w:pPr>
      <w:r>
        <w:rPr>
          <w:color w:val="auto"/>
        </w:rPr>
        <w:t>4. Komisia športová</w:t>
      </w:r>
    </w:p>
    <w:p>
      <w:pPr>
        <w:pStyle w:val="Normal"/>
        <w:rPr>
          <w:color w:val="C9211E"/>
        </w:rPr>
      </w:pPr>
      <w:r>
        <w:rPr>
          <w:color w:val="auto"/>
        </w:rPr>
        <w:t>5. Komisia pre ochranu verejného záujmu</w:t>
      </w:r>
    </w:p>
    <w:p>
      <w:pPr>
        <w:pStyle w:val="Normal"/>
        <w:rPr>
          <w:color w:val="C9211E"/>
        </w:rPr>
      </w:pPr>
      <w:r>
        <w:rPr>
          <w:color w:val="auto"/>
        </w:rPr>
        <w:t>6. Komisia pre rozvoj bývania</w:t>
      </w:r>
    </w:p>
    <w:p>
      <w:pPr>
        <w:pStyle w:val="Normal"/>
        <w:rPr>
          <w:b/>
          <w:bCs/>
          <w:color w:val="auto"/>
          <w:highlight w:val="red"/>
        </w:rPr>
      </w:pPr>
      <w:r>
        <w:rPr>
          <w:b/>
          <w:bCs/>
          <w:color w:val="auto"/>
          <w:highlight w:val="red"/>
        </w:rPr>
      </w:r>
    </w:p>
    <w:p>
      <w:pPr>
        <w:pStyle w:val="Normal"/>
        <w:rPr>
          <w:color w:val="C9211E"/>
        </w:rPr>
      </w:pPr>
      <w:r>
        <w:rPr>
          <w:b/>
          <w:bCs/>
          <w:color w:val="auto"/>
        </w:rPr>
        <w:t>Hlavný kontrolór:</w:t>
      </w:r>
    </w:p>
    <w:p>
      <w:pPr>
        <w:pStyle w:val="Normal"/>
        <w:ind w:firstLine="708"/>
        <w:jc w:val="both"/>
        <w:rPr>
          <w:color w:val="C9211E"/>
        </w:rPr>
      </w:pPr>
      <w:r>
        <w:rPr>
          <w:color w:val="auto"/>
        </w:rPr>
        <w:t xml:space="preserve">Kontrolu  zákonnosti,   účinnosti,  hospodárnosti  a efektívnosti  pri hospodárení  a nakladaní s majetkom  a   majetkovými    právami  obce v roku  2024  vykonával  hlavný kontrolór  obce </w:t>
      </w:r>
    </w:p>
    <w:p>
      <w:pPr>
        <w:pStyle w:val="Normal"/>
        <w:jc w:val="both"/>
        <w:rPr>
          <w:color w:val="C9211E"/>
        </w:rPr>
      </w:pPr>
      <w:r>
        <w:rPr>
          <w:color w:val="auto"/>
        </w:rPr>
        <w:t>Ing. Slávka Medveďová, zvolená do funkcie  obecným zastupiteľstvom na obdobie 6 rokov</w:t>
      </w:r>
    </w:p>
    <w:p>
      <w:pPr>
        <w:pStyle w:val="Normal"/>
        <w:jc w:val="both"/>
        <w:rPr>
          <w:color w:val="auto"/>
        </w:rPr>
      </w:pPr>
      <w:r>
        <w:rPr>
          <w:color w:val="auto"/>
        </w:rPr>
        <w:t>(2024-2029).</w:t>
      </w:r>
    </w:p>
    <w:p>
      <w:pPr>
        <w:pStyle w:val="Normal"/>
        <w:ind w:firstLine="708"/>
        <w:jc w:val="both"/>
        <w:rPr>
          <w:color w:val="C9211E"/>
        </w:rPr>
      </w:pPr>
      <w:r>
        <w:rPr>
          <w:color w:val="C9211E"/>
        </w:rPr>
      </w:r>
    </w:p>
    <w:p>
      <w:pPr>
        <w:pStyle w:val="Normal"/>
        <w:rPr>
          <w:color w:val="C9211E"/>
        </w:rPr>
      </w:pPr>
      <w:r>
        <w:rPr>
          <w:b/>
          <w:bCs/>
          <w:color w:val="auto"/>
          <w:sz w:val="28"/>
          <w:szCs w:val="28"/>
        </w:rPr>
        <w:t>Obecný úrad:</w:t>
      </w:r>
    </w:p>
    <w:p>
      <w:pPr>
        <w:pStyle w:val="Normal"/>
        <w:ind w:firstLine="708"/>
        <w:jc w:val="both"/>
        <w:rPr>
          <w:color w:val="C9211E"/>
        </w:rPr>
      </w:pPr>
      <w:r>
        <w:rPr>
          <w:color w:val="auto"/>
        </w:rPr>
        <w:t xml:space="preserve">Je výkonným orgánom obecného zastupiteľstva a starostu obce, zabezpečuje organizačné a administratívne veci. Prácu obecného úradu organizuje starosta obce. </w:t>
      </w:r>
    </w:p>
    <w:p>
      <w:pPr>
        <w:pStyle w:val="Normal"/>
        <w:rPr>
          <w:b/>
          <w:bCs/>
          <w:color w:val="auto"/>
          <w:highlight w:val="red"/>
        </w:rPr>
      </w:pPr>
      <w:r>
        <w:rPr>
          <w:b/>
          <w:bCs/>
          <w:color w:val="auto"/>
          <w:highlight w:val="red"/>
        </w:rPr>
      </w:r>
    </w:p>
    <w:p>
      <w:pPr>
        <w:pStyle w:val="Normal"/>
        <w:rPr>
          <w:color w:val="C9211E"/>
        </w:rPr>
      </w:pPr>
      <w:r>
        <w:rPr>
          <w:b/>
          <w:bCs/>
          <w:color w:val="auto"/>
        </w:rPr>
        <w:t>Zamestnanci obecného úradu:</w:t>
      </w:r>
    </w:p>
    <w:p>
      <w:pPr>
        <w:pStyle w:val="Normal"/>
        <w:ind w:firstLine="708"/>
        <w:jc w:val="both"/>
        <w:rPr>
          <w:color w:val="C9211E"/>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color w:val="C9211E"/>
        </w:rPr>
      </w:pPr>
      <w:r>
        <w:rPr>
          <w:rFonts w:ascii="Times New Roman" w:hAnsi="Times New Roman"/>
          <w:color w:val="auto"/>
          <w:sz w:val="24"/>
          <w:szCs w:val="24"/>
        </w:rPr>
        <w:t>Natália Vrbenská  - samostatný odborný referent</w:t>
      </w:r>
    </w:p>
    <w:p>
      <w:pPr>
        <w:pStyle w:val="Predformtovantext"/>
        <w:ind w:firstLine="708"/>
        <w:jc w:val="both"/>
        <w:rPr>
          <w:color w:val="C9211E"/>
          <w:highlight w:val="red"/>
        </w:rPr>
      </w:pPr>
      <w:r>
        <w:rPr>
          <w:color w:val="C9211E"/>
          <w:highlight w:val="red"/>
        </w:rPr>
      </w:r>
    </w:p>
    <w:p>
      <w:pPr>
        <w:pStyle w:val="Normal"/>
        <w:jc w:val="both"/>
        <w:rPr>
          <w:color w:val="C9211E"/>
        </w:rPr>
      </w:pPr>
      <w:r>
        <w:rPr>
          <w:b/>
          <w:bCs/>
          <w:color w:val="auto"/>
          <w:sz w:val="28"/>
          <w:szCs w:val="28"/>
        </w:rPr>
        <w:t>Financovanie  obce:</w:t>
      </w:r>
    </w:p>
    <w:p>
      <w:pPr>
        <w:pStyle w:val="Normal"/>
        <w:ind w:firstLine="708"/>
        <w:jc w:val="both"/>
        <w:rPr>
          <w:color w:val="C9211E"/>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color w:val="C9211E"/>
        </w:rPr>
      </w:pPr>
      <w:r>
        <w:rPr>
          <w:color w:val="auto"/>
        </w:rPr>
        <w:t>Základným   nástrojom  finančného  hospodárenia  obce  bol   rozpočet   obce   na  rok   2024.</w:t>
      </w:r>
    </w:p>
    <w:p>
      <w:pPr>
        <w:pStyle w:val="Normal"/>
        <w:jc w:val="both"/>
        <w:rPr>
          <w:color w:val="C9211E"/>
        </w:rPr>
      </w:pPr>
      <w:r>
        <w:rPr>
          <w:color w:val="auto"/>
        </w:rPr>
        <w:t xml:space="preserve">Obec v roku 2024 zostavila rozpočet podľa ustanovenia § 10 odsek 7) zákona č.583/2004 Z. z. o rozpočtových pravidlách územnej samosprávy a o zmene a doplnení niektorých zákonov v znení neskorších predpisov. Rozpočet obce na rok 2024 bol zostavený ako vyrovnaný. Bežný   rozpočet   bol   zostavený   ako  prebytkový  a  kapitálový   rozpočet ako  schodkový. </w:t>
      </w:r>
    </w:p>
    <w:p>
      <w:pPr>
        <w:pStyle w:val="Normal"/>
        <w:jc w:val="both"/>
        <w:rPr>
          <w:color w:val="C9211E"/>
        </w:rPr>
      </w:pPr>
      <w:r>
        <w:rPr>
          <w:color w:val="auto"/>
        </w:rPr>
        <w:t>Rozpočet obce bol schválený obecným zastupiteľstvom dňa 28.11.2024 uznesením OZ 39/2022</w:t>
      </w:r>
    </w:p>
    <w:p>
      <w:pPr>
        <w:pStyle w:val="Normal"/>
        <w:ind w:firstLine="708"/>
        <w:jc w:val="both"/>
        <w:rPr>
          <w:color w:val="C9211E"/>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C9211E"/>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w:t>
      </w:r>
      <w:r>
        <w:rPr>
          <w:color w:val="C9211E"/>
        </w:rPr>
        <w:t xml:space="preserve"> </w:t>
      </w:r>
      <w:r>
        <w:rPr>
          <w:color w:val="auto"/>
        </w:rPr>
        <w:t>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C9211E"/>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C9211E"/>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C9211E"/>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C9211E"/>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jc w:val="both"/>
        <w:rPr>
          <w:color w:val="C9211E"/>
        </w:rPr>
      </w:pPr>
      <w:r>
        <w:rPr>
          <w:color w:val="C9211E"/>
        </w:rPr>
        <w:tab/>
      </w:r>
    </w:p>
    <w:p>
      <w:pPr>
        <w:pStyle w:val="Normal"/>
        <w:jc w:val="both"/>
        <w:rPr>
          <w:color w:val="C9211E"/>
        </w:rPr>
      </w:pPr>
      <w:r>
        <w:rPr>
          <w:b/>
          <w:color w:val="auto"/>
          <w:sz w:val="28"/>
          <w:szCs w:val="28"/>
        </w:rPr>
        <w:t>Výchova a vzdelávanie:</w:t>
      </w:r>
    </w:p>
    <w:p>
      <w:pPr>
        <w:pStyle w:val="Normal"/>
        <w:ind w:firstLine="708"/>
        <w:jc w:val="both"/>
        <w:rPr>
          <w:color w:val="C9211E"/>
        </w:rPr>
      </w:pPr>
      <w:r>
        <w:rPr>
          <w:color w:val="auto"/>
        </w:rPr>
        <w:t>Výchovu a vzdelávanie detí v obci poskytuje Základná škola s materskou školou v Ľubeli.</w:t>
      </w:r>
    </w:p>
    <w:p>
      <w:pPr>
        <w:pStyle w:val="Normal"/>
        <w:jc w:val="both"/>
        <w:rPr>
          <w:color w:val="C9211E"/>
        </w:rPr>
      </w:pPr>
      <w:r>
        <w:rPr>
          <w:color w:val="auto"/>
        </w:rPr>
        <w:t>Na základe analýzy doterajšieho vývoja možno očakávať, že rozvoj vzdelávania sa bude orientovať na: štandardnú východu detí a mládeže v súbehu s modernými trendmi uplatňujúcimi sa vo výchove a vzdelávaní.</w:t>
      </w:r>
    </w:p>
    <w:p>
      <w:pPr>
        <w:pStyle w:val="Normal"/>
        <w:ind w:firstLine="708"/>
        <w:jc w:val="both"/>
        <w:rPr>
          <w:color w:val="auto"/>
        </w:rPr>
      </w:pPr>
      <w:r>
        <w:rPr>
          <w:color w:val="auto"/>
        </w:rPr>
      </w:r>
    </w:p>
    <w:p>
      <w:pPr>
        <w:pStyle w:val="Normal"/>
        <w:jc w:val="both"/>
        <w:rPr>
          <w:color w:val="C9211E"/>
        </w:rPr>
      </w:pPr>
      <w:r>
        <w:rPr>
          <w:b/>
          <w:bCs/>
          <w:color w:val="auto"/>
          <w:sz w:val="28"/>
          <w:szCs w:val="28"/>
        </w:rPr>
        <w:t>Kultúra:</w:t>
      </w:r>
    </w:p>
    <w:p>
      <w:pPr>
        <w:pStyle w:val="Normal"/>
        <w:ind w:hanging="0" w:left="435"/>
        <w:jc w:val="both"/>
        <w:rPr>
          <w:color w:val="C9211E"/>
        </w:rPr>
      </w:pPr>
      <w:r>
        <w:rPr>
          <w:color w:val="auto"/>
        </w:rPr>
        <w:t xml:space="preserve"> </w:t>
      </w:r>
      <w:r>
        <w:rPr>
          <w:color w:val="auto"/>
        </w:rPr>
        <w:t>Spoločenský a kultúrny život v obci zabezpečujú : miestne kultúrno-spoločenské organizácie.</w:t>
      </w:r>
    </w:p>
    <w:p>
      <w:pPr>
        <w:pStyle w:val="Normal"/>
        <w:jc w:val="both"/>
        <w:rPr>
          <w:color w:val="C9211E"/>
        </w:rPr>
      </w:pPr>
      <w:r>
        <w:rPr>
          <w:color w:val="auto"/>
        </w:rPr>
        <w:t>Na základe analýzy doterajšieho vývoja možno očakávať, že kultúrny a spoločenský život sa bude orientovať na : všestranný kultúrny a spoločenský život v obci.</w:t>
      </w:r>
    </w:p>
    <w:p>
      <w:pPr>
        <w:pStyle w:val="Normal"/>
        <w:jc w:val="both"/>
        <w:rPr>
          <w:color w:val="auto"/>
        </w:rPr>
      </w:pPr>
      <w:r>
        <w:rPr>
          <w:color w:val="auto"/>
        </w:rPr>
      </w:r>
    </w:p>
    <w:p>
      <w:pPr>
        <w:pStyle w:val="Normal"/>
        <w:ind w:firstLine="14" w:left="-14"/>
        <w:jc w:val="both"/>
        <w:rPr>
          <w:color w:val="C9211E"/>
        </w:rPr>
      </w:pPr>
      <w:r>
        <w:rPr>
          <w:b/>
          <w:bCs/>
          <w:color w:val="auto"/>
          <w:sz w:val="28"/>
          <w:szCs w:val="28"/>
        </w:rPr>
        <w:t>Sociálne zabezpečenie:</w:t>
      </w:r>
    </w:p>
    <w:p>
      <w:pPr>
        <w:pStyle w:val="Normal"/>
        <w:ind w:hanging="0" w:left="435"/>
        <w:jc w:val="both"/>
        <w:rPr>
          <w:color w:val="C9211E"/>
        </w:rPr>
      </w:pPr>
      <w:r>
        <w:rPr>
          <w:color w:val="auto"/>
        </w:rPr>
        <w:t>Sociálne služby v obci nezabezpečujeme.</w:t>
      </w:r>
    </w:p>
    <w:p>
      <w:pPr>
        <w:pStyle w:val="Normal"/>
        <w:jc w:val="both"/>
        <w:rPr>
          <w:color w:val="C9211E"/>
        </w:rPr>
      </w:pPr>
      <w:r>
        <w:rPr>
          <w:color w:val="auto"/>
        </w:rPr>
        <w:t>V prípade potreby sociálneho zabezpečenia pre obyvateľov našej obce sú vybudované zariadenia tohto druhu v spádovej oblasti Liptovský Mikuláš a Ružomberok.</w:t>
      </w:r>
    </w:p>
    <w:p>
      <w:pPr>
        <w:pStyle w:val="Normal"/>
        <w:jc w:val="both"/>
        <w:rPr>
          <w:color w:val="C9211E"/>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auto"/>
          <w:highlight w:val="red"/>
        </w:rPr>
      </w:pPr>
      <w:r>
        <w:rPr>
          <w:color w:val="auto"/>
          <w:highlight w:val="red"/>
        </w:rPr>
      </w:r>
    </w:p>
    <w:p>
      <w:pPr>
        <w:pStyle w:val="Normal"/>
        <w:ind w:firstLine="14" w:left="-14"/>
        <w:jc w:val="both"/>
        <w:rPr>
          <w:color w:val="auto"/>
        </w:rPr>
      </w:pPr>
      <w:r>
        <w:rPr>
          <w:b/>
          <w:bCs/>
          <w:color w:val="auto"/>
          <w:sz w:val="28"/>
          <w:szCs w:val="28"/>
        </w:rPr>
        <w:t>Hospodárstvo:</w:t>
      </w:r>
    </w:p>
    <w:p>
      <w:pPr>
        <w:pStyle w:val="Normal"/>
        <w:jc w:val="both"/>
        <w:rPr>
          <w:color w:val="C9211E"/>
        </w:rPr>
      </w:pPr>
      <w:r>
        <w:rPr>
          <w:color w:val="auto"/>
        </w:rPr>
        <w:t>Najvýznamnejší poskytovatelia služieb v obci :</w:t>
      </w:r>
    </w:p>
    <w:p>
      <w:pPr>
        <w:pStyle w:val="Normal"/>
        <w:numPr>
          <w:ilvl w:val="0"/>
          <w:numId w:val="0"/>
        </w:numPr>
        <w:ind w:hanging="0" w:left="720"/>
        <w:jc w:val="both"/>
        <w:rPr>
          <w:color w:val="C9211E"/>
        </w:rPr>
      </w:pPr>
      <w:r>
        <w:rPr>
          <w:color w:val="auto"/>
        </w:rPr>
        <w:t>Predajne potravín – COOP Jednota, VEREX</w:t>
      </w:r>
    </w:p>
    <w:p>
      <w:pPr>
        <w:pStyle w:val="Normal"/>
        <w:numPr>
          <w:ilvl w:val="0"/>
          <w:numId w:val="0"/>
        </w:numPr>
        <w:ind w:hanging="0" w:left="720"/>
        <w:jc w:val="both"/>
        <w:rPr>
          <w:color w:val="C9211E"/>
        </w:rPr>
      </w:pPr>
      <w:r>
        <w:rPr>
          <w:color w:val="auto"/>
        </w:rPr>
        <w:t>K</w:t>
      </w:r>
      <w:r>
        <w:rPr>
          <w:color w:val="auto"/>
        </w:rPr>
        <w:t>aderníctvo</w:t>
      </w:r>
    </w:p>
    <w:p>
      <w:pPr>
        <w:pStyle w:val="Normal"/>
        <w:jc w:val="both"/>
        <w:rPr>
          <w:color w:val="C9211E"/>
        </w:rPr>
      </w:pPr>
      <w:r>
        <w:rPr>
          <w:color w:val="auto"/>
        </w:rPr>
        <w:t>Najvýznamnejší priemysel v obci :</w:t>
      </w:r>
    </w:p>
    <w:p>
      <w:pPr>
        <w:pStyle w:val="Normal"/>
        <w:numPr>
          <w:ilvl w:val="0"/>
          <w:numId w:val="0"/>
        </w:numPr>
        <w:ind w:hanging="0" w:left="720"/>
        <w:jc w:val="both"/>
        <w:rPr>
          <w:color w:val="C9211E"/>
        </w:rPr>
      </w:pPr>
      <w:r>
        <w:rPr>
          <w:color w:val="auto"/>
        </w:rPr>
        <w:t>P</w:t>
      </w:r>
      <w:r>
        <w:rPr>
          <w:color w:val="auto"/>
        </w:rPr>
        <w:t>ekárenská výroba – MIPEK s.r.o.</w:t>
      </w:r>
    </w:p>
    <w:p>
      <w:pPr>
        <w:pStyle w:val="Normal"/>
        <w:jc w:val="both"/>
        <w:rPr>
          <w:color w:val="C9211E"/>
        </w:rPr>
      </w:pPr>
      <w:r>
        <w:rPr>
          <w:color w:val="auto"/>
        </w:rPr>
        <w:t>Najvýznamnejšia poľnohospodárska výroba v obci :</w:t>
      </w:r>
    </w:p>
    <w:p>
      <w:pPr>
        <w:pStyle w:val="Normal"/>
        <w:numPr>
          <w:ilvl w:val="0"/>
          <w:numId w:val="0"/>
        </w:numPr>
        <w:ind w:hanging="0" w:left="720"/>
        <w:jc w:val="both"/>
        <w:rPr>
          <w:color w:val="C9211E"/>
        </w:rPr>
      </w:pPr>
      <w:r>
        <w:rPr>
          <w:color w:val="auto"/>
        </w:rPr>
        <w:t>Poľnohospodárska výroba – Agro-Racio, s.r.o.</w:t>
      </w:r>
    </w:p>
    <w:p>
      <w:pPr>
        <w:pStyle w:val="Normal"/>
        <w:ind w:firstLine="14" w:left="-14"/>
        <w:jc w:val="both"/>
        <w:rPr>
          <w:color w:val="auto"/>
        </w:rPr>
      </w:pPr>
      <w:r>
        <w:rPr>
          <w:color w:val="auto"/>
        </w:rPr>
        <w:t>Na základe analýzy doterajšieho vývoja možno očakávať, že hospodársky život v obci sa bude orientovať na : pokračovanie v rozvoji poskytovateľov služieb pre občanov v našej obci.</w:t>
      </w:r>
    </w:p>
    <w:p>
      <w:pPr>
        <w:pStyle w:val="Normal"/>
        <w:ind w:firstLine="14" w:left="-14"/>
        <w:jc w:val="both"/>
        <w:rPr/>
      </w:pPr>
      <w:r>
        <w:rPr/>
      </w:r>
    </w:p>
    <w:p>
      <w:pPr>
        <w:pStyle w:val="Normal"/>
        <w:ind w:firstLine="14" w:left="-14"/>
        <w:jc w:val="both"/>
        <w:rPr>
          <w:color w:val="C9211E"/>
        </w:rPr>
      </w:pPr>
      <w:r>
        <w:rPr>
          <w:b/>
          <w:bCs/>
          <w:color w:val="auto"/>
          <w:sz w:val="28"/>
          <w:szCs w:val="28"/>
        </w:rPr>
        <w:t>Zdravotníctvo:</w:t>
      </w:r>
    </w:p>
    <w:p>
      <w:pPr>
        <w:pStyle w:val="Normal"/>
        <w:jc w:val="both"/>
        <w:rPr>
          <w:color w:val="C9211E"/>
        </w:rPr>
      </w:pPr>
      <w:r>
        <w:rPr>
          <w:color w:val="auto"/>
        </w:rPr>
        <w:t xml:space="preserve"> </w:t>
      </w:r>
      <w:r>
        <w:rPr>
          <w:color w:val="auto"/>
        </w:rPr>
        <w:t>Zdravotnú starostlivosť pre obyvateľov obce poskytuje:</w:t>
      </w:r>
    </w:p>
    <w:p>
      <w:pPr>
        <w:pStyle w:val="Normal"/>
        <w:jc w:val="both"/>
        <w:rPr>
          <w:color w:val="C9211E"/>
        </w:rPr>
      </w:pPr>
      <w:r>
        <w:rPr>
          <w:color w:val="auto"/>
        </w:rPr>
        <w:tab/>
        <w:t xml:space="preserve"> Všeobecný lekár pre dospelých – MUDr. Elena Hrbčová</w:t>
      </w:r>
    </w:p>
    <w:p>
      <w:pPr>
        <w:pStyle w:val="Normal"/>
        <w:ind w:hanging="0" w:left="795"/>
        <w:jc w:val="both"/>
        <w:rPr>
          <w:color w:val="C9211E"/>
        </w:rPr>
      </w:pPr>
      <w:r>
        <w:rPr>
          <w:color w:val="auto"/>
        </w:rPr>
        <w:t>Poliklinika v Liptovskom Mikuláši</w:t>
      </w:r>
    </w:p>
    <w:p>
      <w:pPr>
        <w:pStyle w:val="Normal"/>
        <w:ind w:hanging="0" w:left="795"/>
        <w:jc w:val="both"/>
        <w:rPr>
          <w:color w:val="C9211E"/>
        </w:rPr>
      </w:pPr>
      <w:r>
        <w:rPr>
          <w:color w:val="auto"/>
        </w:rPr>
        <w:t xml:space="preserve">Nemocnica s poliklinikou v Liptovskom Mikuláši </w:t>
      </w:r>
    </w:p>
    <w:p>
      <w:pPr>
        <w:pStyle w:val="Normal"/>
        <w:ind w:hanging="0" w:left="795"/>
        <w:jc w:val="both"/>
        <w:rPr>
          <w:color w:val="C9211E"/>
        </w:rPr>
      </w:pPr>
      <w:r>
        <w:rPr>
          <w:color w:val="auto"/>
        </w:rPr>
        <w:t>Vojenská ústredná nemocnica v Ružomberku</w:t>
      </w:r>
    </w:p>
    <w:p>
      <w:pPr>
        <w:pStyle w:val="Normal"/>
        <w:ind w:firstLine="14" w:left="-14"/>
        <w:jc w:val="both"/>
        <w:rPr>
          <w:color w:val="C9211E"/>
        </w:rPr>
      </w:pPr>
      <w:r>
        <w:rPr>
          <w:color w:val="auto"/>
        </w:rPr>
        <w:t>Na základe analýzy doterajšieho vývoja možno očakávať, že rozvoj zdravotnej starostlivosti sa v nasledujúcich rokoch meniť nebude.</w:t>
      </w:r>
    </w:p>
    <w:p>
      <w:pPr>
        <w:pStyle w:val="Normal"/>
        <w:rPr>
          <w:color w:val="C9211E"/>
        </w:rPr>
      </w:pPr>
      <w:r>
        <w:rPr>
          <w:color w:val="auto"/>
        </w:rPr>
        <w:tab/>
      </w:r>
    </w:p>
    <w:p>
      <w:pPr>
        <w:pStyle w:val="Normal"/>
        <w:jc w:val="both"/>
        <w:rPr>
          <w:color w:val="C9211E"/>
        </w:rPr>
      </w:pPr>
      <w:r>
        <w:rPr>
          <w:b/>
          <w:bCs/>
          <w:color w:val="auto"/>
          <w:sz w:val="28"/>
          <w:szCs w:val="28"/>
        </w:rPr>
        <w:t xml:space="preserve">Rozpočtová  organizácia </w:t>
      </w:r>
    </w:p>
    <w:p>
      <w:pPr>
        <w:pStyle w:val="Normal"/>
        <w:jc w:val="both"/>
        <w:rPr>
          <w:color w:val="auto"/>
        </w:rPr>
      </w:pPr>
      <w:r>
        <w:rPr>
          <w:b/>
          <w:bCs/>
          <w:color w:val="auto"/>
        </w:rPr>
        <w:t>Základná škola s materskou školou Ľubeľa</w:t>
      </w:r>
    </w:p>
    <w:p>
      <w:pPr>
        <w:pStyle w:val="Normal"/>
        <w:rPr>
          <w:color w:val="C9211E"/>
        </w:rPr>
      </w:pPr>
      <w:r>
        <w:rPr>
          <w:b/>
          <w:bCs/>
          <w:color w:val="auto"/>
        </w:rPr>
        <w:t>Adresa:</w:t>
      </w:r>
      <w:r>
        <w:rPr>
          <w:color w:val="auto"/>
        </w:rPr>
        <w:t xml:space="preserve"> Ľubeľa 161, 032 14  Ľubeľa</w:t>
      </w:r>
    </w:p>
    <w:p>
      <w:pPr>
        <w:pStyle w:val="Normal"/>
        <w:rPr>
          <w:color w:val="C9211E"/>
        </w:rPr>
      </w:pPr>
      <w:r>
        <w:rPr>
          <w:b/>
          <w:bCs/>
          <w:color w:val="auto"/>
        </w:rPr>
        <w:t xml:space="preserve">Riaditeľ: </w:t>
      </w:r>
      <w:bookmarkStart w:id="1" w:name="__DdeLink__3730_111153707"/>
      <w:r>
        <w:rPr>
          <w:color w:val="auto"/>
        </w:rPr>
        <w:t>Mgr. Iveta Kališová</w:t>
      </w:r>
      <w:bookmarkEnd w:id="1"/>
    </w:p>
    <w:p>
      <w:pPr>
        <w:pStyle w:val="Normal"/>
        <w:rPr>
          <w:color w:val="C9211E"/>
        </w:rPr>
      </w:pPr>
      <w:r>
        <w:rPr>
          <w:b/>
          <w:color w:val="auto"/>
        </w:rPr>
        <w:t>IČO:</w:t>
      </w:r>
      <w:r>
        <w:rPr>
          <w:color w:val="auto"/>
        </w:rPr>
        <w:t xml:space="preserve"> 37810413</w:t>
      </w:r>
    </w:p>
    <w:p>
      <w:pPr>
        <w:pStyle w:val="Normal"/>
        <w:rPr>
          <w:color w:val="C9211E"/>
        </w:rPr>
      </w:pPr>
      <w:r>
        <w:rPr>
          <w:color w:val="C9211E"/>
        </w:rPr>
      </w:r>
    </w:p>
    <w:p>
      <w:pPr>
        <w:pStyle w:val="Normal"/>
        <w:rPr>
          <w:color w:val="C9211E"/>
        </w:rPr>
      </w:pPr>
      <w:r>
        <w:rPr>
          <w:color w:val="C9211E"/>
        </w:rPr>
      </w:r>
    </w:p>
    <w:p>
      <w:pPr>
        <w:pStyle w:val="Normal"/>
        <w:ind w:firstLine="708"/>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b/>
          <w:sz w:val="28"/>
          <w:szCs w:val="28"/>
        </w:rPr>
      </w:pPr>
      <w:r>
        <w:rPr>
          <w:b/>
          <w:sz w:val="28"/>
          <w:szCs w:val="28"/>
        </w:rPr>
      </w:r>
    </w:p>
    <w:p>
      <w:pPr>
        <w:pStyle w:val="Normal"/>
        <w:jc w:val="both"/>
        <w:rPr/>
      </w:pPr>
      <w:r>
        <w:rPr>
          <w:b/>
          <w:sz w:val="28"/>
          <w:szCs w:val="28"/>
        </w:rPr>
        <w:t>2. Rozpočet obce za rok 2024 a jeho plnenie</w:t>
      </w:r>
    </w:p>
    <w:p>
      <w:pPr>
        <w:pStyle w:val="Normal"/>
        <w:jc w:val="both"/>
        <w:rPr>
          <w:b/>
          <w:sz w:val="28"/>
          <w:szCs w:val="28"/>
        </w:rPr>
      </w:pPr>
      <w:r>
        <w:rPr>
          <w:b/>
          <w:sz w:val="28"/>
          <w:szCs w:val="28"/>
        </w:rPr>
      </w:r>
    </w:p>
    <w:p>
      <w:pPr>
        <w:pStyle w:val="Normal"/>
        <w:jc w:val="both"/>
        <w:rPr/>
      </w:pPr>
      <w:r>
        <w:rPr/>
        <w:t>Základným   nástrojom  finančného  hospodárenia  obce  bol   rozpočet   obce   na  rok   2024.</w:t>
      </w:r>
    </w:p>
    <w:p>
      <w:pPr>
        <w:pStyle w:val="Normal"/>
        <w:jc w:val="both"/>
        <w:rPr/>
      </w:pPr>
      <w:r>
        <w:rPr/>
        <w:t xml:space="preserve">Obec v roku 2024 zostavila rozpočet podľa ustanovenia § 10 odsek 7) zákona č.583/2004 Z. z. o rozpočtových pravidlách územnej samosprávy a o zmene a doplnení niektorých zákonov v znení neskorších predpisov. Rozpočet obce na rok 2024 bol zostavený ako vyrovnaný. Bežný   rozpočet   bol   zostavený   ako  prebytkový  a  kapitálový   rozpočet ako  schodkový. </w:t>
      </w:r>
    </w:p>
    <w:p>
      <w:pPr>
        <w:pStyle w:val="Normal"/>
        <w:jc w:val="both"/>
        <w:rPr/>
      </w:pPr>
      <w:r>
        <w:rPr/>
      </w:r>
    </w:p>
    <w:p>
      <w:pPr>
        <w:pStyle w:val="Normal"/>
        <w:jc w:val="both"/>
        <w:rPr/>
      </w:pPr>
      <w:r>
        <w:rPr/>
        <w:t>Rozpočet obce bol schválený obecným zastupiteľstvom dňa 30.11.2023 uznesením OZ 46/2023</w:t>
      </w:r>
    </w:p>
    <w:p>
      <w:pPr>
        <w:pStyle w:val="Normal"/>
        <w:jc w:val="both"/>
        <w:rPr/>
      </w:pPr>
      <w:r>
        <w:rPr/>
        <w:t xml:space="preserve">Zmeny rozpočtu: </w:t>
      </w:r>
    </w:p>
    <w:p>
      <w:pPr>
        <w:pStyle w:val="BodyText"/>
        <w:spacing w:before="0" w:after="63"/>
        <w:jc w:val="both"/>
        <w:rPr>
          <w:sz w:val="24"/>
        </w:rPr>
      </w:pPr>
      <w:r>
        <w:rPr>
          <w:sz w:val="24"/>
        </w:rPr>
        <w:t>1.  zmena bola schválená OZ uznesením číslo 21/2024 zo dňa 27.06.2024</w:t>
      </w:r>
    </w:p>
    <w:p>
      <w:pPr>
        <w:pStyle w:val="BodyText"/>
        <w:spacing w:before="0" w:after="63"/>
        <w:jc w:val="both"/>
        <w:rPr>
          <w:sz w:val="24"/>
        </w:rPr>
      </w:pPr>
      <w:r>
        <w:rPr>
          <w:sz w:val="24"/>
        </w:rPr>
        <w:t>2.  zmena bola schválená OZ uznesením číslo 21/2024 zo dňa 27.06.2024</w:t>
      </w:r>
    </w:p>
    <w:p>
      <w:pPr>
        <w:pStyle w:val="BodyText"/>
        <w:spacing w:before="0" w:after="63"/>
        <w:jc w:val="both"/>
        <w:rPr>
          <w:sz w:val="24"/>
        </w:rPr>
      </w:pPr>
      <w:r>
        <w:rPr>
          <w:sz w:val="24"/>
        </w:rPr>
        <w:t>3.  zmena bola schválená OZ uznesením číslo 48/2024 zo dňa 12.12.2024</w:t>
      </w:r>
    </w:p>
    <w:p>
      <w:pPr>
        <w:pStyle w:val="Normal"/>
        <w:jc w:val="center"/>
        <w:rPr>
          <w:b/>
          <w:bCs/>
          <w:sz w:val="28"/>
        </w:rPr>
      </w:pPr>
      <w:r>
        <w:rPr>
          <w:b/>
          <w:bCs/>
          <w:sz w:val="28"/>
        </w:rPr>
      </w:r>
    </w:p>
    <w:p>
      <w:pPr>
        <w:pStyle w:val="Normal"/>
        <w:jc w:val="left"/>
        <w:rPr/>
      </w:pPr>
      <w:r>
        <w:rPr>
          <w:b/>
          <w:bCs/>
          <w:sz w:val="28"/>
        </w:rPr>
        <w:t>Rozpočet obce k  31.12.2024</w:t>
      </w:r>
    </w:p>
    <w:p>
      <w:pPr>
        <w:pStyle w:val="Normal"/>
        <w:jc w:val="center"/>
        <w:rPr/>
      </w:pPr>
      <w:r>
        <w:rPr/>
        <w:drawing>
          <wp:anchor behindDoc="0" distT="0" distB="0" distL="0" distR="0" simplePos="0" locked="0" layoutInCell="0" allowOverlap="1" relativeHeight="5">
            <wp:simplePos x="0" y="0"/>
            <wp:positionH relativeFrom="column">
              <wp:posOffset>36830</wp:posOffset>
            </wp:positionH>
            <wp:positionV relativeFrom="paragraph">
              <wp:posOffset>128270</wp:posOffset>
            </wp:positionV>
            <wp:extent cx="5490210" cy="5835015"/>
            <wp:effectExtent l="0" t="0" r="0" b="0"/>
            <wp:wrapSquare wrapText="largest"/>
            <wp:docPr id="4" name="Obrázo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1" descr=""/>
                    <pic:cNvPicPr>
                      <a:picLocks noChangeAspect="1" noChangeArrowheads="1"/>
                    </pic:cNvPicPr>
                  </pic:nvPicPr>
                  <pic:blipFill>
                    <a:blip r:embed="rId7"/>
                    <a:srcRect l="-23" t="-22" r="-23" b="-22"/>
                    <a:stretch>
                      <a:fillRect/>
                    </a:stretch>
                  </pic:blipFill>
                  <pic:spPr bwMode="auto">
                    <a:xfrm>
                      <a:off x="0" y="0"/>
                      <a:ext cx="5490210" cy="5835015"/>
                    </a:xfrm>
                    <a:prstGeom prst="rect">
                      <a:avLst/>
                    </a:prstGeom>
                  </pic:spPr>
                </pic:pic>
              </a:graphicData>
            </a:graphic>
          </wp:anchor>
        </w:drawing>
      </w:r>
    </w:p>
    <w:p>
      <w:pPr>
        <w:pStyle w:val="Normal"/>
        <w:jc w:val="center"/>
        <w:rPr/>
      </w:pPr>
      <w:r>
        <w:rPr/>
      </w:r>
    </w:p>
    <w:p>
      <w:pPr>
        <w:pStyle w:val="Normal"/>
        <w:jc w:val="both"/>
        <w:rPr/>
      </w:pPr>
      <w:r>
        <w:rPr/>
        <w:tab/>
      </w:r>
      <w:r>
        <w:br w:type="page"/>
      </w:r>
    </w:p>
    <w:p>
      <w:pPr>
        <w:pStyle w:val="Normal"/>
        <w:widowControl/>
        <w:numPr>
          <w:ilvl w:val="0"/>
          <w:numId w:val="0"/>
        </w:numPr>
        <w:tabs>
          <w:tab w:val="clear" w:pos="708"/>
          <w:tab w:val="left" w:pos="390" w:leader="none"/>
        </w:tabs>
        <w:suppressAutoHyphens w:val="true"/>
        <w:bidi w:val="0"/>
        <w:spacing w:before="0" w:after="0"/>
        <w:ind w:hanging="0" w:left="0" w:right="0"/>
        <w:jc w:val="both"/>
        <w:rPr>
          <w:sz w:val="28"/>
          <w:szCs w:val="28"/>
        </w:rPr>
      </w:pPr>
      <w:r>
        <w:rPr>
          <w:b/>
          <w:color w:val="000000"/>
          <w:sz w:val="28"/>
          <w:szCs w:val="28"/>
        </w:rPr>
        <w:t>Rozbor plnenia príjmov za rok 2024</w:t>
      </w:r>
    </w:p>
    <w:p>
      <w:pPr>
        <w:pStyle w:val="Normal"/>
        <w:jc w:val="both"/>
        <w:rPr>
          <w:color w:val="000000"/>
          <w:sz w:val="24"/>
          <w:szCs w:val="24"/>
        </w:rPr>
      </w:pPr>
      <w:r>
        <w:rPr>
          <w:color w:val="000000"/>
          <w:sz w:val="24"/>
          <w:szCs w:val="24"/>
        </w:rPr>
      </w:r>
    </w:p>
    <w:tbl>
      <w:tblPr>
        <w:tblW w:w="9750" w:type="dxa"/>
        <w:jc w:val="left"/>
        <w:tblInd w:w="114" w:type="dxa"/>
        <w:tblLayout w:type="fixed"/>
        <w:tblCellMar>
          <w:top w:w="0" w:type="dxa"/>
          <w:left w:w="65" w:type="dxa"/>
          <w:bottom w:w="0" w:type="dxa"/>
          <w:right w:w="70" w:type="dxa"/>
        </w:tblCellMar>
        <w:tblLook w:firstRow="1" w:noVBand="1" w:lastRow="0" w:firstColumn="1" w:lastColumn="0" w:noHBand="0" w:val="04a0"/>
      </w:tblPr>
      <w:tblGrid>
        <w:gridCol w:w="3764"/>
        <w:gridCol w:w="3240"/>
        <w:gridCol w:w="2746"/>
      </w:tblGrid>
      <w:tr>
        <w:trPr/>
        <w:tc>
          <w:tcPr>
            <w:tcW w:w="376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Rozpočet upravený na rok 2024</w:t>
            </w:r>
          </w:p>
        </w:tc>
        <w:tc>
          <w:tcPr>
            <w:tcW w:w="324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Skutočnosť k  31.12.2024</w:t>
            </w:r>
          </w:p>
        </w:tc>
        <w:tc>
          <w:tcPr>
            <w:tcW w:w="274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sz w:val="24"/>
                <w:szCs w:val="24"/>
              </w:rPr>
              <w:t>% plnenia</w:t>
            </w:r>
          </w:p>
        </w:tc>
      </w:tr>
      <w:tr>
        <w:trPr>
          <w:trHeight w:val="344" w:hRule="atLeast"/>
        </w:trPr>
        <w:tc>
          <w:tcPr>
            <w:tcW w:w="376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2.438.092,00</w:t>
            </w:r>
          </w:p>
        </w:tc>
        <w:tc>
          <w:tcPr>
            <w:tcW w:w="324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2.331.319,15</w:t>
            </w:r>
          </w:p>
        </w:tc>
        <w:tc>
          <w:tcPr>
            <w:tcW w:w="274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sz w:val="24"/>
                <w:szCs w:val="24"/>
              </w:rPr>
              <w:t>96</w:t>
            </w:r>
          </w:p>
        </w:tc>
      </w:tr>
    </w:tbl>
    <w:p>
      <w:pPr>
        <w:pStyle w:val="Normal"/>
        <w:rPr>
          <w:color w:val="000000"/>
          <w:sz w:val="24"/>
          <w:szCs w:val="24"/>
        </w:rPr>
      </w:pPr>
      <w:r>
        <w:rPr>
          <w:color w:val="000000"/>
          <w:sz w:val="24"/>
          <w:szCs w:val="24"/>
        </w:rPr>
      </w:r>
    </w:p>
    <w:p>
      <w:pPr>
        <w:pStyle w:val="Normal"/>
        <w:rPr>
          <w:sz w:val="24"/>
          <w:szCs w:val="24"/>
        </w:rPr>
      </w:pPr>
      <w:r>
        <w:rPr>
          <w:b/>
          <w:color w:val="000000"/>
          <w:sz w:val="24"/>
          <w:szCs w:val="24"/>
        </w:rPr>
        <w:t xml:space="preserve"> </w:t>
      </w:r>
      <w:r>
        <w:rPr>
          <w:b/>
          <w:color w:val="000000"/>
          <w:sz w:val="24"/>
          <w:szCs w:val="24"/>
        </w:rPr>
        <w:t xml:space="preserve">Bežné príjmy </w:t>
      </w:r>
    </w:p>
    <w:p>
      <w:pPr>
        <w:pStyle w:val="Normal"/>
        <w:rPr>
          <w:sz w:val="24"/>
          <w:szCs w:val="24"/>
        </w:rPr>
      </w:pPr>
      <w:r>
        <w:rPr>
          <w:b/>
          <w:bCs/>
          <w:color w:val="000000"/>
          <w:sz w:val="24"/>
          <w:szCs w:val="24"/>
        </w:rPr>
        <w:t xml:space="preserve"> </w:t>
      </w:r>
      <w:r>
        <w:rPr>
          <w:b/>
          <w:bCs/>
          <w:color w:val="000000"/>
          <w:sz w:val="24"/>
          <w:szCs w:val="24"/>
        </w:rPr>
        <w:t>Bežné príjmy – daňové</w:t>
      </w:r>
    </w:p>
    <w:tbl>
      <w:tblPr>
        <w:tblW w:w="9720" w:type="dxa"/>
        <w:jc w:val="left"/>
        <w:tblInd w:w="114" w:type="dxa"/>
        <w:tblLayout w:type="fixed"/>
        <w:tblCellMar>
          <w:top w:w="0" w:type="dxa"/>
          <w:left w:w="65" w:type="dxa"/>
          <w:bottom w:w="0" w:type="dxa"/>
          <w:right w:w="70" w:type="dxa"/>
        </w:tblCellMar>
        <w:tblLook w:firstRow="1" w:noVBand="1" w:lastRow="0" w:firstColumn="1" w:lastColumn="0" w:noHBand="0" w:val="04a0"/>
      </w:tblPr>
      <w:tblGrid>
        <w:gridCol w:w="3762"/>
        <w:gridCol w:w="3242"/>
        <w:gridCol w:w="2716"/>
      </w:tblGrid>
      <w:tr>
        <w:trPr/>
        <w:tc>
          <w:tcPr>
            <w:tcW w:w="3762"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Rozpočet upravený na rok 2024</w:t>
            </w:r>
          </w:p>
        </w:tc>
        <w:tc>
          <w:tcPr>
            <w:tcW w:w="3242"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Skutočnosť k  31.12.2024</w:t>
            </w:r>
          </w:p>
        </w:tc>
        <w:tc>
          <w:tcPr>
            <w:tcW w:w="271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sz w:val="24"/>
                <w:szCs w:val="24"/>
              </w:rPr>
              <w:t>% plnenia</w:t>
            </w:r>
          </w:p>
        </w:tc>
      </w:tr>
      <w:tr>
        <w:trPr/>
        <w:tc>
          <w:tcPr>
            <w:tcW w:w="3762"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739.343,00</w:t>
            </w:r>
          </w:p>
        </w:tc>
        <w:tc>
          <w:tcPr>
            <w:tcW w:w="3242"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sz w:val="24"/>
                <w:szCs w:val="24"/>
              </w:rPr>
              <w:t>708.488,10</w:t>
            </w:r>
          </w:p>
        </w:tc>
        <w:tc>
          <w:tcPr>
            <w:tcW w:w="271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sz w:val="24"/>
                <w:szCs w:val="24"/>
              </w:rPr>
              <w:t>96</w:t>
            </w:r>
          </w:p>
        </w:tc>
      </w:tr>
    </w:tbl>
    <w:p>
      <w:pPr>
        <w:pStyle w:val="Normal"/>
        <w:rPr>
          <w:color w:val="000000"/>
          <w:sz w:val="24"/>
          <w:szCs w:val="24"/>
        </w:rPr>
      </w:pPr>
      <w:r>
        <w:rPr>
          <w:color w:val="000000"/>
          <w:sz w:val="24"/>
          <w:szCs w:val="24"/>
        </w:rPr>
      </w:r>
    </w:p>
    <w:p>
      <w:pPr>
        <w:pStyle w:val="Normal"/>
        <w:rPr/>
      </w:pPr>
      <w:r>
        <w:rPr>
          <w:b/>
          <w:bCs/>
          <w:color w:val="000000"/>
        </w:rPr>
        <w:t>1. Výnos dane z príjmov poukázaný územnej samospráve</w:t>
      </w:r>
      <w:r>
        <w:rPr>
          <w:color w:val="000000"/>
        </w:rPr>
        <w:t xml:space="preserve">Z predpokladanej finančnej čiastky 656.253,00 EUR  z výnosu dane z príjmov  k 31.12.2024 boli </w:t>
        <w:tab/>
        <w:t xml:space="preserve">poukázané prostriedky zo ŠR vo výške 638.724,64 EUR, čo predstavuje plnenie na 97%. </w:t>
      </w:r>
    </w:p>
    <w:p>
      <w:pPr>
        <w:pStyle w:val="Normal"/>
        <w:rPr>
          <w:color w:val="000000"/>
        </w:rPr>
      </w:pPr>
      <w:r>
        <w:rPr>
          <w:color w:val="000000"/>
        </w:rPr>
      </w:r>
    </w:p>
    <w:p>
      <w:pPr>
        <w:pStyle w:val="Normal"/>
        <w:rPr/>
      </w:pPr>
      <w:r>
        <w:rPr>
          <w:b/>
          <w:bCs/>
          <w:color w:val="000000"/>
        </w:rPr>
        <w:t>2. Daň z nehnuteľností</w:t>
      </w:r>
    </w:p>
    <w:p>
      <w:pPr>
        <w:pStyle w:val="Normal"/>
        <w:jc w:val="both"/>
        <w:rPr/>
      </w:pPr>
      <w:r>
        <w:rPr>
          <w:color w:val="000000"/>
        </w:rPr>
        <w:t xml:space="preserve">Z rozpočtovaných 29.170,00 EUR bol skutočný príjem k 31.12.2024 vo výške 24.005,25 EUR, </w:t>
      </w:r>
    </w:p>
    <w:p>
      <w:pPr>
        <w:pStyle w:val="Normal"/>
        <w:jc w:val="both"/>
        <w:rPr/>
      </w:pPr>
      <w:r>
        <w:rPr>
          <w:color w:val="000000"/>
        </w:rPr>
        <w:t xml:space="preserve">čo je 82 % plnenia. Z toho príjem dane z pozemkov vo výške 6.890,53 EUR, dane zo stavieb </w:t>
        <w:tab/>
        <w:t xml:space="preserve">vo </w:t>
      </w:r>
    </w:p>
    <w:p>
      <w:pPr>
        <w:pStyle w:val="Normal"/>
        <w:jc w:val="both"/>
        <w:rPr/>
      </w:pPr>
      <w:r>
        <w:rPr>
          <w:color w:val="000000"/>
        </w:rPr>
        <w:t>výške 16.969,27 EUR a dan z bytov vo výške 145,45 EUR.</w:t>
      </w:r>
    </w:p>
    <w:p>
      <w:pPr>
        <w:pStyle w:val="Normal"/>
        <w:rPr>
          <w:color w:val="000000"/>
        </w:rPr>
      </w:pPr>
      <w:r>
        <w:rPr>
          <w:color w:val="000000"/>
        </w:rPr>
      </w:r>
    </w:p>
    <w:p>
      <w:pPr>
        <w:pStyle w:val="Normal"/>
        <w:rPr/>
      </w:pPr>
      <w:r>
        <w:rPr>
          <w:b/>
          <w:bCs/>
          <w:color w:val="000000"/>
        </w:rPr>
        <w:t>3. Ostatné miestne dane</w:t>
      </w:r>
    </w:p>
    <w:tbl>
      <w:tblPr>
        <w:tblW w:w="9750" w:type="dxa"/>
        <w:jc w:val="left"/>
        <w:tblInd w:w="114" w:type="dxa"/>
        <w:tblLayout w:type="fixed"/>
        <w:tblCellMar>
          <w:top w:w="0" w:type="dxa"/>
          <w:left w:w="65" w:type="dxa"/>
          <w:bottom w:w="0" w:type="dxa"/>
          <w:right w:w="70" w:type="dxa"/>
        </w:tblCellMar>
        <w:tblLook w:firstRow="1" w:noVBand="1" w:lastRow="0" w:firstColumn="1" w:lastColumn="0" w:noHBand="0" w:val="04a0"/>
      </w:tblPr>
      <w:tblGrid>
        <w:gridCol w:w="3432"/>
        <w:gridCol w:w="2373"/>
        <w:gridCol w:w="2102"/>
        <w:gridCol w:w="1842"/>
      </w:tblGrid>
      <w:tr>
        <w:trPr/>
        <w:tc>
          <w:tcPr>
            <w:tcW w:w="3432" w:type="dxa"/>
            <w:tcBorders>
              <w:top w:val="single" w:sz="4" w:space="0" w:color="000000"/>
              <w:left w:val="single" w:sz="4" w:space="0" w:color="000000"/>
              <w:bottom w:val="single" w:sz="4" w:space="0" w:color="000000"/>
            </w:tcBorders>
            <w:shd w:fill="auto" w:val="clear"/>
          </w:tcPr>
          <w:p>
            <w:pPr>
              <w:pStyle w:val="Normal"/>
              <w:snapToGrid w:val="false"/>
              <w:rPr>
                <w:color w:val="000000"/>
              </w:rPr>
            </w:pPr>
            <w:r>
              <w:rPr>
                <w:color w:val="000000"/>
              </w:rPr>
            </w:r>
          </w:p>
        </w:tc>
        <w:tc>
          <w:tcPr>
            <w:tcW w:w="2373"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Rozpočet upravený na rok 2024</w:t>
            </w:r>
          </w:p>
        </w:tc>
        <w:tc>
          <w:tcPr>
            <w:tcW w:w="2102"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Skutočnosť k 31.12.2024</w:t>
            </w:r>
          </w:p>
        </w:tc>
        <w:tc>
          <w:tcPr>
            <w:tcW w:w="18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color w:val="000000"/>
              </w:rPr>
              <w:t xml:space="preserve">              </w:t>
            </w:r>
            <w:r>
              <w:rPr>
                <w:color w:val="000000"/>
              </w:rPr>
              <w:t>% plnenia</w:t>
            </w:r>
          </w:p>
        </w:tc>
      </w:tr>
      <w:tr>
        <w:trPr/>
        <w:tc>
          <w:tcPr>
            <w:tcW w:w="3432" w:type="dxa"/>
            <w:tcBorders>
              <w:top w:val="single" w:sz="4" w:space="0" w:color="000000"/>
              <w:left w:val="single" w:sz="4" w:space="0" w:color="000000"/>
              <w:bottom w:val="single" w:sz="4" w:space="0" w:color="000000"/>
            </w:tcBorders>
            <w:shd w:fill="auto" w:val="clear"/>
          </w:tcPr>
          <w:p>
            <w:pPr>
              <w:pStyle w:val="Normal"/>
              <w:rPr>
                <w:color w:val="000000"/>
              </w:rPr>
            </w:pPr>
            <w:r>
              <w:rPr>
                <w:color w:val="000000"/>
              </w:rPr>
              <w:t>Daň za psa</w:t>
            </w:r>
          </w:p>
        </w:tc>
        <w:tc>
          <w:tcPr>
            <w:tcW w:w="2373"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1.820,00</w:t>
            </w:r>
          </w:p>
        </w:tc>
        <w:tc>
          <w:tcPr>
            <w:tcW w:w="2102"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1.820,00</w:t>
            </w:r>
          </w:p>
        </w:tc>
        <w:tc>
          <w:tcPr>
            <w:tcW w:w="1842"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color w:val="000000"/>
              </w:rPr>
            </w:pPr>
            <w:r>
              <w:rPr>
                <w:color w:val="000000"/>
              </w:rPr>
              <w:t>100</w:t>
            </w:r>
          </w:p>
        </w:tc>
      </w:tr>
      <w:tr>
        <w:trPr/>
        <w:tc>
          <w:tcPr>
            <w:tcW w:w="3432" w:type="dxa"/>
            <w:tcBorders>
              <w:top w:val="single" w:sz="4" w:space="0" w:color="000000"/>
              <w:left w:val="single" w:sz="4" w:space="0" w:color="000000"/>
              <w:bottom w:val="single" w:sz="4" w:space="0" w:color="000000"/>
            </w:tcBorders>
            <w:shd w:fill="auto" w:val="clear"/>
          </w:tcPr>
          <w:p>
            <w:pPr>
              <w:pStyle w:val="Normal"/>
              <w:rPr>
                <w:color w:val="000000"/>
              </w:rPr>
            </w:pPr>
            <w:r>
              <w:rPr>
                <w:color w:val="000000"/>
              </w:rPr>
              <w:t>Daň za ubytovanie</w:t>
            </w:r>
          </w:p>
        </w:tc>
        <w:tc>
          <w:tcPr>
            <w:tcW w:w="2373"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100,00</w:t>
            </w:r>
          </w:p>
        </w:tc>
        <w:tc>
          <w:tcPr>
            <w:tcW w:w="2102"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127,20</w:t>
            </w:r>
          </w:p>
        </w:tc>
        <w:tc>
          <w:tcPr>
            <w:tcW w:w="1842"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color w:val="000000"/>
              </w:rPr>
            </w:pPr>
            <w:r>
              <w:rPr>
                <w:color w:val="000000"/>
              </w:rPr>
              <w:t>127</w:t>
            </w:r>
          </w:p>
        </w:tc>
      </w:tr>
      <w:tr>
        <w:trPr/>
        <w:tc>
          <w:tcPr>
            <w:tcW w:w="3432" w:type="dxa"/>
            <w:tcBorders>
              <w:top w:val="single" w:sz="4" w:space="0" w:color="000000"/>
              <w:left w:val="single" w:sz="4" w:space="0" w:color="000000"/>
              <w:bottom w:val="single" w:sz="4" w:space="0" w:color="000000"/>
            </w:tcBorders>
            <w:shd w:fill="auto" w:val="clear"/>
          </w:tcPr>
          <w:p>
            <w:pPr>
              <w:pStyle w:val="Normal"/>
              <w:rPr>
                <w:color w:val="000000"/>
              </w:rPr>
            </w:pPr>
            <w:r>
              <w:rPr>
                <w:color w:val="000000"/>
              </w:rPr>
              <w:t>Poplatok za TKO</w:t>
            </w:r>
          </w:p>
        </w:tc>
        <w:tc>
          <w:tcPr>
            <w:tcW w:w="2373"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52.000,00</w:t>
            </w:r>
          </w:p>
        </w:tc>
        <w:tc>
          <w:tcPr>
            <w:tcW w:w="2102" w:type="dxa"/>
            <w:tcBorders>
              <w:top w:val="single" w:sz="4" w:space="0" w:color="000000"/>
              <w:left w:val="single" w:sz="4" w:space="0" w:color="000000"/>
              <w:bottom w:val="single" w:sz="4" w:space="0" w:color="000000"/>
            </w:tcBorders>
            <w:shd w:fill="auto" w:val="clear"/>
          </w:tcPr>
          <w:p>
            <w:pPr>
              <w:pStyle w:val="Normal"/>
              <w:jc w:val="right"/>
              <w:rPr>
                <w:color w:val="000000"/>
              </w:rPr>
            </w:pPr>
            <w:r>
              <w:rPr>
                <w:color w:val="000000"/>
              </w:rPr>
              <w:t>43.811,01</w:t>
            </w:r>
          </w:p>
        </w:tc>
        <w:tc>
          <w:tcPr>
            <w:tcW w:w="1842"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color w:val="000000"/>
              </w:rPr>
            </w:pPr>
            <w:r>
              <w:rPr>
                <w:color w:val="000000"/>
              </w:rPr>
              <w:t>84</w:t>
            </w:r>
          </w:p>
        </w:tc>
      </w:tr>
    </w:tbl>
    <w:p>
      <w:pPr>
        <w:pStyle w:val="Normal"/>
        <w:rPr>
          <w:bCs/>
          <w:color w:val="000000"/>
          <w:highlight w:val="lightGray"/>
        </w:rPr>
      </w:pPr>
      <w:r>
        <w:rPr>
          <w:bCs/>
          <w:color w:val="000000"/>
          <w:highlight w:val="lightGray"/>
        </w:rPr>
      </w:r>
    </w:p>
    <w:p>
      <w:pPr>
        <w:pStyle w:val="Normal"/>
        <w:rPr/>
      </w:pPr>
      <w:r>
        <w:rPr>
          <w:b/>
          <w:bCs/>
          <w:color w:val="000000"/>
          <w:sz w:val="28"/>
          <w:szCs w:val="28"/>
        </w:rPr>
        <w:t xml:space="preserve"> </w:t>
      </w:r>
      <w:r>
        <w:rPr>
          <w:b/>
          <w:bCs/>
          <w:color w:val="000000"/>
          <w:sz w:val="24"/>
          <w:szCs w:val="24"/>
        </w:rPr>
        <w:t>Bežné príjmy – nedaňové</w:t>
      </w:r>
    </w:p>
    <w:tbl>
      <w:tblPr>
        <w:tblW w:w="9750" w:type="dxa"/>
        <w:jc w:val="left"/>
        <w:tblInd w:w="129" w:type="dxa"/>
        <w:tblLayout w:type="fixed"/>
        <w:tblCellMar>
          <w:top w:w="0" w:type="dxa"/>
          <w:left w:w="65" w:type="dxa"/>
          <w:bottom w:w="0" w:type="dxa"/>
          <w:right w:w="70" w:type="dxa"/>
        </w:tblCellMar>
        <w:tblLook w:firstRow="1" w:noVBand="1" w:lastRow="0" w:firstColumn="1" w:lastColumn="0" w:noHBand="0" w:val="04a0"/>
      </w:tblPr>
      <w:tblGrid>
        <w:gridCol w:w="3764"/>
        <w:gridCol w:w="3240"/>
        <w:gridCol w:w="2746"/>
      </w:tblGrid>
      <w:tr>
        <w:trPr>
          <w:trHeight w:val="247" w:hRule="atLeast"/>
        </w:trPr>
        <w:tc>
          <w:tcPr>
            <w:tcW w:w="376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Rozpočet upravený na rok 2024</w:t>
            </w:r>
          </w:p>
        </w:tc>
        <w:tc>
          <w:tcPr>
            <w:tcW w:w="324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Skutočnosť k  31.12.2024</w:t>
            </w:r>
          </w:p>
        </w:tc>
        <w:tc>
          <w:tcPr>
            <w:tcW w:w="274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 plnenia</w:t>
            </w:r>
          </w:p>
        </w:tc>
      </w:tr>
      <w:tr>
        <w:trPr/>
        <w:tc>
          <w:tcPr>
            <w:tcW w:w="376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42.222,00</w:t>
            </w:r>
          </w:p>
        </w:tc>
        <w:tc>
          <w:tcPr>
            <w:tcW w:w="324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39.185,85</w:t>
            </w:r>
          </w:p>
        </w:tc>
        <w:tc>
          <w:tcPr>
            <w:tcW w:w="274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93</w:t>
            </w:r>
          </w:p>
        </w:tc>
      </w:tr>
    </w:tbl>
    <w:p>
      <w:pPr>
        <w:pStyle w:val="Normal"/>
        <w:rPr>
          <w:b/>
          <w:bCs/>
          <w:color w:val="000000"/>
        </w:rPr>
      </w:pPr>
      <w:r>
        <w:rPr>
          <w:b/>
          <w:bCs/>
          <w:color w:val="000000"/>
        </w:rPr>
      </w:r>
    </w:p>
    <w:p>
      <w:pPr>
        <w:pStyle w:val="Normal"/>
        <w:rPr/>
      </w:pPr>
      <w:r>
        <w:rPr>
          <w:b/>
          <w:bCs/>
          <w:color w:val="000000"/>
        </w:rPr>
        <w:t>1. Príjmy z prenájmu:</w:t>
      </w:r>
    </w:p>
    <w:p>
      <w:pPr>
        <w:pStyle w:val="Normal"/>
        <w:tabs>
          <w:tab w:val="clear" w:pos="708"/>
          <w:tab w:val="left" w:pos="382" w:leader="none"/>
        </w:tabs>
        <w:ind w:hanging="0"/>
        <w:jc w:val="both"/>
        <w:rPr/>
      </w:pPr>
      <w:r>
        <w:rPr>
          <w:color w:val="000000"/>
        </w:rPr>
        <w:t>Z rozpočtovaných 29.879,00 EUR bol skutočný príjem k 31.12.2024 vo výške 29.864,9 EUR,</w:t>
      </w:r>
    </w:p>
    <w:p>
      <w:pPr>
        <w:pStyle w:val="Normal"/>
        <w:tabs>
          <w:tab w:val="clear" w:pos="708"/>
          <w:tab w:val="left" w:pos="382" w:leader="none"/>
        </w:tabs>
        <w:ind w:hanging="0"/>
        <w:jc w:val="both"/>
        <w:rPr/>
      </w:pPr>
      <w:r>
        <w:rPr>
          <w:color w:val="000000"/>
        </w:rPr>
        <w:t>čo predstavuje plnenie na 100 %.</w:t>
      </w:r>
    </w:p>
    <w:p>
      <w:pPr>
        <w:pStyle w:val="Normal"/>
        <w:rPr/>
      </w:pPr>
      <w:r>
        <w:rPr>
          <w:b/>
          <w:bCs/>
          <w:color w:val="000000"/>
        </w:rPr>
        <w:t>2. Administratívne - správne poplatky a iné  poplatky:</w:t>
      </w:r>
    </w:p>
    <w:p>
      <w:pPr>
        <w:pStyle w:val="Normal"/>
        <w:tabs>
          <w:tab w:val="clear" w:pos="708"/>
          <w:tab w:val="left" w:pos="382" w:leader="none"/>
        </w:tabs>
        <w:ind w:hanging="0"/>
        <w:jc w:val="both"/>
        <w:rPr/>
      </w:pPr>
      <w:r>
        <w:rPr>
          <w:color w:val="000000"/>
        </w:rPr>
        <w:t>Z rozpočtovaných 9.843,00 EUR bol skutočný príjem k 31.12.2024 vo výške  8.642,00 EUR,</w:t>
      </w:r>
    </w:p>
    <w:p>
      <w:pPr>
        <w:pStyle w:val="Normal"/>
        <w:tabs>
          <w:tab w:val="clear" w:pos="708"/>
          <w:tab w:val="left" w:pos="382" w:leader="none"/>
        </w:tabs>
        <w:ind w:hanging="0"/>
        <w:jc w:val="both"/>
        <w:rPr/>
      </w:pPr>
      <w:r>
        <w:rPr>
          <w:color w:val="000000"/>
        </w:rPr>
        <w:t>čo predstavuje plnenie na 88%.</w:t>
      </w:r>
    </w:p>
    <w:p>
      <w:pPr>
        <w:pStyle w:val="Normal"/>
        <w:jc w:val="both"/>
        <w:rPr/>
      </w:pPr>
      <w:r>
        <w:rPr>
          <w:b/>
          <w:bCs/>
          <w:color w:val="000000"/>
        </w:rPr>
        <w:t>3. Poplatky z predaja</w:t>
      </w:r>
    </w:p>
    <w:p>
      <w:pPr>
        <w:pStyle w:val="Normal"/>
        <w:ind w:hanging="0"/>
        <w:jc w:val="both"/>
        <w:rPr/>
      </w:pPr>
      <w:r>
        <w:rPr>
          <w:color w:val="000000"/>
        </w:rPr>
        <w:t>Z rozpočtovaných 0,00 EUR bol skutočný príjem k 31.12.2024 vo výške 0,0 EUR.</w:t>
      </w:r>
    </w:p>
    <w:p>
      <w:pPr>
        <w:pStyle w:val="Normal"/>
        <w:ind w:hanging="0"/>
        <w:jc w:val="both"/>
        <w:rPr/>
      </w:pPr>
      <w:r>
        <w:rPr>
          <w:b/>
          <w:bCs/>
          <w:color w:val="000000"/>
        </w:rPr>
        <w:t>4. Úroky z vkladov</w:t>
      </w:r>
    </w:p>
    <w:p>
      <w:pPr>
        <w:pStyle w:val="Normal"/>
        <w:ind w:hanging="0"/>
        <w:jc w:val="both"/>
        <w:rPr/>
      </w:pPr>
      <w:r>
        <w:rPr>
          <w:color w:val="000000"/>
        </w:rPr>
        <w:t>Z rozpočtovaných 0,00 EUR bol skutočný príjem k 31.12.2024 vo výške 0,00 EUR.</w:t>
      </w:r>
    </w:p>
    <w:p>
      <w:pPr>
        <w:pStyle w:val="Normal"/>
        <w:jc w:val="both"/>
        <w:rPr/>
      </w:pPr>
      <w:r>
        <w:rPr>
          <w:b/>
          <w:bCs/>
          <w:color w:val="000000"/>
        </w:rPr>
        <w:t>5. Príjmy z dobropisov a vratiek</w:t>
      </w:r>
    </w:p>
    <w:p>
      <w:pPr>
        <w:pStyle w:val="Normal"/>
        <w:jc w:val="both"/>
        <w:rPr/>
      </w:pPr>
      <w:r>
        <w:rPr>
          <w:color w:val="000000"/>
        </w:rPr>
        <w:t>Z rozpočtovaných 2.500,00 EUR bol skutočný príjem k 31.12.2024 vo výške 678,27 EUR,</w:t>
      </w:r>
    </w:p>
    <w:p>
      <w:pPr>
        <w:pStyle w:val="Normal"/>
        <w:ind w:hanging="0"/>
        <w:jc w:val="both"/>
        <w:rPr/>
      </w:pPr>
      <w:r>
        <w:rPr>
          <w:color w:val="000000"/>
        </w:rPr>
        <w:t>čo predstavuje plnenie na 27%.</w:t>
      </w:r>
    </w:p>
    <w:p>
      <w:pPr>
        <w:pStyle w:val="Normal"/>
        <w:ind w:firstLine="360"/>
        <w:jc w:val="both"/>
        <w:rPr>
          <w:b/>
          <w:bCs/>
          <w:color w:val="C9211E"/>
          <w:sz w:val="28"/>
          <w:szCs w:val="28"/>
        </w:rPr>
      </w:pPr>
      <w:r>
        <w:rPr>
          <w:b/>
          <w:bCs/>
          <w:color w:val="C9211E"/>
          <w:sz w:val="28"/>
          <w:szCs w:val="28"/>
        </w:rPr>
        <w:tab/>
      </w:r>
    </w:p>
    <w:p>
      <w:pPr>
        <w:pStyle w:val="Normal"/>
        <w:ind w:hanging="0"/>
        <w:jc w:val="both"/>
        <w:rPr>
          <w:sz w:val="24"/>
          <w:szCs w:val="24"/>
        </w:rPr>
      </w:pPr>
      <w:r>
        <w:rPr>
          <w:b/>
          <w:bCs/>
          <w:color w:val="000000"/>
          <w:sz w:val="24"/>
          <w:szCs w:val="24"/>
        </w:rPr>
        <w:t>Granty a transfery</w:t>
      </w:r>
    </w:p>
    <w:tbl>
      <w:tblPr>
        <w:tblW w:w="9750" w:type="dxa"/>
        <w:jc w:val="left"/>
        <w:tblInd w:w="129" w:type="dxa"/>
        <w:tblLayout w:type="fixed"/>
        <w:tblCellMar>
          <w:top w:w="0" w:type="dxa"/>
          <w:left w:w="65" w:type="dxa"/>
          <w:bottom w:w="0" w:type="dxa"/>
          <w:right w:w="70" w:type="dxa"/>
        </w:tblCellMar>
        <w:tblLook w:firstRow="1" w:noVBand="1" w:lastRow="0" w:firstColumn="1" w:lastColumn="0" w:noHBand="0" w:val="04a0"/>
      </w:tblPr>
      <w:tblGrid>
        <w:gridCol w:w="3780"/>
        <w:gridCol w:w="3225"/>
        <w:gridCol w:w="2745"/>
      </w:tblGrid>
      <w:tr>
        <w:trPr/>
        <w:tc>
          <w:tcPr>
            <w:tcW w:w="378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Rozpočet upravený na rok 2024</w:t>
            </w:r>
          </w:p>
        </w:tc>
        <w:tc>
          <w:tcPr>
            <w:tcW w:w="3225"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Skutočnosť k  31.12.2024</w:t>
            </w:r>
          </w:p>
        </w:tc>
        <w:tc>
          <w:tcPr>
            <w:tcW w:w="2745"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 plnenia</w:t>
            </w:r>
          </w:p>
        </w:tc>
      </w:tr>
      <w:tr>
        <w:trPr>
          <w:trHeight w:val="310" w:hRule="atLeast"/>
        </w:trPr>
        <w:tc>
          <w:tcPr>
            <w:tcW w:w="378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1.152.684,00</w:t>
            </w:r>
          </w:p>
        </w:tc>
        <w:tc>
          <w:tcPr>
            <w:tcW w:w="3225"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1.098.571,48</w:t>
            </w:r>
          </w:p>
        </w:tc>
        <w:tc>
          <w:tcPr>
            <w:tcW w:w="2745"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95</w:t>
            </w:r>
          </w:p>
        </w:tc>
      </w:tr>
    </w:tbl>
    <w:p>
      <w:pPr>
        <w:pStyle w:val="Normal"/>
        <w:rPr/>
      </w:pPr>
      <w:r>
        <w:rPr>
          <w:b/>
          <w:bCs/>
          <w:color w:val="000000"/>
        </w:rPr>
        <w:t xml:space="preserve">  </w:t>
      </w:r>
    </w:p>
    <w:p>
      <w:pPr>
        <w:pStyle w:val="Normal"/>
        <w:rPr/>
      </w:pPr>
      <w:r>
        <w:rPr>
          <w:b/>
          <w:bCs/>
          <w:color w:val="000000"/>
        </w:rPr>
        <w:t>Obec prijala nasledovné transfery a granty:</w:t>
      </w:r>
    </w:p>
    <w:tbl>
      <w:tblPr>
        <w:tblW w:w="9750" w:type="dxa"/>
        <w:jc w:val="left"/>
        <w:tblInd w:w="144" w:type="dxa"/>
        <w:tblLayout w:type="fixed"/>
        <w:tblCellMar>
          <w:top w:w="0" w:type="dxa"/>
          <w:left w:w="65" w:type="dxa"/>
          <w:bottom w:w="0" w:type="dxa"/>
          <w:right w:w="70" w:type="dxa"/>
        </w:tblCellMar>
        <w:tblLook w:firstRow="1" w:noVBand="1" w:lastRow="0" w:firstColumn="1" w:lastColumn="0" w:noHBand="0" w:val="04a0"/>
      </w:tblPr>
      <w:tblGrid>
        <w:gridCol w:w="914"/>
        <w:gridCol w:w="3540"/>
        <w:gridCol w:w="2253"/>
        <w:gridCol w:w="3042"/>
      </w:tblGrid>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Poskytovateľ</w:t>
            </w:r>
          </w:p>
        </w:tc>
        <w:tc>
          <w:tcPr>
            <w:tcW w:w="2253" w:type="dxa"/>
            <w:tcBorders>
              <w:top w:val="single" w:sz="4" w:space="0" w:color="000000"/>
              <w:left w:val="single" w:sz="4" w:space="0" w:color="000000"/>
              <w:bottom w:val="single" w:sz="4" w:space="0" w:color="000000"/>
            </w:tcBorders>
            <w:shd w:fill="auto" w:val="clear"/>
          </w:tcPr>
          <w:p>
            <w:pPr>
              <w:pStyle w:val="Normal"/>
              <w:jc w:val="center"/>
              <w:rPr/>
            </w:pPr>
            <w:r>
              <w:rPr>
                <w:color w:val="000000"/>
              </w:rPr>
              <w:t xml:space="preserve"> </w:t>
            </w:r>
            <w:r>
              <w:rPr>
                <w:color w:val="000000"/>
              </w:rPr>
              <w:t>Suma  v EUR</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pPr>
            <w:r>
              <w:rPr>
                <w:color w:val="000000"/>
              </w:rPr>
              <w:t xml:space="preserve">      </w:t>
            </w:r>
            <w:r>
              <w:rPr>
                <w:color w:val="000000"/>
              </w:rPr>
              <w:t>Účel</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1</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Obvodný úrad</w:t>
            </w:r>
          </w:p>
        </w:tc>
        <w:tc>
          <w:tcPr>
            <w:tcW w:w="2253" w:type="dxa"/>
            <w:tcBorders>
              <w:top w:val="single" w:sz="4" w:space="0" w:color="000000"/>
              <w:left w:val="single" w:sz="4" w:space="0" w:color="000000"/>
              <w:bottom w:val="single" w:sz="4" w:space="0" w:color="000000"/>
            </w:tcBorders>
            <w:shd w:fill="auto" w:val="clear"/>
          </w:tcPr>
          <w:p>
            <w:pPr>
              <w:pStyle w:val="Normal"/>
              <w:jc w:val="right"/>
              <w:rPr>
                <w:color w:val="C9211E"/>
              </w:rPr>
            </w:pPr>
            <w:r>
              <w:rPr/>
              <w:t>419,18</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color w:val="000000"/>
              </w:rPr>
            </w:pPr>
            <w:r>
              <w:rPr>
                <w:color w:val="000000"/>
              </w:rPr>
              <w:t>Register obyvateľ. adries</w:t>
            </w:r>
          </w:p>
        </w:tc>
      </w:tr>
      <w:tr>
        <w:trPr>
          <w:trHeight w:val="341" w:hRule="atLeast"/>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2</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Krajský stavebný  úrad</w:t>
            </w:r>
          </w:p>
        </w:tc>
        <w:tc>
          <w:tcPr>
            <w:tcW w:w="2253" w:type="dxa"/>
            <w:tcBorders>
              <w:top w:val="single" w:sz="4" w:space="0" w:color="000000"/>
              <w:left w:val="single" w:sz="4" w:space="0" w:color="000000"/>
              <w:bottom w:val="single" w:sz="4" w:space="0" w:color="000000"/>
            </w:tcBorders>
            <w:shd w:fill="auto" w:val="clear"/>
          </w:tcPr>
          <w:p>
            <w:pPr>
              <w:pStyle w:val="Normal"/>
              <w:jc w:val="right"/>
              <w:rPr>
                <w:sz w:val="22"/>
                <w:szCs w:val="22"/>
              </w:rPr>
            </w:pPr>
            <w:r>
              <w:rPr>
                <w:sz w:val="22"/>
                <w:szCs w:val="22"/>
              </w:rPr>
              <w:t>1.966,97</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Stavebný úrad</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3</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Krajský úrad, cestná dopr.</w:t>
            </w:r>
          </w:p>
        </w:tc>
        <w:tc>
          <w:tcPr>
            <w:tcW w:w="2253" w:type="dxa"/>
            <w:tcBorders>
              <w:top w:val="single" w:sz="4" w:space="0" w:color="000000"/>
              <w:left w:val="single" w:sz="4" w:space="0" w:color="000000"/>
              <w:bottom w:val="single" w:sz="4" w:space="0" w:color="000000"/>
            </w:tcBorders>
            <w:shd w:fill="auto" w:val="clear"/>
          </w:tcPr>
          <w:p>
            <w:pPr>
              <w:pStyle w:val="Normal"/>
              <w:jc w:val="right"/>
              <w:rPr/>
            </w:pPr>
            <w:r>
              <w:rPr/>
              <w:t>52,10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Doprava a komunikácie</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4</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Envirofond</w:t>
            </w:r>
          </w:p>
        </w:tc>
        <w:tc>
          <w:tcPr>
            <w:tcW w:w="2253" w:type="dxa"/>
            <w:tcBorders>
              <w:top w:val="single" w:sz="4" w:space="0" w:color="000000"/>
              <w:left w:val="single" w:sz="4" w:space="0" w:color="000000"/>
              <w:bottom w:val="single" w:sz="4" w:space="0" w:color="000000"/>
            </w:tcBorders>
            <w:shd w:fill="auto" w:val="clear"/>
          </w:tcPr>
          <w:p>
            <w:pPr>
              <w:pStyle w:val="Normal"/>
              <w:jc w:val="right"/>
              <w:rPr/>
            </w:pPr>
            <w:r>
              <w:rPr/>
              <w:t>14.798,00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Malotraktor, mulčovač</w:t>
            </w:r>
          </w:p>
        </w:tc>
      </w:tr>
      <w:tr>
        <w:trPr>
          <w:trHeight w:val="165" w:hRule="atLeast"/>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5</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MŽP SR</w:t>
            </w:r>
          </w:p>
        </w:tc>
        <w:tc>
          <w:tcPr>
            <w:tcW w:w="2253" w:type="dxa"/>
            <w:tcBorders>
              <w:top w:val="single" w:sz="4" w:space="0" w:color="000000"/>
              <w:left w:val="single" w:sz="4" w:space="0" w:color="000000"/>
              <w:bottom w:val="single" w:sz="4" w:space="0" w:color="000000"/>
            </w:tcBorders>
            <w:shd w:fill="auto" w:val="clear"/>
          </w:tcPr>
          <w:p>
            <w:pPr>
              <w:pStyle w:val="Normal"/>
              <w:jc w:val="right"/>
              <w:rPr/>
            </w:pPr>
            <w:r>
              <w:rPr/>
              <w:t>145,96</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color w:val="000000"/>
              </w:rPr>
            </w:pPr>
            <w:r>
              <w:rPr>
                <w:color w:val="000000"/>
              </w:rPr>
              <w:t>Životné prostredie</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6</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NIVaM</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33.596,00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Projekt ZŠ</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7</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Obvodný úrad</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6.706,86</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Matrika</w:t>
            </w:r>
          </w:p>
        </w:tc>
      </w:tr>
      <w:tr>
        <w:trPr/>
        <w:tc>
          <w:tcPr>
            <w:tcW w:w="914"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8</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MV SR</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732,00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Mimoriadna situácia-Povodne</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9</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Obvodný úrad</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3.281,85</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Voľby</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10</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Obvodný úrad</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2.400,00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Ukrajina</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11</w:t>
            </w:r>
          </w:p>
        </w:tc>
        <w:tc>
          <w:tcPr>
            <w:tcW w:w="3540" w:type="dxa"/>
            <w:tcBorders>
              <w:top w:val="single" w:sz="4" w:space="0" w:color="000000"/>
              <w:left w:val="single" w:sz="4" w:space="0" w:color="000000"/>
              <w:bottom w:val="single" w:sz="4" w:space="0" w:color="000000"/>
            </w:tcBorders>
            <w:shd w:fill="auto" w:val="clear"/>
          </w:tcPr>
          <w:p>
            <w:pPr>
              <w:pStyle w:val="Normal"/>
              <w:rPr/>
            </w:pPr>
            <w:r>
              <w:rPr>
                <w:color w:val="000000"/>
              </w:rPr>
              <w:t xml:space="preserve">         </w:t>
            </w:r>
            <w:r>
              <w:rPr>
                <w:color w:val="000000"/>
              </w:rPr>
              <w:t>Mimo VS</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2.984,00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t>DHZ</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12</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KŠU</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922.994,48</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ZŠ</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13</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KŠU</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8.593,00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color w:val="000000"/>
              </w:rPr>
            </w:pPr>
            <w:r>
              <w:rPr>
                <w:color w:val="000000"/>
              </w:rPr>
              <w:t>MŠ</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14</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GRANTY</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1.400,00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ŽSK – športové podujatia</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15</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Ostatné granty</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50,00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kultúra</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16</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MH SR</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3.417,38</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Energie</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17</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UPSVaR ZŠ</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83.009,70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ZŠ strava</w:t>
            </w:r>
          </w:p>
        </w:tc>
      </w:tr>
      <w:tr>
        <w:trPr/>
        <w:tc>
          <w:tcPr>
            <w:tcW w:w="914" w:type="dxa"/>
            <w:tcBorders>
              <w:top w:val="single" w:sz="4" w:space="0" w:color="000000"/>
              <w:left w:val="single" w:sz="4" w:space="0" w:color="000000"/>
              <w:bottom w:val="single" w:sz="4" w:space="0" w:color="000000"/>
            </w:tcBorders>
            <w:shd w:fill="auto" w:val="clear"/>
          </w:tcPr>
          <w:p>
            <w:pPr>
              <w:pStyle w:val="Normal"/>
              <w:snapToGrid w:val="false"/>
              <w:jc w:val="center"/>
              <w:rPr>
                <w:color w:val="000000"/>
              </w:rPr>
            </w:pPr>
            <w:r>
              <w:rPr>
                <w:color w:val="000000"/>
              </w:rPr>
              <w:t>18</w:t>
            </w:r>
          </w:p>
        </w:tc>
        <w:tc>
          <w:tcPr>
            <w:tcW w:w="3540" w:type="dxa"/>
            <w:tcBorders>
              <w:top w:val="single" w:sz="4" w:space="0" w:color="000000"/>
              <w:left w:val="single" w:sz="4" w:space="0" w:color="000000"/>
              <w:bottom w:val="single" w:sz="4" w:space="0" w:color="000000"/>
            </w:tcBorders>
            <w:shd w:fill="auto" w:val="clear"/>
          </w:tcPr>
          <w:p>
            <w:pPr>
              <w:pStyle w:val="Normal"/>
              <w:snapToGrid w:val="false"/>
              <w:rPr/>
            </w:pPr>
            <w:r>
              <w:rPr>
                <w:color w:val="000000"/>
              </w:rPr>
              <w:t xml:space="preserve">          </w:t>
            </w:r>
            <w:r>
              <w:rPr>
                <w:color w:val="000000"/>
              </w:rPr>
              <w:t>MFSR</w:t>
            </w:r>
          </w:p>
        </w:tc>
        <w:tc>
          <w:tcPr>
            <w:tcW w:w="2253" w:type="dxa"/>
            <w:tcBorders>
              <w:top w:val="single" w:sz="4" w:space="0" w:color="000000"/>
              <w:left w:val="single" w:sz="4" w:space="0" w:color="000000"/>
              <w:bottom w:val="single" w:sz="4" w:space="0" w:color="000000"/>
            </w:tcBorders>
            <w:shd w:fill="auto" w:val="clear"/>
          </w:tcPr>
          <w:p>
            <w:pPr>
              <w:pStyle w:val="Normal"/>
              <w:snapToGrid w:val="false"/>
              <w:jc w:val="right"/>
              <w:rPr/>
            </w:pPr>
            <w:r>
              <w:rPr/>
              <w:t>12.024,00</w:t>
            </w:r>
          </w:p>
        </w:tc>
        <w:tc>
          <w:tcPr>
            <w:tcW w:w="304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rPr/>
            </w:pPr>
            <w:r>
              <w:rPr/>
              <w:t>výpadok DPFO</w:t>
            </w:r>
          </w:p>
        </w:tc>
      </w:tr>
    </w:tbl>
    <w:p>
      <w:pPr>
        <w:pStyle w:val="Normal"/>
        <w:tabs>
          <w:tab w:val="clear" w:pos="708"/>
          <w:tab w:val="left" w:pos="450" w:leader="none"/>
        </w:tabs>
        <w:rPr>
          <w:color w:val="C9211E"/>
        </w:rPr>
      </w:pPr>
      <w:r>
        <w:rPr>
          <w:color w:val="C9211E"/>
        </w:rPr>
        <w:tab/>
      </w:r>
    </w:p>
    <w:p>
      <w:pPr>
        <w:pStyle w:val="Normal"/>
        <w:tabs>
          <w:tab w:val="clear" w:pos="708"/>
          <w:tab w:val="left" w:pos="450" w:leader="none"/>
        </w:tabs>
        <w:jc w:val="both"/>
        <w:rPr/>
      </w:pPr>
      <w:r>
        <w:rPr>
          <w:color w:val="C9211E"/>
        </w:rPr>
        <w:tab/>
      </w:r>
      <w:r>
        <w:rPr/>
        <w:t>Prijaté transfery boli účelovo viazané a boli  použité v súlade s ich účelom. Prijatý transfer z KŠÚ na ZŠ nebol v plnej výške v roku 2024 vyčerpaný a presúva sa do roku 2025 vo výške 8.058,62 EUR, Z prijatého transferu UPSVaR na stravu sa neminulo 8.581,60 EUR. Do roku 2025 sa taktiež presúva transfer z Envirofondu vo výške 14.798,00 EUR.</w:t>
      </w:r>
    </w:p>
    <w:p>
      <w:pPr>
        <w:pStyle w:val="Normal"/>
        <w:tabs>
          <w:tab w:val="clear" w:pos="708"/>
          <w:tab w:val="left" w:pos="450" w:leader="none"/>
        </w:tabs>
        <w:jc w:val="both"/>
        <w:rPr>
          <w:color w:val="C9211E"/>
        </w:rPr>
      </w:pPr>
      <w:r>
        <w:rPr>
          <w:color w:val="C9211E"/>
        </w:rPr>
        <w:tab/>
      </w:r>
    </w:p>
    <w:p>
      <w:pPr>
        <w:pStyle w:val="Normal"/>
        <w:widowControl/>
        <w:numPr>
          <w:ilvl w:val="1"/>
          <w:numId w:val="2"/>
        </w:numPr>
        <w:tabs>
          <w:tab w:val="clear" w:pos="708"/>
          <w:tab w:val="left" w:pos="735" w:leader="none"/>
        </w:tabs>
        <w:suppressAutoHyphens w:val="true"/>
        <w:bidi w:val="0"/>
        <w:ind w:hanging="1077" w:left="1077" w:right="0"/>
        <w:jc w:val="left"/>
        <w:rPr>
          <w:sz w:val="24"/>
          <w:szCs w:val="24"/>
        </w:rPr>
      </w:pPr>
      <w:r>
        <w:rPr>
          <w:b/>
          <w:bCs/>
          <w:color w:val="000000"/>
          <w:sz w:val="24"/>
          <w:szCs w:val="24"/>
        </w:rPr>
        <w:t>Kapitálové príjmy</w:t>
      </w:r>
    </w:p>
    <w:tbl>
      <w:tblPr>
        <w:tblW w:w="9556" w:type="dxa"/>
        <w:jc w:val="left"/>
        <w:tblInd w:w="144" w:type="dxa"/>
        <w:tblLayout w:type="fixed"/>
        <w:tblCellMar>
          <w:top w:w="0" w:type="dxa"/>
          <w:left w:w="65" w:type="dxa"/>
          <w:bottom w:w="0" w:type="dxa"/>
          <w:right w:w="70" w:type="dxa"/>
        </w:tblCellMar>
        <w:tblLook w:firstRow="1" w:noVBand="1" w:lastRow="0" w:firstColumn="1" w:lastColumn="0" w:noHBand="0" w:val="04a0"/>
      </w:tblPr>
      <w:tblGrid>
        <w:gridCol w:w="3585"/>
        <w:gridCol w:w="3973"/>
        <w:gridCol w:w="1998"/>
      </w:tblGrid>
      <w:tr>
        <w:trPr/>
        <w:tc>
          <w:tcPr>
            <w:tcW w:w="3585"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Rozpočet upravený na rok 2024</w:t>
            </w:r>
          </w:p>
        </w:tc>
        <w:tc>
          <w:tcPr>
            <w:tcW w:w="3973"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Skutočnosť k  31.12.2024</w:t>
            </w:r>
          </w:p>
        </w:tc>
        <w:tc>
          <w:tcPr>
            <w:tcW w:w="1998"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 plnenia</w:t>
            </w:r>
          </w:p>
        </w:tc>
      </w:tr>
      <w:tr>
        <w:trPr/>
        <w:tc>
          <w:tcPr>
            <w:tcW w:w="3585"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27.000,00</w:t>
            </w:r>
          </w:p>
        </w:tc>
        <w:tc>
          <w:tcPr>
            <w:tcW w:w="3973"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10.150,00</w:t>
            </w:r>
          </w:p>
        </w:tc>
        <w:tc>
          <w:tcPr>
            <w:tcW w:w="1998"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38</w:t>
            </w:r>
          </w:p>
        </w:tc>
      </w:tr>
    </w:tbl>
    <w:p>
      <w:pPr>
        <w:pStyle w:val="Normal"/>
        <w:ind w:hanging="0"/>
        <w:rPr/>
      </w:pPr>
      <w:r>
        <w:rPr>
          <w:color w:val="000000"/>
        </w:rPr>
        <w:t>Kapitálové príjmy obce v roku 2024 tvorili príjmy z dotácií na rozvoj obce :</w:t>
      </w:r>
    </w:p>
    <w:p>
      <w:pPr>
        <w:pStyle w:val="Normal"/>
        <w:ind w:hanging="0"/>
        <w:rPr/>
      </w:pPr>
      <w:r>
        <w:rPr>
          <w:color w:val="000000"/>
        </w:rPr>
        <w:t>- dotácia na chodník     10.150,00 EUR</w:t>
      </w:r>
      <w:r>
        <w:rPr/>
        <w:t xml:space="preserve"> – v r. 2024 sa nepoužila, presúva sa do roku 2025</w:t>
      </w:r>
    </w:p>
    <w:p>
      <w:pPr>
        <w:pStyle w:val="Normal"/>
        <w:ind w:firstLine="708"/>
        <w:rPr>
          <w:color w:val="C9211E"/>
          <w:sz w:val="24"/>
          <w:szCs w:val="24"/>
        </w:rPr>
      </w:pPr>
      <w:r>
        <w:rPr>
          <w:color w:val="C9211E"/>
          <w:sz w:val="24"/>
          <w:szCs w:val="24"/>
        </w:rPr>
      </w:r>
    </w:p>
    <w:p>
      <w:pPr>
        <w:pStyle w:val="Normal"/>
        <w:widowControl/>
        <w:numPr>
          <w:ilvl w:val="1"/>
          <w:numId w:val="6"/>
        </w:numPr>
        <w:suppressAutoHyphens w:val="true"/>
        <w:bidi w:val="0"/>
        <w:ind w:hanging="0" w:left="0" w:right="0"/>
        <w:jc w:val="left"/>
        <w:rPr>
          <w:sz w:val="24"/>
          <w:szCs w:val="24"/>
        </w:rPr>
      </w:pPr>
      <w:r>
        <w:rPr>
          <w:b/>
          <w:color w:val="000000"/>
          <w:sz w:val="24"/>
          <w:szCs w:val="24"/>
        </w:rPr>
        <w:t>Príjmové finančné operácie</w:t>
      </w:r>
    </w:p>
    <w:tbl>
      <w:tblPr>
        <w:tblW w:w="9554" w:type="dxa"/>
        <w:jc w:val="center"/>
        <w:tblInd w:w="0" w:type="dxa"/>
        <w:tblLayout w:type="fixed"/>
        <w:tblCellMar>
          <w:top w:w="0" w:type="dxa"/>
          <w:left w:w="65" w:type="dxa"/>
          <w:bottom w:w="0" w:type="dxa"/>
          <w:right w:w="70" w:type="dxa"/>
        </w:tblCellMar>
        <w:tblLook w:firstRow="1" w:noVBand="1" w:lastRow="0" w:firstColumn="1" w:lastColumn="0" w:noHBand="0" w:val="04a0"/>
      </w:tblPr>
      <w:tblGrid>
        <w:gridCol w:w="3578"/>
        <w:gridCol w:w="3883"/>
        <w:gridCol w:w="2093"/>
      </w:tblGrid>
      <w:tr>
        <w:trPr>
          <w:trHeight w:val="212" w:hRule="atLeast"/>
        </w:trPr>
        <w:tc>
          <w:tcPr>
            <w:tcW w:w="3578" w:type="dxa"/>
            <w:tcBorders>
              <w:top w:val="single" w:sz="4" w:space="0" w:color="000000"/>
              <w:left w:val="single" w:sz="4" w:space="0" w:color="000000"/>
              <w:bottom w:val="single" w:sz="4" w:space="0" w:color="000000"/>
            </w:tcBorders>
            <w:shd w:fill="auto" w:val="clear"/>
          </w:tcPr>
          <w:p>
            <w:pPr>
              <w:pStyle w:val="Normal"/>
              <w:jc w:val="center"/>
              <w:rPr/>
            </w:pPr>
            <w:r>
              <w:rPr>
                <w:color w:val="000000"/>
              </w:rPr>
              <w:t>Rozpočet upravený na rok 2024</w:t>
            </w:r>
          </w:p>
        </w:tc>
        <w:tc>
          <w:tcPr>
            <w:tcW w:w="3883"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Skutočnosť k  31.12.2024</w:t>
            </w:r>
          </w:p>
        </w:tc>
        <w:tc>
          <w:tcPr>
            <w:tcW w:w="209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 plnenia</w:t>
            </w:r>
          </w:p>
        </w:tc>
      </w:tr>
      <w:tr>
        <w:trPr/>
        <w:tc>
          <w:tcPr>
            <w:tcW w:w="3578" w:type="dxa"/>
            <w:tcBorders>
              <w:top w:val="single" w:sz="4" w:space="0" w:color="000000"/>
              <w:left w:val="single" w:sz="4" w:space="0" w:color="000000"/>
              <w:bottom w:val="single" w:sz="4" w:space="0" w:color="000000"/>
            </w:tcBorders>
            <w:shd w:fill="auto" w:val="clear"/>
          </w:tcPr>
          <w:p>
            <w:pPr>
              <w:pStyle w:val="Normal"/>
              <w:jc w:val="center"/>
              <w:rPr/>
            </w:pPr>
            <w:r>
              <w:rPr>
                <w:color w:val="000000"/>
              </w:rPr>
              <w:t>381.843,00</w:t>
            </w:r>
          </w:p>
        </w:tc>
        <w:tc>
          <w:tcPr>
            <w:tcW w:w="3883"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341.360,85</w:t>
            </w:r>
          </w:p>
        </w:tc>
        <w:tc>
          <w:tcPr>
            <w:tcW w:w="209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89</w:t>
            </w:r>
          </w:p>
        </w:tc>
      </w:tr>
    </w:tbl>
    <w:p>
      <w:pPr>
        <w:pStyle w:val="Normal"/>
        <w:rPr>
          <w:b/>
          <w:color w:val="C9211E"/>
          <w:sz w:val="32"/>
          <w:szCs w:val="28"/>
        </w:rPr>
      </w:pPr>
      <w:r>
        <w:rPr>
          <w:b/>
          <w:color w:val="C9211E"/>
          <w:sz w:val="32"/>
          <w:szCs w:val="28"/>
        </w:rPr>
        <w:tab/>
      </w:r>
    </w:p>
    <w:p>
      <w:pPr>
        <w:pStyle w:val="Normal"/>
        <w:rPr/>
      </w:pPr>
      <w:r>
        <w:rPr>
          <w:b/>
          <w:color w:val="000000"/>
          <w:sz w:val="32"/>
          <w:szCs w:val="28"/>
        </w:rPr>
        <w:tab/>
      </w:r>
      <w:r>
        <w:rPr>
          <w:color w:val="000000"/>
        </w:rPr>
        <w:t>Finančné príjmy obce v roku 2024 tvorili nasledovné príjmy:</w:t>
      </w:r>
    </w:p>
    <w:p>
      <w:pPr>
        <w:pStyle w:val="Normal"/>
        <w:rPr>
          <w:color w:val="000000"/>
        </w:rPr>
      </w:pPr>
      <w:r>
        <w:rPr>
          <w:color w:val="000000"/>
        </w:rPr>
        <w:t>- presun nevyčerpaných prostriedkov 2022 - ihrisko</w:t>
        <w:tab/>
        <w:tab/>
        <w:t xml:space="preserve">       50.000,00 EUR</w:t>
      </w:r>
    </w:p>
    <w:p>
      <w:pPr>
        <w:pStyle w:val="Normal"/>
        <w:rPr>
          <w:color w:val="000000"/>
        </w:rPr>
      </w:pPr>
      <w:r>
        <w:rPr>
          <w:color w:val="000000"/>
        </w:rPr>
        <w:t>- presun nevyčerpaných prostriekov 2024 – ZŠ</w:t>
        <w:tab/>
        <w:tab/>
        <w:tab/>
        <w:t xml:space="preserve">       73.062,85 EUR</w:t>
      </w:r>
    </w:p>
    <w:p>
      <w:pPr>
        <w:pStyle w:val="Normal"/>
        <w:rPr>
          <w:color w:val="000000"/>
        </w:rPr>
      </w:pPr>
      <w:r>
        <w:rPr>
          <w:color w:val="000000"/>
        </w:rPr>
        <w:t xml:space="preserve">- presun nevyčerpaných prostriekov 2024 – </w:t>
        <w:tab/>
        <w:t>dotácia kurty</w:t>
        <w:tab/>
        <w:t xml:space="preserve">       </w:t>
        <w:tab/>
        <w:t xml:space="preserve">       79.472,00 EUR</w:t>
      </w:r>
    </w:p>
    <w:p>
      <w:pPr>
        <w:pStyle w:val="Normal"/>
        <w:rPr>
          <w:color w:val="000000"/>
        </w:rPr>
      </w:pPr>
      <w:r>
        <w:rPr>
          <w:color w:val="000000"/>
        </w:rPr>
        <w:t>- SZRB prijatie úveru</w:t>
        <w:tab/>
        <w:tab/>
        <w:tab/>
        <w:tab/>
        <w:tab/>
        <w:tab/>
        <w:tab/>
        <w:t xml:space="preserve">     100.000,00 EUR</w:t>
      </w:r>
    </w:p>
    <w:p>
      <w:pPr>
        <w:pStyle w:val="Normal"/>
        <w:rPr/>
      </w:pPr>
      <w:r>
        <w:rPr>
          <w:color w:val="000000"/>
        </w:rPr>
        <w:t>- príjem z RF</w:t>
        <w:tab/>
        <w:tab/>
        <w:tab/>
        <w:tab/>
        <w:tab/>
        <w:tab/>
        <w:t xml:space="preserve"> </w:t>
        <w:tab/>
        <w:tab/>
        <w:t xml:space="preserve">        38.826,00 EUR</w:t>
      </w:r>
    </w:p>
    <w:p>
      <w:pPr>
        <w:pStyle w:val="Normal"/>
        <w:rPr/>
      </w:pPr>
      <w:r>
        <w:rPr>
          <w:b/>
          <w:bCs/>
          <w:color w:val="C9211E"/>
          <w:sz w:val="32"/>
          <w:szCs w:val="32"/>
          <w:lang w:val="sk-SK"/>
        </w:rPr>
        <w:tab/>
        <w:tab/>
      </w:r>
    </w:p>
    <w:p>
      <w:pPr>
        <w:pStyle w:val="ListParagraph"/>
        <w:ind w:hanging="0" w:left="-18"/>
        <w:rPr>
          <w:color w:val="auto"/>
          <w:sz w:val="28"/>
          <w:szCs w:val="28"/>
        </w:rPr>
      </w:pPr>
      <w:r>
        <w:rPr>
          <w:rFonts w:cs="Times New Roman" w:ascii="Times New Roman" w:hAnsi="Times New Roman"/>
          <w:b/>
          <w:bCs/>
          <w:color w:val="auto"/>
          <w:sz w:val="28"/>
          <w:szCs w:val="28"/>
          <w:lang w:val="sk-SK"/>
        </w:rPr>
        <w:t xml:space="preserve"> </w:t>
      </w:r>
      <w:r>
        <w:rPr>
          <w:rFonts w:cs="Times New Roman" w:ascii="Times New Roman" w:hAnsi="Times New Roman"/>
          <w:b/>
          <w:bCs/>
          <w:color w:val="auto"/>
          <w:sz w:val="28"/>
          <w:szCs w:val="28"/>
          <w:lang w:val="sk-SK"/>
        </w:rPr>
        <w:t>Príjmy rozpočtovej organizácie s právnou subjektivitou - ZŠ</w:t>
      </w:r>
    </w:p>
    <w:tbl>
      <w:tblPr>
        <w:tblW w:w="9570" w:type="dxa"/>
        <w:jc w:val="left"/>
        <w:tblInd w:w="174" w:type="dxa"/>
        <w:tblLayout w:type="fixed"/>
        <w:tblCellMar>
          <w:top w:w="0" w:type="dxa"/>
          <w:left w:w="65" w:type="dxa"/>
          <w:bottom w:w="0" w:type="dxa"/>
          <w:right w:w="70" w:type="dxa"/>
        </w:tblCellMar>
        <w:tblLook w:firstRow="1" w:noVBand="1" w:lastRow="0" w:firstColumn="1" w:lastColumn="0" w:noHBand="0" w:val="04a0"/>
      </w:tblPr>
      <w:tblGrid>
        <w:gridCol w:w="4710"/>
        <w:gridCol w:w="3270"/>
        <w:gridCol w:w="1590"/>
      </w:tblGrid>
      <w:tr>
        <w:trPr/>
        <w:tc>
          <w:tcPr>
            <w:tcW w:w="4710" w:type="dxa"/>
            <w:tcBorders>
              <w:top w:val="single" w:sz="4" w:space="0" w:color="000000"/>
              <w:left w:val="single" w:sz="4" w:space="0" w:color="000000"/>
              <w:bottom w:val="single" w:sz="4" w:space="0" w:color="000000"/>
            </w:tcBorders>
            <w:shd w:fill="auto" w:val="clear"/>
          </w:tcPr>
          <w:p>
            <w:pPr>
              <w:pStyle w:val="Normal"/>
              <w:jc w:val="center"/>
              <w:rPr/>
            </w:pPr>
            <w:r>
              <w:rPr>
                <w:b/>
                <w:color w:val="000000"/>
              </w:rPr>
              <w:t>Rozpočet upravený na rok 2024</w:t>
            </w:r>
          </w:p>
        </w:tc>
        <w:tc>
          <w:tcPr>
            <w:tcW w:w="3270" w:type="dxa"/>
            <w:tcBorders>
              <w:top w:val="single" w:sz="4" w:space="0" w:color="000000"/>
              <w:left w:val="single" w:sz="4" w:space="0" w:color="000000"/>
              <w:bottom w:val="single" w:sz="4" w:space="0" w:color="000000"/>
            </w:tcBorders>
            <w:shd w:fill="auto" w:val="clear"/>
          </w:tcPr>
          <w:p>
            <w:pPr>
              <w:pStyle w:val="Normal"/>
              <w:jc w:val="center"/>
              <w:rPr/>
            </w:pPr>
            <w:r>
              <w:rPr>
                <w:color w:val="000000"/>
              </w:rPr>
              <w:t>Skutočnosť k 31.12.2024</w:t>
            </w:r>
          </w:p>
        </w:tc>
        <w:tc>
          <w:tcPr>
            <w:tcW w:w="159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pPr>
            <w:r>
              <w:rPr>
                <w:color w:val="000000"/>
              </w:rPr>
              <w:t>% plnenia</w:t>
            </w:r>
          </w:p>
        </w:tc>
      </w:tr>
      <w:tr>
        <w:trPr>
          <w:trHeight w:val="261" w:hRule="atLeast"/>
        </w:trPr>
        <w:tc>
          <w:tcPr>
            <w:tcW w:w="471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95.000,00</w:t>
            </w:r>
          </w:p>
        </w:tc>
        <w:tc>
          <w:tcPr>
            <w:tcW w:w="3270" w:type="dxa"/>
            <w:tcBorders>
              <w:top w:val="single" w:sz="4" w:space="0" w:color="000000"/>
              <w:left w:val="single" w:sz="4" w:space="0" w:color="000000"/>
              <w:bottom w:val="single" w:sz="4" w:space="0" w:color="000000"/>
            </w:tcBorders>
            <w:shd w:fill="auto" w:val="clear"/>
          </w:tcPr>
          <w:p>
            <w:pPr>
              <w:pStyle w:val="Normal"/>
              <w:jc w:val="center"/>
              <w:rPr>
                <w:color w:val="000000"/>
              </w:rPr>
            </w:pPr>
            <w:r>
              <w:rPr>
                <w:color w:val="000000"/>
              </w:rPr>
              <w:t>133.562,87</w:t>
            </w:r>
          </w:p>
        </w:tc>
        <w:tc>
          <w:tcPr>
            <w:tcW w:w="159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color w:val="000000"/>
              </w:rPr>
            </w:pPr>
            <w:r>
              <w:rPr>
                <w:color w:val="000000"/>
              </w:rPr>
              <w:t>141</w:t>
            </w:r>
          </w:p>
        </w:tc>
      </w:tr>
    </w:tbl>
    <w:p>
      <w:pPr>
        <w:pStyle w:val="Normal"/>
        <w:ind w:hanging="0" w:left="1440"/>
        <w:rPr>
          <w:bCs/>
          <w:smallCaps/>
          <w:color w:val="000000"/>
        </w:rPr>
      </w:pPr>
      <w:r>
        <w:rPr>
          <w:bCs/>
          <w:smallCaps/>
          <w:color w:val="000000"/>
        </w:rPr>
      </w:r>
    </w:p>
    <w:p>
      <w:pPr>
        <w:pStyle w:val="Normal"/>
        <w:jc w:val="both"/>
        <w:rPr/>
      </w:pPr>
      <w:r>
        <w:rPr>
          <w:color w:val="000000"/>
        </w:rPr>
        <w:tab/>
        <w:t>Z rozpočtovaných bežných príjmov a príjmov z FO 95.000,00 EUR bol skutočný príjem k 31.1</w:t>
      </w:r>
      <w:r>
        <w:rPr/>
        <w:t xml:space="preserve">2.2024 v  sume 133.562,87 EUR, čo predstavuje 141 % plnenie. Z toho boli 121.227,92 EUR príjem bežného rozpočtu a 12.334,95 EUR boli príjmy FO. Z toho v kategórii bežných príjmov bolo 2.906,00 poplatky (MŠ a ŠKD) a 118.321,92  ostatné vlastné príjmy (ŠJ). </w:t>
      </w:r>
    </w:p>
    <w:p>
      <w:pPr>
        <w:pStyle w:val="Normal"/>
        <w:jc w:val="both"/>
        <w:rPr/>
      </w:pPr>
      <w:r>
        <w:rPr/>
        <w:t>Finančné operácie 12.334,95 boli dotácie z r. 2024.</w:t>
      </w:r>
    </w:p>
    <w:p>
      <w:pPr>
        <w:pStyle w:val="Normal"/>
        <w:rPr>
          <w:color w:val="C9211E"/>
        </w:rPr>
      </w:pPr>
      <w:r>
        <w:rPr>
          <w:color w:val="C9211E"/>
        </w:rPr>
      </w:r>
    </w:p>
    <w:p>
      <w:pPr>
        <w:pStyle w:val="Normal"/>
        <w:rPr/>
      </w:pPr>
      <w:r>
        <w:rPr>
          <w:b/>
          <w:color w:val="000000"/>
        </w:rPr>
        <w:t>Bežné príjmy rozpočtových organizácií s právnou subjektivitou z toho:</w:t>
      </w:r>
    </w:p>
    <w:p>
      <w:pPr>
        <w:pStyle w:val="Normal"/>
        <w:rPr/>
      </w:pPr>
      <w:r>
        <w:rPr>
          <w:b/>
          <w:color w:val="000000"/>
        </w:rPr>
        <w:t xml:space="preserve">Základná škola             </w:t>
        <w:tab/>
        <w:t xml:space="preserve">  121.227,92  EUR</w:t>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sz w:val="28"/>
          <w:szCs w:val="28"/>
        </w:rPr>
      </w:pPr>
      <w:r>
        <w:rPr>
          <w:b/>
          <w:color w:val="000000"/>
          <w:sz w:val="28"/>
          <w:szCs w:val="28"/>
        </w:rPr>
        <w:t xml:space="preserve"> </w:t>
      </w:r>
      <w:r>
        <w:rPr>
          <w:b/>
          <w:color w:val="000000"/>
          <w:sz w:val="28"/>
          <w:szCs w:val="28"/>
        </w:rPr>
        <w:t>Rozbor čerpania výdavkov za rok 20</w:t>
      </w:r>
      <w:r>
        <w:rPr>
          <w:b/>
          <w:bCs/>
          <w:color w:val="000000"/>
          <w:sz w:val="28"/>
          <w:szCs w:val="28"/>
        </w:rPr>
        <w:t xml:space="preserve">24 </w:t>
      </w:r>
    </w:p>
    <w:p>
      <w:pPr>
        <w:pStyle w:val="Normal"/>
        <w:rPr>
          <w:color w:val="000000"/>
          <w:sz w:val="28"/>
          <w:szCs w:val="28"/>
        </w:rPr>
      </w:pPr>
      <w:r>
        <w:rPr>
          <w:color w:val="000000"/>
          <w:sz w:val="28"/>
          <w:szCs w:val="28"/>
        </w:rPr>
      </w:r>
    </w:p>
    <w:tbl>
      <w:tblPr>
        <w:tblW w:w="9870" w:type="dxa"/>
        <w:jc w:val="left"/>
        <w:tblInd w:w="107" w:type="dxa"/>
        <w:tblLayout w:type="fixed"/>
        <w:tblCellMar>
          <w:top w:w="0" w:type="dxa"/>
          <w:left w:w="103" w:type="dxa"/>
          <w:bottom w:w="0" w:type="dxa"/>
          <w:right w:w="108" w:type="dxa"/>
        </w:tblCellMar>
        <w:tblLook w:firstRow="1" w:noVBand="1" w:lastRow="0" w:firstColumn="1" w:lastColumn="0" w:noHBand="0" w:val="04a0"/>
      </w:tblPr>
      <w:tblGrid>
        <w:gridCol w:w="3748"/>
        <w:gridCol w:w="3062"/>
        <w:gridCol w:w="3060"/>
      </w:tblGrid>
      <w:tr>
        <w:trPr/>
        <w:tc>
          <w:tcPr>
            <w:tcW w:w="3748" w:type="dxa"/>
            <w:tcBorders>
              <w:top w:val="single" w:sz="4" w:space="0" w:color="000000"/>
              <w:left w:val="single" w:sz="4" w:space="0" w:color="000000"/>
              <w:bottom w:val="single" w:sz="4" w:space="0" w:color="000000"/>
            </w:tcBorders>
            <w:shd w:color="auto" w:fill="D9D9D9" w:val="clear"/>
          </w:tcPr>
          <w:p>
            <w:pPr>
              <w:pStyle w:val="Normal"/>
              <w:jc w:val="center"/>
              <w:rPr>
                <w:b/>
                <w:color w:val="000000"/>
              </w:rPr>
            </w:pPr>
            <w:r>
              <w:rPr>
                <w:b/>
                <w:color w:val="000000"/>
              </w:rPr>
              <w:t>Rozpočet upravený na rok 2024</w:t>
            </w:r>
          </w:p>
        </w:tc>
        <w:tc>
          <w:tcPr>
            <w:tcW w:w="3062" w:type="dxa"/>
            <w:tcBorders>
              <w:top w:val="single" w:sz="4" w:space="0" w:color="000000"/>
              <w:left w:val="single" w:sz="4" w:space="0" w:color="000000"/>
              <w:bottom w:val="single" w:sz="4" w:space="0" w:color="000000"/>
            </w:tcBorders>
            <w:shd w:color="auto" w:fill="D9D9D9" w:val="clear"/>
          </w:tcPr>
          <w:p>
            <w:pPr>
              <w:pStyle w:val="Normal"/>
              <w:jc w:val="center"/>
              <w:rPr>
                <w:b/>
                <w:color w:val="000000"/>
              </w:rPr>
            </w:pPr>
            <w:r>
              <w:rPr>
                <w:b/>
                <w:color w:val="000000"/>
              </w:rPr>
              <w:t>Skutočnosť k  31.12.2024</w:t>
            </w:r>
          </w:p>
        </w:tc>
        <w:tc>
          <w:tcPr>
            <w:tcW w:w="3060"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b/>
                <w:color w:val="000000"/>
              </w:rPr>
            </w:pPr>
            <w:r>
              <w:rPr>
                <w:b/>
                <w:color w:val="000000"/>
              </w:rPr>
              <w:t>% plnenia</w:t>
            </w:r>
          </w:p>
        </w:tc>
      </w:tr>
      <w:tr>
        <w:trPr/>
        <w:tc>
          <w:tcPr>
            <w:tcW w:w="3748" w:type="dxa"/>
            <w:tcBorders>
              <w:top w:val="single" w:sz="4" w:space="0" w:color="000000"/>
              <w:left w:val="single" w:sz="4" w:space="0" w:color="000000"/>
              <w:bottom w:val="single" w:sz="4" w:space="0" w:color="000000"/>
            </w:tcBorders>
            <w:shd w:fill="auto" w:val="clear"/>
            <w:vAlign w:val="center"/>
          </w:tcPr>
          <w:p>
            <w:pPr>
              <w:pStyle w:val="Normal"/>
              <w:jc w:val="center"/>
              <w:rPr>
                <w:color w:val="000000"/>
              </w:rPr>
            </w:pPr>
            <w:r>
              <w:rPr>
                <w:color w:val="000000"/>
              </w:rPr>
              <w:t>2.309.064,00</w:t>
            </w:r>
          </w:p>
        </w:tc>
        <w:tc>
          <w:tcPr>
            <w:tcW w:w="3062" w:type="dxa"/>
            <w:tcBorders>
              <w:top w:val="single" w:sz="4" w:space="0" w:color="000000"/>
              <w:left w:val="single" w:sz="4" w:space="0" w:color="000000"/>
              <w:bottom w:val="single" w:sz="4" w:space="0" w:color="000000"/>
            </w:tcBorders>
            <w:shd w:fill="auto" w:val="clear"/>
            <w:vAlign w:val="center"/>
          </w:tcPr>
          <w:p>
            <w:pPr>
              <w:pStyle w:val="Normal"/>
              <w:jc w:val="center"/>
              <w:rPr>
                <w:color w:val="000000"/>
              </w:rPr>
            </w:pPr>
            <w:r>
              <w:rPr>
                <w:color w:val="000000"/>
              </w:rPr>
              <w:t>2.284.381,39</w:t>
            </w:r>
          </w:p>
        </w:tc>
        <w:tc>
          <w:tcPr>
            <w:tcW w:w="30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color w:val="000000"/>
              </w:rPr>
            </w:pPr>
            <w:r>
              <w:rPr>
                <w:color w:val="000000"/>
              </w:rPr>
              <w:t>99</w:t>
            </w:r>
          </w:p>
        </w:tc>
      </w:tr>
    </w:tbl>
    <w:p>
      <w:pPr>
        <w:pStyle w:val="Normal"/>
        <w:ind w:hanging="0" w:left="360"/>
        <w:jc w:val="both"/>
        <w:rPr>
          <w:color w:val="000000"/>
        </w:rPr>
      </w:pPr>
      <w:r>
        <w:rPr>
          <w:color w:val="000000"/>
        </w:rPr>
      </w:r>
    </w:p>
    <w:p>
      <w:pPr>
        <w:pStyle w:val="Normal"/>
        <w:rPr/>
      </w:pPr>
      <w:r>
        <w:rPr>
          <w:b/>
          <w:color w:val="000000"/>
          <w:sz w:val="24"/>
          <w:szCs w:val="24"/>
        </w:rPr>
        <w:t xml:space="preserve">Bežné výdavky </w:t>
      </w:r>
      <w:r>
        <w:rPr/>
        <w:t xml:space="preserve"> </w:t>
      </w:r>
    </w:p>
    <w:tbl>
      <w:tblPr>
        <w:tblW w:w="9896" w:type="dxa"/>
        <w:jc w:val="left"/>
        <w:tblInd w:w="47" w:type="dxa"/>
        <w:tblLayout w:type="fixed"/>
        <w:tblCellMar>
          <w:top w:w="0" w:type="dxa"/>
          <w:left w:w="103" w:type="dxa"/>
          <w:bottom w:w="0" w:type="dxa"/>
          <w:right w:w="108" w:type="dxa"/>
        </w:tblCellMar>
        <w:tblLook w:firstRow="1" w:noVBand="1" w:lastRow="0" w:firstColumn="1" w:lastColumn="0" w:noHBand="0" w:val="04a0"/>
      </w:tblPr>
      <w:tblGrid>
        <w:gridCol w:w="3795"/>
        <w:gridCol w:w="3073"/>
        <w:gridCol w:w="3028"/>
      </w:tblGrid>
      <w:tr>
        <w:trPr/>
        <w:tc>
          <w:tcPr>
            <w:tcW w:w="3795" w:type="dxa"/>
            <w:tcBorders>
              <w:top w:val="single" w:sz="4" w:space="0" w:color="000000"/>
              <w:left w:val="single" w:sz="4" w:space="0" w:color="000000"/>
              <w:bottom w:val="single" w:sz="4" w:space="0" w:color="000000"/>
            </w:tcBorders>
            <w:shd w:color="auto" w:fill="D9D9D9" w:val="clear"/>
          </w:tcPr>
          <w:p>
            <w:pPr>
              <w:pStyle w:val="Normal"/>
              <w:jc w:val="center"/>
              <w:rPr>
                <w:b/>
                <w:color w:val="000000"/>
              </w:rPr>
            </w:pPr>
            <w:r>
              <w:rPr>
                <w:b/>
                <w:color w:val="000000"/>
              </w:rPr>
              <w:t>Rozpočet upravený  na rok 2024</w:t>
            </w:r>
          </w:p>
        </w:tc>
        <w:tc>
          <w:tcPr>
            <w:tcW w:w="3073" w:type="dxa"/>
            <w:tcBorders>
              <w:top w:val="single" w:sz="4" w:space="0" w:color="000000"/>
              <w:left w:val="single" w:sz="4" w:space="0" w:color="000000"/>
              <w:bottom w:val="single" w:sz="4" w:space="0" w:color="000000"/>
            </w:tcBorders>
            <w:shd w:color="auto" w:fill="D9D9D9" w:val="clear"/>
          </w:tcPr>
          <w:p>
            <w:pPr>
              <w:pStyle w:val="Normal"/>
              <w:jc w:val="center"/>
              <w:rPr>
                <w:b/>
                <w:color w:val="000000"/>
              </w:rPr>
            </w:pPr>
            <w:r>
              <w:rPr>
                <w:b/>
                <w:color w:val="000000"/>
              </w:rPr>
              <w:t>Skutočnosť k  31.12.2024</w:t>
            </w:r>
          </w:p>
        </w:tc>
        <w:tc>
          <w:tcPr>
            <w:tcW w:w="302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b/>
                <w:color w:val="000000"/>
              </w:rPr>
            </w:pPr>
            <w:r>
              <w:rPr>
                <w:b/>
                <w:color w:val="000000"/>
              </w:rPr>
              <w:t>% plnenia</w:t>
            </w:r>
          </w:p>
        </w:tc>
      </w:tr>
      <w:tr>
        <w:trPr>
          <w:trHeight w:val="190" w:hRule="atLeast"/>
        </w:trPr>
        <w:tc>
          <w:tcPr>
            <w:tcW w:w="3795" w:type="dxa"/>
            <w:tcBorders>
              <w:top w:val="single" w:sz="4" w:space="0" w:color="000000"/>
              <w:left w:val="single" w:sz="4" w:space="0" w:color="000000"/>
              <w:bottom w:val="single" w:sz="4" w:space="0" w:color="000000"/>
            </w:tcBorders>
            <w:shd w:fill="auto" w:val="clear"/>
            <w:vAlign w:val="center"/>
          </w:tcPr>
          <w:p>
            <w:pPr>
              <w:pStyle w:val="Normal"/>
              <w:jc w:val="center"/>
              <w:rPr>
                <w:color w:val="000000"/>
              </w:rPr>
            </w:pPr>
            <w:r>
              <w:rPr>
                <w:color w:val="000000"/>
              </w:rPr>
              <w:t>479.434,00</w:t>
            </w:r>
          </w:p>
        </w:tc>
        <w:tc>
          <w:tcPr>
            <w:tcW w:w="3073" w:type="dxa"/>
            <w:tcBorders>
              <w:top w:val="single" w:sz="4" w:space="0" w:color="000000"/>
              <w:left w:val="single" w:sz="4" w:space="0" w:color="000000"/>
              <w:bottom w:val="single" w:sz="4" w:space="0" w:color="000000"/>
            </w:tcBorders>
            <w:shd w:fill="auto" w:val="clear"/>
            <w:vAlign w:val="center"/>
          </w:tcPr>
          <w:p>
            <w:pPr>
              <w:pStyle w:val="Normal"/>
              <w:jc w:val="center"/>
              <w:rPr>
                <w:color w:val="000000"/>
              </w:rPr>
            </w:pPr>
            <w:r>
              <w:rPr>
                <w:color w:val="000000"/>
              </w:rPr>
              <w:t>436.135,97</w:t>
            </w:r>
          </w:p>
        </w:tc>
        <w:tc>
          <w:tcPr>
            <w:tcW w:w="30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color w:val="000000"/>
              </w:rPr>
            </w:pPr>
            <w:r>
              <w:rPr>
                <w:color w:val="000000"/>
              </w:rPr>
              <w:t>91</w:t>
            </w:r>
          </w:p>
        </w:tc>
      </w:tr>
    </w:tbl>
    <w:p>
      <w:pPr>
        <w:pStyle w:val="Normal"/>
        <w:rPr>
          <w:color w:val="000000"/>
        </w:rPr>
      </w:pPr>
      <w:r>
        <w:rPr>
          <w:color w:val="000000"/>
        </w:rPr>
      </w:r>
    </w:p>
    <w:p>
      <w:pPr>
        <w:pStyle w:val="Normal"/>
        <w:rPr/>
      </w:pPr>
      <w:r>
        <w:rPr>
          <w:b/>
          <w:color w:val="000000"/>
        </w:rPr>
        <w:tab/>
      </w:r>
      <w:r>
        <w:rPr>
          <w:b/>
        </w:rPr>
        <w:t xml:space="preserve">V tom </w:t>
      </w:r>
      <w:r>
        <w:rPr/>
        <w:t>:</w:t>
      </w:r>
    </w:p>
    <w:tbl>
      <w:tblPr>
        <w:tblW w:w="9975" w:type="dxa"/>
        <w:jc w:val="left"/>
        <w:tblInd w:w="1" w:type="dxa"/>
        <w:tblLayout w:type="fixed"/>
        <w:tblCellMar>
          <w:top w:w="0" w:type="dxa"/>
          <w:left w:w="65" w:type="dxa"/>
          <w:bottom w:w="0" w:type="dxa"/>
          <w:right w:w="70" w:type="dxa"/>
        </w:tblCellMar>
        <w:tblLook w:firstRow="1" w:noVBand="1" w:lastRow="0" w:firstColumn="1" w:lastColumn="0" w:noHBand="0" w:val="04a0"/>
      </w:tblPr>
      <w:tblGrid>
        <w:gridCol w:w="3638"/>
        <w:gridCol w:w="1516"/>
        <w:gridCol w:w="2320"/>
        <w:gridCol w:w="2500"/>
      </w:tblGrid>
      <w:tr>
        <w:trPr/>
        <w:tc>
          <w:tcPr>
            <w:tcW w:w="3638" w:type="dxa"/>
            <w:tcBorders>
              <w:top w:val="single" w:sz="4" w:space="0" w:color="000000"/>
              <w:left w:val="single" w:sz="4" w:space="0" w:color="000000"/>
              <w:bottom w:val="single" w:sz="4" w:space="0" w:color="000000"/>
            </w:tcBorders>
            <w:shd w:fill="auto" w:val="clear"/>
          </w:tcPr>
          <w:p>
            <w:pPr>
              <w:pStyle w:val="Normal"/>
              <w:rPr>
                <w:b/>
              </w:rPr>
            </w:pPr>
            <w:r>
              <w:rPr>
                <w:b/>
              </w:rPr>
              <w:t>Funkčná klasifikácia</w:t>
            </w:r>
          </w:p>
        </w:tc>
        <w:tc>
          <w:tcPr>
            <w:tcW w:w="1516" w:type="dxa"/>
            <w:tcBorders>
              <w:top w:val="single" w:sz="4" w:space="0" w:color="000000"/>
              <w:left w:val="single" w:sz="4" w:space="0" w:color="000000"/>
              <w:bottom w:val="single" w:sz="4" w:space="0" w:color="000000"/>
            </w:tcBorders>
            <w:shd w:fill="auto" w:val="clear"/>
          </w:tcPr>
          <w:p>
            <w:pPr>
              <w:pStyle w:val="Normal"/>
              <w:jc w:val="center"/>
              <w:rPr>
                <w:b/>
              </w:rPr>
            </w:pPr>
            <w:r>
              <w:rPr>
                <w:b/>
              </w:rPr>
              <w:t>Rozpočet</w:t>
            </w:r>
          </w:p>
        </w:tc>
        <w:tc>
          <w:tcPr>
            <w:tcW w:w="2320" w:type="dxa"/>
            <w:tcBorders>
              <w:top w:val="single" w:sz="4" w:space="0" w:color="000000"/>
              <w:left w:val="single" w:sz="4" w:space="0" w:color="000000"/>
              <w:bottom w:val="single" w:sz="4" w:space="0" w:color="000000"/>
            </w:tcBorders>
            <w:shd w:fill="auto" w:val="clear"/>
          </w:tcPr>
          <w:p>
            <w:pPr>
              <w:pStyle w:val="Normal"/>
              <w:jc w:val="center"/>
              <w:rPr>
                <w:b/>
              </w:rPr>
            </w:pPr>
            <w:r>
              <w:rPr>
                <w:b/>
              </w:rPr>
              <w:t>Skutočnosť</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b/>
              </w:rPr>
            </w:pPr>
            <w:r>
              <w:rPr>
                <w:b/>
              </w:rPr>
              <w:t>% plnenia</w:t>
            </w:r>
          </w:p>
        </w:tc>
      </w:tr>
      <w:tr>
        <w:trPr/>
        <w:tc>
          <w:tcPr>
            <w:tcW w:w="3638" w:type="dxa"/>
            <w:tcBorders>
              <w:top w:val="single" w:sz="4" w:space="0" w:color="000000"/>
              <w:left w:val="single" w:sz="4" w:space="0" w:color="000000"/>
              <w:bottom w:val="single" w:sz="4" w:space="0" w:color="000000"/>
            </w:tcBorders>
            <w:shd w:fill="auto" w:val="clear"/>
          </w:tcPr>
          <w:p>
            <w:pPr>
              <w:pStyle w:val="Normal"/>
              <w:rPr>
                <w:rFonts w:eastAsia="Arial"/>
              </w:rPr>
            </w:pPr>
            <w:r>
              <w:rPr>
                <w:rFonts w:eastAsia="Arial"/>
              </w:rPr>
              <w:t>Výkonné a zákonodarné orgány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241 151,00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220 746,55</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92</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Finančné a rozpočtové záležitosti</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3 985,00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3 983,06</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Iné všeobecné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6 724,00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6 720,30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Všeob.VS inde neklasifikované</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3 298,00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3 281,85</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Transakcie verejného dlhu</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16 934,00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14 095,55</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83</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Ochrana pred požiarmi</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4 210,00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4 144,00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98</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Cestná doprava</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16 750,00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15 631,29</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93</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Nakladanie s odpadmi a ochrana ŽP</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38 500,00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38 442,99</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Rozvoj bývania</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1 930,00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1 258,29</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65</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Rozvoj obce</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37 115,00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34 554,10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96</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Verejné osvetlenie</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10 950,00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10 458,14</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96</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Všeobecná zdravotná starostlivosť</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2 900,00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2 785,60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96</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Rekreačné a športové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28 480,00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26 511,38</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93</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Kultúrne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46 022,00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39 373,72</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86</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Vysielacie a vydavateľské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870,00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867,60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Náboženské a iné spoloč.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7 150,00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4 746,97</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66</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Vzdelávacie služby</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645,00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644,00</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Staroba</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1 740,00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897,22</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52</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Rodina a deti</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5 920,00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2 837,79</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48</w:t>
            </w:r>
          </w:p>
        </w:tc>
      </w:tr>
      <w:tr>
        <w:trPr/>
        <w:tc>
          <w:tcPr>
            <w:tcW w:w="3638" w:type="dxa"/>
            <w:tcBorders>
              <w:top w:val="single" w:sz="4" w:space="0" w:color="000000"/>
              <w:left w:val="single" w:sz="4" w:space="0" w:color="000000"/>
              <w:bottom w:val="single" w:sz="4" w:space="0" w:color="000000"/>
            </w:tcBorders>
            <w:shd w:fill="auto" w:val="clear"/>
          </w:tcPr>
          <w:p>
            <w:pPr>
              <w:pStyle w:val="Normal"/>
              <w:rPr/>
            </w:pPr>
            <w:r>
              <w:rPr/>
              <w:t>Sociálna pomoc</w:t>
            </w:r>
          </w:p>
        </w:tc>
        <w:tc>
          <w:tcPr>
            <w:tcW w:w="1516" w:type="dxa"/>
            <w:tcBorders>
              <w:top w:val="single" w:sz="4" w:space="0" w:color="000000"/>
              <w:left w:val="single" w:sz="4" w:space="0" w:color="000000"/>
              <w:bottom w:val="single" w:sz="4" w:space="0" w:color="000000"/>
            </w:tcBorders>
            <w:shd w:fill="auto" w:val="clear"/>
          </w:tcPr>
          <w:p>
            <w:pPr>
              <w:pStyle w:val="Normal"/>
              <w:jc w:val="right"/>
              <w:rPr/>
            </w:pPr>
            <w:r>
              <w:rPr/>
              <w:t>4 160,00</w:t>
            </w:r>
          </w:p>
        </w:tc>
        <w:tc>
          <w:tcPr>
            <w:tcW w:w="2320" w:type="dxa"/>
            <w:tcBorders>
              <w:top w:val="single" w:sz="4" w:space="0" w:color="000000"/>
              <w:left w:val="single" w:sz="4" w:space="0" w:color="000000"/>
              <w:bottom w:val="single" w:sz="4" w:space="0" w:color="000000"/>
            </w:tcBorders>
            <w:shd w:fill="auto" w:val="clear"/>
          </w:tcPr>
          <w:p>
            <w:pPr>
              <w:pStyle w:val="Normal"/>
              <w:jc w:val="right"/>
              <w:rPr/>
            </w:pPr>
            <w:r>
              <w:rPr/>
              <w:t>4 155,57</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pPr>
            <w:r>
              <w:rPr/>
              <w:t>100</w:t>
            </w:r>
          </w:p>
        </w:tc>
      </w:tr>
      <w:tr>
        <w:trPr/>
        <w:tc>
          <w:tcPr>
            <w:tcW w:w="3638" w:type="dxa"/>
            <w:tcBorders>
              <w:top w:val="single" w:sz="4" w:space="0" w:color="000000"/>
              <w:left w:val="single" w:sz="4" w:space="0" w:color="000000"/>
              <w:bottom w:val="single" w:sz="4" w:space="0" w:color="000000"/>
            </w:tcBorders>
            <w:shd w:fill="auto" w:val="clear"/>
          </w:tcPr>
          <w:p>
            <w:pPr>
              <w:pStyle w:val="Normal"/>
              <w:snapToGrid w:val="false"/>
              <w:rPr/>
            </w:pPr>
            <w:r>
              <w:rPr/>
            </w:r>
          </w:p>
        </w:tc>
        <w:tc>
          <w:tcPr>
            <w:tcW w:w="1516" w:type="dxa"/>
            <w:tcBorders>
              <w:top w:val="single" w:sz="4" w:space="0" w:color="000000"/>
              <w:left w:val="single" w:sz="4" w:space="0" w:color="000000"/>
              <w:bottom w:val="single" w:sz="4" w:space="0" w:color="000000"/>
            </w:tcBorders>
            <w:shd w:fill="auto" w:val="clear"/>
          </w:tcPr>
          <w:p>
            <w:pPr>
              <w:pStyle w:val="Normal"/>
              <w:snapToGrid w:val="false"/>
              <w:jc w:val="right"/>
              <w:rPr/>
            </w:pPr>
            <w:r>
              <w:rPr/>
            </w:r>
          </w:p>
        </w:tc>
        <w:tc>
          <w:tcPr>
            <w:tcW w:w="2320" w:type="dxa"/>
            <w:tcBorders>
              <w:top w:val="single" w:sz="4" w:space="0" w:color="000000"/>
              <w:left w:val="single" w:sz="4" w:space="0" w:color="000000"/>
              <w:bottom w:val="single" w:sz="4" w:space="0" w:color="000000"/>
            </w:tcBorders>
            <w:shd w:fill="auto" w:val="clear"/>
          </w:tcPr>
          <w:p>
            <w:pPr>
              <w:pStyle w:val="Normal"/>
              <w:snapToGrid w:val="false"/>
              <w:jc w:val="right"/>
              <w:rPr/>
            </w:pPr>
            <w:r>
              <w:rPr/>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pPr>
            <w:r>
              <w:rPr/>
            </w:r>
          </w:p>
        </w:tc>
      </w:tr>
      <w:tr>
        <w:trPr/>
        <w:tc>
          <w:tcPr>
            <w:tcW w:w="3638" w:type="dxa"/>
            <w:tcBorders>
              <w:top w:val="single" w:sz="4" w:space="0" w:color="000000"/>
              <w:left w:val="single" w:sz="4" w:space="0" w:color="000000"/>
              <w:bottom w:val="single" w:sz="4" w:space="0" w:color="000000"/>
            </w:tcBorders>
            <w:shd w:fill="auto" w:val="clear"/>
          </w:tcPr>
          <w:p>
            <w:pPr>
              <w:pStyle w:val="Normal"/>
              <w:rPr>
                <w:b/>
              </w:rPr>
            </w:pPr>
            <w:r>
              <w:rPr>
                <w:b/>
              </w:rPr>
              <w:t>SPOLU:</w:t>
            </w:r>
          </w:p>
        </w:tc>
        <w:tc>
          <w:tcPr>
            <w:tcW w:w="1516" w:type="dxa"/>
            <w:tcBorders>
              <w:top w:val="single" w:sz="4" w:space="0" w:color="000000"/>
              <w:left w:val="single" w:sz="4" w:space="0" w:color="000000"/>
              <w:bottom w:val="single" w:sz="4" w:space="0" w:color="000000"/>
            </w:tcBorders>
            <w:shd w:fill="auto" w:val="clear"/>
          </w:tcPr>
          <w:p>
            <w:pPr>
              <w:pStyle w:val="Normal"/>
              <w:jc w:val="right"/>
              <w:rPr>
                <w:b/>
              </w:rPr>
            </w:pPr>
            <w:r>
              <w:rPr>
                <w:b/>
              </w:rPr>
              <w:t>479.434,00</w:t>
            </w:r>
          </w:p>
        </w:tc>
        <w:tc>
          <w:tcPr>
            <w:tcW w:w="2320" w:type="dxa"/>
            <w:tcBorders>
              <w:top w:val="single" w:sz="4" w:space="0" w:color="000000"/>
              <w:left w:val="single" w:sz="4" w:space="0" w:color="000000"/>
              <w:bottom w:val="single" w:sz="4" w:space="0" w:color="000000"/>
            </w:tcBorders>
            <w:shd w:fill="auto" w:val="clear"/>
          </w:tcPr>
          <w:p>
            <w:pPr>
              <w:pStyle w:val="Normal"/>
              <w:jc w:val="right"/>
              <w:rPr>
                <w:b/>
              </w:rPr>
            </w:pPr>
            <w:r>
              <w:rPr>
                <w:b/>
              </w:rPr>
              <w:t>436.135,97</w:t>
            </w:r>
          </w:p>
        </w:tc>
        <w:tc>
          <w:tcPr>
            <w:tcW w:w="2500" w:type="dxa"/>
            <w:tcBorders>
              <w:top w:val="single" w:sz="4" w:space="0" w:color="000000"/>
              <w:left w:val="single" w:sz="4" w:space="0" w:color="000000"/>
              <w:bottom w:val="single" w:sz="4" w:space="0" w:color="000000"/>
              <w:right w:val="single" w:sz="4" w:space="0" w:color="000000"/>
            </w:tcBorders>
            <w:shd w:fill="auto" w:val="clear"/>
          </w:tcPr>
          <w:p>
            <w:pPr>
              <w:pStyle w:val="Normal"/>
              <w:jc w:val="right"/>
              <w:rPr>
                <w:b/>
              </w:rPr>
            </w:pPr>
            <w:r>
              <w:rPr>
                <w:b/>
              </w:rPr>
              <w:t>91</w:t>
            </w:r>
          </w:p>
        </w:tc>
      </w:tr>
    </w:tbl>
    <w:p>
      <w:pPr>
        <w:pStyle w:val="Normal"/>
        <w:jc w:val="both"/>
        <w:rPr>
          <w:b/>
          <w:sz w:val="28"/>
        </w:rPr>
      </w:pPr>
      <w:r>
        <w:rPr>
          <w:b/>
          <w:sz w:val="28"/>
        </w:rPr>
      </w:r>
    </w:p>
    <w:p>
      <w:pPr>
        <w:pStyle w:val="Normal"/>
        <w:tabs>
          <w:tab w:val="clear" w:pos="708"/>
          <w:tab w:val="right" w:pos="284" w:leader="none"/>
        </w:tabs>
        <w:ind w:hanging="284" w:left="284"/>
        <w:jc w:val="both"/>
        <w:rPr>
          <w:b/>
        </w:rPr>
      </w:pPr>
      <w:r>
        <w:rPr>
          <w:b/>
        </w:rPr>
        <w:t>a) Mzdy, platy, služobné príjmy a ostatné osobné vyrovnania</w:t>
      </w:r>
    </w:p>
    <w:p>
      <w:pPr>
        <w:pStyle w:val="Normal"/>
        <w:tabs>
          <w:tab w:val="clear" w:pos="708"/>
          <w:tab w:val="left" w:pos="286" w:leader="none"/>
        </w:tabs>
        <w:jc w:val="both"/>
        <w:rPr/>
      </w:pPr>
      <w:r>
        <w:rPr/>
        <w:t>Z rozpočtovaných 132.608,00,- EUR bolo skutočné čerpanie k 31.12.2024 v sume 122.296,71 EUR,čo je 92% čerpanie. Patria sem mzdové prostriedky, platy, služobné príjmy a ostatné osobné vyrovnania pracovníkov Obecného úradu.</w:t>
      </w:r>
    </w:p>
    <w:p>
      <w:pPr>
        <w:pStyle w:val="Normal"/>
        <w:tabs>
          <w:tab w:val="clear" w:pos="708"/>
          <w:tab w:val="right" w:pos="284" w:leader="none"/>
        </w:tabs>
        <w:ind w:hanging="284" w:left="284"/>
        <w:jc w:val="both"/>
        <w:rPr>
          <w:b/>
        </w:rPr>
      </w:pPr>
      <w:r>
        <w:rPr>
          <w:b/>
        </w:rPr>
        <w:t>b) Poistné a príspevok do poisťovní</w:t>
      </w:r>
    </w:p>
    <w:p>
      <w:pPr>
        <w:pStyle w:val="Normal"/>
        <w:tabs>
          <w:tab w:val="clear" w:pos="708"/>
          <w:tab w:val="left" w:pos="327" w:leader="none"/>
        </w:tabs>
        <w:ind w:hanging="0" w:left="53"/>
        <w:jc w:val="both"/>
        <w:rPr/>
      </w:pPr>
      <w:r>
        <w:rPr/>
        <w:t xml:space="preserve">Z rozpočtovaných  48.590,00,- EUR bolo skutočne čerpané k 31.12.2024 v sume 46.587,00 EUR, čo je 92% čerpanie. </w:t>
      </w:r>
    </w:p>
    <w:p>
      <w:pPr>
        <w:pStyle w:val="Normal"/>
        <w:tabs>
          <w:tab w:val="clear" w:pos="708"/>
          <w:tab w:val="right" w:pos="284" w:leader="none"/>
        </w:tabs>
        <w:ind w:hanging="284" w:left="284"/>
        <w:jc w:val="both"/>
        <w:rPr>
          <w:b/>
        </w:rPr>
      </w:pPr>
      <w:r>
        <w:rPr>
          <w:b/>
        </w:rPr>
        <w:t>c) Tovary a služby</w:t>
      </w:r>
    </w:p>
    <w:p>
      <w:pPr>
        <w:pStyle w:val="Normal"/>
        <w:tabs>
          <w:tab w:val="clear" w:pos="708"/>
          <w:tab w:val="left" w:pos="314" w:leader="none"/>
        </w:tabs>
        <w:jc w:val="both"/>
        <w:rPr/>
      </w:pPr>
      <w:r>
        <w:rPr/>
        <w:t>Z rozpočtovaných 240.972,00 EUR bolo skutočne čerpané k 31.12.2024 v sume 220.999,23 EUR, čo je 92 % čerpanie. Ide o prevádzkové výdavky všetkých stredísk OcÚ, ako sú cestovné náhrady, energie, materiál, dopravné, rutinná a štandardná údržba, nájomné za nájom a ostatné tovary a služby.</w:t>
      </w:r>
    </w:p>
    <w:p>
      <w:pPr>
        <w:pStyle w:val="Normal"/>
        <w:tabs>
          <w:tab w:val="clear" w:pos="708"/>
          <w:tab w:val="right" w:pos="284" w:leader="none"/>
        </w:tabs>
        <w:ind w:hanging="284" w:left="284"/>
        <w:jc w:val="both"/>
        <w:rPr>
          <w:b/>
        </w:rPr>
      </w:pPr>
      <w:r>
        <w:rPr>
          <w:b/>
        </w:rPr>
        <w:t>d) Bežné transfery</w:t>
      </w:r>
    </w:p>
    <w:p>
      <w:pPr>
        <w:pStyle w:val="Normal"/>
        <w:tabs>
          <w:tab w:val="clear" w:pos="708"/>
          <w:tab w:val="left" w:pos="286" w:leader="none"/>
        </w:tabs>
        <w:jc w:val="both"/>
        <w:rPr/>
      </w:pPr>
      <w:r>
        <w:rPr/>
        <w:t>Z rozpočtovaných 40.330,00 EUR bolo skutočne čerpané k 31.12.2024 v sume 34.177,33 EUR, čo predstavuje 85 % čerpanie.</w:t>
      </w:r>
    </w:p>
    <w:p>
      <w:pPr>
        <w:pStyle w:val="Normal"/>
        <w:tabs>
          <w:tab w:val="clear" w:pos="708"/>
          <w:tab w:val="left" w:pos="286" w:leader="none"/>
        </w:tabs>
        <w:jc w:val="both"/>
        <w:rPr>
          <w:b/>
          <w:bCs/>
        </w:rPr>
      </w:pPr>
      <w:r>
        <w:rPr>
          <w:b/>
          <w:bCs/>
        </w:rPr>
        <w:t>e)  Úroky z úverov</w:t>
      </w:r>
    </w:p>
    <w:p>
      <w:pPr>
        <w:pStyle w:val="Normal"/>
        <w:tabs>
          <w:tab w:val="clear" w:pos="708"/>
          <w:tab w:val="left" w:pos="286" w:leader="none"/>
        </w:tabs>
        <w:jc w:val="both"/>
        <w:rPr/>
      </w:pPr>
      <w:r>
        <w:rPr/>
        <w:t>Z rozpočtovaných 16.934,00 EUR bolo skutočne čerpané k 31.12.2024 v sume 13.611,01 EUR, čo predstavuje 83% čerpanie.</w:t>
      </w:r>
    </w:p>
    <w:p>
      <w:pPr>
        <w:pStyle w:val="Normal"/>
        <w:rPr>
          <w:b/>
          <w:i/>
          <w:i/>
          <w:color w:val="C9211E"/>
          <w:sz w:val="24"/>
          <w:szCs w:val="24"/>
        </w:rPr>
      </w:pPr>
      <w:r>
        <w:rPr>
          <w:b/>
          <w:i/>
          <w:color w:val="C9211E"/>
          <w:sz w:val="24"/>
          <w:szCs w:val="24"/>
        </w:rPr>
      </w:r>
    </w:p>
    <w:p>
      <w:pPr>
        <w:pStyle w:val="Normal"/>
        <w:rPr>
          <w:b/>
        </w:rPr>
      </w:pPr>
      <w:r>
        <w:rPr>
          <w:b/>
        </w:rPr>
      </w:r>
    </w:p>
    <w:p>
      <w:pPr>
        <w:pStyle w:val="Normal"/>
        <w:rPr>
          <w:b/>
        </w:rPr>
      </w:pPr>
      <w:r>
        <w:rPr>
          <w:b/>
        </w:rPr>
      </w:r>
    </w:p>
    <w:p>
      <w:pPr>
        <w:pStyle w:val="Normal"/>
        <w:rPr>
          <w:sz w:val="24"/>
          <w:szCs w:val="24"/>
        </w:rPr>
      </w:pPr>
      <w:r>
        <w:rPr>
          <w:b/>
          <w:sz w:val="24"/>
          <w:szCs w:val="24"/>
        </w:rPr>
        <w:t>Kapitálové výdavky :</w:t>
      </w:r>
    </w:p>
    <w:p>
      <w:pPr>
        <w:pStyle w:val="Normal"/>
        <w:rPr/>
      </w:pPr>
      <w:r>
        <w:rPr/>
        <w:t xml:space="preserve"> </w:t>
      </w:r>
    </w:p>
    <w:tbl>
      <w:tblPr>
        <w:tblW w:w="9810" w:type="dxa"/>
        <w:jc w:val="left"/>
        <w:tblInd w:w="17" w:type="dxa"/>
        <w:tblLayout w:type="fixed"/>
        <w:tblCellMar>
          <w:top w:w="0" w:type="dxa"/>
          <w:left w:w="103" w:type="dxa"/>
          <w:bottom w:w="0" w:type="dxa"/>
          <w:right w:w="108" w:type="dxa"/>
        </w:tblCellMar>
        <w:tblLook w:firstRow="1" w:noVBand="1" w:lastRow="0" w:firstColumn="1" w:lastColumn="0" w:noHBand="0" w:val="04a0"/>
      </w:tblPr>
      <w:tblGrid>
        <w:gridCol w:w="4048"/>
        <w:gridCol w:w="2897"/>
        <w:gridCol w:w="2865"/>
      </w:tblGrid>
      <w:tr>
        <w:trPr/>
        <w:tc>
          <w:tcPr>
            <w:tcW w:w="4048" w:type="dxa"/>
            <w:tcBorders>
              <w:top w:val="single" w:sz="4" w:space="0" w:color="000000"/>
              <w:left w:val="single" w:sz="4" w:space="0" w:color="000000"/>
              <w:bottom w:val="single" w:sz="4" w:space="0" w:color="000000"/>
            </w:tcBorders>
            <w:shd w:color="auto" w:fill="D9D9D9" w:val="clear"/>
          </w:tcPr>
          <w:p>
            <w:pPr>
              <w:pStyle w:val="Normal"/>
              <w:jc w:val="center"/>
              <w:rPr>
                <w:b/>
              </w:rPr>
            </w:pPr>
            <w:r>
              <w:rPr>
                <w:b/>
              </w:rPr>
              <w:t>Rozpočet upravený na rok 2024</w:t>
            </w:r>
          </w:p>
        </w:tc>
        <w:tc>
          <w:tcPr>
            <w:tcW w:w="2897" w:type="dxa"/>
            <w:tcBorders>
              <w:top w:val="single" w:sz="4" w:space="0" w:color="000000"/>
              <w:left w:val="single" w:sz="4" w:space="0" w:color="000000"/>
              <w:bottom w:val="single" w:sz="4" w:space="0" w:color="000000"/>
            </w:tcBorders>
            <w:shd w:color="auto" w:fill="D9D9D9" w:val="clear"/>
          </w:tcPr>
          <w:p>
            <w:pPr>
              <w:pStyle w:val="Normal"/>
              <w:jc w:val="center"/>
              <w:rPr>
                <w:b/>
              </w:rPr>
            </w:pPr>
            <w:r>
              <w:rPr>
                <w:b/>
              </w:rPr>
              <w:t>Skutočnosť k  31.12.2024</w:t>
            </w:r>
          </w:p>
        </w:tc>
        <w:tc>
          <w:tcPr>
            <w:tcW w:w="2865"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b/>
              </w:rPr>
            </w:pPr>
            <w:r>
              <w:rPr>
                <w:b/>
              </w:rPr>
              <w:t>% plnenia</w:t>
            </w:r>
          </w:p>
        </w:tc>
      </w:tr>
      <w:tr>
        <w:trPr/>
        <w:tc>
          <w:tcPr>
            <w:tcW w:w="4048" w:type="dxa"/>
            <w:tcBorders>
              <w:top w:val="single" w:sz="4" w:space="0" w:color="000000"/>
              <w:left w:val="single" w:sz="4" w:space="0" w:color="000000"/>
              <w:bottom w:val="single" w:sz="4" w:space="0" w:color="000000"/>
            </w:tcBorders>
            <w:shd w:fill="auto" w:val="clear"/>
            <w:vAlign w:val="center"/>
          </w:tcPr>
          <w:p>
            <w:pPr>
              <w:pStyle w:val="Normal"/>
              <w:jc w:val="center"/>
              <w:rPr/>
            </w:pPr>
            <w:r>
              <w:rPr/>
              <w:t>397.643,00</w:t>
            </w:r>
          </w:p>
        </w:tc>
        <w:tc>
          <w:tcPr>
            <w:tcW w:w="2897" w:type="dxa"/>
            <w:tcBorders>
              <w:top w:val="single" w:sz="4" w:space="0" w:color="000000"/>
              <w:left w:val="single" w:sz="4" w:space="0" w:color="000000"/>
              <w:bottom w:val="single" w:sz="4" w:space="0" w:color="000000"/>
            </w:tcBorders>
            <w:shd w:fill="auto" w:val="clear"/>
            <w:vAlign w:val="center"/>
          </w:tcPr>
          <w:p>
            <w:pPr>
              <w:pStyle w:val="Normal"/>
              <w:jc w:val="center"/>
              <w:rPr/>
            </w:pPr>
            <w:r>
              <w:rPr/>
              <w:t>293.818,39</w:t>
            </w:r>
          </w:p>
        </w:tc>
        <w:tc>
          <w:tcPr>
            <w:tcW w:w="286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pPr>
            <w:r>
              <w:rPr/>
              <w:t>74</w:t>
            </w:r>
          </w:p>
        </w:tc>
      </w:tr>
    </w:tbl>
    <w:p>
      <w:pPr>
        <w:pStyle w:val="Normal"/>
        <w:jc w:val="both"/>
        <w:rPr/>
      </w:pPr>
      <w:r>
        <w:rPr/>
      </w:r>
    </w:p>
    <w:p>
      <w:pPr>
        <w:pStyle w:val="Normal"/>
        <w:jc w:val="both"/>
        <w:rPr/>
      </w:pPr>
      <w:r>
        <w:rPr>
          <w:b/>
        </w:rPr>
        <w:t>Ide o nasledovné investičné akcie :</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Nákup pozemkov </w:t>
        <w:tab/>
        <w:t xml:space="preserve">      37,88 EUR</w:t>
        <w:tab/>
        <w:tab/>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Územný plán </w:t>
        <w:tab/>
        <w:t xml:space="preserve">    644,00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Nákup prevádzkových strojov VP</w:t>
        <w:tab/>
        <w:t xml:space="preserve"> 3.360,80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Nákup prevádzkových strojov DS                 </w:t>
        <w:tab/>
        <w:t xml:space="preserve"> 7.146,00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Defibrilátor</w:t>
        <w:tab/>
        <w:t xml:space="preserve">    732,00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Projektová dokumentácia </w:t>
        <w:tab/>
        <w:t xml:space="preserve"> 1.680,00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vodozádržné opatrenia</w:t>
        <w:tab/>
        <w:t xml:space="preserve"> 4.000,00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Detské ihrisko – vlastné prostriedky</w:t>
        <w:tab/>
        <w:t xml:space="preserve"> 1.319,51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Detské ihrisko – úver                       </w:t>
        <w:tab/>
        <w:t xml:space="preserve"> 9.645,29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Detské ihrisko – dotácia 2022                                       50.000,00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Kurty – dotácia 2024                                                     79.472,00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Kurty – úver</w:t>
        <w:tab/>
        <w:t>90.354,71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Kurty – RF</w:t>
        <w:tab/>
        <w:t>30.000,00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pPr>
      <w:r>
        <w:rPr/>
        <w:t xml:space="preserve">Kurty </w:t>
        <w:tab/>
        <w:tab/>
        <w:t xml:space="preserve">  3.666,20 EUR</w:t>
      </w:r>
    </w:p>
    <w:p>
      <w:pPr>
        <w:pStyle w:val="Normal"/>
        <w:widowControl/>
        <w:numPr>
          <w:ilvl w:val="0"/>
          <w:numId w:val="4"/>
        </w:numPr>
        <w:tabs>
          <w:tab w:val="clear" w:pos="708"/>
          <w:tab w:val="left" w:pos="709" w:leader="none"/>
          <w:tab w:val="left" w:pos="5163" w:leader="none"/>
        </w:tabs>
        <w:suppressAutoHyphens w:val="true"/>
        <w:bidi w:val="0"/>
        <w:ind w:hanging="0" w:left="-113" w:right="0"/>
        <w:jc w:val="both"/>
        <w:rPr>
          <w:color w:val="C9211E"/>
        </w:rPr>
      </w:pPr>
      <w:r>
        <w:rPr/>
        <w:t>Rekonštrukcia ZŠ</w:t>
        <w:tab/>
        <w:t>11.760,00 EUR</w:t>
      </w:r>
    </w:p>
    <w:p>
      <w:pPr>
        <w:pStyle w:val="Normal"/>
        <w:ind w:hanging="0"/>
        <w:rPr>
          <w:b/>
          <w:sz w:val="32"/>
        </w:rPr>
      </w:pPr>
      <w:r>
        <w:rPr>
          <w:b/>
          <w:sz w:val="32"/>
        </w:rPr>
      </w:r>
    </w:p>
    <w:p>
      <w:pPr>
        <w:pStyle w:val="Normal"/>
        <w:ind w:hanging="0"/>
        <w:rPr>
          <w:sz w:val="24"/>
          <w:szCs w:val="24"/>
        </w:rPr>
      </w:pPr>
      <w:r>
        <w:rPr>
          <w:b/>
          <w:sz w:val="24"/>
          <w:szCs w:val="24"/>
        </w:rPr>
        <w:t>Výdavkové  finančné operácie :</w:t>
      </w:r>
    </w:p>
    <w:p>
      <w:pPr>
        <w:pStyle w:val="Normal"/>
        <w:jc w:val="both"/>
        <w:rPr>
          <w:b/>
        </w:rPr>
      </w:pPr>
      <w:r>
        <w:rPr>
          <w:b/>
        </w:rPr>
        <w:t xml:space="preserve">     </w:t>
      </w:r>
    </w:p>
    <w:tbl>
      <w:tblPr>
        <w:tblW w:w="9821" w:type="dxa"/>
        <w:jc w:val="left"/>
        <w:tblInd w:w="17" w:type="dxa"/>
        <w:tblLayout w:type="fixed"/>
        <w:tblCellMar>
          <w:top w:w="0" w:type="dxa"/>
          <w:left w:w="103" w:type="dxa"/>
          <w:bottom w:w="0" w:type="dxa"/>
          <w:right w:w="108" w:type="dxa"/>
        </w:tblCellMar>
        <w:tblLook w:firstRow="1" w:noVBand="1" w:lastRow="0" w:firstColumn="1" w:lastColumn="0" w:noHBand="0" w:val="04a0"/>
      </w:tblPr>
      <w:tblGrid>
        <w:gridCol w:w="4169"/>
        <w:gridCol w:w="2956"/>
        <w:gridCol w:w="2696"/>
      </w:tblGrid>
      <w:tr>
        <w:trPr/>
        <w:tc>
          <w:tcPr>
            <w:tcW w:w="4169" w:type="dxa"/>
            <w:tcBorders>
              <w:top w:val="single" w:sz="4" w:space="0" w:color="000000"/>
              <w:left w:val="single" w:sz="4" w:space="0" w:color="000000"/>
              <w:bottom w:val="single" w:sz="4" w:space="0" w:color="000000"/>
            </w:tcBorders>
            <w:shd w:color="auto" w:fill="D9D9D9" w:val="clear"/>
          </w:tcPr>
          <w:p>
            <w:pPr>
              <w:pStyle w:val="Normal"/>
              <w:jc w:val="center"/>
              <w:rPr>
                <w:b/>
              </w:rPr>
            </w:pPr>
            <w:r>
              <w:rPr>
                <w:b/>
              </w:rPr>
              <w:t>Rozpočet upravený na rok 2024</w:t>
            </w:r>
          </w:p>
        </w:tc>
        <w:tc>
          <w:tcPr>
            <w:tcW w:w="2956" w:type="dxa"/>
            <w:tcBorders>
              <w:top w:val="single" w:sz="4" w:space="0" w:color="000000"/>
              <w:left w:val="single" w:sz="4" w:space="0" w:color="000000"/>
              <w:bottom w:val="single" w:sz="4" w:space="0" w:color="000000"/>
            </w:tcBorders>
            <w:shd w:color="auto" w:fill="D9D9D9" w:val="clear"/>
          </w:tcPr>
          <w:p>
            <w:pPr>
              <w:pStyle w:val="Normal"/>
              <w:jc w:val="center"/>
              <w:rPr>
                <w:b/>
              </w:rPr>
            </w:pPr>
            <w:r>
              <w:rPr>
                <w:b/>
              </w:rPr>
              <w:t>Skutočnosť k  31.12.2024</w:t>
            </w:r>
          </w:p>
        </w:tc>
        <w:tc>
          <w:tcPr>
            <w:tcW w:w="2696"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b/>
              </w:rPr>
            </w:pPr>
            <w:r>
              <w:rPr>
                <w:b/>
              </w:rPr>
              <w:t>% plnenia</w:t>
            </w:r>
          </w:p>
        </w:tc>
      </w:tr>
      <w:tr>
        <w:trPr/>
        <w:tc>
          <w:tcPr>
            <w:tcW w:w="4169" w:type="dxa"/>
            <w:tcBorders>
              <w:top w:val="single" w:sz="4" w:space="0" w:color="000000"/>
              <w:left w:val="single" w:sz="4" w:space="0" w:color="000000"/>
              <w:bottom w:val="single" w:sz="4" w:space="0" w:color="000000"/>
            </w:tcBorders>
            <w:shd w:fill="auto" w:val="clear"/>
            <w:vAlign w:val="center"/>
          </w:tcPr>
          <w:p>
            <w:pPr>
              <w:pStyle w:val="Normal"/>
              <w:jc w:val="center"/>
              <w:rPr/>
            </w:pPr>
            <w:r>
              <w:rPr/>
              <w:t>54.519,00</w:t>
            </w:r>
          </w:p>
        </w:tc>
        <w:tc>
          <w:tcPr>
            <w:tcW w:w="2956" w:type="dxa"/>
            <w:tcBorders>
              <w:top w:val="single" w:sz="4" w:space="0" w:color="000000"/>
              <w:left w:val="single" w:sz="4" w:space="0" w:color="000000"/>
              <w:bottom w:val="single" w:sz="4" w:space="0" w:color="000000"/>
            </w:tcBorders>
            <w:shd w:fill="auto" w:val="clear"/>
            <w:vAlign w:val="center"/>
          </w:tcPr>
          <w:p>
            <w:pPr>
              <w:pStyle w:val="Normal"/>
              <w:jc w:val="center"/>
              <w:rPr/>
            </w:pPr>
            <w:r>
              <w:rPr/>
              <w:t>51.628,90</w:t>
            </w:r>
          </w:p>
        </w:tc>
        <w:tc>
          <w:tcPr>
            <w:tcW w:w="269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pPr>
            <w:r>
              <w:rPr/>
              <w:t>95</w:t>
            </w:r>
          </w:p>
        </w:tc>
      </w:tr>
    </w:tbl>
    <w:p>
      <w:pPr>
        <w:pStyle w:val="Normal"/>
        <w:jc w:val="both"/>
        <w:rPr/>
      </w:pPr>
      <w:r>
        <w:rPr/>
      </w:r>
    </w:p>
    <w:p>
      <w:pPr>
        <w:pStyle w:val="Normal"/>
        <w:jc w:val="both"/>
        <w:rPr/>
      </w:pPr>
      <w:r>
        <w:rPr/>
        <w:t>Z rozpočtovaných výdavkových finančných operácií vo výške 54.519,00 EUR bolo skutočné čerpanie k 31.12.2024 vo výške 51.628,90 EUR, čo predstavuje plnenie na 95 %</w:t>
      </w:r>
    </w:p>
    <w:p>
      <w:pPr>
        <w:pStyle w:val="Normal"/>
        <w:tabs>
          <w:tab w:val="clear" w:pos="708"/>
          <w:tab w:val="left" w:pos="630" w:leader="none"/>
        </w:tabs>
        <w:jc w:val="both"/>
        <w:rPr/>
      </w:pPr>
      <w:r>
        <w:rPr/>
        <w:t>Čerpanie výdavkových finančných operácii tvorili splátky úverov:</w:t>
      </w:r>
    </w:p>
    <w:p>
      <w:pPr>
        <w:pStyle w:val="Normal"/>
        <w:tabs>
          <w:tab w:val="clear" w:pos="708"/>
          <w:tab w:val="left" w:pos="630" w:leader="none"/>
        </w:tabs>
        <w:jc w:val="both"/>
        <w:rPr/>
      </w:pPr>
      <w:r>
        <w:rPr/>
        <w:t>- splátky ŠFRB vo výške                                                         14.384,90 EUR</w:t>
      </w:r>
    </w:p>
    <w:p>
      <w:pPr>
        <w:pStyle w:val="Normal"/>
        <w:tabs>
          <w:tab w:val="clear" w:pos="708"/>
          <w:tab w:val="left" w:pos="630" w:leader="none"/>
        </w:tabs>
        <w:jc w:val="both"/>
        <w:rPr/>
      </w:pPr>
      <w:r>
        <w:rPr/>
        <w:t>- splátky bankového úveru SZRB vo výške                            22.385,00 EUR</w:t>
      </w:r>
    </w:p>
    <w:p>
      <w:pPr>
        <w:pStyle w:val="Normal"/>
        <w:tabs>
          <w:tab w:val="clear" w:pos="708"/>
          <w:tab w:val="left" w:pos="630" w:leader="none"/>
        </w:tabs>
        <w:jc w:val="both"/>
        <w:rPr/>
      </w:pPr>
      <w:r>
        <w:rPr/>
        <w:t>- splátky bankového úveru SZRB II vo výške                              855,00 EUR</w:t>
      </w:r>
    </w:p>
    <w:p>
      <w:pPr>
        <w:pStyle w:val="Normal"/>
        <w:tabs>
          <w:tab w:val="clear" w:pos="708"/>
          <w:tab w:val="left" w:pos="625" w:leader="none"/>
        </w:tabs>
        <w:jc w:val="both"/>
        <w:rPr/>
      </w:pPr>
      <w:r>
        <w:rPr/>
        <w:t>- splátky bankového úveru ČSOB vo výške                            14.004,00 EUR</w:t>
      </w:r>
    </w:p>
    <w:p>
      <w:pPr>
        <w:pStyle w:val="Normal"/>
        <w:tabs>
          <w:tab w:val="clear" w:pos="708"/>
          <w:tab w:val="left" w:pos="573" w:leader="none"/>
        </w:tabs>
        <w:rPr>
          <w:b/>
          <w:bCs/>
          <w:color w:val="C9211E"/>
          <w:sz w:val="32"/>
          <w:szCs w:val="32"/>
        </w:rPr>
      </w:pPr>
      <w:r>
        <w:rPr>
          <w:b/>
          <w:bCs/>
          <w:color w:val="C9211E"/>
          <w:sz w:val="32"/>
          <w:szCs w:val="32"/>
        </w:rPr>
      </w:r>
    </w:p>
    <w:p>
      <w:pPr>
        <w:pStyle w:val="Normal"/>
        <w:tabs>
          <w:tab w:val="clear" w:pos="708"/>
          <w:tab w:val="left" w:pos="573" w:leader="none"/>
        </w:tabs>
        <w:rPr>
          <w:sz w:val="28"/>
          <w:szCs w:val="28"/>
        </w:rPr>
      </w:pPr>
      <w:r>
        <w:rPr>
          <w:b/>
          <w:bCs/>
          <w:sz w:val="28"/>
          <w:szCs w:val="28"/>
        </w:rPr>
        <w:t>Výdavky rozpočtovej organizácie s právnou subjektivitou – ZŠ</w:t>
      </w:r>
    </w:p>
    <w:p>
      <w:pPr>
        <w:pStyle w:val="Normal"/>
        <w:rPr>
          <w:b/>
          <w:bCs/>
          <w:sz w:val="28"/>
        </w:rPr>
      </w:pPr>
      <w:r>
        <w:rPr>
          <w:b/>
          <w:bCs/>
          <w:sz w:val="28"/>
        </w:rPr>
      </w:r>
    </w:p>
    <w:tbl>
      <w:tblPr>
        <w:tblW w:w="9792" w:type="dxa"/>
        <w:jc w:val="left"/>
        <w:tblInd w:w="39" w:type="dxa"/>
        <w:tblLayout w:type="fixed"/>
        <w:tblCellMar>
          <w:top w:w="0" w:type="dxa"/>
          <w:left w:w="65" w:type="dxa"/>
          <w:bottom w:w="0" w:type="dxa"/>
          <w:right w:w="70" w:type="dxa"/>
        </w:tblCellMar>
        <w:tblLook w:firstRow="1" w:noVBand="1" w:lastRow="0" w:firstColumn="1" w:lastColumn="0" w:noHBand="0" w:val="04a0"/>
      </w:tblPr>
      <w:tblGrid>
        <w:gridCol w:w="5310"/>
        <w:gridCol w:w="2713"/>
        <w:gridCol w:w="1769"/>
      </w:tblGrid>
      <w:tr>
        <w:trPr/>
        <w:tc>
          <w:tcPr>
            <w:tcW w:w="5310" w:type="dxa"/>
            <w:tcBorders>
              <w:top w:val="single" w:sz="4" w:space="0" w:color="000000"/>
              <w:left w:val="single" w:sz="4" w:space="0" w:color="000000"/>
              <w:bottom w:val="single" w:sz="4" w:space="0" w:color="000000"/>
            </w:tcBorders>
            <w:shd w:fill="auto" w:val="clear"/>
          </w:tcPr>
          <w:p>
            <w:pPr>
              <w:pStyle w:val="Normal"/>
              <w:jc w:val="center"/>
              <w:rPr/>
            </w:pPr>
            <w:r>
              <w:rPr/>
              <w:t>Rozpočet na rok 2024</w:t>
            </w:r>
          </w:p>
        </w:tc>
        <w:tc>
          <w:tcPr>
            <w:tcW w:w="2713" w:type="dxa"/>
            <w:tcBorders>
              <w:top w:val="single" w:sz="4" w:space="0" w:color="000000"/>
              <w:left w:val="single" w:sz="4" w:space="0" w:color="000000"/>
              <w:bottom w:val="single" w:sz="4" w:space="0" w:color="000000"/>
            </w:tcBorders>
            <w:shd w:fill="auto" w:val="clear"/>
          </w:tcPr>
          <w:p>
            <w:pPr>
              <w:pStyle w:val="Normal"/>
              <w:jc w:val="center"/>
              <w:rPr/>
            </w:pPr>
            <w:r>
              <w:rPr/>
              <w:t>Skutočnosť k 31.12.2024</w:t>
            </w:r>
          </w:p>
        </w:tc>
        <w:tc>
          <w:tcPr>
            <w:tcW w:w="1769"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pPr>
            <w:r>
              <w:rPr/>
              <w:t>% plnenia</w:t>
            </w:r>
          </w:p>
        </w:tc>
      </w:tr>
      <w:tr>
        <w:trPr>
          <w:trHeight w:val="261" w:hRule="atLeast"/>
        </w:trPr>
        <w:tc>
          <w:tcPr>
            <w:tcW w:w="5310" w:type="dxa"/>
            <w:tcBorders>
              <w:top w:val="single" w:sz="4" w:space="0" w:color="000000"/>
              <w:left w:val="single" w:sz="4" w:space="0" w:color="000000"/>
              <w:bottom w:val="single" w:sz="4" w:space="0" w:color="000000"/>
            </w:tcBorders>
            <w:shd w:fill="auto" w:val="clear"/>
          </w:tcPr>
          <w:p>
            <w:pPr>
              <w:pStyle w:val="Normal"/>
              <w:jc w:val="center"/>
              <w:rPr/>
            </w:pPr>
            <w:r>
              <w:rPr/>
              <w:t>1.377.468,00</w:t>
            </w:r>
          </w:p>
        </w:tc>
        <w:tc>
          <w:tcPr>
            <w:tcW w:w="2713" w:type="dxa"/>
            <w:tcBorders>
              <w:top w:val="single" w:sz="4" w:space="0" w:color="000000"/>
              <w:left w:val="single" w:sz="4" w:space="0" w:color="000000"/>
              <w:bottom w:val="single" w:sz="4" w:space="0" w:color="000000"/>
            </w:tcBorders>
            <w:shd w:fill="auto" w:val="clear"/>
          </w:tcPr>
          <w:p>
            <w:pPr>
              <w:pStyle w:val="Normal"/>
              <w:jc w:val="center"/>
              <w:rPr/>
            </w:pPr>
            <w:r>
              <w:rPr/>
              <w:t>1.502.798,13</w:t>
            </w:r>
          </w:p>
        </w:tc>
        <w:tc>
          <w:tcPr>
            <w:tcW w:w="1769"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pPr>
            <w:r>
              <w:rPr/>
              <w:t>109</w:t>
            </w:r>
          </w:p>
        </w:tc>
      </w:tr>
    </w:tbl>
    <w:p>
      <w:pPr>
        <w:pStyle w:val="Normal"/>
        <w:rPr>
          <w:b/>
          <w:bCs/>
        </w:rPr>
      </w:pPr>
      <w:r>
        <w:rPr>
          <w:b/>
          <w:bCs/>
        </w:rPr>
      </w:r>
    </w:p>
    <w:p>
      <w:pPr>
        <w:pStyle w:val="Normal"/>
        <w:rPr/>
      </w:pPr>
      <w:r>
        <w:rPr>
          <w:b/>
          <w:bCs/>
        </w:rPr>
        <w:t xml:space="preserve">1.  Mzdy, ostatné osobné vyrovnania </w:t>
      </w:r>
    </w:p>
    <w:p>
      <w:pPr>
        <w:pStyle w:val="Normal"/>
        <w:ind w:hanging="0"/>
        <w:jc w:val="both"/>
        <w:rPr/>
      </w:pPr>
      <w:r>
        <w:rPr/>
        <w:t xml:space="preserve">Z rozpočtovaných 799.254,00 EUR bolo skutočné plnenie k 31.12.2024 vo výške 827.204,24 </w:t>
        <w:tab/>
        <w:t xml:space="preserve">EUR, čo predstavuje plnenie  na 104%.  </w:t>
      </w:r>
    </w:p>
    <w:p>
      <w:pPr>
        <w:pStyle w:val="Normal"/>
        <w:ind w:hanging="0"/>
        <w:jc w:val="both"/>
        <w:rPr/>
      </w:pPr>
      <w:r>
        <w:rPr>
          <w:b/>
          <w:bCs/>
        </w:rPr>
        <w:t>2.  Odvody do poisťovní</w:t>
      </w:r>
    </w:p>
    <w:p>
      <w:pPr>
        <w:pStyle w:val="Normal"/>
        <w:rPr/>
      </w:pPr>
      <w:r>
        <w:rPr/>
        <w:t xml:space="preserve">Z rozpočtovaných 292.014,00 EUR bolo skutočné plnenie k 31.12.2024 vo výške 307.617,43 EUR, čo predstavuje plnenie  na  105%.  </w:t>
      </w:r>
    </w:p>
    <w:p>
      <w:pPr>
        <w:pStyle w:val="Normal"/>
        <w:rPr/>
      </w:pPr>
      <w:r>
        <w:rPr>
          <w:b/>
          <w:bCs/>
        </w:rPr>
        <w:t>3.  Tovary a služby</w:t>
      </w:r>
    </w:p>
    <w:p>
      <w:pPr>
        <w:pStyle w:val="Normal"/>
        <w:ind w:hanging="0"/>
        <w:jc w:val="both"/>
        <w:rPr/>
      </w:pPr>
      <w:r>
        <w:rPr/>
        <w:t xml:space="preserve">Z rozpočtovaných 247.366,00 EUR bolo skutočné plnenie k 31.12.2024 vo výške 343.480,46 </w:t>
        <w:tab/>
        <w:t xml:space="preserve">EUR, čo prestavuje plnenie na 139%. Sú tu zahrnuté  prevádzkové náklady a to cestovné </w:t>
        <w:tab/>
        <w:t>náklady, energia, voda, dopravné, materiál, náklady sa údržbu a ostatné tovary a služby.</w:t>
      </w:r>
    </w:p>
    <w:p>
      <w:pPr>
        <w:pStyle w:val="Normal"/>
        <w:tabs>
          <w:tab w:val="clear" w:pos="708"/>
          <w:tab w:val="right" w:pos="284" w:leader="none"/>
        </w:tabs>
        <w:ind w:hanging="284" w:left="284"/>
        <w:jc w:val="both"/>
        <w:rPr/>
      </w:pPr>
      <w:r>
        <w:rPr>
          <w:b/>
          <w:color w:val="C9211E"/>
        </w:rPr>
        <w:tab/>
      </w:r>
      <w:r>
        <w:rPr>
          <w:b/>
        </w:rPr>
        <w:t>4.  Bežné transfery</w:t>
      </w:r>
    </w:p>
    <w:p>
      <w:pPr>
        <w:pStyle w:val="Normal"/>
        <w:tabs>
          <w:tab w:val="clear" w:pos="708"/>
          <w:tab w:val="left" w:pos="286" w:leader="none"/>
        </w:tabs>
        <w:jc w:val="both"/>
        <w:rPr/>
      </w:pPr>
      <w:r>
        <w:rPr/>
        <w:t>Z rozpočtovaných 11.200,00 EUR bolo skutočne čerpané k 31.12.2024 v sume 24.496,00 EUR, čo predstavuje 219 % čerpanie.</w:t>
      </w:r>
    </w:p>
    <w:p>
      <w:pPr>
        <w:pStyle w:val="Normal"/>
        <w:jc w:val="center"/>
        <w:rPr>
          <w:b/>
        </w:rPr>
      </w:pPr>
      <w:r>
        <w:rPr>
          <w:b/>
        </w:rPr>
      </w:r>
    </w:p>
    <w:p>
      <w:pPr>
        <w:pStyle w:val="Normal"/>
        <w:jc w:val="center"/>
        <w:rPr>
          <w:b/>
          <w:color w:val="C9211E"/>
        </w:rPr>
      </w:pPr>
      <w:r>
        <w:rPr>
          <w:b/>
          <w:color w:val="C9211E"/>
        </w:rPr>
      </w:r>
    </w:p>
    <w:p>
      <w:pPr>
        <w:pStyle w:val="Normal"/>
        <w:tabs>
          <w:tab w:val="clear" w:pos="708"/>
          <w:tab w:val="left" w:pos="426" w:leader="none"/>
        </w:tabs>
        <w:ind w:hanging="0"/>
        <w:rPr>
          <w:sz w:val="28"/>
          <w:szCs w:val="28"/>
        </w:rPr>
      </w:pPr>
      <w:r>
        <w:rPr>
          <w:b/>
          <w:bCs/>
          <w:sz w:val="28"/>
          <w:szCs w:val="28"/>
        </w:rPr>
        <w:t>3. Hospodárenie obce a rozdelenie výsledku hospodárenia za rok 2024</w:t>
      </w:r>
    </w:p>
    <w:p>
      <w:pPr>
        <w:pStyle w:val="Normal"/>
        <w:tabs>
          <w:tab w:val="clear" w:pos="708"/>
          <w:tab w:val="left" w:pos="426" w:leader="none"/>
        </w:tabs>
        <w:ind w:hanging="0" w:left="502"/>
        <w:rPr>
          <w:b/>
          <w:bCs/>
          <w:color w:val="C9211E"/>
          <w:sz w:val="32"/>
          <w:szCs w:val="32"/>
        </w:rPr>
      </w:pPr>
      <w:r>
        <w:rPr>
          <w:b/>
          <w:bCs/>
          <w:color w:val="C9211E"/>
          <w:sz w:val="32"/>
          <w:szCs w:val="32"/>
        </w:rPr>
      </w:r>
    </w:p>
    <w:tbl>
      <w:tblPr>
        <w:tblW w:w="9866" w:type="dxa"/>
        <w:jc w:val="left"/>
        <w:tblInd w:w="35" w:type="dxa"/>
        <w:tblLayout w:type="fixed"/>
        <w:tblCellMar>
          <w:top w:w="0" w:type="dxa"/>
          <w:left w:w="22" w:type="dxa"/>
          <w:bottom w:w="0" w:type="dxa"/>
          <w:right w:w="10" w:type="dxa"/>
        </w:tblCellMar>
        <w:tblLook w:firstRow="1" w:noVBand="1" w:lastRow="0" w:firstColumn="1" w:lastColumn="0" w:noHBand="0" w:val="04a0"/>
      </w:tblPr>
      <w:tblGrid>
        <w:gridCol w:w="5358"/>
        <w:gridCol w:w="4507"/>
      </w:tblGrid>
      <w:tr>
        <w:trPr>
          <w:trHeight w:val="300" w:hRule="atLeast"/>
        </w:trPr>
        <w:tc>
          <w:tcPr>
            <w:tcW w:w="5358" w:type="dxa"/>
            <w:tcBorders>
              <w:top w:val="double" w:sz="6" w:space="0" w:color="000000"/>
              <w:left w:val="double" w:sz="6" w:space="0" w:color="000000"/>
              <w:right w:val="single" w:sz="8" w:space="0" w:color="000000"/>
            </w:tcBorders>
            <w:shd w:color="auto" w:fill="D9D9D9" w:val="clear"/>
            <w:vAlign w:val="center"/>
          </w:tcPr>
          <w:p>
            <w:pPr>
              <w:pStyle w:val="Normal"/>
              <w:snapToGrid w:val="false"/>
              <w:jc w:val="center"/>
              <w:rPr/>
            </w:pPr>
            <w:r>
              <w:rPr/>
            </w:r>
          </w:p>
          <w:p>
            <w:pPr>
              <w:pStyle w:val="Normal"/>
              <w:jc w:val="center"/>
              <w:rPr/>
            </w:pPr>
            <w:r>
              <w:rPr>
                <w:rStyle w:val="Strong"/>
              </w:rPr>
              <w:t>Hospodárenie obce</w:t>
            </w:r>
          </w:p>
        </w:tc>
        <w:tc>
          <w:tcPr>
            <w:tcW w:w="4507" w:type="dxa"/>
            <w:vMerge w:val="restart"/>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tabs>
                <w:tab w:val="clear" w:pos="708"/>
                <w:tab w:val="right" w:pos="8820" w:leader="none"/>
              </w:tabs>
              <w:snapToGrid w:val="false"/>
              <w:jc w:val="center"/>
              <w:rPr>
                <w:b/>
              </w:rPr>
            </w:pPr>
            <w:r>
              <w:rPr>
                <w:b/>
              </w:rPr>
            </w:r>
          </w:p>
          <w:p>
            <w:pPr>
              <w:pStyle w:val="Normal"/>
              <w:tabs>
                <w:tab w:val="clear" w:pos="708"/>
                <w:tab w:val="right" w:pos="8820" w:leader="none"/>
              </w:tabs>
              <w:jc w:val="center"/>
              <w:rPr>
                <w:b/>
              </w:rPr>
            </w:pPr>
            <w:r>
              <w:rPr>
                <w:b/>
              </w:rPr>
              <w:t>Skutočnosť k 31.12.2024 v EUR</w:t>
            </w:r>
          </w:p>
          <w:p>
            <w:pPr>
              <w:pStyle w:val="Normal"/>
              <w:jc w:val="center"/>
              <w:rPr>
                <w:b/>
              </w:rPr>
            </w:pPr>
            <w:r>
              <w:rPr>
                <w:b/>
              </w:rPr>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snapToGrid w:val="false"/>
              <w:rPr>
                <w:b/>
              </w:rPr>
            </w:pPr>
            <w:r>
              <w:rPr>
                <w:b/>
              </w:rPr>
            </w:r>
          </w:p>
        </w:tc>
        <w:tc>
          <w:tcPr>
            <w:tcW w:w="4507" w:type="dxa"/>
            <w:vMerge w:val="continue"/>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snapToGrid w:val="false"/>
              <w:rPr>
                <w:b/>
              </w:rPr>
            </w:pPr>
            <w:r>
              <w:rPr>
                <w:b/>
              </w:rPr>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sz w:val="20"/>
                <w:szCs w:val="20"/>
              </w:rPr>
            </w:pPr>
            <w:r>
              <w:rPr>
                <w:sz w:val="20"/>
                <w:szCs w:val="20"/>
              </w:rPr>
              <w:t>Bežné  príjmy spolu</w:t>
            </w:r>
          </w:p>
        </w:tc>
        <w:tc>
          <w:tcPr>
            <w:tcW w:w="4507" w:type="dxa"/>
            <w:tcBorders>
              <w:top w:val="single" w:sz="8" w:space="0" w:color="000000"/>
              <w:left w:val="double" w:sz="6" w:space="0" w:color="000000"/>
              <w:bottom w:val="single" w:sz="8" w:space="0" w:color="000000"/>
              <w:right w:val="double" w:sz="6" w:space="0" w:color="000000"/>
            </w:tcBorders>
            <w:shd w:color="auto" w:fill="FFFFFF" w:val="clear"/>
            <w:vAlign w:val="center"/>
          </w:tcPr>
          <w:p>
            <w:pPr>
              <w:pStyle w:val="Normal"/>
              <w:jc w:val="right"/>
              <w:rPr/>
            </w:pPr>
            <w:r>
              <w:rPr/>
              <w:t>1.967.473,35</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bežné príjmy obce</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1.846.245,43</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bežné príjmy RO</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121.227,92</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sz w:val="20"/>
                <w:szCs w:val="20"/>
              </w:rPr>
            </w:pPr>
            <w:r>
              <w:rPr>
                <w:sz w:val="20"/>
                <w:szCs w:val="20"/>
              </w:rPr>
              <w:t>Bežné výdavky spolu</w:t>
            </w:r>
          </w:p>
        </w:tc>
        <w:tc>
          <w:tcPr>
            <w:tcW w:w="4507" w:type="dxa"/>
            <w:tcBorders>
              <w:top w:val="single" w:sz="8" w:space="0" w:color="000000"/>
              <w:left w:val="double" w:sz="6" w:space="0" w:color="000000"/>
              <w:bottom w:val="single" w:sz="8" w:space="0" w:color="000000"/>
              <w:right w:val="double" w:sz="6" w:space="0" w:color="000000"/>
            </w:tcBorders>
            <w:shd w:color="auto" w:fill="FFFFFF" w:val="clear"/>
            <w:vAlign w:val="center"/>
          </w:tcPr>
          <w:p>
            <w:pPr>
              <w:pStyle w:val="Normal"/>
              <w:jc w:val="right"/>
              <w:rPr/>
            </w:pPr>
            <w:r>
              <w:rPr/>
              <w:t>1.938.934,10</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bežné výdavky  obce</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436.135,97</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bežné výdavky  RO</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1.502.798,13</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pPr>
            <w:r>
              <w:rPr>
                <w:rStyle w:val="Emphasis"/>
                <w:b/>
                <w:bCs/>
                <w:sz w:val="20"/>
                <w:szCs w:val="20"/>
              </w:rPr>
              <w:t>Bežný rozpočet</w:t>
            </w:r>
          </w:p>
        </w:tc>
        <w:tc>
          <w:tcPr>
            <w:tcW w:w="4507" w:type="dxa"/>
            <w:tcBorders>
              <w:top w:val="single" w:sz="8" w:space="0" w:color="000000"/>
              <w:left w:val="double" w:sz="6" w:space="0" w:color="000000"/>
              <w:bottom w:val="single" w:sz="8" w:space="0" w:color="000000"/>
              <w:right w:val="double" w:sz="6" w:space="0" w:color="000000"/>
            </w:tcBorders>
            <w:shd w:color="auto" w:fill="D9D9D9" w:val="clear"/>
            <w:vAlign w:val="center"/>
          </w:tcPr>
          <w:p>
            <w:pPr>
              <w:pStyle w:val="Normal"/>
              <w:jc w:val="right"/>
              <w:rPr/>
            </w:pPr>
            <w:r>
              <w:rPr/>
              <w:t>28.539,25</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sz w:val="20"/>
                <w:szCs w:val="20"/>
              </w:rPr>
            </w:pPr>
            <w:r>
              <w:rPr>
                <w:sz w:val="20"/>
                <w:szCs w:val="20"/>
              </w:rPr>
              <w:t>Kapitálové  príjmy spolu</w:t>
            </w:r>
          </w:p>
        </w:tc>
        <w:tc>
          <w:tcPr>
            <w:tcW w:w="4507" w:type="dxa"/>
            <w:tcBorders>
              <w:top w:val="single" w:sz="8" w:space="0" w:color="000000"/>
              <w:left w:val="double" w:sz="6" w:space="0" w:color="000000"/>
              <w:bottom w:val="single" w:sz="8" w:space="0" w:color="000000"/>
              <w:right w:val="double" w:sz="6" w:space="0" w:color="000000"/>
            </w:tcBorders>
            <w:shd w:color="auto" w:fill="FFFFFF" w:val="clear"/>
            <w:vAlign w:val="center"/>
          </w:tcPr>
          <w:p>
            <w:pPr>
              <w:pStyle w:val="Normal"/>
              <w:jc w:val="right"/>
              <w:rPr/>
            </w:pPr>
            <w:r>
              <w:rPr/>
              <w:t>10.150,00</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kapitálové  príjmy obce</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10.150,00</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kapitálové  príjmy RO</w:t>
            </w:r>
          </w:p>
        </w:tc>
        <w:tc>
          <w:tcPr>
            <w:tcW w:w="4507" w:type="dxa"/>
            <w:tcBorders>
              <w:top w:val="single" w:sz="8"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0,00</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sz w:val="20"/>
                <w:szCs w:val="20"/>
              </w:rPr>
            </w:pPr>
            <w:r>
              <w:rPr>
                <w:sz w:val="20"/>
                <w:szCs w:val="20"/>
              </w:rPr>
              <w:t>Kapitálové  výdavky spolu</w:t>
            </w:r>
          </w:p>
        </w:tc>
        <w:tc>
          <w:tcPr>
            <w:tcW w:w="4507" w:type="dxa"/>
            <w:tcBorders>
              <w:top w:val="single" w:sz="4" w:space="0" w:color="000000"/>
              <w:left w:val="double" w:sz="6" w:space="0" w:color="000000"/>
              <w:bottom w:val="single" w:sz="4" w:space="0" w:color="000000"/>
              <w:right w:val="double" w:sz="6" w:space="0" w:color="000000"/>
            </w:tcBorders>
            <w:shd w:color="auto" w:fill="FFFFFF" w:val="clear"/>
            <w:vAlign w:val="center"/>
          </w:tcPr>
          <w:p>
            <w:pPr>
              <w:pStyle w:val="Normal"/>
              <w:jc w:val="right"/>
              <w:rPr/>
            </w:pPr>
            <w:r>
              <w:rPr/>
              <w:t>293.818,39</w:t>
            </w:r>
          </w:p>
        </w:tc>
      </w:tr>
      <w:tr>
        <w:trPr>
          <w:trHeight w:val="300" w:hRule="atLeast"/>
        </w:trPr>
        <w:tc>
          <w:tcPr>
            <w:tcW w:w="5358" w:type="dxa"/>
            <w:tcBorders>
              <w:top w:val="single" w:sz="8" w:space="0" w:color="000000"/>
              <w:left w:val="double" w:sz="6" w:space="0" w:color="000000"/>
              <w:bottom w:val="single" w:sz="8" w:space="0" w:color="000000"/>
              <w:right w:val="single" w:sz="4" w:space="0" w:color="000000"/>
            </w:tcBorders>
            <w:shd w:fill="auto" w:val="clear"/>
            <w:vAlign w:val="center"/>
          </w:tcPr>
          <w:p>
            <w:pPr>
              <w:pStyle w:val="Normal"/>
              <w:rPr>
                <w:sz w:val="20"/>
                <w:szCs w:val="20"/>
              </w:rPr>
            </w:pPr>
            <w:r>
              <w:rPr>
                <w:sz w:val="20"/>
                <w:szCs w:val="20"/>
              </w:rPr>
              <w:t>z toho : kapitálové  výdavky  obce</w:t>
            </w:r>
          </w:p>
        </w:tc>
        <w:tc>
          <w:tcPr>
            <w:tcW w:w="450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pPr>
            <w:r>
              <w:rPr>
                <w:rStyle w:val="Emphasis"/>
                <w:sz w:val="20"/>
                <w:szCs w:val="20"/>
              </w:rPr>
              <w:t>293.818,39</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kapitálové  výdavky  RO</w:t>
            </w:r>
          </w:p>
        </w:tc>
        <w:tc>
          <w:tcPr>
            <w:tcW w:w="4507" w:type="dxa"/>
            <w:tcBorders>
              <w:top w:val="single" w:sz="4" w:space="0" w:color="000000"/>
              <w:left w:val="double" w:sz="6"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0,00</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b/>
                <w:i/>
                <w:i/>
                <w:sz w:val="20"/>
                <w:szCs w:val="20"/>
              </w:rPr>
            </w:pPr>
            <w:r>
              <w:rPr>
                <w:b/>
                <w:i/>
                <w:sz w:val="20"/>
                <w:szCs w:val="20"/>
              </w:rPr>
              <w:t>Kapitálový rozpočet</w:t>
            </w:r>
          </w:p>
        </w:tc>
        <w:tc>
          <w:tcPr>
            <w:tcW w:w="4507" w:type="dxa"/>
            <w:tcBorders>
              <w:top w:val="single" w:sz="8" w:space="0" w:color="000000"/>
              <w:left w:val="double" w:sz="6" w:space="0" w:color="000000"/>
              <w:bottom w:val="single" w:sz="8" w:space="0" w:color="000000"/>
              <w:right w:val="double" w:sz="6" w:space="0" w:color="000000"/>
            </w:tcBorders>
            <w:shd w:color="auto" w:fill="D9D9D9" w:val="clear"/>
            <w:vAlign w:val="center"/>
          </w:tcPr>
          <w:p>
            <w:pPr>
              <w:pStyle w:val="Normal"/>
              <w:jc w:val="right"/>
              <w:rPr/>
            </w:pPr>
            <w:r>
              <w:rPr/>
              <w:t>-283.668,39</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rStyle w:val="Emphasis"/>
                <w:b/>
                <w:bCs/>
                <w:sz w:val="20"/>
                <w:szCs w:val="20"/>
              </w:rPr>
              <w:t>Schodok bežného a kapitálového rozpočtu</w:t>
            </w:r>
          </w:p>
        </w:tc>
        <w:tc>
          <w:tcPr>
            <w:tcW w:w="4507" w:type="dxa"/>
            <w:tcBorders>
              <w:top w:val="single" w:sz="8" w:space="0" w:color="000000"/>
              <w:left w:val="double" w:sz="6" w:space="0" w:color="000000"/>
              <w:bottom w:val="single" w:sz="8" w:space="0" w:color="000000"/>
              <w:right w:val="double" w:sz="6" w:space="0" w:color="000000"/>
            </w:tcBorders>
            <w:shd w:color="auto" w:fill="DDD9C3" w:val="clear"/>
            <w:vAlign w:val="center"/>
          </w:tcPr>
          <w:p>
            <w:pPr>
              <w:pStyle w:val="Normal"/>
              <w:jc w:val="right"/>
              <w:rPr>
                <w:b/>
              </w:rPr>
            </w:pPr>
            <w:r>
              <w:rPr>
                <w:b/>
              </w:rPr>
              <w:t>-255.129,14</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FFFFFF" w:val="clear"/>
            <w:vAlign w:val="center"/>
          </w:tcPr>
          <w:p>
            <w:pPr>
              <w:pStyle w:val="Normal"/>
              <w:rPr/>
            </w:pPr>
            <w:r>
              <w:rPr>
                <w:rStyle w:val="Emphasis"/>
                <w:b/>
                <w:sz w:val="20"/>
                <w:szCs w:val="20"/>
              </w:rPr>
              <w:t>Vylúčenie z prebytku/Úprava schodku HČ</w:t>
            </w:r>
          </w:p>
        </w:tc>
        <w:tc>
          <w:tcPr>
            <w:tcW w:w="4507" w:type="dxa"/>
            <w:tcBorders>
              <w:top w:val="single" w:sz="8" w:space="0" w:color="000000"/>
              <w:left w:val="double" w:sz="6" w:space="0" w:color="000000"/>
              <w:bottom w:val="single" w:sz="8" w:space="0" w:color="000000"/>
              <w:right w:val="double" w:sz="6" w:space="0" w:color="000000"/>
            </w:tcBorders>
            <w:shd w:color="auto" w:fill="FFFFFF" w:val="clear"/>
            <w:vAlign w:val="center"/>
          </w:tcPr>
          <w:p>
            <w:pPr>
              <w:pStyle w:val="Normal"/>
              <w:jc w:val="right"/>
              <w:rPr/>
            </w:pPr>
            <w:r>
              <w:rPr/>
              <w:t>-46.956,24</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rStyle w:val="Emphasis"/>
                <w:b/>
                <w:sz w:val="20"/>
                <w:szCs w:val="20"/>
              </w:rPr>
              <w:t xml:space="preserve">Upravený schodok </w:t>
            </w:r>
            <w:r>
              <w:rPr>
                <w:rStyle w:val="Emphasis"/>
                <w:b/>
                <w:bCs/>
                <w:sz w:val="20"/>
                <w:szCs w:val="20"/>
              </w:rPr>
              <w:t>bežného a kapitálového rozpočtu</w:t>
            </w:r>
          </w:p>
        </w:tc>
        <w:tc>
          <w:tcPr>
            <w:tcW w:w="4507" w:type="dxa"/>
            <w:tcBorders>
              <w:top w:val="single" w:sz="8" w:space="0" w:color="000000"/>
              <w:left w:val="double" w:sz="6" w:space="0" w:color="000000"/>
              <w:bottom w:val="single" w:sz="8" w:space="0" w:color="000000"/>
              <w:right w:val="double" w:sz="6" w:space="0" w:color="000000"/>
            </w:tcBorders>
            <w:shd w:color="auto" w:fill="DDD9C3" w:val="clear"/>
            <w:vAlign w:val="center"/>
          </w:tcPr>
          <w:p>
            <w:pPr>
              <w:pStyle w:val="Normal"/>
              <w:jc w:val="right"/>
              <w:rPr/>
            </w:pPr>
            <w:r>
              <w:rPr>
                <w:b/>
              </w:rPr>
              <w:t>-</w:t>
            </w:r>
            <w:bookmarkStart w:id="2" w:name="_Hlk199789069"/>
            <w:r>
              <w:rPr>
                <w:b/>
              </w:rPr>
              <w:t>302 085,38</w:t>
            </w:r>
            <w:bookmarkEnd w:id="2"/>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Príjmové finančné operácie s výnimkou cudzích prostriedkov</w:t>
            </w:r>
          </w:p>
          <w:p>
            <w:pPr>
              <w:pStyle w:val="Normal"/>
              <w:rPr/>
            </w:pPr>
            <w:r>
              <w:rPr>
                <w:sz w:val="20"/>
                <w:szCs w:val="20"/>
              </w:rPr>
              <w:t xml:space="preserve">   </w:t>
            </w:r>
            <w:r>
              <w:rPr>
                <w:sz w:val="20"/>
                <w:szCs w:val="20"/>
              </w:rPr>
              <w:t>-  prijatie úveru SZRB</w:t>
            </w:r>
          </w:p>
          <w:p>
            <w:pPr>
              <w:pStyle w:val="Normal"/>
              <w:rPr/>
            </w:pPr>
            <w:r>
              <w:rPr>
                <w:sz w:val="20"/>
                <w:szCs w:val="20"/>
              </w:rPr>
              <w:t xml:space="preserve">   </w:t>
            </w:r>
            <w:r>
              <w:rPr>
                <w:sz w:val="20"/>
                <w:szCs w:val="20"/>
              </w:rPr>
              <w:t>-  príjem z rezervného fondu</w:t>
            </w:r>
          </w:p>
          <w:p>
            <w:pPr>
              <w:pStyle w:val="Normal"/>
              <w:rPr/>
            </w:pPr>
            <w:r>
              <w:rPr>
                <w:sz w:val="20"/>
                <w:szCs w:val="20"/>
              </w:rPr>
              <w:t xml:space="preserve">   </w:t>
            </w:r>
            <w:r>
              <w:rPr>
                <w:sz w:val="20"/>
                <w:szCs w:val="20"/>
              </w:rPr>
              <w:t>-  dotácie z min. rokov</w:t>
            </w:r>
          </w:p>
          <w:p>
            <w:pPr>
              <w:pStyle w:val="Normal"/>
              <w:rPr/>
            </w:pPr>
            <w:r>
              <w:rPr>
                <w:sz w:val="20"/>
                <w:szCs w:val="20"/>
              </w:rPr>
              <w:t xml:space="preserve">   </w:t>
            </w:r>
            <w:r>
              <w:rPr>
                <w:sz w:val="20"/>
                <w:szCs w:val="20"/>
              </w:rPr>
              <w:t>-  príjem z roku 2024 ZŠ</w:t>
            </w:r>
          </w:p>
        </w:tc>
        <w:tc>
          <w:tcPr>
            <w:tcW w:w="4507" w:type="dxa"/>
            <w:tcBorders>
              <w:top w:val="single" w:sz="4" w:space="0" w:color="000000"/>
              <w:left w:val="double" w:sz="6" w:space="0" w:color="000000"/>
              <w:bottom w:val="single" w:sz="4" w:space="0" w:color="000000"/>
              <w:right w:val="double" w:sz="6" w:space="0" w:color="000000"/>
            </w:tcBorders>
            <w:shd w:fill="auto" w:val="clear"/>
            <w:vAlign w:val="center"/>
          </w:tcPr>
          <w:p>
            <w:pPr>
              <w:pStyle w:val="Normal"/>
              <w:jc w:val="right"/>
              <w:rPr>
                <w:i/>
                <w:i/>
                <w:sz w:val="20"/>
                <w:szCs w:val="20"/>
              </w:rPr>
            </w:pPr>
            <w:r>
              <w:rPr>
                <w:i/>
                <w:sz w:val="20"/>
                <w:szCs w:val="20"/>
              </w:rPr>
              <w:t>353.695,80</w:t>
            </w:r>
          </w:p>
          <w:p>
            <w:pPr>
              <w:pStyle w:val="Normal"/>
              <w:jc w:val="right"/>
              <w:rPr>
                <w:i/>
                <w:i/>
                <w:sz w:val="20"/>
                <w:szCs w:val="20"/>
              </w:rPr>
            </w:pPr>
            <w:r>
              <w:rPr>
                <w:i/>
                <w:sz w:val="20"/>
                <w:szCs w:val="20"/>
              </w:rPr>
              <w:t>100.000,00</w:t>
            </w:r>
          </w:p>
          <w:p>
            <w:pPr>
              <w:pStyle w:val="Normal"/>
              <w:jc w:val="right"/>
              <w:rPr>
                <w:i/>
                <w:i/>
                <w:sz w:val="20"/>
                <w:szCs w:val="20"/>
              </w:rPr>
            </w:pPr>
            <w:r>
              <w:rPr>
                <w:i/>
                <w:sz w:val="20"/>
                <w:szCs w:val="20"/>
              </w:rPr>
              <w:t>38.826,00</w:t>
            </w:r>
          </w:p>
          <w:p>
            <w:pPr>
              <w:pStyle w:val="Normal"/>
              <w:jc w:val="right"/>
              <w:rPr>
                <w:i/>
                <w:i/>
                <w:sz w:val="20"/>
                <w:szCs w:val="20"/>
              </w:rPr>
            </w:pPr>
            <w:r>
              <w:rPr>
                <w:i/>
                <w:sz w:val="20"/>
                <w:szCs w:val="20"/>
              </w:rPr>
              <w:t>202.534,85</w:t>
            </w:r>
          </w:p>
          <w:p>
            <w:pPr>
              <w:pStyle w:val="Normal"/>
              <w:jc w:val="right"/>
              <w:rPr>
                <w:i/>
                <w:i/>
                <w:sz w:val="20"/>
                <w:szCs w:val="20"/>
              </w:rPr>
            </w:pPr>
            <w:r>
              <w:rPr>
                <w:i/>
                <w:sz w:val="20"/>
                <w:szCs w:val="20"/>
              </w:rPr>
              <w:t>12.334,95</w:t>
            </w:r>
          </w:p>
        </w:tc>
      </w:tr>
      <w:tr>
        <w:trPr>
          <w:trHeight w:val="300" w:hRule="atLeast"/>
        </w:trPr>
        <w:tc>
          <w:tcPr>
            <w:tcW w:w="5358"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Výdavkové finančné operácie s výnimkou cudzích prostriedkov</w:t>
            </w:r>
          </w:p>
          <w:p>
            <w:pPr>
              <w:pStyle w:val="Normal"/>
              <w:rPr/>
            </w:pPr>
            <w:r>
              <w:rPr>
                <w:sz w:val="20"/>
                <w:szCs w:val="20"/>
              </w:rPr>
              <w:t xml:space="preserve">   </w:t>
            </w:r>
            <w:r>
              <w:rPr>
                <w:sz w:val="20"/>
                <w:szCs w:val="20"/>
              </w:rPr>
              <w:t>- splátky úverov</w:t>
            </w:r>
          </w:p>
        </w:tc>
        <w:tc>
          <w:tcPr>
            <w:tcW w:w="4507" w:type="dxa"/>
            <w:tcBorders>
              <w:top w:val="single" w:sz="4" w:space="0" w:color="000000"/>
              <w:left w:val="double" w:sz="6" w:space="0" w:color="000000"/>
              <w:bottom w:val="single" w:sz="4" w:space="0" w:color="000000"/>
              <w:right w:val="double" w:sz="6" w:space="0" w:color="000000"/>
            </w:tcBorders>
            <w:shd w:fill="auto" w:val="clear"/>
            <w:vAlign w:val="center"/>
          </w:tcPr>
          <w:p>
            <w:pPr>
              <w:pStyle w:val="Normal"/>
              <w:jc w:val="right"/>
              <w:rPr>
                <w:i/>
                <w:i/>
                <w:sz w:val="20"/>
                <w:szCs w:val="20"/>
              </w:rPr>
            </w:pPr>
            <w:r>
              <w:rPr>
                <w:i/>
                <w:sz w:val="20"/>
                <w:szCs w:val="20"/>
              </w:rPr>
              <w:t>51.628,90</w:t>
            </w:r>
          </w:p>
          <w:p>
            <w:pPr>
              <w:pStyle w:val="Normal"/>
              <w:jc w:val="right"/>
              <w:rPr>
                <w:i/>
                <w:i/>
                <w:sz w:val="20"/>
                <w:szCs w:val="20"/>
              </w:rPr>
            </w:pPr>
            <w:r>
              <w:rPr>
                <w:i/>
                <w:sz w:val="20"/>
                <w:szCs w:val="20"/>
              </w:rPr>
              <w:t>51.628,90</w:t>
            </w:r>
          </w:p>
        </w:tc>
      </w:tr>
      <w:tr>
        <w:trPr>
          <w:trHeight w:val="285" w:hRule="atLeast"/>
        </w:trPr>
        <w:tc>
          <w:tcPr>
            <w:tcW w:w="5358"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pPr>
            <w:r>
              <w:rPr>
                <w:rStyle w:val="Emphasis"/>
                <w:b/>
                <w:bCs/>
                <w:sz w:val="20"/>
                <w:szCs w:val="20"/>
              </w:rPr>
              <w:t>Rozdiel finančných operácií</w:t>
            </w:r>
          </w:p>
        </w:tc>
        <w:tc>
          <w:tcPr>
            <w:tcW w:w="4507" w:type="dxa"/>
            <w:tcBorders>
              <w:top w:val="single" w:sz="4" w:space="0" w:color="000000"/>
              <w:left w:val="double" w:sz="6" w:space="0" w:color="000000"/>
              <w:bottom w:val="single" w:sz="8" w:space="0" w:color="000000"/>
              <w:right w:val="double" w:sz="6" w:space="0" w:color="000000"/>
            </w:tcBorders>
            <w:shd w:color="auto" w:fill="D9D9D9" w:val="clear"/>
            <w:vAlign w:val="center"/>
          </w:tcPr>
          <w:p>
            <w:pPr>
              <w:pStyle w:val="Normal"/>
              <w:jc w:val="right"/>
              <w:rPr>
                <w:b/>
              </w:rPr>
            </w:pPr>
            <w:r>
              <w:rPr>
                <w:b/>
              </w:rPr>
              <w:t>302.066,90</w:t>
            </w:r>
          </w:p>
        </w:tc>
      </w:tr>
      <w:tr>
        <w:trPr>
          <w:trHeight w:val="300" w:hRule="atLeast"/>
        </w:trPr>
        <w:tc>
          <w:tcPr>
            <w:tcW w:w="5358" w:type="dxa"/>
            <w:tcBorders>
              <w:top w:val="single" w:sz="6" w:space="0" w:color="000000"/>
              <w:left w:val="double" w:sz="6" w:space="0" w:color="000000"/>
              <w:bottom w:val="single" w:sz="6" w:space="0" w:color="000000"/>
              <w:right w:val="single" w:sz="6" w:space="0" w:color="000000"/>
            </w:tcBorders>
            <w:shd w:fill="auto" w:val="clear"/>
            <w:tcMar>
              <w:left w:w="62" w:type="dxa"/>
              <w:right w:w="108" w:type="dxa"/>
            </w:tcMar>
          </w:tcPr>
          <w:p>
            <w:pPr>
              <w:pStyle w:val="Normal"/>
              <w:ind w:hanging="0" w:left="-85"/>
              <w:rPr>
                <w:caps/>
                <w:sz w:val="20"/>
                <w:szCs w:val="20"/>
              </w:rPr>
            </w:pPr>
            <w:r>
              <w:rPr>
                <w:caps/>
                <w:sz w:val="20"/>
                <w:szCs w:val="20"/>
              </w:rPr>
              <w:t>Príjmy spolu</w:t>
            </w:r>
          </w:p>
        </w:tc>
        <w:tc>
          <w:tcPr>
            <w:tcW w:w="4507" w:type="dxa"/>
            <w:tcBorders>
              <w:top w:val="single" w:sz="6" w:space="0" w:color="000000"/>
              <w:left w:val="single" w:sz="6" w:space="0" w:color="000000"/>
              <w:bottom w:val="single" w:sz="6" w:space="0" w:color="000000"/>
              <w:right w:val="double" w:sz="6" w:space="0" w:color="000000"/>
            </w:tcBorders>
            <w:shd w:fill="auto" w:val="clear"/>
            <w:tcMar>
              <w:left w:w="92" w:type="dxa"/>
              <w:right w:w="108" w:type="dxa"/>
            </w:tcMar>
          </w:tcPr>
          <w:p>
            <w:pPr>
              <w:pStyle w:val="Normal"/>
              <w:ind w:hanging="0" w:right="-51"/>
              <w:jc w:val="right"/>
              <w:rPr/>
            </w:pPr>
            <w:r>
              <w:rPr/>
              <w:t>2.331.319,15</w:t>
            </w:r>
          </w:p>
        </w:tc>
      </w:tr>
      <w:tr>
        <w:trPr>
          <w:trHeight w:val="300" w:hRule="atLeast"/>
        </w:trPr>
        <w:tc>
          <w:tcPr>
            <w:tcW w:w="5358" w:type="dxa"/>
            <w:tcBorders>
              <w:top w:val="single" w:sz="6" w:space="0" w:color="000000"/>
              <w:left w:val="double" w:sz="6" w:space="0" w:color="000000"/>
              <w:bottom w:val="single" w:sz="6" w:space="0" w:color="000000"/>
              <w:right w:val="single" w:sz="6" w:space="0" w:color="000000"/>
            </w:tcBorders>
            <w:shd w:fill="auto" w:val="clear"/>
            <w:tcMar>
              <w:left w:w="62" w:type="dxa"/>
              <w:right w:w="108" w:type="dxa"/>
            </w:tcMar>
          </w:tcPr>
          <w:p>
            <w:pPr>
              <w:pStyle w:val="Normal"/>
              <w:ind w:hanging="0" w:left="-85"/>
              <w:rPr/>
            </w:pPr>
            <w:r>
              <w:rPr>
                <w:caps/>
                <w:sz w:val="20"/>
                <w:szCs w:val="20"/>
              </w:rPr>
              <w:t>VÝDAVKY</w:t>
            </w:r>
            <w:r>
              <w:rPr>
                <w:sz w:val="20"/>
                <w:szCs w:val="20"/>
              </w:rPr>
              <w:t xml:space="preserve"> SPOLU</w:t>
            </w:r>
          </w:p>
        </w:tc>
        <w:tc>
          <w:tcPr>
            <w:tcW w:w="4507" w:type="dxa"/>
            <w:tcBorders>
              <w:top w:val="single" w:sz="6" w:space="0" w:color="000000"/>
              <w:left w:val="single" w:sz="6" w:space="0" w:color="000000"/>
              <w:bottom w:val="single" w:sz="6" w:space="0" w:color="000000"/>
              <w:right w:val="double" w:sz="6" w:space="0" w:color="000000"/>
            </w:tcBorders>
            <w:shd w:fill="auto" w:val="clear"/>
            <w:tcMar>
              <w:left w:w="92" w:type="dxa"/>
              <w:right w:w="108" w:type="dxa"/>
            </w:tcMar>
          </w:tcPr>
          <w:p>
            <w:pPr>
              <w:pStyle w:val="Normal"/>
              <w:ind w:hanging="0" w:right="-51"/>
              <w:jc w:val="right"/>
              <w:rPr/>
            </w:pPr>
            <w:r>
              <w:rPr/>
              <w:t>2.284.381,39</w:t>
            </w:r>
          </w:p>
        </w:tc>
      </w:tr>
      <w:tr>
        <w:trPr>
          <w:trHeight w:val="285" w:hRule="atLeast"/>
        </w:trPr>
        <w:tc>
          <w:tcPr>
            <w:tcW w:w="5358" w:type="dxa"/>
            <w:tcBorders>
              <w:top w:val="single" w:sz="6" w:space="0" w:color="000000"/>
              <w:left w:val="double" w:sz="6" w:space="0" w:color="000000"/>
              <w:bottom w:val="single" w:sz="6" w:space="0" w:color="000000"/>
              <w:right w:val="single" w:sz="6" w:space="0" w:color="000000"/>
            </w:tcBorders>
            <w:shd w:color="auto" w:fill="DDD9C3" w:val="clear"/>
            <w:tcMar>
              <w:left w:w="62" w:type="dxa"/>
              <w:right w:w="108" w:type="dxa"/>
            </w:tcMar>
          </w:tcPr>
          <w:p>
            <w:pPr>
              <w:pStyle w:val="Normal"/>
              <w:ind w:hanging="0" w:left="-85"/>
              <w:rPr/>
            </w:pPr>
            <w:r>
              <w:rPr>
                <w:rStyle w:val="Emphasis"/>
                <w:b/>
                <w:bCs/>
                <w:sz w:val="20"/>
                <w:szCs w:val="20"/>
              </w:rPr>
              <w:t>Rozpočtové hospodárenie obce</w:t>
            </w:r>
          </w:p>
        </w:tc>
        <w:tc>
          <w:tcPr>
            <w:tcW w:w="4507" w:type="dxa"/>
            <w:tcBorders>
              <w:top w:val="single" w:sz="6" w:space="0" w:color="000000"/>
              <w:left w:val="single" w:sz="6" w:space="0" w:color="000000"/>
              <w:bottom w:val="single" w:sz="6" w:space="0" w:color="000000"/>
              <w:right w:val="double" w:sz="6" w:space="0" w:color="000000"/>
            </w:tcBorders>
            <w:shd w:color="auto" w:fill="DDD9C3" w:val="clear"/>
            <w:tcMar>
              <w:left w:w="92" w:type="dxa"/>
              <w:right w:w="108" w:type="dxa"/>
            </w:tcMar>
          </w:tcPr>
          <w:p>
            <w:pPr>
              <w:pStyle w:val="Normal"/>
              <w:ind w:hanging="0" w:right="-51"/>
              <w:jc w:val="right"/>
              <w:rPr>
                <w:b/>
              </w:rPr>
            </w:pPr>
            <w:r>
              <w:rPr>
                <w:b/>
              </w:rPr>
              <w:t>46.937,76</w:t>
            </w:r>
          </w:p>
        </w:tc>
      </w:tr>
      <w:tr>
        <w:trPr>
          <w:trHeight w:val="300" w:hRule="atLeast"/>
        </w:trPr>
        <w:tc>
          <w:tcPr>
            <w:tcW w:w="5358" w:type="dxa"/>
            <w:tcBorders>
              <w:top w:val="single" w:sz="6" w:space="0" w:color="000000"/>
              <w:left w:val="double" w:sz="6" w:space="0" w:color="000000"/>
              <w:bottom w:val="single" w:sz="6" w:space="0" w:color="000000"/>
              <w:right w:val="single" w:sz="6" w:space="0" w:color="000000"/>
            </w:tcBorders>
            <w:shd w:fill="auto" w:val="clear"/>
            <w:tcMar>
              <w:left w:w="62" w:type="dxa"/>
              <w:right w:w="108" w:type="dxa"/>
            </w:tcMar>
            <w:vAlign w:val="center"/>
          </w:tcPr>
          <w:p>
            <w:pPr>
              <w:pStyle w:val="Normal"/>
              <w:rPr/>
            </w:pPr>
            <w:r>
              <w:rPr>
                <w:rStyle w:val="Emphasis"/>
                <w:b/>
                <w:sz w:val="20"/>
                <w:szCs w:val="20"/>
              </w:rPr>
              <w:t>Vylúčenie z prebytku/Úprava schodku HČ</w:t>
            </w:r>
          </w:p>
        </w:tc>
        <w:tc>
          <w:tcPr>
            <w:tcW w:w="4507" w:type="dxa"/>
            <w:tcBorders>
              <w:top w:val="single" w:sz="6" w:space="0" w:color="000000"/>
              <w:left w:val="single" w:sz="6" w:space="0" w:color="000000"/>
              <w:bottom w:val="single" w:sz="6" w:space="0" w:color="000000"/>
              <w:right w:val="double" w:sz="6" w:space="0" w:color="000000"/>
            </w:tcBorders>
            <w:shd w:fill="auto" w:val="clear"/>
            <w:tcMar>
              <w:left w:w="92" w:type="dxa"/>
              <w:right w:w="108" w:type="dxa"/>
            </w:tcMar>
          </w:tcPr>
          <w:p>
            <w:pPr>
              <w:pStyle w:val="Normal"/>
              <w:jc w:val="right"/>
              <w:rPr/>
            </w:pPr>
            <w:r>
              <w:rPr/>
              <w:t>-46.956,24</w:t>
            </w:r>
          </w:p>
        </w:tc>
      </w:tr>
      <w:tr>
        <w:trPr>
          <w:trHeight w:val="285" w:hRule="atLeast"/>
        </w:trPr>
        <w:tc>
          <w:tcPr>
            <w:tcW w:w="5358" w:type="dxa"/>
            <w:tcBorders>
              <w:top w:val="single" w:sz="6" w:space="0" w:color="000000"/>
              <w:left w:val="double" w:sz="6" w:space="0" w:color="000000"/>
              <w:bottom w:val="double" w:sz="6" w:space="0" w:color="000000"/>
              <w:right w:val="single" w:sz="6" w:space="0" w:color="000000"/>
            </w:tcBorders>
            <w:shd w:color="auto" w:fill="D9D9D9" w:val="clear"/>
            <w:tcMar>
              <w:left w:w="62" w:type="dxa"/>
              <w:right w:w="108" w:type="dxa"/>
            </w:tcMar>
          </w:tcPr>
          <w:p>
            <w:pPr>
              <w:pStyle w:val="Normal"/>
              <w:ind w:hanging="0" w:left="-85"/>
              <w:rPr/>
            </w:pPr>
            <w:r>
              <w:rPr>
                <w:rStyle w:val="Emphasis"/>
                <w:b/>
                <w:bCs/>
                <w:sz w:val="20"/>
                <w:szCs w:val="20"/>
              </w:rPr>
              <w:t>Upravené rozpočtové hospodárenie obce</w:t>
            </w:r>
          </w:p>
        </w:tc>
        <w:tc>
          <w:tcPr>
            <w:tcW w:w="4507" w:type="dxa"/>
            <w:tcBorders>
              <w:top w:val="single" w:sz="6" w:space="0" w:color="000000"/>
              <w:left w:val="single" w:sz="6" w:space="0" w:color="000000"/>
              <w:bottom w:val="double" w:sz="6" w:space="0" w:color="000000"/>
              <w:right w:val="double" w:sz="6" w:space="0" w:color="000000"/>
            </w:tcBorders>
            <w:shd w:color="auto" w:fill="D9D9D9" w:val="clear"/>
            <w:tcMar>
              <w:left w:w="92" w:type="dxa"/>
              <w:right w:w="108" w:type="dxa"/>
            </w:tcMar>
          </w:tcPr>
          <w:p>
            <w:pPr>
              <w:pStyle w:val="Normal"/>
              <w:ind w:hanging="0" w:right="-51"/>
              <w:jc w:val="right"/>
              <w:rPr>
                <w:b/>
              </w:rPr>
            </w:pPr>
            <w:r>
              <w:rPr>
                <w:b/>
              </w:rPr>
              <w:t>-18,48</w:t>
            </w:r>
          </w:p>
        </w:tc>
      </w:tr>
    </w:tbl>
    <w:p>
      <w:pPr>
        <w:pStyle w:val="Normal"/>
        <w:tabs>
          <w:tab w:val="clear" w:pos="708"/>
          <w:tab w:val="right" w:pos="7740" w:leader="none"/>
        </w:tabs>
        <w:jc w:val="both"/>
        <w:rPr/>
      </w:pPr>
      <w:r>
        <w:rPr/>
      </w:r>
    </w:p>
    <w:p>
      <w:pPr>
        <w:pStyle w:val="Normal"/>
        <w:tabs>
          <w:tab w:val="clear" w:pos="708"/>
          <w:tab w:val="right" w:pos="7740" w:leader="none"/>
        </w:tabs>
        <w:jc w:val="both"/>
        <w:rPr/>
      </w:pPr>
      <w:r>
        <w:rPr>
          <w:b/>
        </w:rPr>
        <w:t>Schodok rozpočtu v sume 255.129,14 EUR</w:t>
      </w:r>
      <w:r>
        <w:rPr/>
        <w:t xml:space="preserve">  zistený podľa ustanovenia § 10 ods. 3 písm. a) a b) zákona   č. 583/2004 Z.z. o rozpočtových pravidlách územnej samosprávy a o zmene a doplnení niektorých zákonov v znení neskorších predpisov, </w:t>
      </w:r>
      <w:r>
        <w:rPr>
          <w:b/>
        </w:rPr>
        <w:t>upravený</w:t>
      </w:r>
      <w:r>
        <w:rPr/>
        <w:t xml:space="preserve"> o nevyčerpané prostriedky  zo ŠR a podľa osobitných predpisov v sume </w:t>
      </w:r>
      <w:r>
        <w:rPr>
          <w:b/>
          <w:bCs/>
          <w:iCs/>
        </w:rPr>
        <w:t>302 085,38 EUR</w:t>
      </w:r>
      <w:r>
        <w:rPr/>
        <w:t xml:space="preserve">  bol v rozpočtovom roku 2024 vysporiadaný :</w:t>
      </w:r>
    </w:p>
    <w:p>
      <w:pPr>
        <w:pStyle w:val="Normal"/>
        <w:numPr>
          <w:ilvl w:val="0"/>
          <w:numId w:val="1"/>
        </w:numPr>
        <w:tabs>
          <w:tab w:val="clear" w:pos="708"/>
          <w:tab w:val="right" w:pos="5580" w:leader="none"/>
        </w:tabs>
        <w:jc w:val="both"/>
        <w:rPr/>
      </w:pPr>
      <w:r>
        <w:rPr/>
        <w:t>z  rezervného fondu</w:t>
        <w:tab/>
        <w:t>18,48 EUR</w:t>
        <w:tab/>
      </w:r>
    </w:p>
    <w:p>
      <w:pPr>
        <w:pStyle w:val="Normal"/>
        <w:numPr>
          <w:ilvl w:val="0"/>
          <w:numId w:val="1"/>
        </w:numPr>
        <w:tabs>
          <w:tab w:val="clear" w:pos="708"/>
          <w:tab w:val="right" w:pos="5580" w:leader="none"/>
        </w:tabs>
        <w:jc w:val="both"/>
        <w:rPr/>
      </w:pPr>
      <w:r>
        <w:rPr/>
        <w:t xml:space="preserve">z finančných operácií </w:t>
        <w:tab/>
        <w:t>302.066,90</w:t>
      </w:r>
      <w:r>
        <w:rPr>
          <w:iCs/>
        </w:rPr>
        <w:t xml:space="preserve"> </w:t>
      </w:r>
      <w:r>
        <w:rPr/>
        <w:t>EUR</w:t>
      </w:r>
    </w:p>
    <w:p>
      <w:pPr>
        <w:pStyle w:val="Normal"/>
        <w:tabs>
          <w:tab w:val="clear" w:pos="708"/>
          <w:tab w:val="right" w:pos="5580" w:leader="none"/>
        </w:tabs>
        <w:jc w:val="both"/>
        <w:rPr/>
      </w:pPr>
      <w:r>
        <w:rPr/>
      </w:r>
    </w:p>
    <w:p>
      <w:pPr>
        <w:pStyle w:val="Normal"/>
        <w:tabs>
          <w:tab w:val="clear" w:pos="708"/>
          <w:tab w:val="right" w:pos="7740" w:leader="none"/>
        </w:tabs>
        <w:jc w:val="both"/>
        <w:rPr/>
      </w:pPr>
      <w:r>
        <w:rPr>
          <w:b/>
          <w:bCs/>
          <w:iCs/>
        </w:rPr>
        <w:t xml:space="preserve">Schodok rozpočtu </w:t>
      </w:r>
      <w:r>
        <w:rPr/>
        <w:t>zistený podľa ustanovenia § 10 ods. 3 písm. a) a b) zákona č. 583/2004 Z.z. o rozpočtových pravidlách územnej samosprávy a o zmene a doplnení niektorých zákonov v znení neskorších predpisov</w:t>
      </w:r>
      <w:r>
        <w:rPr>
          <w:bCs/>
          <w:iCs/>
        </w:rPr>
        <w:t xml:space="preserve"> </w:t>
      </w:r>
      <w:r>
        <w:rPr>
          <w:iCs/>
        </w:rPr>
        <w:t xml:space="preserve">v zmysle ustanovenia § 16  odsek 6 zákona č.583/2004 Z.z. o rozpočtových pravidlách územnej samosprávy </w:t>
      </w:r>
      <w:r>
        <w:rPr>
          <w:b/>
          <w:bCs/>
          <w:iCs/>
        </w:rPr>
        <w:t>sa upravuje - zvyšuje celkom o sumu 46.956,24 EUR</w:t>
      </w:r>
    </w:p>
    <w:p>
      <w:pPr>
        <w:pStyle w:val="Normal"/>
        <w:tabs>
          <w:tab w:val="clear" w:pos="708"/>
          <w:tab w:val="right" w:pos="7740" w:leader="none"/>
        </w:tabs>
        <w:jc w:val="both"/>
        <w:rPr/>
      </w:pPr>
      <w:r>
        <w:rPr>
          <w:b w:val="false"/>
          <w:bCs w:val="false"/>
          <w:iCs/>
        </w:rPr>
        <w:t xml:space="preserve">a) </w:t>
      </w:r>
      <w:r>
        <w:rPr>
          <w:iCs/>
        </w:rPr>
        <w:t xml:space="preserve">nevyčerpané prostriedky </w:t>
      </w:r>
      <w:r>
        <w:rPr>
          <w:b/>
          <w:iCs/>
        </w:rPr>
        <w:t>zo ŠR</w:t>
      </w:r>
      <w:r>
        <w:rPr>
          <w:iCs/>
        </w:rPr>
        <w:t xml:space="preserve"> účelovo určené na </w:t>
      </w:r>
      <w:r>
        <w:rPr>
          <w:b/>
          <w:iCs/>
        </w:rPr>
        <w:t xml:space="preserve">bežné výdavky </w:t>
      </w:r>
      <w:r>
        <w:rPr>
          <w:iCs/>
        </w:rPr>
        <w:t xml:space="preserve">poskytnuté v predchádzajúcom  rozpočtovom roku  v sume  </w:t>
      </w:r>
      <w:r>
        <w:rPr>
          <w:b/>
          <w:bCs/>
          <w:iCs/>
        </w:rPr>
        <w:t>16.640,22 EUR</w:t>
      </w:r>
      <w:r>
        <w:rPr>
          <w:iCs/>
        </w:rPr>
        <w:t xml:space="preserve">, a to na : </w:t>
      </w:r>
    </w:p>
    <w:p>
      <w:pPr>
        <w:pStyle w:val="Normal"/>
        <w:numPr>
          <w:ilvl w:val="0"/>
          <w:numId w:val="1"/>
        </w:numPr>
        <w:jc w:val="both"/>
        <w:rPr>
          <w:iCs/>
        </w:rPr>
      </w:pPr>
      <w:r>
        <w:rPr>
          <w:iCs/>
        </w:rPr>
        <w:t>prenesený výkon v oblasti školstva v sume  8.058,62 EUR</w:t>
      </w:r>
    </w:p>
    <w:p>
      <w:pPr>
        <w:pStyle w:val="Normal"/>
        <w:numPr>
          <w:ilvl w:val="0"/>
          <w:numId w:val="1"/>
        </w:numPr>
        <w:jc w:val="both"/>
        <w:rPr>
          <w:iCs/>
        </w:rPr>
      </w:pPr>
      <w:r>
        <w:rPr>
          <w:iCs/>
        </w:rPr>
        <w:t>stravné pre predškolákov UPSVaR 8.581,60EUR</w:t>
      </w:r>
    </w:p>
    <w:p>
      <w:pPr>
        <w:pStyle w:val="Normal"/>
        <w:ind w:hanging="0" w:left="1077"/>
        <w:jc w:val="both"/>
        <w:rPr>
          <w:iCs/>
        </w:rPr>
      </w:pPr>
      <w:r>
        <w:rPr>
          <w:iCs/>
        </w:rPr>
      </w:r>
    </w:p>
    <w:p>
      <w:pPr>
        <w:pStyle w:val="Normal"/>
        <w:tabs>
          <w:tab w:val="clear" w:pos="708"/>
          <w:tab w:val="right" w:pos="709" w:leader="none"/>
        </w:tabs>
        <w:jc w:val="left"/>
        <w:rPr/>
      </w:pPr>
      <w:r>
        <w:rPr>
          <w:iCs/>
        </w:rPr>
        <w:t xml:space="preserve">b) nevyčerpané prostriedky </w:t>
      </w:r>
      <w:r>
        <w:rPr>
          <w:b/>
          <w:iCs/>
        </w:rPr>
        <w:t>zo ŠR</w:t>
      </w:r>
      <w:r>
        <w:rPr>
          <w:iCs/>
        </w:rPr>
        <w:t xml:space="preserve"> účelovo určené na </w:t>
      </w:r>
      <w:r>
        <w:rPr>
          <w:b/>
          <w:iCs/>
        </w:rPr>
        <w:t>kapitálové  výdavky</w:t>
      </w:r>
      <w:r>
        <w:rPr>
          <w:iCs/>
        </w:rPr>
        <w:t xml:space="preserve">  poskytnuté v predchádzajúcom rozpočtovom roku  v sume </w:t>
      </w:r>
      <w:r>
        <w:rPr>
          <w:b/>
          <w:bCs/>
          <w:iCs/>
        </w:rPr>
        <w:t>24.948,00 EUR</w:t>
      </w:r>
      <w:r>
        <w:rPr>
          <w:iCs/>
        </w:rPr>
        <w:t>, a to na :</w:t>
      </w:r>
    </w:p>
    <w:p>
      <w:pPr>
        <w:pStyle w:val="Normal"/>
        <w:jc w:val="left"/>
        <w:rPr>
          <w:iCs/>
        </w:rPr>
      </w:pPr>
      <w:r>
        <w:rPr>
          <w:iCs/>
        </w:rPr>
        <w:t>nákup malotraktora v sume 14.798,00 EUR</w:t>
      </w:r>
    </w:p>
    <w:p>
      <w:pPr>
        <w:pStyle w:val="Normal"/>
        <w:jc w:val="left"/>
        <w:rPr/>
      </w:pPr>
      <w:r>
        <w:rPr>
          <w:iCs/>
        </w:rPr>
        <w:t>vybudovanie chodníka v sume 10.150,00 EUR</w:t>
      </w:r>
    </w:p>
    <w:p>
      <w:pPr>
        <w:pStyle w:val="Normal"/>
        <w:tabs>
          <w:tab w:val="clear" w:pos="708"/>
          <w:tab w:val="right" w:pos="709" w:leader="none"/>
        </w:tabs>
        <w:jc w:val="left"/>
        <w:rPr/>
      </w:pPr>
      <w:r>
        <w:rPr>
          <w:iCs/>
        </w:rPr>
        <w:t>c) nevyčerpané</w:t>
      </w:r>
      <w:r>
        <w:rPr/>
        <w:t xml:space="preserve"> prostriedky</w:t>
      </w:r>
      <w:r>
        <w:rPr>
          <w:b/>
        </w:rPr>
        <w:t xml:space="preserve"> za komunálny odpad a drobný stavebný odpad   </w:t>
      </w:r>
      <w:r>
        <w:rPr/>
        <w:t xml:space="preserve">podľa zákona č.582/2004 Z.z. o miestnych daniach a miestnom poplatku za komunálne odpady a drobné stavebné odpady v z.n.p. v sume </w:t>
      </w:r>
      <w:r>
        <w:rPr>
          <w:b/>
          <w:bCs/>
        </w:rPr>
        <w:t>5.368,02 EUR,</w:t>
      </w:r>
    </w:p>
    <w:p>
      <w:pPr>
        <w:pStyle w:val="Normal"/>
        <w:tabs>
          <w:tab w:val="clear" w:pos="708"/>
          <w:tab w:val="right" w:pos="709" w:leader="none"/>
        </w:tabs>
        <w:ind w:hanging="0" w:left="1724"/>
        <w:jc w:val="both"/>
        <w:rPr>
          <w:iCs/>
        </w:rPr>
      </w:pPr>
      <w:r>
        <w:rPr>
          <w:iCs/>
        </w:rPr>
      </w:r>
    </w:p>
    <w:p>
      <w:pPr>
        <w:pStyle w:val="Normal"/>
        <w:tabs>
          <w:tab w:val="clear" w:pos="708"/>
          <w:tab w:val="right" w:pos="5580" w:leader="none"/>
        </w:tabs>
        <w:jc w:val="both"/>
        <w:rPr/>
      </w:pPr>
      <w:r>
        <w:rPr>
          <w:b/>
        </w:rPr>
        <w:t xml:space="preserve">Zostatok  finančných operácií </w:t>
      </w:r>
      <w:r>
        <w:rPr/>
        <w:t>v sume  302.066,90 EUR, bol  použitý na vysporiadanie upraveného schodku bežného a kapitálového rozpočtu v sume</w:t>
        <w:tab/>
        <w:t xml:space="preserve"> 302.066,90 EUR</w:t>
      </w:r>
    </w:p>
    <w:p>
      <w:pPr>
        <w:pStyle w:val="Normal"/>
        <w:tabs>
          <w:tab w:val="clear" w:pos="708"/>
          <w:tab w:val="right" w:pos="5580" w:leader="none"/>
        </w:tabs>
        <w:jc w:val="both"/>
        <w:rPr/>
      </w:pPr>
      <w:r>
        <w:rPr/>
        <w:t>Na základe uvedených skutočností navrhujeme vysporiadať schodok rozpočtu z rezervného fondu za rok 2024 vo výške 18,48</w:t>
      </w:r>
      <w:r>
        <w:rPr>
          <w:lang w:eastAsia="sk-SK"/>
        </w:rPr>
        <w:t xml:space="preserve"> EUR</w:t>
      </w:r>
      <w:r>
        <w:rPr/>
        <w:t xml:space="preserve">. </w:t>
      </w:r>
    </w:p>
    <w:p>
      <w:pPr>
        <w:pStyle w:val="Normal"/>
        <w:jc w:val="both"/>
        <w:rPr/>
      </w:pPr>
      <w:r>
        <w:rPr/>
        <w:t xml:space="preserve">Kontrolou finančného okruhu: finančné účty vo výške 74.267,71 EUR sa rovnajú rezervnému fondu 997,92 EUR + zložené finančné zábezpeky 8.988,00 EUR + sociálny fond 3.801,29 EUR + </w:t>
      </w:r>
      <w:r>
        <w:rPr>
          <w:iCs/>
        </w:rPr>
        <w:t>účelové finančné prostriedky</w:t>
      </w:r>
      <w:r>
        <w:rPr/>
        <w:t xml:space="preserve"> vo výške 46.956,24 EUR a finančné prostriedky vo výške 13.524,26 EUR. </w:t>
      </w:r>
    </w:p>
    <w:p>
      <w:pPr>
        <w:pStyle w:val="Normal"/>
        <w:jc w:val="both"/>
        <w:rPr>
          <w:b/>
          <w:bCs/>
          <w:color w:val="C9211E"/>
        </w:rPr>
      </w:pPr>
      <w:r>
        <w:rPr>
          <w:b/>
          <w:bCs/>
          <w:color w:val="C9211E"/>
        </w:rPr>
      </w:r>
    </w:p>
    <w:p>
      <w:pPr>
        <w:pStyle w:val="Normal"/>
        <w:tabs>
          <w:tab w:val="clear" w:pos="708"/>
          <w:tab w:val="right" w:pos="5580" w:leader="none"/>
        </w:tabs>
        <w:jc w:val="both"/>
        <w:rPr/>
      </w:pPr>
      <w:r>
        <w:rPr>
          <w:b/>
          <w:bCs/>
        </w:rPr>
        <w:t>Na základe uvedených skutočností navrhujeme tvorbu rezervného fondu za rok 2024 vo výške 13.524,26</w:t>
      </w:r>
      <w:r>
        <w:rPr>
          <w:b/>
          <w:bCs/>
          <w:lang w:eastAsia="sk-SK"/>
        </w:rPr>
        <w:t xml:space="preserve"> EUR</w:t>
      </w:r>
    </w:p>
    <w:p>
      <w:pPr>
        <w:pStyle w:val="Normal"/>
        <w:jc w:val="both"/>
        <w:rPr>
          <w:b/>
          <w:sz w:val="32"/>
          <w:szCs w:val="28"/>
        </w:rPr>
      </w:pPr>
      <w:r>
        <w:rPr>
          <w:b/>
          <w:sz w:val="32"/>
          <w:szCs w:val="28"/>
        </w:rPr>
      </w:r>
    </w:p>
    <w:p>
      <w:pPr>
        <w:pStyle w:val="Normal"/>
        <w:jc w:val="both"/>
        <w:rPr>
          <w:sz w:val="24"/>
          <w:szCs w:val="24"/>
        </w:rPr>
      </w:pPr>
      <w:r>
        <w:rPr>
          <w:b/>
          <w:sz w:val="24"/>
          <w:szCs w:val="24"/>
        </w:rPr>
        <w:t>Tvorba a použitie prostriedkov rezervného a sociálneho fondu</w:t>
      </w:r>
    </w:p>
    <w:p>
      <w:pPr>
        <w:pStyle w:val="Normal"/>
        <w:jc w:val="both"/>
        <w:rPr/>
      </w:pPr>
      <w:r>
        <w:rPr/>
      </w:r>
    </w:p>
    <w:p>
      <w:pPr>
        <w:pStyle w:val="Normal"/>
        <w:jc w:val="both"/>
        <w:rPr/>
      </w:pPr>
      <w:r>
        <w:rPr>
          <w:b/>
          <w:sz w:val="24"/>
          <w:szCs w:val="24"/>
        </w:rPr>
        <w:t xml:space="preserve"> </w:t>
      </w:r>
      <w:r>
        <w:rPr>
          <w:b/>
          <w:sz w:val="24"/>
          <w:szCs w:val="24"/>
        </w:rPr>
        <w:t>Rezervný fond</w:t>
      </w:r>
    </w:p>
    <w:p>
      <w:pPr>
        <w:pStyle w:val="Normal"/>
        <w:jc w:val="both"/>
        <w:rPr/>
      </w:pPr>
      <w:r>
        <w:rPr/>
        <w:t>Obec vytvára rezervný fond v zmysle ustanovenia § 15 zákona č.583/2004 Z. z. v z. n. p.. O použití rezervného fondu rozhoduje obecné zastupiteľstvo.</w:t>
      </w:r>
    </w:p>
    <w:p>
      <w:pPr>
        <w:pStyle w:val="Normal"/>
        <w:tabs>
          <w:tab w:val="clear" w:pos="708"/>
          <w:tab w:val="right" w:pos="7560" w:leader="none"/>
        </w:tabs>
        <w:rPr/>
      </w:pPr>
      <w:r>
        <w:rPr>
          <w:b/>
        </w:rPr>
        <w:tab/>
        <w:tab/>
        <w:tab/>
        <w:t xml:space="preserve">          </w:t>
      </w:r>
    </w:p>
    <w:tbl>
      <w:tblPr>
        <w:tblW w:w="9750" w:type="dxa"/>
        <w:jc w:val="left"/>
        <w:tblInd w:w="122" w:type="dxa"/>
        <w:tblLayout w:type="fixed"/>
        <w:tblCellMar>
          <w:top w:w="0" w:type="dxa"/>
          <w:left w:w="103" w:type="dxa"/>
          <w:bottom w:w="0" w:type="dxa"/>
          <w:right w:w="108" w:type="dxa"/>
        </w:tblCellMar>
        <w:tblLook w:firstRow="1" w:noVBand="1" w:lastRow="0" w:firstColumn="1" w:lastColumn="0" w:noHBand="0" w:val="04a0"/>
      </w:tblPr>
      <w:tblGrid>
        <w:gridCol w:w="4980"/>
        <w:gridCol w:w="4769"/>
      </w:tblGrid>
      <w:tr>
        <w:trPr>
          <w:trHeight w:val="390" w:hRule="atLeast"/>
        </w:trPr>
        <w:tc>
          <w:tcPr>
            <w:tcW w:w="4980" w:type="dxa"/>
            <w:tcBorders>
              <w:top w:val="single" w:sz="4" w:space="0" w:color="000000"/>
              <w:left w:val="single" w:sz="4" w:space="0" w:color="000000"/>
              <w:bottom w:val="single" w:sz="4" w:space="0" w:color="000000"/>
            </w:tcBorders>
            <w:shd w:color="auto" w:fill="D9D9D9" w:val="clear"/>
          </w:tcPr>
          <w:p>
            <w:pPr>
              <w:pStyle w:val="Normal"/>
              <w:rPr>
                <w:b/>
              </w:rPr>
            </w:pPr>
            <w:r>
              <w:rPr>
                <w:b/>
              </w:rPr>
              <w:t>Fond rezervný</w:t>
            </w:r>
          </w:p>
        </w:tc>
        <w:tc>
          <w:tcPr>
            <w:tcW w:w="47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b/>
              </w:rPr>
            </w:pPr>
            <w:r>
              <w:rPr>
                <w:b/>
              </w:rPr>
              <w:t>Suma v EUR</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ZS k 1.1.2024</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b/>
                <w:bCs/>
              </w:rPr>
            </w:pPr>
            <w:r>
              <w:rPr>
                <w:b/>
                <w:bCs/>
              </w:rPr>
              <w:t>17.006,84</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Prírastky - z prebytku hospodárenia</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b/>
                <w:bCs/>
              </w:rPr>
            </w:pPr>
            <w:r>
              <w:rPr>
                <w:b/>
                <w:bCs/>
              </w:rPr>
              <w:t>22.817,08</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 xml:space="preserve">               </w:t>
            </w:r>
            <w:r>
              <w:rPr/>
              <w:t>- ostatné prírastky</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pPr>
            <w:r>
              <w:rPr/>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Úbytky</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b/>
                <w:bCs/>
              </w:rPr>
            </w:pPr>
            <w:r>
              <w:rPr>
                <w:b/>
                <w:bCs/>
              </w:rPr>
              <w:t>38.826,00</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 xml:space="preserve">               </w:t>
            </w:r>
            <w:r>
              <w:rPr/>
              <w:t>- projektová dokumentácia</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pPr>
            <w:r>
              <w:rPr/>
              <w:t>1.680,00</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 xml:space="preserve">               </w:t>
            </w:r>
            <w:r>
              <w:rPr/>
              <w:t>- kurty</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pPr>
            <w:r>
              <w:rPr/>
              <w:t>30.000,00</w:t>
            </w:r>
          </w:p>
        </w:tc>
      </w:tr>
      <w:tr>
        <w:trPr/>
        <w:tc>
          <w:tcPr>
            <w:tcW w:w="4980" w:type="dxa"/>
            <w:tcBorders>
              <w:top w:val="single" w:sz="4" w:space="0" w:color="000000"/>
              <w:left w:val="single" w:sz="4" w:space="0" w:color="000000"/>
              <w:bottom w:val="single" w:sz="4" w:space="0" w:color="000000"/>
            </w:tcBorders>
            <w:shd w:fill="auto" w:val="clear"/>
          </w:tcPr>
          <w:p>
            <w:pPr>
              <w:pStyle w:val="Normal"/>
              <w:rPr/>
            </w:pPr>
            <w:r>
              <w:rPr/>
              <w:t xml:space="preserve">               </w:t>
            </w:r>
            <w:r>
              <w:rPr/>
              <w:t>- zariadenie DS (chladiace zariadenia)</w:t>
            </w:r>
          </w:p>
        </w:tc>
        <w:tc>
          <w:tcPr>
            <w:tcW w:w="476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right"/>
              <w:rPr/>
            </w:pPr>
            <w:r>
              <w:rPr/>
              <w:t>7.146,00</w:t>
            </w:r>
          </w:p>
        </w:tc>
      </w:tr>
      <w:tr>
        <w:trPr/>
        <w:tc>
          <w:tcPr>
            <w:tcW w:w="4980" w:type="dxa"/>
            <w:tcBorders>
              <w:top w:val="single" w:sz="4" w:space="0" w:color="000000"/>
              <w:left w:val="single" w:sz="4" w:space="0" w:color="000000"/>
              <w:bottom w:val="single" w:sz="4" w:space="0" w:color="000000"/>
            </w:tcBorders>
            <w:shd w:color="auto" w:fill="D9D9D9" w:val="clear"/>
          </w:tcPr>
          <w:p>
            <w:pPr>
              <w:pStyle w:val="Normal"/>
              <w:rPr/>
            </w:pPr>
            <w:r>
              <w:rPr/>
              <w:t>KZ k 31.12.2024</w:t>
            </w:r>
          </w:p>
        </w:tc>
        <w:tc>
          <w:tcPr>
            <w:tcW w:w="47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snapToGrid w:val="false"/>
              <w:jc w:val="right"/>
              <w:rPr>
                <w:b/>
                <w:bCs/>
              </w:rPr>
            </w:pPr>
            <w:r>
              <w:rPr>
                <w:b/>
                <w:bCs/>
              </w:rPr>
              <w:t>997,92</w:t>
            </w:r>
          </w:p>
        </w:tc>
      </w:tr>
    </w:tbl>
    <w:p>
      <w:pPr>
        <w:pStyle w:val="Normal"/>
        <w:rPr/>
      </w:pPr>
      <w:r>
        <w:rPr>
          <w:b/>
          <w:color w:val="C9211E"/>
          <w:sz w:val="28"/>
        </w:rPr>
        <w:tab/>
      </w:r>
    </w:p>
    <w:p>
      <w:pPr>
        <w:pStyle w:val="Normal"/>
        <w:rPr>
          <w:sz w:val="24"/>
          <w:szCs w:val="24"/>
        </w:rPr>
      </w:pPr>
      <w:r>
        <w:rPr>
          <w:b/>
          <w:sz w:val="24"/>
          <w:szCs w:val="24"/>
        </w:rPr>
        <w:t>Sociálny fond</w:t>
      </w:r>
    </w:p>
    <w:p>
      <w:pPr>
        <w:pStyle w:val="Normal"/>
        <w:rPr/>
      </w:pPr>
      <w:r>
        <w:rPr/>
        <w:t>Tvorbu a použitie sociálneho fondu upravujú zásady tvorby a použitia sociálneho fondu.</w:t>
      </w:r>
    </w:p>
    <w:p>
      <w:pPr>
        <w:pStyle w:val="Normal"/>
        <w:tabs>
          <w:tab w:val="clear" w:pos="708"/>
          <w:tab w:val="right" w:pos="7560" w:leader="none"/>
        </w:tabs>
        <w:rPr/>
      </w:pPr>
      <w:r>
        <w:rPr/>
      </w:r>
    </w:p>
    <w:tbl>
      <w:tblPr>
        <w:tblW w:w="9690" w:type="dxa"/>
        <w:jc w:val="left"/>
        <w:tblInd w:w="182" w:type="dxa"/>
        <w:tblLayout w:type="fixed"/>
        <w:tblCellMar>
          <w:top w:w="0" w:type="dxa"/>
          <w:left w:w="103" w:type="dxa"/>
          <w:bottom w:w="0" w:type="dxa"/>
          <w:right w:w="108" w:type="dxa"/>
        </w:tblCellMar>
        <w:tblLook w:firstRow="1" w:noVBand="1" w:lastRow="0" w:firstColumn="1" w:lastColumn="0" w:noHBand="0" w:val="04a0"/>
      </w:tblPr>
      <w:tblGrid>
        <w:gridCol w:w="4919"/>
        <w:gridCol w:w="4770"/>
      </w:tblGrid>
      <w:tr>
        <w:trPr/>
        <w:tc>
          <w:tcPr>
            <w:tcW w:w="4919" w:type="dxa"/>
            <w:tcBorders>
              <w:top w:val="single" w:sz="4" w:space="0" w:color="000000"/>
              <w:left w:val="single" w:sz="4" w:space="0" w:color="000000"/>
              <w:bottom w:val="single" w:sz="4" w:space="0" w:color="000000"/>
            </w:tcBorders>
            <w:shd w:fill="auto" w:val="clear"/>
          </w:tcPr>
          <w:p>
            <w:pPr>
              <w:pStyle w:val="Normal"/>
              <w:rPr>
                <w:b/>
              </w:rPr>
            </w:pPr>
            <w:r>
              <w:rPr>
                <w:b/>
              </w:rPr>
              <w:t>Sociálny fond</w:t>
            </w:r>
          </w:p>
        </w:tc>
        <w:tc>
          <w:tcPr>
            <w:tcW w:w="477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b/>
              </w:rPr>
            </w:pPr>
            <w:r>
              <w:rPr>
                <w:b/>
              </w:rPr>
              <w:t>Suma v EUR</w:t>
            </w:r>
          </w:p>
        </w:tc>
      </w:tr>
      <w:tr>
        <w:trPr/>
        <w:tc>
          <w:tcPr>
            <w:tcW w:w="4919" w:type="dxa"/>
            <w:tcBorders>
              <w:top w:val="single" w:sz="4" w:space="0" w:color="000000"/>
              <w:left w:val="single" w:sz="4" w:space="0" w:color="000000"/>
              <w:bottom w:val="single" w:sz="4" w:space="0" w:color="000000"/>
            </w:tcBorders>
            <w:shd w:fill="auto" w:val="clear"/>
          </w:tcPr>
          <w:p>
            <w:pPr>
              <w:pStyle w:val="Normal"/>
              <w:rPr/>
            </w:pPr>
            <w:r>
              <w:rPr/>
              <w:t>ZS k 1.1.2024</w:t>
            </w:r>
          </w:p>
        </w:tc>
        <w:tc>
          <w:tcPr>
            <w:tcW w:w="477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2.993,58</w:t>
            </w:r>
          </w:p>
        </w:tc>
      </w:tr>
      <w:tr>
        <w:trPr/>
        <w:tc>
          <w:tcPr>
            <w:tcW w:w="4919" w:type="dxa"/>
            <w:tcBorders>
              <w:top w:val="single" w:sz="4" w:space="0" w:color="000000"/>
              <w:left w:val="single" w:sz="4" w:space="0" w:color="000000"/>
              <w:bottom w:val="single" w:sz="4" w:space="0" w:color="000000"/>
            </w:tcBorders>
            <w:shd w:fill="auto" w:val="clear"/>
          </w:tcPr>
          <w:p>
            <w:pPr>
              <w:pStyle w:val="Normal"/>
              <w:rPr/>
            </w:pPr>
            <w:r>
              <w:rPr/>
              <w:t>Prírastky - povinný prídel</w:t>
            </w:r>
          </w:p>
        </w:tc>
        <w:tc>
          <w:tcPr>
            <w:tcW w:w="477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1.074,51</w:t>
            </w:r>
          </w:p>
        </w:tc>
      </w:tr>
      <w:tr>
        <w:trPr/>
        <w:tc>
          <w:tcPr>
            <w:tcW w:w="4919" w:type="dxa"/>
            <w:tcBorders>
              <w:top w:val="single" w:sz="4" w:space="0" w:color="000000"/>
              <w:left w:val="single" w:sz="4" w:space="0" w:color="000000"/>
              <w:bottom w:val="single" w:sz="4" w:space="0" w:color="000000"/>
            </w:tcBorders>
            <w:shd w:fill="auto" w:val="clear"/>
          </w:tcPr>
          <w:p>
            <w:pPr>
              <w:pStyle w:val="Normal"/>
              <w:rPr/>
            </w:pPr>
            <w:r>
              <w:rPr/>
              <w:t xml:space="preserve">               </w:t>
            </w:r>
            <w:r>
              <w:rPr/>
              <w:t>- ostatné prírastky</w:t>
            </w:r>
          </w:p>
        </w:tc>
        <w:tc>
          <w:tcPr>
            <w:tcW w:w="477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r>
          </w:p>
        </w:tc>
      </w:tr>
      <w:tr>
        <w:trPr/>
        <w:tc>
          <w:tcPr>
            <w:tcW w:w="4919" w:type="dxa"/>
            <w:tcBorders>
              <w:top w:val="single" w:sz="4" w:space="0" w:color="000000"/>
              <w:left w:val="single" w:sz="4" w:space="0" w:color="000000"/>
              <w:bottom w:val="single" w:sz="4" w:space="0" w:color="000000"/>
            </w:tcBorders>
            <w:shd w:fill="auto" w:val="clear"/>
          </w:tcPr>
          <w:p>
            <w:pPr>
              <w:pStyle w:val="Normal"/>
              <w:rPr/>
            </w:pPr>
            <w:r>
              <w:rPr/>
              <w:t>Úbytky   - stravovanie</w:t>
            </w:r>
          </w:p>
        </w:tc>
        <w:tc>
          <w:tcPr>
            <w:tcW w:w="477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266,80</w:t>
            </w:r>
          </w:p>
        </w:tc>
      </w:tr>
      <w:tr>
        <w:trPr/>
        <w:tc>
          <w:tcPr>
            <w:tcW w:w="4919" w:type="dxa"/>
            <w:tcBorders>
              <w:top w:val="single" w:sz="4" w:space="0" w:color="000000"/>
              <w:left w:val="single" w:sz="4" w:space="0" w:color="000000"/>
              <w:bottom w:val="single" w:sz="4" w:space="0" w:color="000000"/>
            </w:tcBorders>
            <w:shd w:fill="auto" w:val="clear"/>
          </w:tcPr>
          <w:p>
            <w:pPr>
              <w:pStyle w:val="Normal"/>
              <w:rPr/>
            </w:pPr>
            <w:r>
              <w:rPr/>
              <w:t xml:space="preserve">               </w:t>
            </w:r>
            <w:r>
              <w:rPr/>
              <w:t>- ostatné úbytky</w:t>
            </w:r>
          </w:p>
        </w:tc>
        <w:tc>
          <w:tcPr>
            <w:tcW w:w="477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r>
          </w:p>
        </w:tc>
      </w:tr>
      <w:tr>
        <w:trPr/>
        <w:tc>
          <w:tcPr>
            <w:tcW w:w="4919" w:type="dxa"/>
            <w:tcBorders>
              <w:top w:val="single" w:sz="4" w:space="0" w:color="000000"/>
              <w:left w:val="single" w:sz="4" w:space="0" w:color="000000"/>
              <w:bottom w:val="single" w:sz="4" w:space="0" w:color="000000"/>
            </w:tcBorders>
            <w:shd w:color="auto" w:fill="D9D9D9" w:val="clear"/>
          </w:tcPr>
          <w:p>
            <w:pPr>
              <w:pStyle w:val="Normal"/>
              <w:rPr/>
            </w:pPr>
            <w:r>
              <w:rPr/>
              <w:t>KZ k 31.12.2024</w:t>
            </w:r>
          </w:p>
        </w:tc>
        <w:tc>
          <w:tcPr>
            <w:tcW w:w="4770" w:type="dxa"/>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Normal"/>
              <w:snapToGrid w:val="false"/>
              <w:jc w:val="right"/>
              <w:rPr/>
            </w:pPr>
            <w:r>
              <w:rPr/>
              <w:t>3.801,29</w:t>
            </w:r>
          </w:p>
        </w:tc>
      </w:tr>
    </w:tbl>
    <w:p>
      <w:pPr>
        <w:pStyle w:val="Normal"/>
        <w:rPr>
          <w:b/>
          <w:sz w:val="28"/>
          <w:szCs w:val="28"/>
        </w:rPr>
      </w:pPr>
      <w:r>
        <w:rPr>
          <w:b/>
          <w:sz w:val="28"/>
          <w:szCs w:val="28"/>
        </w:rPr>
      </w:r>
    </w:p>
    <w:p>
      <w:pPr>
        <w:pStyle w:val="Normal"/>
        <w:rPr>
          <w:b/>
          <w:color w:val="C9211E"/>
          <w:sz w:val="28"/>
          <w:szCs w:val="28"/>
        </w:rPr>
      </w:pPr>
      <w:r>
        <w:rPr>
          <w:b/>
          <w:color w:val="C9211E"/>
          <w:sz w:val="28"/>
          <w:szCs w:val="28"/>
        </w:rPr>
      </w:r>
    </w:p>
    <w:p>
      <w:pPr>
        <w:pStyle w:val="Normal"/>
        <w:rPr>
          <w:b/>
          <w:color w:val="C9211E"/>
          <w:sz w:val="28"/>
          <w:szCs w:val="28"/>
        </w:rPr>
      </w:pPr>
      <w:r>
        <w:rPr>
          <w:b/>
          <w:color w:val="C9211E"/>
          <w:sz w:val="28"/>
          <w:szCs w:val="28"/>
        </w:rPr>
      </w:r>
    </w:p>
    <w:p>
      <w:pPr>
        <w:pStyle w:val="Normal"/>
        <w:rPr>
          <w:b/>
          <w:color w:val="C9211E"/>
          <w:sz w:val="28"/>
          <w:szCs w:val="28"/>
        </w:rPr>
      </w:pPr>
      <w:r>
        <w:rPr>
          <w:b/>
          <w:color w:val="C9211E"/>
          <w:sz w:val="28"/>
          <w:szCs w:val="28"/>
        </w:rPr>
      </w:r>
    </w:p>
    <w:p>
      <w:pPr>
        <w:pStyle w:val="Normal"/>
        <w:rPr>
          <w:b/>
          <w:color w:val="C9211E"/>
          <w:sz w:val="28"/>
          <w:szCs w:val="28"/>
        </w:rPr>
      </w:pPr>
      <w:r>
        <w:rPr>
          <w:b/>
          <w:color w:val="C9211E"/>
          <w:sz w:val="28"/>
          <w:szCs w:val="28"/>
        </w:rPr>
      </w:r>
    </w:p>
    <w:p>
      <w:pPr>
        <w:pStyle w:val="Normal"/>
        <w:rPr>
          <w:b/>
          <w:color w:val="C9211E"/>
          <w:sz w:val="28"/>
          <w:szCs w:val="28"/>
        </w:rPr>
      </w:pPr>
      <w:r>
        <w:rPr>
          <w:b/>
          <w:color w:val="C9211E"/>
          <w:sz w:val="28"/>
          <w:szCs w:val="28"/>
        </w:rPr>
      </w:r>
    </w:p>
    <w:p>
      <w:pPr>
        <w:pStyle w:val="Normal"/>
        <w:rPr>
          <w:b/>
          <w:color w:val="C9211E"/>
          <w:sz w:val="28"/>
          <w:szCs w:val="28"/>
        </w:rPr>
      </w:pPr>
      <w:r>
        <w:rPr>
          <w:b/>
          <w:color w:val="C9211E"/>
          <w:sz w:val="28"/>
          <w:szCs w:val="28"/>
        </w:rPr>
      </w:r>
    </w:p>
    <w:p>
      <w:pPr>
        <w:pStyle w:val="Normal"/>
        <w:rPr/>
      </w:pPr>
      <w:r>
        <w:rPr>
          <w:b/>
          <w:color w:val="C9211E"/>
          <w:sz w:val="32"/>
          <w:szCs w:val="28"/>
        </w:rPr>
        <w:tab/>
      </w:r>
    </w:p>
    <w:p>
      <w:pPr>
        <w:pStyle w:val="Normal"/>
        <w:rPr>
          <w:sz w:val="28"/>
          <w:szCs w:val="28"/>
        </w:rPr>
      </w:pPr>
      <w:r>
        <w:rPr>
          <w:b/>
          <w:sz w:val="28"/>
          <w:szCs w:val="28"/>
        </w:rPr>
        <w:t>4. Bilancia aktív a pasív k 31.12.2024</w:t>
      </w:r>
    </w:p>
    <w:p>
      <w:pPr>
        <w:pStyle w:val="Normal"/>
        <w:rPr>
          <w:b/>
          <w:sz w:val="28"/>
          <w:szCs w:val="28"/>
        </w:rPr>
      </w:pPr>
      <w:r>
        <w:rPr>
          <w:b/>
          <w:sz w:val="28"/>
          <w:szCs w:val="28"/>
        </w:rPr>
      </w:r>
    </w:p>
    <w:p>
      <w:pPr>
        <w:pStyle w:val="Normal"/>
        <w:spacing w:lineRule="auto" w:line="360"/>
        <w:jc w:val="both"/>
        <w:rPr/>
      </w:pPr>
      <w:r>
        <w:rPr/>
        <w:t xml:space="preserve">A K T Í V A </w:t>
      </w:r>
    </w:p>
    <w:tbl>
      <w:tblPr>
        <w:tblW w:w="9870" w:type="dxa"/>
        <w:jc w:val="left"/>
        <w:tblInd w:w="-5" w:type="dxa"/>
        <w:tblLayout w:type="fixed"/>
        <w:tblCellMar>
          <w:top w:w="0" w:type="dxa"/>
          <w:left w:w="65" w:type="dxa"/>
          <w:bottom w:w="0" w:type="dxa"/>
          <w:right w:w="70" w:type="dxa"/>
        </w:tblCellMar>
        <w:tblLook w:firstRow="1" w:noVBand="1" w:lastRow="0" w:firstColumn="1" w:lastColumn="0" w:noHBand="0" w:val="04a0"/>
      </w:tblPr>
      <w:tblGrid>
        <w:gridCol w:w="3752"/>
        <w:gridCol w:w="2872"/>
        <w:gridCol w:w="3246"/>
      </w:tblGrid>
      <w:tr>
        <w:trPr/>
        <w:tc>
          <w:tcPr>
            <w:tcW w:w="3752" w:type="dxa"/>
            <w:tcBorders>
              <w:top w:val="single" w:sz="4" w:space="0" w:color="000000"/>
              <w:left w:val="single" w:sz="4" w:space="0" w:color="000000"/>
              <w:bottom w:val="single" w:sz="4" w:space="0" w:color="000000"/>
            </w:tcBorders>
            <w:shd w:color="auto" w:fill="D9D9D9" w:val="clear"/>
          </w:tcPr>
          <w:p>
            <w:pPr>
              <w:pStyle w:val="Normal"/>
              <w:spacing w:lineRule="auto" w:line="360"/>
              <w:jc w:val="center"/>
              <w:rPr>
                <w:b/>
              </w:rPr>
            </w:pPr>
            <w:r>
              <w:rPr>
                <w:b/>
              </w:rPr>
              <w:t>Názov</w:t>
            </w:r>
          </w:p>
        </w:tc>
        <w:tc>
          <w:tcPr>
            <w:tcW w:w="2872" w:type="dxa"/>
            <w:tcBorders>
              <w:top w:val="single" w:sz="4" w:space="0" w:color="000000"/>
              <w:left w:val="single" w:sz="4" w:space="0" w:color="000000"/>
              <w:bottom w:val="single" w:sz="4" w:space="0" w:color="000000"/>
            </w:tcBorders>
            <w:shd w:color="auto" w:fill="D9D9D9" w:val="clear"/>
          </w:tcPr>
          <w:p>
            <w:pPr>
              <w:pStyle w:val="Normal"/>
              <w:spacing w:lineRule="auto" w:line="360"/>
              <w:jc w:val="center"/>
              <w:rPr>
                <w:b/>
              </w:rPr>
            </w:pPr>
            <w:r>
              <w:rPr>
                <w:b/>
              </w:rPr>
              <w:t>ZS  k  1.1.2024</w:t>
            </w:r>
          </w:p>
        </w:tc>
        <w:tc>
          <w:tcPr>
            <w:tcW w:w="3246" w:type="dxa"/>
            <w:tcBorders>
              <w:top w:val="single" w:sz="4" w:space="0" w:color="000000"/>
              <w:left w:val="single" w:sz="4" w:space="0" w:color="000000"/>
              <w:bottom w:val="single" w:sz="4" w:space="0" w:color="000000"/>
              <w:right w:val="single" w:sz="4" w:space="0" w:color="000000"/>
            </w:tcBorders>
            <w:shd w:color="auto" w:fill="D9D9D9" w:val="clear"/>
          </w:tcPr>
          <w:p>
            <w:pPr>
              <w:pStyle w:val="Normal"/>
              <w:spacing w:lineRule="auto" w:line="360"/>
              <w:jc w:val="center"/>
              <w:rPr>
                <w:b/>
              </w:rPr>
            </w:pPr>
            <w:r>
              <w:rPr>
                <w:b/>
              </w:rPr>
              <w:t>KZ  k  31.12.2024</w:t>
            </w:r>
          </w:p>
        </w:tc>
      </w:tr>
      <w:tr>
        <w:trPr/>
        <w:tc>
          <w:tcPr>
            <w:tcW w:w="3752" w:type="dxa"/>
            <w:tcBorders>
              <w:top w:val="single" w:sz="4" w:space="0" w:color="000000"/>
              <w:left w:val="single" w:sz="4" w:space="0" w:color="000000"/>
              <w:bottom w:val="single" w:sz="4" w:space="0" w:color="000000"/>
            </w:tcBorders>
            <w:shd w:color="auto" w:fill="C4BC96" w:val="clear"/>
          </w:tcPr>
          <w:p>
            <w:pPr>
              <w:pStyle w:val="Normal"/>
              <w:spacing w:lineRule="auto" w:line="360"/>
              <w:jc w:val="both"/>
              <w:rPr>
                <w:b/>
              </w:rPr>
            </w:pPr>
            <w:r>
              <w:rPr>
                <w:b/>
              </w:rPr>
              <w:t>Majetok spolu</w:t>
            </w:r>
          </w:p>
        </w:tc>
        <w:tc>
          <w:tcPr>
            <w:tcW w:w="2872" w:type="dxa"/>
            <w:tcBorders>
              <w:top w:val="single" w:sz="4" w:space="0" w:color="000000"/>
              <w:left w:val="single" w:sz="4" w:space="0" w:color="000000"/>
              <w:bottom w:val="single" w:sz="4" w:space="0" w:color="000000"/>
            </w:tcBorders>
            <w:shd w:color="auto" w:fill="C4BC96" w:val="clear"/>
          </w:tcPr>
          <w:p>
            <w:pPr>
              <w:pStyle w:val="Normal"/>
              <w:snapToGrid w:val="false"/>
              <w:spacing w:lineRule="auto" w:line="360"/>
              <w:jc w:val="right"/>
              <w:rPr>
                <w:b/>
              </w:rPr>
            </w:pPr>
            <w:r>
              <w:rPr>
                <w:b/>
              </w:rPr>
              <w:t>2.997.235,32</w:t>
            </w:r>
          </w:p>
        </w:tc>
        <w:tc>
          <w:tcPr>
            <w:tcW w:w="3246" w:type="dxa"/>
            <w:tcBorders>
              <w:top w:val="single" w:sz="4" w:space="0" w:color="000000"/>
              <w:left w:val="single" w:sz="4" w:space="0" w:color="000000"/>
              <w:bottom w:val="single" w:sz="4" w:space="0" w:color="000000"/>
              <w:right w:val="single" w:sz="4" w:space="0" w:color="000000"/>
            </w:tcBorders>
            <w:shd w:color="auto" w:fill="C4BC96" w:val="clear"/>
          </w:tcPr>
          <w:p>
            <w:pPr>
              <w:pStyle w:val="Normal"/>
              <w:snapToGrid w:val="false"/>
              <w:spacing w:lineRule="auto" w:line="360"/>
              <w:jc w:val="right"/>
              <w:rPr>
                <w:b/>
              </w:rPr>
            </w:pPr>
            <w:r>
              <w:rPr>
                <w:b/>
              </w:rPr>
              <w:t>3.059.961,64</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Neobežný majetok spolu</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2.731.416,71</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2.962.423,28</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 toho :</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Dlhodobý nehmotný majetok</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11.567,85</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8.989,25</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Dlhodobý hmotný majetok</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2.420.484,46</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2.654.069,63</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Dlhodobý finančný majetok</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299.364,40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299.364,40</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Obežný majetok spolu</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264.388,90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95.905,71</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 toho :</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Zásoby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1.419,00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825,00</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Zúčtovanie medzi subjektami VS</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871,39</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972,46</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Dlhodobé pohľadávky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0,00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0,00</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Krátkodobé pohľadávky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12.150,11</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19.840,54</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Finančné účty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249.948,40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74.267,71</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Časové rozlíšenie</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1.429,71</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1.632,65</w:t>
            </w:r>
          </w:p>
        </w:tc>
      </w:tr>
    </w:tbl>
    <w:p>
      <w:pPr>
        <w:pStyle w:val="Normal"/>
        <w:spacing w:lineRule="auto" w:line="360"/>
        <w:jc w:val="both"/>
        <w:rPr/>
      </w:pPr>
      <w:r>
        <w:rPr/>
        <w:t>P A S Í V A</w:t>
      </w:r>
    </w:p>
    <w:tbl>
      <w:tblPr>
        <w:tblW w:w="9870" w:type="dxa"/>
        <w:jc w:val="left"/>
        <w:tblInd w:w="-5" w:type="dxa"/>
        <w:tblLayout w:type="fixed"/>
        <w:tblCellMar>
          <w:top w:w="0" w:type="dxa"/>
          <w:left w:w="65" w:type="dxa"/>
          <w:bottom w:w="0" w:type="dxa"/>
          <w:right w:w="70" w:type="dxa"/>
        </w:tblCellMar>
        <w:tblLook w:firstRow="1" w:noVBand="1" w:lastRow="0" w:firstColumn="1" w:lastColumn="0" w:noHBand="0" w:val="04a0"/>
      </w:tblPr>
      <w:tblGrid>
        <w:gridCol w:w="3752"/>
        <w:gridCol w:w="2872"/>
        <w:gridCol w:w="3246"/>
      </w:tblGrid>
      <w:tr>
        <w:trPr/>
        <w:tc>
          <w:tcPr>
            <w:tcW w:w="3752" w:type="dxa"/>
            <w:tcBorders>
              <w:top w:val="single" w:sz="4" w:space="0" w:color="000000"/>
              <w:left w:val="single" w:sz="4" w:space="0" w:color="000000"/>
              <w:bottom w:val="single" w:sz="4" w:space="0" w:color="000000"/>
            </w:tcBorders>
            <w:shd w:color="auto" w:fill="D9D9D9" w:val="clear"/>
          </w:tcPr>
          <w:p>
            <w:pPr>
              <w:pStyle w:val="Normal"/>
              <w:spacing w:lineRule="auto" w:line="360"/>
              <w:jc w:val="center"/>
              <w:rPr>
                <w:b/>
              </w:rPr>
            </w:pPr>
            <w:r>
              <w:rPr>
                <w:b/>
              </w:rPr>
              <w:t>Názov</w:t>
            </w:r>
          </w:p>
        </w:tc>
        <w:tc>
          <w:tcPr>
            <w:tcW w:w="2872" w:type="dxa"/>
            <w:tcBorders>
              <w:top w:val="single" w:sz="4" w:space="0" w:color="000000"/>
              <w:left w:val="single" w:sz="4" w:space="0" w:color="000000"/>
              <w:bottom w:val="single" w:sz="4" w:space="0" w:color="000000"/>
            </w:tcBorders>
            <w:shd w:color="auto" w:fill="D9D9D9" w:val="clear"/>
          </w:tcPr>
          <w:p>
            <w:pPr>
              <w:pStyle w:val="Normal"/>
              <w:spacing w:lineRule="auto" w:line="360"/>
              <w:jc w:val="center"/>
              <w:rPr>
                <w:b/>
              </w:rPr>
            </w:pPr>
            <w:r>
              <w:rPr>
                <w:b/>
              </w:rPr>
              <w:t>ZS  k  1.1.2024</w:t>
            </w:r>
          </w:p>
        </w:tc>
        <w:tc>
          <w:tcPr>
            <w:tcW w:w="3246" w:type="dxa"/>
            <w:tcBorders>
              <w:top w:val="single" w:sz="4" w:space="0" w:color="000000"/>
              <w:left w:val="single" w:sz="4" w:space="0" w:color="000000"/>
              <w:bottom w:val="single" w:sz="4" w:space="0" w:color="000000"/>
              <w:right w:val="single" w:sz="4" w:space="0" w:color="000000"/>
            </w:tcBorders>
            <w:shd w:color="auto" w:fill="D9D9D9" w:val="clear"/>
          </w:tcPr>
          <w:p>
            <w:pPr>
              <w:pStyle w:val="Normal"/>
              <w:spacing w:lineRule="auto" w:line="360"/>
              <w:jc w:val="center"/>
              <w:rPr>
                <w:b/>
              </w:rPr>
            </w:pPr>
            <w:r>
              <w:rPr>
                <w:b/>
              </w:rPr>
              <w:t>KZ  k  31.12.2024</w:t>
            </w:r>
          </w:p>
        </w:tc>
      </w:tr>
      <w:tr>
        <w:trPr/>
        <w:tc>
          <w:tcPr>
            <w:tcW w:w="3752" w:type="dxa"/>
            <w:tcBorders>
              <w:top w:val="single" w:sz="4" w:space="0" w:color="000000"/>
              <w:left w:val="single" w:sz="4" w:space="0" w:color="000000"/>
              <w:bottom w:val="single" w:sz="4" w:space="0" w:color="000000"/>
            </w:tcBorders>
            <w:shd w:color="auto" w:fill="C4BC96" w:val="clear"/>
          </w:tcPr>
          <w:p>
            <w:pPr>
              <w:pStyle w:val="Normal"/>
              <w:spacing w:lineRule="auto" w:line="360"/>
              <w:jc w:val="both"/>
              <w:rPr>
                <w:b/>
              </w:rPr>
            </w:pPr>
            <w:r>
              <w:rPr>
                <w:b/>
              </w:rPr>
              <w:t>Vlastné imanie a záväzky spolu</w:t>
            </w:r>
          </w:p>
        </w:tc>
        <w:tc>
          <w:tcPr>
            <w:tcW w:w="2872" w:type="dxa"/>
            <w:tcBorders>
              <w:top w:val="single" w:sz="4" w:space="0" w:color="000000"/>
              <w:left w:val="single" w:sz="4" w:space="0" w:color="000000"/>
              <w:bottom w:val="single" w:sz="4" w:space="0" w:color="000000"/>
            </w:tcBorders>
            <w:shd w:color="auto" w:fill="C4BC96" w:val="clear"/>
          </w:tcPr>
          <w:p>
            <w:pPr>
              <w:pStyle w:val="Normal"/>
              <w:snapToGrid w:val="false"/>
              <w:spacing w:lineRule="auto" w:line="360"/>
              <w:jc w:val="right"/>
              <w:rPr>
                <w:b/>
              </w:rPr>
            </w:pPr>
            <w:r>
              <w:rPr>
                <w:b/>
              </w:rPr>
              <w:t>2.997.235,32</w:t>
            </w:r>
          </w:p>
        </w:tc>
        <w:tc>
          <w:tcPr>
            <w:tcW w:w="3246" w:type="dxa"/>
            <w:tcBorders>
              <w:top w:val="single" w:sz="4" w:space="0" w:color="000000"/>
              <w:left w:val="single" w:sz="4" w:space="0" w:color="000000"/>
              <w:bottom w:val="single" w:sz="4" w:space="0" w:color="000000"/>
              <w:right w:val="single" w:sz="4" w:space="0" w:color="000000"/>
            </w:tcBorders>
            <w:shd w:color="auto" w:fill="C4BC96" w:val="clear"/>
          </w:tcPr>
          <w:p>
            <w:pPr>
              <w:pStyle w:val="Normal"/>
              <w:snapToGrid w:val="false"/>
              <w:spacing w:lineRule="auto" w:line="360"/>
              <w:jc w:val="right"/>
              <w:rPr>
                <w:b/>
              </w:rPr>
            </w:pPr>
            <w:r>
              <w:rPr>
                <w:b/>
              </w:rPr>
              <w:t>3.059.961,64</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Vlastné imanie</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1.160.887,05</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1.177.790,15</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 toho :</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Fondy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0,00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0,00</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Výsledok hospodárenia</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1.160.887,05</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1.177.790,15</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Záväzky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848.061,92</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800.962,51</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 toho :</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Rezervy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2.100,00</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2.100,00</w:t>
            </w:r>
          </w:p>
        </w:tc>
      </w:tr>
      <w:tr>
        <w:trPr>
          <w:trHeight w:val="452" w:hRule="atLeast"/>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Zúčtovanie medzi subjektami VS</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202.534,85</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41.588,22</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Dlhodobé záväzky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343.807,27</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332.110,59</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Krátkodobé záväzky</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72.812,81</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137.635,71</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sz w:val="22"/>
                <w:szCs w:val="22"/>
              </w:rPr>
            </w:pPr>
            <w:r>
              <w:rPr>
                <w:sz w:val="22"/>
                <w:szCs w:val="22"/>
              </w:rPr>
              <w:t>Bankové úvery a výpomoci</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pPr>
            <w:r>
              <w:rPr/>
              <w:t>226.806,99</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pPr>
            <w:r>
              <w:rPr/>
              <w:t>287.527,99</w:t>
            </w:r>
          </w:p>
        </w:tc>
      </w:tr>
      <w:tr>
        <w:trPr/>
        <w:tc>
          <w:tcPr>
            <w:tcW w:w="3752" w:type="dxa"/>
            <w:tcBorders>
              <w:top w:val="single" w:sz="4" w:space="0" w:color="000000"/>
              <w:left w:val="single" w:sz="4" w:space="0" w:color="000000"/>
              <w:bottom w:val="single" w:sz="4" w:space="0" w:color="000000"/>
            </w:tcBorders>
            <w:shd w:fill="auto" w:val="clear"/>
          </w:tcPr>
          <w:p>
            <w:pPr>
              <w:pStyle w:val="Normal"/>
              <w:spacing w:lineRule="auto" w:line="360"/>
              <w:jc w:val="both"/>
              <w:rPr>
                <w:b/>
                <w:sz w:val="22"/>
                <w:szCs w:val="22"/>
              </w:rPr>
            </w:pPr>
            <w:r>
              <w:rPr>
                <w:b/>
                <w:sz w:val="22"/>
                <w:szCs w:val="22"/>
              </w:rPr>
              <w:t>Časové rozlíšenie</w:t>
            </w:r>
          </w:p>
        </w:tc>
        <w:tc>
          <w:tcPr>
            <w:tcW w:w="2872" w:type="dxa"/>
            <w:tcBorders>
              <w:top w:val="single" w:sz="4" w:space="0" w:color="000000"/>
              <w:left w:val="single" w:sz="4" w:space="0" w:color="000000"/>
              <w:bottom w:val="single" w:sz="4" w:space="0" w:color="000000"/>
            </w:tcBorders>
            <w:shd w:fill="auto" w:val="clear"/>
          </w:tcPr>
          <w:p>
            <w:pPr>
              <w:pStyle w:val="Normal"/>
              <w:snapToGrid w:val="false"/>
              <w:spacing w:lineRule="auto" w:line="360"/>
              <w:jc w:val="right"/>
              <w:rPr>
                <w:b/>
              </w:rPr>
            </w:pPr>
            <w:r>
              <w:rPr>
                <w:b/>
              </w:rPr>
              <w:t>988.286,35</w:t>
            </w:r>
          </w:p>
        </w:tc>
        <w:tc>
          <w:tcPr>
            <w:tcW w:w="3246"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360"/>
              <w:jc w:val="right"/>
              <w:rPr>
                <w:b/>
              </w:rPr>
            </w:pPr>
            <w:r>
              <w:rPr>
                <w:b/>
              </w:rPr>
              <w:t>1.081.208,98</w:t>
            </w:r>
          </w:p>
        </w:tc>
      </w:tr>
    </w:tbl>
    <w:p>
      <w:pPr>
        <w:pStyle w:val="Normal"/>
        <w:rPr>
          <w:b/>
          <w:sz w:val="32"/>
          <w:szCs w:val="28"/>
        </w:rPr>
      </w:pPr>
      <w:r>
        <w:rPr>
          <w:b/>
          <w:sz w:val="32"/>
          <w:szCs w:val="28"/>
        </w:rPr>
      </w:r>
    </w:p>
    <w:p>
      <w:pPr>
        <w:pStyle w:val="Normal"/>
        <w:rPr>
          <w:b/>
          <w:sz w:val="32"/>
          <w:szCs w:val="28"/>
        </w:rPr>
      </w:pPr>
      <w:r>
        <w:rPr>
          <w:b/>
          <w:sz w:val="32"/>
          <w:szCs w:val="28"/>
        </w:rPr>
      </w:r>
    </w:p>
    <w:p>
      <w:pPr>
        <w:pStyle w:val="Normal"/>
        <w:rPr>
          <w:b/>
          <w:sz w:val="32"/>
          <w:szCs w:val="28"/>
        </w:rPr>
      </w:pPr>
      <w:r>
        <w:rPr>
          <w:b/>
          <w:sz w:val="32"/>
          <w:szCs w:val="28"/>
        </w:rPr>
      </w:r>
    </w:p>
    <w:p>
      <w:pPr>
        <w:pStyle w:val="Normal"/>
        <w:rPr>
          <w:b/>
          <w:sz w:val="32"/>
          <w:szCs w:val="28"/>
        </w:rPr>
      </w:pPr>
      <w:r>
        <w:rPr>
          <w:b/>
          <w:sz w:val="32"/>
          <w:szCs w:val="28"/>
        </w:rPr>
      </w:r>
    </w:p>
    <w:p>
      <w:pPr>
        <w:pStyle w:val="Normal"/>
        <w:rPr>
          <w:sz w:val="28"/>
          <w:szCs w:val="28"/>
        </w:rPr>
      </w:pPr>
      <w:r>
        <w:rPr>
          <w:b/>
          <w:sz w:val="28"/>
          <w:szCs w:val="28"/>
        </w:rPr>
        <w:t>5. Vývoj pohľadávok a záväzkov k 31.12.2024</w:t>
      </w:r>
    </w:p>
    <w:p>
      <w:pPr>
        <w:pStyle w:val="Normal"/>
        <w:rPr>
          <w:sz w:val="28"/>
        </w:rPr>
      </w:pPr>
      <w:r>
        <w:rPr>
          <w:sz w:val="28"/>
        </w:rPr>
      </w:r>
    </w:p>
    <w:p>
      <w:pPr>
        <w:pStyle w:val="Normal"/>
        <w:ind w:hanging="0" w:left="360"/>
        <w:jc w:val="both"/>
        <w:rPr/>
      </w:pPr>
      <w:r>
        <w:rPr/>
        <w:t>Obec k 31.12.2024 evidovala krátkodobé pohľadávky  vo výške 19.840,54 EUR  z toho:</w:t>
      </w:r>
    </w:p>
    <w:p>
      <w:pPr>
        <w:pStyle w:val="Normal"/>
        <w:ind w:hanging="0" w:left="360"/>
        <w:jc w:val="both"/>
        <w:rPr/>
      </w:pPr>
      <w:r>
        <w:rPr/>
        <w:t>-      Nedaňové pohľadávky  (TKO)</w:t>
        <w:tab/>
        <w:tab/>
        <w:tab/>
        <w:t xml:space="preserve">  3.798,25 EUR</w:t>
      </w:r>
    </w:p>
    <w:p>
      <w:pPr>
        <w:pStyle w:val="Normal"/>
        <w:ind w:hanging="0" w:left="360"/>
        <w:jc w:val="both"/>
        <w:rPr/>
      </w:pPr>
      <w:r>
        <w:rPr/>
        <w:t>-      Daňové pohľadávky (DzN)</w:t>
        <w:tab/>
        <w:tab/>
        <w:tab/>
        <w:t xml:space="preserve">                 824,15 EUR</w:t>
      </w:r>
    </w:p>
    <w:p>
      <w:pPr>
        <w:pStyle w:val="Normal"/>
        <w:ind w:hanging="0" w:left="360"/>
        <w:jc w:val="both"/>
        <w:rPr/>
      </w:pPr>
      <w:r>
        <w:rPr/>
        <w:t>-      Opravné položky k pohľadávkam (TKO+DzN)</w:t>
        <w:tab/>
        <w:t xml:space="preserve">   - 616,80 EUR</w:t>
      </w:r>
    </w:p>
    <w:p>
      <w:pPr>
        <w:pStyle w:val="Normal"/>
        <w:ind w:hanging="0" w:left="360"/>
        <w:jc w:val="both"/>
        <w:rPr/>
      </w:pPr>
      <w:r>
        <w:rPr/>
        <w:t xml:space="preserve">- </w:t>
        <w:tab/>
        <w:t xml:space="preserve">  pohľavky voči zamestnancom (stravné)</w:t>
        <w:tab/>
        <w:tab/>
        <w:t xml:space="preserve">     347,70 EUR</w:t>
      </w:r>
    </w:p>
    <w:p>
      <w:pPr>
        <w:pStyle w:val="Normal"/>
        <w:ind w:hanging="0" w:left="360"/>
        <w:jc w:val="both"/>
        <w:rPr/>
      </w:pPr>
      <w:r>
        <w:rPr/>
        <w:t>-      Pohľadávka SBD (bytovky FO )</w:t>
        <w:tab/>
        <w:t xml:space="preserve">                        12.761,72 EUR</w:t>
      </w:r>
      <w:r>
        <w:rPr>
          <w:color w:val="C9211E"/>
        </w:rPr>
        <w:tab/>
      </w:r>
    </w:p>
    <w:p>
      <w:pPr>
        <w:pStyle w:val="Normal"/>
        <w:ind w:hanging="0" w:left="360"/>
        <w:jc w:val="both"/>
        <w:rPr/>
      </w:pPr>
      <w:r>
        <w:rPr/>
        <w:t xml:space="preserve">- </w:t>
        <w:tab/>
        <w:t xml:space="preserve">  preplatky energie</w:t>
        <w:tab/>
        <w:tab/>
        <w:tab/>
        <w:tab/>
        <w:tab/>
        <w:t xml:space="preserve">  2.725,52 EUR</w:t>
      </w:r>
    </w:p>
    <w:p>
      <w:pPr>
        <w:pStyle w:val="Normal"/>
        <w:ind w:hanging="0" w:left="360"/>
        <w:jc w:val="both"/>
        <w:rPr>
          <w:color w:val="C9211E"/>
        </w:rPr>
      </w:pPr>
      <w:r>
        <w:rPr>
          <w:color w:val="C9211E"/>
        </w:rPr>
      </w:r>
    </w:p>
    <w:p>
      <w:pPr>
        <w:pStyle w:val="Normal"/>
        <w:jc w:val="both"/>
        <w:rPr/>
      </w:pPr>
      <w:r>
        <w:rPr>
          <w:color w:val="C9211E"/>
        </w:rPr>
        <w:t xml:space="preserve">   </w:t>
      </w:r>
      <w:r>
        <w:rPr/>
        <w:t xml:space="preserve">   </w:t>
      </w:r>
      <w:r>
        <w:rPr/>
        <w:t>Obec k 31.12.2024 eviduje záväzky vo výške 800.962,51 EUR z toho:</w:t>
      </w:r>
    </w:p>
    <w:p>
      <w:pPr>
        <w:pStyle w:val="Normal"/>
        <w:tabs>
          <w:tab w:val="clear" w:pos="708"/>
          <w:tab w:val="left" w:pos="450" w:leader="none"/>
        </w:tabs>
        <w:jc w:val="both"/>
        <w:rPr/>
      </w:pPr>
      <w:r>
        <w:rPr>
          <w:color w:val="C9211E"/>
        </w:rPr>
        <w:tab/>
      </w:r>
      <w:r>
        <w:rPr/>
        <w:t>-     Rezerva na audit</w:t>
        <w:tab/>
        <w:tab/>
        <w:t xml:space="preserve"> </w:t>
        <w:tab/>
        <w:tab/>
        <w:t xml:space="preserve"> </w:t>
        <w:tab/>
        <w:t xml:space="preserve">   2.100,00 EUR</w:t>
      </w:r>
    </w:p>
    <w:p>
      <w:pPr>
        <w:pStyle w:val="Normal"/>
        <w:numPr>
          <w:ilvl w:val="1"/>
          <w:numId w:val="5"/>
        </w:numPr>
        <w:tabs>
          <w:tab w:val="clear" w:pos="708"/>
          <w:tab w:val="left" w:pos="851" w:leader="none"/>
        </w:tabs>
        <w:ind w:hanging="360" w:left="851"/>
        <w:jc w:val="both"/>
        <w:rPr/>
      </w:pPr>
      <w:r>
        <w:rPr/>
        <w:t xml:space="preserve">     </w:t>
      </w:r>
      <w:r>
        <w:rPr/>
        <w:t>Neuhradené faktúry v lehote splatnosti</w:t>
        <w:tab/>
        <w:t xml:space="preserve">             81.662,19 EUR</w:t>
      </w:r>
      <w:r>
        <w:rPr>
          <w:color w:val="C9211E"/>
        </w:rPr>
        <w:t xml:space="preserve"> </w:t>
      </w:r>
    </w:p>
    <w:p>
      <w:pPr>
        <w:pStyle w:val="Normal"/>
        <w:numPr>
          <w:ilvl w:val="1"/>
          <w:numId w:val="5"/>
        </w:numPr>
        <w:tabs>
          <w:tab w:val="clear" w:pos="708"/>
          <w:tab w:val="left" w:pos="851" w:leader="none"/>
        </w:tabs>
        <w:ind w:hanging="360" w:left="851"/>
        <w:jc w:val="both"/>
        <w:rPr/>
      </w:pPr>
      <w:r>
        <w:rPr/>
        <w:t xml:space="preserve">     </w:t>
      </w:r>
      <w:r>
        <w:rPr/>
        <w:t>Nevyplatené mzdy 12/23 v lehote splatnosti           12.199,34 EUR</w:t>
      </w:r>
    </w:p>
    <w:p>
      <w:pPr>
        <w:pStyle w:val="Normal"/>
        <w:numPr>
          <w:ilvl w:val="1"/>
          <w:numId w:val="5"/>
        </w:numPr>
        <w:tabs>
          <w:tab w:val="clear" w:pos="708"/>
          <w:tab w:val="left" w:pos="851" w:leader="none"/>
        </w:tabs>
        <w:ind w:hanging="360" w:left="851"/>
        <w:jc w:val="both"/>
        <w:rPr/>
      </w:pPr>
      <w:r>
        <w:rPr/>
        <w:t xml:space="preserve">     </w:t>
      </w:r>
      <w:r>
        <w:rPr/>
        <w:t>Ostatné záväzky voči zamestnancom</w:t>
        <w:tab/>
        <w:t xml:space="preserve">                      0,00 EUR</w:t>
      </w:r>
    </w:p>
    <w:p>
      <w:pPr>
        <w:pStyle w:val="Normal"/>
        <w:numPr>
          <w:ilvl w:val="1"/>
          <w:numId w:val="5"/>
        </w:numPr>
        <w:tabs>
          <w:tab w:val="clear" w:pos="708"/>
          <w:tab w:val="left" w:pos="851" w:leader="none"/>
        </w:tabs>
        <w:ind w:hanging="360" w:left="851"/>
        <w:jc w:val="both"/>
        <w:rPr/>
      </w:pPr>
      <w:r>
        <w:rPr/>
        <w:t xml:space="preserve">     </w:t>
      </w:r>
      <w:r>
        <w:rPr/>
        <w:t>Záväzky do poisťovní (mzdy 12/24)</w:t>
        <w:tab/>
        <w:tab/>
        <w:t xml:space="preserve">   7.357,39 EUR</w:t>
      </w:r>
    </w:p>
    <w:p>
      <w:pPr>
        <w:pStyle w:val="Normal"/>
        <w:numPr>
          <w:ilvl w:val="1"/>
          <w:numId w:val="5"/>
        </w:numPr>
        <w:tabs>
          <w:tab w:val="clear" w:pos="708"/>
          <w:tab w:val="left" w:pos="851" w:leader="none"/>
        </w:tabs>
        <w:ind w:hanging="360" w:left="851"/>
        <w:jc w:val="both"/>
        <w:rPr/>
      </w:pPr>
      <w:r>
        <w:rPr/>
        <w:t xml:space="preserve">     </w:t>
      </w:r>
      <w:r>
        <w:rPr/>
        <w:t>Daň zo mzdy (12/24)</w:t>
        <w:tab/>
        <w:tab/>
        <w:tab/>
        <w:t xml:space="preserve">               2.162,58 EUR</w:t>
      </w:r>
    </w:p>
    <w:p>
      <w:pPr>
        <w:pStyle w:val="Normal"/>
        <w:numPr>
          <w:ilvl w:val="1"/>
          <w:numId w:val="5"/>
        </w:numPr>
        <w:tabs>
          <w:tab w:val="clear" w:pos="708"/>
          <w:tab w:val="left" w:pos="851" w:leader="none"/>
        </w:tabs>
        <w:ind w:hanging="360" w:left="851"/>
        <w:rPr/>
      </w:pPr>
      <w:r>
        <w:rPr/>
        <w:t xml:space="preserve">     </w:t>
      </w:r>
      <w:r>
        <w:rPr/>
        <w:t>Záväzky zo SF</w:t>
        <w:tab/>
        <w:tab/>
        <w:tab/>
        <w:tab/>
        <w:tab/>
        <w:t xml:space="preserve">   3.801,29 EUR</w:t>
      </w:r>
    </w:p>
    <w:p>
      <w:pPr>
        <w:pStyle w:val="Normal"/>
        <w:numPr>
          <w:ilvl w:val="1"/>
          <w:numId w:val="5"/>
        </w:numPr>
        <w:tabs>
          <w:tab w:val="clear" w:pos="708"/>
          <w:tab w:val="left" w:pos="851" w:leader="none"/>
          <w:tab w:val="left" w:pos="5550" w:leader="none"/>
        </w:tabs>
        <w:ind w:hanging="360" w:left="851"/>
        <w:rPr/>
      </w:pPr>
      <w:r>
        <w:rPr/>
        <w:t xml:space="preserve">     </w:t>
      </w:r>
      <w:r>
        <w:rPr/>
        <w:t>ŠFRB – bytovky</w:t>
        <w:tab/>
        <w:t xml:space="preserve"> 340.813,79 EUR</w:t>
      </w:r>
    </w:p>
    <w:p>
      <w:pPr>
        <w:pStyle w:val="Normal"/>
        <w:numPr>
          <w:ilvl w:val="5"/>
          <w:numId w:val="5"/>
        </w:numPr>
        <w:tabs>
          <w:tab w:val="clear" w:pos="708"/>
          <w:tab w:val="left" w:pos="851" w:leader="none"/>
        </w:tabs>
        <w:ind w:hanging="360" w:left="851"/>
        <w:rPr/>
      </w:pPr>
      <w:r>
        <w:rPr/>
        <w:t xml:space="preserve">     </w:t>
      </w:r>
      <w:r>
        <w:rPr/>
        <w:t>Bankové úvery</w:t>
        <w:tab/>
        <w:tab/>
        <w:tab/>
        <w:tab/>
        <w:t xml:space="preserve">           287.527,99 EUR</w:t>
      </w:r>
    </w:p>
    <w:p>
      <w:pPr>
        <w:pStyle w:val="Normal"/>
        <w:numPr>
          <w:ilvl w:val="1"/>
          <w:numId w:val="5"/>
        </w:numPr>
        <w:tabs>
          <w:tab w:val="clear" w:pos="708"/>
          <w:tab w:val="left" w:pos="851" w:leader="none"/>
        </w:tabs>
        <w:ind w:hanging="360" w:left="851"/>
        <w:rPr/>
      </w:pPr>
      <w:r>
        <w:rPr/>
        <w:t xml:space="preserve">     </w:t>
      </w:r>
      <w:r>
        <w:rPr/>
        <w:t xml:space="preserve">Zúčtovanie dotácií 2024 </w:t>
        <w:tab/>
        <w:tab/>
        <w:tab/>
        <w:tab/>
        <w:t xml:space="preserve"> 41.588,22 EUR</w:t>
      </w:r>
      <w:r>
        <w:rPr>
          <w:color w:val="C9211E"/>
        </w:rPr>
        <w:tab/>
      </w:r>
    </w:p>
    <w:p>
      <w:pPr>
        <w:pStyle w:val="Normal"/>
        <w:numPr>
          <w:ilvl w:val="1"/>
          <w:numId w:val="5"/>
        </w:numPr>
        <w:tabs>
          <w:tab w:val="clear" w:pos="708"/>
          <w:tab w:val="left" w:pos="851" w:leader="none"/>
        </w:tabs>
        <w:ind w:hanging="360" w:left="851"/>
        <w:rPr/>
      </w:pPr>
      <w:r>
        <w:rPr/>
        <w:t xml:space="preserve">     </w:t>
      </w:r>
      <w:r>
        <w:rPr/>
        <w:t>Fond opráv – nájomné byty</w:t>
        <w:tab/>
        <w:tab/>
        <w:tab/>
        <w:tab/>
        <w:t xml:space="preserve"> 12.761,72 EUR</w:t>
      </w:r>
    </w:p>
    <w:p>
      <w:pPr>
        <w:pStyle w:val="Normal"/>
        <w:numPr>
          <w:ilvl w:val="1"/>
          <w:numId w:val="5"/>
        </w:numPr>
        <w:tabs>
          <w:tab w:val="clear" w:pos="708"/>
          <w:tab w:val="left" w:pos="851" w:leader="none"/>
        </w:tabs>
        <w:ind w:hanging="360" w:left="851"/>
        <w:rPr>
          <w:color w:val="C9211E"/>
        </w:rPr>
      </w:pPr>
      <w:r>
        <w:rPr/>
        <w:t xml:space="preserve">     </w:t>
      </w:r>
      <w:r>
        <w:rPr/>
        <w:t>Prijaté zábezpeky – nájomné byty</w:t>
        <w:tab/>
        <w:tab/>
        <w:tab/>
        <w:t xml:space="preserve">   8.988,00 EUR</w:t>
      </w:r>
    </w:p>
    <w:p>
      <w:pPr>
        <w:pStyle w:val="Normal"/>
        <w:tabs>
          <w:tab w:val="clear" w:pos="708"/>
          <w:tab w:val="left" w:pos="851" w:leader="none"/>
        </w:tabs>
        <w:ind w:hanging="360" w:left="851"/>
        <w:rPr>
          <w:color w:val="C9211E"/>
        </w:rPr>
      </w:pPr>
      <w:r>
        <w:rPr>
          <w:color w:val="C9211E"/>
        </w:rPr>
      </w:r>
    </w:p>
    <w:p>
      <w:pPr>
        <w:pStyle w:val="Normal"/>
        <w:ind w:hanging="0"/>
        <w:rPr/>
      </w:pPr>
      <w:r>
        <w:rPr/>
        <w:t>Obec má so ŠFRB uzatvorenú zmluvu č. 500/234/2018 o poskytnutí podpory vo forme úveru</w:t>
      </w:r>
    </w:p>
    <w:p>
      <w:pPr>
        <w:pStyle w:val="Normal"/>
        <w:ind w:hanging="0"/>
        <w:rPr/>
      </w:pPr>
      <w:r>
        <w:rPr/>
        <w:t>vo výške 361.270,00 EUR za účelom výstavby nájomných bytov, ktorý bol čerpaný dňa 01.05.2020.</w:t>
      </w:r>
    </w:p>
    <w:p>
      <w:pPr>
        <w:pStyle w:val="Normal"/>
        <w:ind w:hanging="0" w:left="426"/>
        <w:rPr/>
      </w:pPr>
      <w:r>
        <w:rPr/>
        <w:t xml:space="preserve">   </w:t>
      </w:r>
      <w:r>
        <w:rPr/>
        <w:t>-  Úrokové sadzba  je 1% p. a.</w:t>
      </w:r>
    </w:p>
    <w:p>
      <w:pPr>
        <w:pStyle w:val="Normal"/>
        <w:ind w:hanging="654" w:left="1080"/>
        <w:rPr/>
      </w:pPr>
      <w:r>
        <w:rPr/>
        <w:t xml:space="preserve">   </w:t>
      </w:r>
      <w:r>
        <w:rPr/>
        <w:t>-  Lehota splatnosti úveru  je do 16.05.2050.</w:t>
      </w:r>
    </w:p>
    <w:p>
      <w:pPr>
        <w:pStyle w:val="Normal"/>
        <w:ind w:hanging="0"/>
        <w:rPr/>
      </w:pPr>
      <w:r>
        <w:rPr/>
        <w:t xml:space="preserve">Tento úver nebol k 31. 12. 2024 vyrovnaný a vykazoval zostatok vo výške 312.971,72 EUR. </w:t>
      </w:r>
    </w:p>
    <w:p>
      <w:pPr>
        <w:pStyle w:val="Normal"/>
        <w:ind w:firstLine="426"/>
        <w:rPr>
          <w:color w:val="C9211E"/>
        </w:rPr>
      </w:pPr>
      <w:r>
        <w:rPr>
          <w:color w:val="C9211E"/>
        </w:rPr>
      </w:r>
    </w:p>
    <w:p>
      <w:pPr>
        <w:pStyle w:val="Normal"/>
        <w:ind w:hanging="0"/>
        <w:rPr/>
      </w:pPr>
      <w:r>
        <w:rPr/>
        <w:t>Obec má so ŠFRB uzatvorenú zmluvu č. 500/235/2018 o poskytnutí podpory vo forme úveru</w:t>
      </w:r>
    </w:p>
    <w:p>
      <w:pPr>
        <w:pStyle w:val="Normal"/>
        <w:ind w:hanging="0"/>
        <w:rPr/>
      </w:pPr>
      <w:r>
        <w:rPr/>
        <w:t>vo výške 35.310,00 EUR za účelom výstavby nájomných bytov, ktorý bol čerpaný dňa 01.05.2020.</w:t>
      </w:r>
    </w:p>
    <w:p>
      <w:pPr>
        <w:pStyle w:val="Normal"/>
        <w:ind w:hanging="0" w:left="426"/>
        <w:rPr/>
      </w:pPr>
      <w:r>
        <w:rPr/>
        <w:t xml:space="preserve">   </w:t>
      </w:r>
      <w:r>
        <w:rPr/>
        <w:t>-  Úrokové sadzba  je 1% p. a.</w:t>
      </w:r>
    </w:p>
    <w:p>
      <w:pPr>
        <w:pStyle w:val="Normal"/>
        <w:ind w:hanging="654" w:left="1080"/>
        <w:rPr/>
      </w:pPr>
      <w:r>
        <w:rPr/>
        <w:t xml:space="preserve">   </w:t>
      </w:r>
      <w:r>
        <w:rPr/>
        <w:t>-  Lehota splatnosti úveru  je do 15.05.2040.</w:t>
      </w:r>
    </w:p>
    <w:p>
      <w:pPr>
        <w:pStyle w:val="Normal"/>
        <w:ind w:hanging="0"/>
        <w:rPr/>
      </w:pPr>
      <w:r>
        <w:rPr/>
        <w:t xml:space="preserve">Tento úver nebol k 31. 12. 2024 vyrovnaný a vykazoval zostatok vo výške 27.842,07 EUR. </w:t>
      </w:r>
    </w:p>
    <w:p>
      <w:pPr>
        <w:pStyle w:val="Normal"/>
        <w:ind w:firstLine="426"/>
        <w:rPr>
          <w:b/>
          <w:color w:val="C9211E"/>
        </w:rPr>
      </w:pPr>
      <w:r>
        <w:rPr>
          <w:b/>
          <w:color w:val="C9211E"/>
        </w:rPr>
      </w:r>
    </w:p>
    <w:p>
      <w:pPr>
        <w:pStyle w:val="Normal"/>
        <w:tabs>
          <w:tab w:val="clear" w:pos="708"/>
          <w:tab w:val="left" w:pos="426" w:leader="none"/>
        </w:tabs>
        <w:ind w:firstLine="426"/>
        <w:jc w:val="both"/>
        <w:rPr>
          <w:rFonts w:ascii="Arial" w:hAnsi="Arial" w:cs="Arial"/>
          <w:b/>
          <w:bCs/>
          <w:sz w:val="20"/>
          <w:szCs w:val="20"/>
          <w:lang w:eastAsia="sk-SK"/>
        </w:rPr>
      </w:pPr>
      <w:r>
        <w:rPr>
          <w:rFonts w:cs="Arial" w:ascii="Arial" w:hAnsi="Arial"/>
          <w:b/>
          <w:bCs/>
          <w:sz w:val="20"/>
          <w:szCs w:val="20"/>
          <w:lang w:eastAsia="sk-SK"/>
        </w:rPr>
        <w:t>Obec má k 31.12.2024 nesplatené nasledovné bankové úvery:</w:t>
      </w:r>
    </w:p>
    <w:tbl>
      <w:tblPr>
        <w:tblW w:w="9975" w:type="dxa"/>
        <w:jc w:val="left"/>
        <w:tblInd w:w="99" w:type="dxa"/>
        <w:tblLayout w:type="fixed"/>
        <w:tblCellMar>
          <w:top w:w="0" w:type="dxa"/>
          <w:left w:w="65" w:type="dxa"/>
          <w:bottom w:w="0" w:type="dxa"/>
          <w:right w:w="70" w:type="dxa"/>
        </w:tblCellMar>
        <w:tblLook w:firstRow="1" w:noVBand="1" w:lastRow="0" w:firstColumn="1" w:lastColumn="0" w:noHBand="0" w:val="04a0"/>
      </w:tblPr>
      <w:tblGrid>
        <w:gridCol w:w="1530"/>
        <w:gridCol w:w="1590"/>
        <w:gridCol w:w="1409"/>
        <w:gridCol w:w="1530"/>
        <w:gridCol w:w="1530"/>
        <w:gridCol w:w="1650"/>
        <w:gridCol w:w="735"/>
      </w:tblGrid>
      <w:tr>
        <w:trPr>
          <w:trHeight w:val="276" w:hRule="atLeast"/>
        </w:trPr>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Veriteľ</w:t>
            </w:r>
          </w:p>
        </w:tc>
        <w:tc>
          <w:tcPr>
            <w:tcW w:w="159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Účel</w:t>
            </w:r>
          </w:p>
        </w:tc>
        <w:tc>
          <w:tcPr>
            <w:tcW w:w="1409"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Výška</w:t>
            </w:r>
          </w:p>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poskytnutého úveru</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Ročná splátka</w:t>
            </w:r>
          </w:p>
          <w:p>
            <w:pPr>
              <w:pStyle w:val="Normal"/>
              <w:suppressAutoHyphens w:val="false"/>
              <w:jc w:val="center"/>
              <w:rPr/>
            </w:pPr>
            <w:r>
              <w:rPr>
                <w:rFonts w:eastAsia="Arial" w:cs="Arial" w:ascii="Arial" w:hAnsi="Arial"/>
                <w:b/>
                <w:bCs/>
                <w:sz w:val="20"/>
                <w:szCs w:val="20"/>
                <w:lang w:eastAsia="sk-SK"/>
              </w:rPr>
              <w:t xml:space="preserve"> </w:t>
            </w:r>
            <w:r>
              <w:rPr>
                <w:rFonts w:cs="Arial" w:ascii="Arial" w:hAnsi="Arial"/>
                <w:b/>
                <w:bCs/>
                <w:sz w:val="20"/>
                <w:szCs w:val="20"/>
                <w:lang w:eastAsia="sk-SK"/>
              </w:rPr>
              <w:t>istiny 2024</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Ročná splátka úrokov 2024</w:t>
            </w:r>
          </w:p>
        </w:tc>
        <w:tc>
          <w:tcPr>
            <w:tcW w:w="165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Zostatok</w:t>
            </w:r>
          </w:p>
          <w:p>
            <w:pPr>
              <w:pStyle w:val="Normal"/>
              <w:suppressAutoHyphens w:val="false"/>
              <w:jc w:val="center"/>
              <w:rPr/>
            </w:pPr>
            <w:r>
              <w:rPr>
                <w:rFonts w:eastAsia="Arial" w:cs="Arial" w:ascii="Arial" w:hAnsi="Arial"/>
                <w:b/>
                <w:bCs/>
                <w:sz w:val="20"/>
                <w:szCs w:val="20"/>
                <w:lang w:eastAsia="sk-SK"/>
              </w:rPr>
              <w:t xml:space="preserve"> </w:t>
            </w:r>
            <w:r>
              <w:rPr>
                <w:rFonts w:cs="Arial" w:ascii="Arial" w:hAnsi="Arial"/>
                <w:b/>
                <w:bCs/>
                <w:sz w:val="20"/>
                <w:szCs w:val="20"/>
                <w:lang w:eastAsia="sk-SK"/>
              </w:rPr>
              <w:t>úveru (istiny)               k 31.12.2024</w:t>
            </w:r>
          </w:p>
        </w:tc>
        <w:tc>
          <w:tcPr>
            <w:tcW w:w="735"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jc w:val="center"/>
              <w:rPr>
                <w:rFonts w:ascii="Arial" w:hAnsi="Arial" w:cs="Arial"/>
                <w:b/>
                <w:bCs/>
                <w:i/>
                <w:i/>
                <w:iCs/>
                <w:sz w:val="20"/>
                <w:szCs w:val="20"/>
                <w:lang w:eastAsia="sk-SK"/>
              </w:rPr>
            </w:pPr>
            <w:r>
              <w:rPr>
                <w:rFonts w:cs="Arial" w:ascii="Arial" w:hAnsi="Arial"/>
                <w:b/>
                <w:bCs/>
                <w:i/>
                <w:iCs/>
                <w:sz w:val="20"/>
                <w:szCs w:val="20"/>
                <w:lang w:eastAsia="sk-SK"/>
              </w:rPr>
              <w:t>Rok splatnosti</w:t>
            </w:r>
          </w:p>
        </w:tc>
      </w:tr>
      <w:tr>
        <w:trPr>
          <w:trHeight w:val="240" w:hRule="atLeast"/>
        </w:trPr>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9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409"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65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73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r>
      <w:tr>
        <w:trPr>
          <w:trHeight w:val="255" w:hRule="atLeast"/>
        </w:trPr>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9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409"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165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c>
          <w:tcPr>
            <w:tcW w:w="73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snapToGrid w:val="false"/>
              <w:rPr>
                <w:rFonts w:ascii="Arial" w:hAnsi="Arial" w:cs="Arial"/>
                <w:b/>
                <w:bCs/>
                <w:i/>
                <w:i/>
                <w:iCs/>
                <w:sz w:val="20"/>
                <w:szCs w:val="20"/>
                <w:lang w:eastAsia="sk-SK"/>
              </w:rPr>
            </w:pPr>
            <w:r>
              <w:rPr>
                <w:rFonts w:cs="Arial" w:ascii="Arial" w:hAnsi="Arial"/>
                <w:b/>
                <w:bCs/>
                <w:i/>
                <w:iCs/>
                <w:sz w:val="20"/>
                <w:szCs w:val="20"/>
                <w:lang w:eastAsia="sk-SK"/>
              </w:rPr>
            </w:r>
          </w:p>
        </w:tc>
      </w:tr>
      <w:tr>
        <w:trPr>
          <w:trHeight w:val="276" w:hRule="atLeast"/>
        </w:trPr>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Slovenská záručná</w:t>
            </w:r>
          </w:p>
          <w:p>
            <w:pPr>
              <w:pStyle w:val="Normal"/>
              <w:suppressAutoHyphens w:val="false"/>
              <w:jc w:val="center"/>
              <w:rPr/>
            </w:pPr>
            <w:r>
              <w:rPr>
                <w:rFonts w:eastAsia="Arial" w:cs="Arial" w:ascii="Arial" w:hAnsi="Arial"/>
                <w:sz w:val="20"/>
                <w:szCs w:val="20"/>
                <w:lang w:eastAsia="sk-SK"/>
              </w:rPr>
              <w:t xml:space="preserve"> </w:t>
            </w:r>
            <w:r>
              <w:rPr>
                <w:rFonts w:cs="Arial" w:ascii="Arial" w:hAnsi="Arial"/>
                <w:sz w:val="20"/>
                <w:szCs w:val="20"/>
                <w:lang w:eastAsia="sk-SK"/>
              </w:rPr>
              <w:t>a rozvojová</w:t>
            </w:r>
          </w:p>
          <w:p>
            <w:pPr>
              <w:pStyle w:val="Normal"/>
              <w:suppressAutoHyphens w:val="false"/>
              <w:jc w:val="center"/>
              <w:rPr>
                <w:rFonts w:ascii="Arial" w:hAnsi="Arial" w:cs="Arial"/>
                <w:sz w:val="20"/>
                <w:szCs w:val="20"/>
                <w:lang w:eastAsia="sk-SK"/>
              </w:rPr>
            </w:pPr>
            <w:r>
              <w:rPr>
                <w:rFonts w:cs="Arial" w:ascii="Arial" w:hAnsi="Arial"/>
                <w:sz w:val="20"/>
                <w:szCs w:val="20"/>
                <w:lang w:eastAsia="sk-SK"/>
              </w:rPr>
              <w:t>banka a .s</w:t>
            </w:r>
          </w:p>
        </w:tc>
        <w:tc>
          <w:tcPr>
            <w:tcW w:w="1590" w:type="dxa"/>
            <w:vMerge w:val="restart"/>
            <w:tcBorders>
              <w:top w:val="single" w:sz="4" w:space="0" w:color="000000"/>
              <w:left w:val="single" w:sz="4" w:space="0" w:color="000000"/>
              <w:bottom w:val="single" w:sz="4" w:space="0" w:color="000000"/>
            </w:tcBorders>
            <w:shd w:fill="auto" w:val="clear"/>
            <w:vAlign w:val="bottom"/>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Rekonštrukcia kultúrneho domu</w:t>
            </w:r>
          </w:p>
        </w:tc>
        <w:tc>
          <w:tcPr>
            <w:tcW w:w="1409"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229.999,99 €</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24.420,00 €</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5.844,05 €</w:t>
            </w:r>
          </w:p>
        </w:tc>
        <w:tc>
          <w:tcPr>
            <w:tcW w:w="165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107.899,99 €</w:t>
            </w:r>
          </w:p>
        </w:tc>
        <w:tc>
          <w:tcPr>
            <w:tcW w:w="735"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r. 2029</w:t>
            </w:r>
          </w:p>
        </w:tc>
      </w:tr>
      <w:tr>
        <w:trPr>
          <w:trHeight w:val="510" w:hRule="atLeast"/>
        </w:trPr>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90" w:type="dxa"/>
            <w:vMerge w:val="continue"/>
            <w:tcBorders>
              <w:top w:val="single" w:sz="4" w:space="0" w:color="000000"/>
              <w:left w:val="single" w:sz="4" w:space="0" w:color="000000"/>
              <w:bottom w:val="single" w:sz="4" w:space="0" w:color="000000"/>
            </w:tcBorders>
            <w:shd w:fill="auto" w:val="clear"/>
            <w:vAlign w:val="bottom"/>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409"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65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73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r>
      <w:tr>
        <w:trPr>
          <w:trHeight w:val="510" w:hRule="atLeast"/>
        </w:trPr>
        <w:tc>
          <w:tcPr>
            <w:tcW w:w="1530" w:type="dxa"/>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Slovenská záručná</w:t>
            </w:r>
          </w:p>
          <w:p>
            <w:pPr>
              <w:pStyle w:val="Normal"/>
              <w:suppressAutoHyphens w:val="false"/>
              <w:jc w:val="center"/>
              <w:rPr/>
            </w:pPr>
            <w:r>
              <w:rPr>
                <w:rFonts w:eastAsia="Arial" w:cs="Arial" w:ascii="Arial" w:hAnsi="Arial"/>
                <w:sz w:val="20"/>
                <w:szCs w:val="20"/>
                <w:lang w:eastAsia="sk-SK"/>
              </w:rPr>
              <w:t xml:space="preserve"> </w:t>
            </w:r>
            <w:r>
              <w:rPr>
                <w:rFonts w:cs="Arial" w:ascii="Arial" w:hAnsi="Arial"/>
                <w:sz w:val="20"/>
                <w:szCs w:val="20"/>
                <w:lang w:eastAsia="sk-SK"/>
              </w:rPr>
              <w:t>a rozvojová</w:t>
            </w:r>
          </w:p>
          <w:p>
            <w:pPr>
              <w:pStyle w:val="Normal"/>
              <w:suppressAutoHyphens w:val="false"/>
              <w:jc w:val="center"/>
              <w:rPr>
                <w:rFonts w:ascii="Arial" w:hAnsi="Arial" w:cs="Arial"/>
                <w:sz w:val="20"/>
                <w:szCs w:val="20"/>
                <w:lang w:eastAsia="sk-SK"/>
              </w:rPr>
            </w:pPr>
            <w:r>
              <w:rPr>
                <w:rFonts w:cs="Arial" w:ascii="Arial" w:hAnsi="Arial"/>
                <w:sz w:val="20"/>
                <w:szCs w:val="20"/>
                <w:lang w:eastAsia="sk-SK"/>
              </w:rPr>
              <w:t>banka a .s</w:t>
            </w:r>
          </w:p>
        </w:tc>
        <w:tc>
          <w:tcPr>
            <w:tcW w:w="1590" w:type="dxa"/>
            <w:tcBorders>
              <w:top w:val="single" w:sz="4" w:space="0" w:color="000000"/>
              <w:left w:val="single" w:sz="4" w:space="0" w:color="000000"/>
              <w:bottom w:val="single" w:sz="4" w:space="0" w:color="000000"/>
            </w:tcBorders>
            <w:shd w:fill="auto" w:val="clear"/>
            <w:vAlign w:val="bottom"/>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t>Športová</w:t>
            </w:r>
          </w:p>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t>infraštruktúra</w:t>
            </w:r>
          </w:p>
        </w:tc>
        <w:tc>
          <w:tcPr>
            <w:tcW w:w="1409" w:type="dxa"/>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pPr>
            <w:r>
              <w:rPr>
                <w:rFonts w:cs="Arial" w:ascii="Arial" w:hAnsi="Arial"/>
                <w:sz w:val="20"/>
                <w:szCs w:val="20"/>
                <w:lang w:eastAsia="sk-SK"/>
              </w:rPr>
              <w:t>100.000,00 €</w:t>
            </w:r>
          </w:p>
        </w:tc>
        <w:tc>
          <w:tcPr>
            <w:tcW w:w="1530" w:type="dxa"/>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pPr>
            <w:r>
              <w:rPr>
                <w:rFonts w:cs="Arial" w:ascii="Arial" w:hAnsi="Arial"/>
                <w:sz w:val="20"/>
                <w:szCs w:val="20"/>
                <w:lang w:eastAsia="sk-SK"/>
              </w:rPr>
              <w:t>10.260,00 €</w:t>
            </w:r>
          </w:p>
        </w:tc>
        <w:tc>
          <w:tcPr>
            <w:tcW w:w="1530" w:type="dxa"/>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pPr>
            <w:r>
              <w:rPr>
                <w:rFonts w:cs="Arial" w:ascii="Arial" w:hAnsi="Arial"/>
                <w:sz w:val="20"/>
                <w:szCs w:val="20"/>
                <w:lang w:eastAsia="sk-SK"/>
              </w:rPr>
              <w:t>3.120,00 €</w:t>
            </w:r>
          </w:p>
        </w:tc>
        <w:tc>
          <w:tcPr>
            <w:tcW w:w="1650" w:type="dxa"/>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pPr>
            <w:r>
              <w:rPr>
                <w:rFonts w:cs="Arial" w:ascii="Arial" w:hAnsi="Arial"/>
                <w:sz w:val="20"/>
                <w:szCs w:val="20"/>
                <w:lang w:eastAsia="sk-SK"/>
              </w:rPr>
              <w:t>99.145,00 €</w:t>
            </w:r>
          </w:p>
        </w:tc>
        <w:tc>
          <w:tcPr>
            <w:tcW w:w="73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t>r. 2034</w:t>
            </w:r>
          </w:p>
        </w:tc>
      </w:tr>
      <w:tr>
        <w:trPr>
          <w:trHeight w:val="276" w:hRule="atLeast"/>
        </w:trPr>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Československá obchodná banka</w:t>
            </w:r>
          </w:p>
          <w:p>
            <w:pPr>
              <w:pStyle w:val="Normal"/>
              <w:suppressAutoHyphens w:val="false"/>
              <w:jc w:val="center"/>
              <w:rPr>
                <w:rFonts w:ascii="Arial" w:hAnsi="Arial" w:cs="Arial"/>
                <w:sz w:val="20"/>
                <w:szCs w:val="20"/>
                <w:lang w:eastAsia="sk-SK"/>
              </w:rPr>
            </w:pPr>
            <w:r>
              <w:rPr>
                <w:rFonts w:cs="Arial" w:ascii="Arial" w:hAnsi="Arial"/>
                <w:sz w:val="20"/>
                <w:szCs w:val="20"/>
                <w:lang w:eastAsia="sk-SK"/>
              </w:rPr>
              <w:t>a. s..</w:t>
            </w:r>
          </w:p>
        </w:tc>
        <w:tc>
          <w:tcPr>
            <w:tcW w:w="1590" w:type="dxa"/>
            <w:vMerge w:val="restart"/>
            <w:tcBorders>
              <w:top w:val="single" w:sz="4" w:space="0" w:color="000000"/>
              <w:left w:val="single" w:sz="4" w:space="0" w:color="000000"/>
              <w:bottom w:val="single" w:sz="4" w:space="0" w:color="000000"/>
            </w:tcBorders>
            <w:shd w:fill="auto" w:val="clear"/>
            <w:vAlign w:val="bottom"/>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Rekonštrukcia materskej školy</w:t>
            </w:r>
          </w:p>
        </w:tc>
        <w:tc>
          <w:tcPr>
            <w:tcW w:w="1409"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140.000,00 €</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14.004,00 €</w:t>
            </w:r>
          </w:p>
        </w:tc>
        <w:tc>
          <w:tcPr>
            <w:tcW w:w="153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4.118,70 €</w:t>
            </w:r>
          </w:p>
        </w:tc>
        <w:tc>
          <w:tcPr>
            <w:tcW w:w="1650" w:type="dxa"/>
            <w:vMerge w:val="restart"/>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sz w:val="20"/>
                <w:szCs w:val="20"/>
                <w:lang w:eastAsia="sk-SK"/>
              </w:rPr>
              <w:t>80.483,00 €</w:t>
            </w:r>
          </w:p>
        </w:tc>
        <w:tc>
          <w:tcPr>
            <w:tcW w:w="735"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jc w:val="center"/>
              <w:rPr>
                <w:rFonts w:ascii="Arial" w:hAnsi="Arial" w:cs="Arial"/>
                <w:sz w:val="20"/>
                <w:szCs w:val="20"/>
                <w:lang w:eastAsia="sk-SK"/>
              </w:rPr>
            </w:pPr>
            <w:r>
              <w:rPr>
                <w:rFonts w:cs="Arial" w:ascii="Arial" w:hAnsi="Arial"/>
                <w:sz w:val="20"/>
                <w:szCs w:val="20"/>
                <w:lang w:eastAsia="sk-SK"/>
              </w:rPr>
              <w:t>r. 2030</w:t>
            </w:r>
          </w:p>
        </w:tc>
      </w:tr>
      <w:tr>
        <w:trPr>
          <w:trHeight w:val="510" w:hRule="atLeast"/>
        </w:trPr>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90" w:type="dxa"/>
            <w:vMerge w:val="continue"/>
            <w:tcBorders>
              <w:top w:val="single" w:sz="4" w:space="0" w:color="000000"/>
              <w:left w:val="single" w:sz="4" w:space="0" w:color="000000"/>
              <w:bottom w:val="single" w:sz="4" w:space="0" w:color="000000"/>
            </w:tcBorders>
            <w:shd w:fill="auto" w:val="clear"/>
            <w:vAlign w:val="bottom"/>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409"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53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1650" w:type="dxa"/>
            <w:vMerge w:val="continue"/>
            <w:tcBorders>
              <w:top w:val="single" w:sz="4" w:space="0" w:color="000000"/>
              <w:left w:val="single" w:sz="4" w:space="0" w:color="000000"/>
              <w:bottom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c>
          <w:tcPr>
            <w:tcW w:w="73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false"/>
              <w:snapToGrid w:val="false"/>
              <w:jc w:val="center"/>
              <w:rPr>
                <w:rFonts w:ascii="Arial" w:hAnsi="Arial" w:cs="Arial"/>
                <w:sz w:val="20"/>
                <w:szCs w:val="20"/>
                <w:lang w:eastAsia="sk-SK"/>
              </w:rPr>
            </w:pPr>
            <w:r>
              <w:rPr>
                <w:rFonts w:cs="Arial" w:ascii="Arial" w:hAnsi="Arial"/>
                <w:sz w:val="20"/>
                <w:szCs w:val="20"/>
                <w:lang w:eastAsia="sk-SK"/>
              </w:rPr>
            </w:r>
          </w:p>
        </w:tc>
      </w:tr>
      <w:tr>
        <w:trPr>
          <w:trHeight w:val="405" w:hRule="atLeast"/>
        </w:trPr>
        <w:tc>
          <w:tcPr>
            <w:tcW w:w="1530" w:type="dxa"/>
            <w:tcBorders>
              <w:top w:val="single" w:sz="4" w:space="0" w:color="000000"/>
              <w:left w:val="single" w:sz="4" w:space="0" w:color="000000"/>
              <w:bottom w:val="single" w:sz="4" w:space="0" w:color="000000"/>
            </w:tcBorders>
            <w:shd w:fill="auto" w:val="clear"/>
            <w:vAlign w:val="bottom"/>
          </w:tcPr>
          <w:p>
            <w:pPr>
              <w:pStyle w:val="Normal"/>
              <w:suppressAutoHyphens w:val="false"/>
              <w:jc w:val="center"/>
              <w:rPr>
                <w:rFonts w:ascii="Arial" w:hAnsi="Arial" w:cs="Arial"/>
                <w:b/>
                <w:bCs/>
                <w:sz w:val="20"/>
                <w:szCs w:val="20"/>
                <w:lang w:eastAsia="sk-SK"/>
              </w:rPr>
            </w:pPr>
            <w:r>
              <w:rPr>
                <w:rFonts w:cs="Arial" w:ascii="Arial" w:hAnsi="Arial"/>
                <w:b/>
                <w:bCs/>
                <w:sz w:val="20"/>
                <w:szCs w:val="20"/>
                <w:lang w:eastAsia="sk-SK"/>
              </w:rPr>
              <w:t>SPOLU:</w:t>
            </w:r>
          </w:p>
        </w:tc>
        <w:tc>
          <w:tcPr>
            <w:tcW w:w="1590" w:type="dxa"/>
            <w:tcBorders>
              <w:top w:val="single" w:sz="4" w:space="0" w:color="000000"/>
              <w:left w:val="single" w:sz="4" w:space="0" w:color="000000"/>
              <w:bottom w:val="single" w:sz="4" w:space="0" w:color="000000"/>
            </w:tcBorders>
            <w:shd w:fill="auto" w:val="clear"/>
            <w:vAlign w:val="bottom"/>
          </w:tcPr>
          <w:p>
            <w:pPr>
              <w:pStyle w:val="Normal"/>
              <w:suppressAutoHyphens w:val="false"/>
              <w:snapToGrid w:val="false"/>
              <w:jc w:val="center"/>
              <w:rPr>
                <w:rFonts w:ascii="Arial" w:hAnsi="Arial" w:cs="Arial"/>
                <w:b/>
                <w:bCs/>
                <w:sz w:val="20"/>
                <w:szCs w:val="20"/>
                <w:lang w:eastAsia="sk-SK"/>
              </w:rPr>
            </w:pPr>
            <w:r>
              <w:rPr>
                <w:rFonts w:cs="Arial" w:ascii="Arial" w:hAnsi="Arial"/>
                <w:b/>
                <w:bCs/>
                <w:sz w:val="20"/>
                <w:szCs w:val="20"/>
                <w:lang w:eastAsia="sk-SK"/>
              </w:rPr>
            </w:r>
          </w:p>
        </w:tc>
        <w:tc>
          <w:tcPr>
            <w:tcW w:w="1409" w:type="dxa"/>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b/>
                <w:bCs/>
                <w:sz w:val="20"/>
                <w:szCs w:val="20"/>
                <w:lang w:eastAsia="sk-SK"/>
              </w:rPr>
              <w:t>469.999,99 €</w:t>
            </w:r>
          </w:p>
        </w:tc>
        <w:tc>
          <w:tcPr>
            <w:tcW w:w="1530" w:type="dxa"/>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b/>
                <w:bCs/>
                <w:sz w:val="20"/>
                <w:szCs w:val="20"/>
                <w:lang w:eastAsia="sk-SK"/>
              </w:rPr>
              <w:t>48.684,00 €</w:t>
            </w:r>
          </w:p>
        </w:tc>
        <w:tc>
          <w:tcPr>
            <w:tcW w:w="1530" w:type="dxa"/>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b/>
                <w:bCs/>
                <w:sz w:val="20"/>
                <w:szCs w:val="20"/>
                <w:lang w:eastAsia="sk-SK"/>
              </w:rPr>
              <w:t>13.082,75  €</w:t>
            </w:r>
          </w:p>
        </w:tc>
        <w:tc>
          <w:tcPr>
            <w:tcW w:w="1650" w:type="dxa"/>
            <w:tcBorders>
              <w:top w:val="single" w:sz="4" w:space="0" w:color="000000"/>
              <w:left w:val="single" w:sz="4" w:space="0" w:color="000000"/>
              <w:bottom w:val="single" w:sz="4" w:space="0" w:color="000000"/>
            </w:tcBorders>
            <w:shd w:fill="auto" w:val="clear"/>
            <w:vAlign w:val="center"/>
          </w:tcPr>
          <w:p>
            <w:pPr>
              <w:pStyle w:val="Normal"/>
              <w:suppressAutoHyphens w:val="false"/>
              <w:jc w:val="center"/>
              <w:rPr/>
            </w:pPr>
            <w:r>
              <w:rPr>
                <w:rFonts w:cs="Arial" w:ascii="Arial" w:hAnsi="Arial"/>
                <w:b/>
                <w:bCs/>
                <w:sz w:val="20"/>
                <w:szCs w:val="20"/>
                <w:lang w:eastAsia="sk-SK"/>
              </w:rPr>
              <w:t>287.527,99 €</w:t>
            </w:r>
          </w:p>
        </w:tc>
        <w:tc>
          <w:tcPr>
            <w:tcW w:w="735" w:type="dxa"/>
            <w:tcBorders>
              <w:top w:val="single" w:sz="4" w:space="0" w:color="000000"/>
              <w:left w:val="single" w:sz="4" w:space="0" w:color="000000"/>
              <w:bottom w:val="single" w:sz="4" w:space="0" w:color="000000"/>
              <w:right w:val="single" w:sz="4" w:space="0" w:color="000000"/>
            </w:tcBorders>
            <w:shd w:fill="auto" w:val="clear"/>
            <w:vAlign w:val="bottom"/>
          </w:tcPr>
          <w:p>
            <w:pPr>
              <w:pStyle w:val="Normal"/>
              <w:suppressAutoHyphens w:val="false"/>
              <w:snapToGrid w:val="false"/>
              <w:jc w:val="center"/>
              <w:rPr>
                <w:rFonts w:ascii="Arial" w:hAnsi="Arial" w:cs="Arial"/>
                <w:b/>
                <w:bCs/>
                <w:sz w:val="20"/>
                <w:szCs w:val="20"/>
                <w:lang w:eastAsia="sk-SK"/>
              </w:rPr>
            </w:pPr>
            <w:r>
              <w:rPr>
                <w:rFonts w:cs="Arial" w:ascii="Arial" w:hAnsi="Arial"/>
                <w:b/>
                <w:bCs/>
                <w:sz w:val="20"/>
                <w:szCs w:val="20"/>
                <w:lang w:eastAsia="sk-SK"/>
              </w:rPr>
            </w:r>
          </w:p>
        </w:tc>
      </w:tr>
    </w:tbl>
    <w:p>
      <w:pPr>
        <w:pStyle w:val="Normal"/>
        <w:jc w:val="both"/>
        <w:rPr/>
      </w:pPr>
      <w:r>
        <w:rPr/>
      </w:r>
    </w:p>
    <w:p>
      <w:pPr>
        <w:pStyle w:val="Normal"/>
        <w:jc w:val="both"/>
        <w:rPr/>
      </w:pPr>
      <w:r>
        <w:rPr/>
        <w:t>1. Bankový úver vo výške 230.000,00 EUR bol čerpaný na základe úverovej zmluvy č. 307141-2019 zo dňa 15. júla 2019 s aktuálnou úrokovou sadzbou 3,85% p. a. Prvé čerpanie bolo dňa 21. októbra 2019. Mesačné splátky sú splatné ku 21.dňu mesiaca. Bankový úver je splatný do 21. mája 2029</w:t>
      </w:r>
    </w:p>
    <w:p>
      <w:pPr>
        <w:pStyle w:val="Normal"/>
        <w:jc w:val="both"/>
        <w:rPr/>
      </w:pPr>
      <w:r>
        <w:rPr/>
        <w:t>2. Bankový úver vo výške 100.000,00 EUR bol čerpaný na základe úverovej zmluvy č. 363821-2024 zo dňa 12. septembra 2024 s úrokovou sadzbou 3,06 % p. a. Prvé čerpanie bolo dňa 20. októbra 2024. Mesačné splátky sú splatné ku 20.dňu mesiaca. Bankový úver je splatný do 31. augusta 2030</w:t>
      </w:r>
    </w:p>
    <w:p>
      <w:pPr>
        <w:pStyle w:val="Normal"/>
        <w:tabs>
          <w:tab w:val="clear" w:pos="708"/>
          <w:tab w:val="left" w:pos="426" w:leader="none"/>
          <w:tab w:val="left" w:pos="993" w:leader="none"/>
        </w:tabs>
        <w:jc w:val="both"/>
        <w:rPr/>
      </w:pPr>
      <w:r>
        <w:rPr/>
        <w:t>3. Bankový úver vo výške 140.000,00 EUR bol čerpaný na základe zmluvy o účelovom úvere č. 0490/19/08637 zo dňa 15. júla 2019 s úrokovou sadzbou 0,95 % p. a. Prvé čerpanie úveru bolo dňa 14. augusta 2019. Mesačné splátky sú splatné ku 20.dňu mesiaca. Bankový úver je splatný do 20. septembra 2030.</w:t>
      </w:r>
      <w:bookmarkStart w:id="3" w:name="OLE_LINK21"/>
      <w:bookmarkStart w:id="4" w:name="OLE_LINK20"/>
      <w:bookmarkEnd w:id="3"/>
      <w:bookmarkEnd w:id="4"/>
    </w:p>
    <w:p>
      <w:pPr>
        <w:pStyle w:val="Normal"/>
        <w:tabs>
          <w:tab w:val="clear" w:pos="708"/>
          <w:tab w:val="left" w:pos="426" w:leader="none"/>
        </w:tabs>
        <w:jc w:val="both"/>
        <w:rPr>
          <w:rFonts w:ascii="Times-Roman;Times New Roman" w:hAnsi="Times-Roman;Times New Roman" w:cs="Times-Roman;Times New Roman"/>
          <w:lang w:eastAsia="sk-SK"/>
        </w:rPr>
      </w:pPr>
      <w:r>
        <w:rPr>
          <w:rFonts w:cs="Times-Roman;Times New Roman" w:ascii="Times-Roman;Times New Roman" w:hAnsi="Times-Roman;Times New Roman"/>
          <w:lang w:eastAsia="sk-SK"/>
        </w:rPr>
      </w:r>
    </w:p>
    <w:p>
      <w:pPr>
        <w:pStyle w:val="Normal"/>
        <w:tabs>
          <w:tab w:val="clear" w:pos="708"/>
          <w:tab w:val="left" w:pos="1087" w:leader="none"/>
        </w:tabs>
        <w:ind w:hanging="0" w:left="54"/>
        <w:jc w:val="both"/>
        <w:rPr/>
      </w:pPr>
      <w:r>
        <w:rPr>
          <w:b/>
          <w:sz w:val="28"/>
          <w:szCs w:val="28"/>
        </w:rPr>
        <w:t>6. Ostatné dôležité informácie</w:t>
      </w:r>
    </w:p>
    <w:p>
      <w:pPr>
        <w:pStyle w:val="Normal"/>
        <w:tabs>
          <w:tab w:val="clear" w:pos="708"/>
          <w:tab w:val="left" w:pos="1087" w:leader="none"/>
        </w:tabs>
        <w:ind w:hanging="0" w:left="54"/>
        <w:jc w:val="both"/>
        <w:rPr>
          <w:b/>
          <w:sz w:val="14"/>
          <w:szCs w:val="14"/>
        </w:rPr>
      </w:pPr>
      <w:r>
        <w:rPr>
          <w:b/>
          <w:sz w:val="14"/>
          <w:szCs w:val="14"/>
        </w:rPr>
      </w:r>
    </w:p>
    <w:p>
      <w:pPr>
        <w:pStyle w:val="Normal"/>
        <w:jc w:val="both"/>
        <w:rPr>
          <w:sz w:val="24"/>
          <w:szCs w:val="24"/>
        </w:rPr>
      </w:pPr>
      <w:r>
        <w:rPr>
          <w:b/>
          <w:bCs/>
          <w:sz w:val="24"/>
          <w:szCs w:val="24"/>
        </w:rPr>
        <w:t>Finančné usporiadanie vzťahov /prijaté granty a transfery/</w:t>
      </w:r>
    </w:p>
    <w:p>
      <w:pPr>
        <w:pStyle w:val="Normal"/>
        <w:tabs>
          <w:tab w:val="clear" w:pos="708"/>
          <w:tab w:val="left" w:pos="-3060" w:leader="none"/>
        </w:tabs>
        <w:jc w:val="both"/>
        <w:rPr/>
      </w:pPr>
      <w:r>
        <w:rPr/>
        <w:t xml:space="preserve"> </w:t>
      </w:r>
      <w:r>
        <w:rPr/>
        <w:t>a)  zriadeným a založeným právnickým osobám</w:t>
      </w:r>
    </w:p>
    <w:p>
      <w:pPr>
        <w:pStyle w:val="Normal"/>
        <w:tabs>
          <w:tab w:val="clear" w:pos="708"/>
          <w:tab w:val="left" w:pos="426" w:leader="none"/>
        </w:tabs>
        <w:ind w:hanging="426" w:left="426"/>
        <w:rPr/>
      </w:pPr>
      <w:r>
        <w:rPr/>
        <w:t xml:space="preserve"> </w:t>
      </w:r>
      <w:r>
        <w:rPr/>
        <w:t>b)  štátnemu rozpočtu</w:t>
      </w:r>
    </w:p>
    <w:p>
      <w:pPr>
        <w:pStyle w:val="Normal"/>
        <w:tabs>
          <w:tab w:val="clear" w:pos="708"/>
          <w:tab w:val="left" w:pos="426" w:leader="none"/>
        </w:tabs>
        <w:ind w:hanging="426" w:left="426"/>
        <w:rPr/>
      </w:pPr>
      <w:r>
        <w:rPr/>
        <w:t xml:space="preserve"> </w:t>
      </w:r>
      <w:r>
        <w:rPr/>
        <w:t>c)  štátnym fondom</w:t>
      </w:r>
    </w:p>
    <w:p>
      <w:pPr>
        <w:pStyle w:val="Normal"/>
        <w:tabs>
          <w:tab w:val="clear" w:pos="708"/>
          <w:tab w:val="left" w:pos="426" w:leader="none"/>
        </w:tabs>
        <w:ind w:hanging="426" w:left="426"/>
        <w:rPr/>
      </w:pPr>
      <w:r>
        <w:rPr/>
        <w:t xml:space="preserve"> </w:t>
      </w:r>
      <w:r>
        <w:rPr/>
        <w:t>d)  rozpočtom iných obcí</w:t>
      </w:r>
    </w:p>
    <w:p>
      <w:pPr>
        <w:pStyle w:val="Normal"/>
        <w:tabs>
          <w:tab w:val="clear" w:pos="708"/>
          <w:tab w:val="left" w:pos="426" w:leader="none"/>
        </w:tabs>
        <w:ind w:hanging="426" w:left="426"/>
        <w:rPr/>
      </w:pPr>
      <w:r>
        <w:rPr/>
        <w:t xml:space="preserve"> </w:t>
      </w:r>
      <w:r>
        <w:rPr/>
        <w:t>e)  rozpočtom VÚC</w:t>
      </w:r>
    </w:p>
    <w:p>
      <w:pPr>
        <w:pStyle w:val="Normal"/>
        <w:ind w:firstLine="708"/>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C9211E"/>
          <w:highlight w:val="lightGray"/>
        </w:rPr>
      </w:pPr>
      <w:r>
        <w:rPr>
          <w:color w:val="C9211E"/>
          <w:highlight w:val="lightGray"/>
        </w:rPr>
      </w:r>
    </w:p>
    <w:p>
      <w:pPr>
        <w:pStyle w:val="Normal"/>
        <w:tabs>
          <w:tab w:val="clear" w:pos="708"/>
          <w:tab w:val="left" w:pos="426" w:leader="none"/>
        </w:tabs>
        <w:ind w:hanging="426" w:left="426"/>
        <w:jc w:val="both"/>
        <w:rPr/>
      </w:pPr>
      <w:r>
        <w:rPr>
          <w:b/>
          <w:bCs/>
        </w:rPr>
        <w:t>a)  Finančné usporiadanie voči zriadeným a založeným právnickým osobám</w:t>
      </w:r>
    </w:p>
    <w:p>
      <w:pPr>
        <w:pStyle w:val="Normal"/>
        <w:tabs>
          <w:tab w:val="clear" w:pos="708"/>
          <w:tab w:val="left" w:pos="284" w:leader="none"/>
        </w:tabs>
        <w:ind w:hanging="284" w:left="284"/>
        <w:jc w:val="both"/>
        <w:rPr/>
      </w:pPr>
      <w:r>
        <w:rPr>
          <w:b/>
        </w:rPr>
        <w:t xml:space="preserve">        </w:t>
      </w:r>
      <w:r>
        <w:rPr/>
        <w:t>prostriedky zriaďovateľa, vlastné prostriedky RO</w:t>
      </w:r>
    </w:p>
    <w:tbl>
      <w:tblPr>
        <w:tblW w:w="9750" w:type="dxa"/>
        <w:jc w:val="left"/>
        <w:tblInd w:w="102" w:type="dxa"/>
        <w:tblLayout w:type="fixed"/>
        <w:tblCellMar>
          <w:top w:w="0" w:type="dxa"/>
          <w:left w:w="98" w:type="dxa"/>
          <w:bottom w:w="0" w:type="dxa"/>
          <w:right w:w="108" w:type="dxa"/>
        </w:tblCellMar>
        <w:tblLook w:firstRow="1" w:noVBand="1" w:lastRow="0" w:firstColumn="1" w:lastColumn="0" w:noHBand="0" w:val="04a0"/>
      </w:tblPr>
      <w:tblGrid>
        <w:gridCol w:w="2925"/>
        <w:gridCol w:w="2264"/>
        <w:gridCol w:w="2131"/>
        <w:gridCol w:w="2429"/>
      </w:tblGrid>
      <w:tr>
        <w:trPr/>
        <w:tc>
          <w:tcPr>
            <w:tcW w:w="2925" w:type="dxa"/>
            <w:tcBorders>
              <w:top w:val="single" w:sz="4" w:space="0" w:color="000000"/>
              <w:left w:val="single" w:sz="4" w:space="0" w:color="000000"/>
              <w:bottom w:val="single" w:sz="4" w:space="0" w:color="000000"/>
            </w:tcBorders>
            <w:shd w:color="auto" w:fill="D9D9D9" w:val="clear"/>
          </w:tcPr>
          <w:p>
            <w:pPr>
              <w:pStyle w:val="Normal"/>
              <w:jc w:val="center"/>
              <w:rPr/>
            </w:pPr>
            <w:r>
              <w:rPr/>
              <w:t>Rozpočtová organizácia</w:t>
            </w:r>
          </w:p>
        </w:tc>
        <w:tc>
          <w:tcPr>
            <w:tcW w:w="2264" w:type="dxa"/>
            <w:tcBorders>
              <w:top w:val="single" w:sz="4" w:space="0" w:color="000000"/>
              <w:left w:val="single" w:sz="4" w:space="0" w:color="000000"/>
              <w:bottom w:val="single" w:sz="4" w:space="0" w:color="000000"/>
            </w:tcBorders>
            <w:shd w:color="auto" w:fill="D9D9D9" w:val="clear"/>
          </w:tcPr>
          <w:p>
            <w:pPr>
              <w:pStyle w:val="Normal"/>
              <w:jc w:val="center"/>
              <w:rPr/>
            </w:pPr>
            <w:r>
              <w:rPr>
                <w:b/>
                <w:sz w:val="20"/>
                <w:szCs w:val="20"/>
              </w:rPr>
              <w:t>Suma poskytnutých finančných prostriedkov</w:t>
            </w:r>
          </w:p>
        </w:tc>
        <w:tc>
          <w:tcPr>
            <w:tcW w:w="2131" w:type="dxa"/>
            <w:tcBorders>
              <w:top w:val="single" w:sz="4" w:space="0" w:color="000000"/>
              <w:left w:val="single" w:sz="4" w:space="0" w:color="000000"/>
              <w:bottom w:val="single" w:sz="4" w:space="0" w:color="000000"/>
            </w:tcBorders>
            <w:shd w:color="auto" w:fill="D9D9D9" w:val="clear"/>
          </w:tcPr>
          <w:p>
            <w:pPr>
              <w:pStyle w:val="Normal"/>
              <w:jc w:val="center"/>
              <w:rPr/>
            </w:pPr>
            <w:r>
              <w:rPr>
                <w:b/>
                <w:sz w:val="20"/>
                <w:szCs w:val="20"/>
              </w:rPr>
              <w:t>Suma skutočne použitých finančných prostriedkov</w:t>
            </w:r>
          </w:p>
        </w:tc>
        <w:tc>
          <w:tcPr>
            <w:tcW w:w="2429"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t>Rozdiel - vrátenie</w:t>
            </w:r>
          </w:p>
        </w:tc>
      </w:tr>
      <w:tr>
        <w:trPr/>
        <w:tc>
          <w:tcPr>
            <w:tcW w:w="2925" w:type="dxa"/>
            <w:tcBorders>
              <w:top w:val="single" w:sz="4" w:space="0" w:color="000000"/>
              <w:left w:val="single" w:sz="4" w:space="0" w:color="000000"/>
              <w:bottom w:val="single" w:sz="4" w:space="0" w:color="000000"/>
            </w:tcBorders>
            <w:shd w:fill="auto" w:val="clear"/>
          </w:tcPr>
          <w:p>
            <w:pPr>
              <w:pStyle w:val="Normal"/>
              <w:jc w:val="center"/>
              <w:rPr/>
            </w:pPr>
            <w:r>
              <w:rPr/>
              <w:t>ZŠ</w:t>
            </w:r>
          </w:p>
        </w:tc>
        <w:tc>
          <w:tcPr>
            <w:tcW w:w="2264" w:type="dxa"/>
            <w:tcBorders>
              <w:top w:val="single" w:sz="4" w:space="0" w:color="000000"/>
              <w:left w:val="single" w:sz="4" w:space="0" w:color="000000"/>
              <w:bottom w:val="single" w:sz="4" w:space="0" w:color="000000"/>
            </w:tcBorders>
            <w:shd w:fill="auto" w:val="clear"/>
          </w:tcPr>
          <w:p>
            <w:pPr>
              <w:pStyle w:val="Normal"/>
              <w:jc w:val="center"/>
              <w:rPr/>
            </w:pPr>
            <w:r>
              <w:rPr/>
              <w:t>283.738,50</w:t>
            </w:r>
          </w:p>
        </w:tc>
        <w:tc>
          <w:tcPr>
            <w:tcW w:w="2131" w:type="dxa"/>
            <w:tcBorders>
              <w:top w:val="single" w:sz="4" w:space="0" w:color="000000"/>
              <w:left w:val="single" w:sz="4" w:space="0" w:color="000000"/>
              <w:bottom w:val="single" w:sz="4" w:space="0" w:color="000000"/>
            </w:tcBorders>
            <w:shd w:fill="auto" w:val="clear"/>
          </w:tcPr>
          <w:p>
            <w:pPr>
              <w:pStyle w:val="Normal"/>
              <w:jc w:val="center"/>
              <w:rPr/>
            </w:pPr>
            <w:r>
              <w:rPr/>
              <w:t>283.738,50</w:t>
            </w:r>
          </w:p>
        </w:tc>
        <w:tc>
          <w:tcPr>
            <w:tcW w:w="2429"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pPr>
            <w:r>
              <w:rPr/>
              <w:t>0</w:t>
            </w:r>
          </w:p>
        </w:tc>
      </w:tr>
    </w:tbl>
    <w:p>
      <w:pPr>
        <w:pStyle w:val="Normal"/>
        <w:tabs>
          <w:tab w:val="clear" w:pos="708"/>
          <w:tab w:val="left" w:pos="450" w:leader="none"/>
        </w:tabs>
        <w:ind w:hanging="426" w:left="426"/>
        <w:jc w:val="both"/>
        <w:rPr>
          <w:b/>
          <w:bCs/>
        </w:rPr>
      </w:pPr>
      <w:r>
        <w:rPr>
          <w:b/>
          <w:bCs/>
        </w:rPr>
      </w:r>
    </w:p>
    <w:p>
      <w:pPr>
        <w:pStyle w:val="Normal"/>
        <w:tabs>
          <w:tab w:val="clear" w:pos="708"/>
          <w:tab w:val="left" w:pos="450" w:leader="none"/>
        </w:tabs>
        <w:ind w:hanging="426" w:left="426"/>
        <w:jc w:val="both"/>
        <w:rPr/>
      </w:pPr>
      <w:r>
        <w:rPr>
          <w:b/>
          <w:bCs/>
        </w:rPr>
        <w:t>b)  Finančné usporiadanie voči štátnemu rozpočtu:</w:t>
      </w:r>
    </w:p>
    <w:tbl>
      <w:tblPr>
        <w:tblW w:w="9750" w:type="dxa"/>
        <w:jc w:val="left"/>
        <w:tblInd w:w="109" w:type="dxa"/>
        <w:tblLayout w:type="fixed"/>
        <w:tblCellMar>
          <w:top w:w="0" w:type="dxa"/>
          <w:left w:w="103" w:type="dxa"/>
          <w:bottom w:w="0" w:type="dxa"/>
          <w:right w:w="108" w:type="dxa"/>
        </w:tblCellMar>
        <w:tblLook w:firstRow="1" w:noVBand="1" w:lastRow="0" w:firstColumn="1" w:lastColumn="0" w:noHBand="0" w:val="04a0"/>
      </w:tblPr>
      <w:tblGrid>
        <w:gridCol w:w="2668"/>
        <w:gridCol w:w="2657"/>
        <w:gridCol w:w="1650"/>
        <w:gridCol w:w="1470"/>
        <w:gridCol w:w="1305"/>
      </w:tblGrid>
      <w:tr>
        <w:trPr/>
        <w:tc>
          <w:tcPr>
            <w:tcW w:w="2668" w:type="dxa"/>
            <w:tcBorders>
              <w:top w:val="single" w:sz="4" w:space="0" w:color="000000"/>
              <w:left w:val="single" w:sz="4" w:space="0" w:color="000000"/>
              <w:bottom w:val="single" w:sz="4" w:space="0" w:color="000000"/>
            </w:tcBorders>
            <w:shd w:color="auto" w:fill="D9D9D9" w:val="clear"/>
          </w:tcPr>
          <w:p>
            <w:pPr>
              <w:pStyle w:val="Normal"/>
              <w:rPr/>
            </w:pPr>
            <w:r>
              <w:rPr>
                <w:b/>
                <w:sz w:val="20"/>
                <w:szCs w:val="20"/>
              </w:rPr>
              <w:t>Poskytovateľ</w:t>
            </w:r>
          </w:p>
          <w:p>
            <w:pPr>
              <w:pStyle w:val="Normal"/>
              <w:rPr>
                <w:b/>
                <w:sz w:val="20"/>
                <w:szCs w:val="20"/>
              </w:rPr>
            </w:pPr>
            <w:r>
              <w:rPr>
                <w:b/>
                <w:sz w:val="20"/>
                <w:szCs w:val="20"/>
              </w:rPr>
            </w:r>
          </w:p>
          <w:p>
            <w:pPr>
              <w:pStyle w:val="Normal"/>
              <w:rPr>
                <w:b/>
                <w:sz w:val="20"/>
                <w:szCs w:val="20"/>
              </w:rPr>
            </w:pPr>
            <w:r>
              <w:rPr>
                <w:b/>
                <w:sz w:val="20"/>
                <w:szCs w:val="20"/>
              </w:rPr>
            </w:r>
          </w:p>
          <w:p>
            <w:pPr>
              <w:pStyle w:val="Normal"/>
              <w:rPr>
                <w:b/>
                <w:sz w:val="20"/>
                <w:szCs w:val="20"/>
              </w:rPr>
            </w:pPr>
            <w:r>
              <w:rPr>
                <w:b/>
                <w:sz w:val="20"/>
                <w:szCs w:val="20"/>
              </w:rPr>
            </w:r>
          </w:p>
          <w:p>
            <w:pPr>
              <w:pStyle w:val="Normal"/>
              <w:rPr/>
            </w:pPr>
            <w:r>
              <w:rPr>
                <w:b/>
                <w:sz w:val="20"/>
                <w:szCs w:val="20"/>
              </w:rPr>
              <w:t xml:space="preserve">        </w:t>
            </w:r>
            <w:r>
              <w:rPr>
                <w:b/>
                <w:sz w:val="20"/>
                <w:szCs w:val="20"/>
              </w:rPr>
              <w:t>- 1 -</w:t>
            </w:r>
          </w:p>
        </w:tc>
        <w:tc>
          <w:tcPr>
            <w:tcW w:w="2657" w:type="dxa"/>
            <w:tcBorders>
              <w:top w:val="single" w:sz="4" w:space="0" w:color="000000"/>
              <w:left w:val="single" w:sz="4" w:space="0" w:color="000000"/>
              <w:bottom w:val="single" w:sz="4" w:space="0" w:color="000000"/>
            </w:tcBorders>
            <w:shd w:color="auto" w:fill="D9D9D9" w:val="clear"/>
          </w:tcPr>
          <w:p>
            <w:pPr>
              <w:pStyle w:val="Normal"/>
              <w:rPr/>
            </w:pPr>
            <w:r>
              <w:rPr>
                <w:b/>
                <w:sz w:val="20"/>
                <w:szCs w:val="20"/>
              </w:rPr>
              <w:t>Účelové určenie grantu, transferu uviesť : školstvo, matrika, ....</w:t>
            </w:r>
          </w:p>
          <w:p>
            <w:pPr>
              <w:pStyle w:val="Normal"/>
              <w:rPr/>
            </w:pPr>
            <w:r>
              <w:rPr>
                <w:b/>
                <w:sz w:val="20"/>
                <w:szCs w:val="20"/>
              </w:rPr>
              <w:t>- bežné výdavky</w:t>
            </w:r>
          </w:p>
          <w:p>
            <w:pPr>
              <w:pStyle w:val="Normal"/>
              <w:rPr/>
            </w:pPr>
            <w:r>
              <w:rPr>
                <w:b/>
                <w:sz w:val="20"/>
                <w:szCs w:val="20"/>
              </w:rPr>
              <w:t>- kapitálové výdavky</w:t>
            </w:r>
          </w:p>
          <w:p>
            <w:pPr>
              <w:pStyle w:val="Normal"/>
              <w:jc w:val="center"/>
              <w:rPr/>
            </w:pPr>
            <w:r>
              <w:rPr>
                <w:b/>
                <w:sz w:val="20"/>
                <w:szCs w:val="20"/>
              </w:rPr>
              <w:t>- 2 -</w:t>
            </w:r>
          </w:p>
        </w:tc>
        <w:tc>
          <w:tcPr>
            <w:tcW w:w="1650" w:type="dxa"/>
            <w:tcBorders>
              <w:top w:val="single" w:sz="4" w:space="0" w:color="000000"/>
              <w:left w:val="single" w:sz="4" w:space="0" w:color="000000"/>
              <w:bottom w:val="single" w:sz="4" w:space="0" w:color="000000"/>
            </w:tcBorders>
            <w:shd w:color="auto" w:fill="D9D9D9" w:val="clear"/>
          </w:tcPr>
          <w:p>
            <w:pPr>
              <w:pStyle w:val="Normal"/>
              <w:rPr/>
            </w:pPr>
            <w:r>
              <w:rPr>
                <w:b/>
                <w:sz w:val="20"/>
                <w:szCs w:val="20"/>
              </w:rPr>
              <w:t>Suma  poskytnutých</w:t>
            </w:r>
          </w:p>
          <w:p>
            <w:pPr>
              <w:pStyle w:val="Normal"/>
              <w:rPr/>
            </w:pPr>
            <w:r>
              <w:rPr>
                <w:b/>
                <w:sz w:val="20"/>
                <w:szCs w:val="20"/>
              </w:rPr>
              <w:t>finančných prostriedkov</w:t>
            </w:r>
          </w:p>
          <w:p>
            <w:pPr>
              <w:pStyle w:val="Normal"/>
              <w:jc w:val="center"/>
              <w:rPr>
                <w:b/>
                <w:sz w:val="20"/>
                <w:szCs w:val="20"/>
              </w:rPr>
            </w:pPr>
            <w:r>
              <w:rPr>
                <w:b/>
                <w:sz w:val="20"/>
                <w:szCs w:val="20"/>
              </w:rPr>
            </w:r>
          </w:p>
          <w:p>
            <w:pPr>
              <w:pStyle w:val="Normal"/>
              <w:jc w:val="center"/>
              <w:rPr/>
            </w:pPr>
            <w:r>
              <w:rPr>
                <w:b/>
                <w:sz w:val="20"/>
                <w:szCs w:val="20"/>
              </w:rPr>
              <w:t>- 3 -</w:t>
            </w:r>
          </w:p>
        </w:tc>
        <w:tc>
          <w:tcPr>
            <w:tcW w:w="1470" w:type="dxa"/>
            <w:tcBorders>
              <w:top w:val="single" w:sz="4" w:space="0" w:color="000000"/>
              <w:left w:val="single" w:sz="4" w:space="0" w:color="000000"/>
              <w:bottom w:val="single" w:sz="4" w:space="0" w:color="000000"/>
            </w:tcBorders>
            <w:shd w:color="auto" w:fill="D9D9D9" w:val="clear"/>
          </w:tcPr>
          <w:p>
            <w:pPr>
              <w:pStyle w:val="Normal"/>
              <w:rPr/>
            </w:pPr>
            <w:r>
              <w:rPr>
                <w:b/>
                <w:sz w:val="20"/>
                <w:szCs w:val="20"/>
              </w:rPr>
              <w:t>Suma skutočne použitých finančných prostriedkov</w:t>
            </w:r>
          </w:p>
          <w:p>
            <w:pPr>
              <w:pStyle w:val="Normal"/>
              <w:jc w:val="center"/>
              <w:rPr/>
            </w:pPr>
            <w:r>
              <w:rPr>
                <w:b/>
                <w:sz w:val="20"/>
                <w:szCs w:val="20"/>
              </w:rPr>
              <w:t>- 4 -</w:t>
            </w:r>
          </w:p>
        </w:tc>
        <w:tc>
          <w:tcPr>
            <w:tcW w:w="1305" w:type="dxa"/>
            <w:tcBorders>
              <w:top w:val="single" w:sz="4" w:space="0" w:color="000000"/>
              <w:left w:val="single" w:sz="4" w:space="0" w:color="000000"/>
              <w:bottom w:val="single" w:sz="4" w:space="0" w:color="000000"/>
              <w:right w:val="single" w:sz="4" w:space="0" w:color="000000"/>
            </w:tcBorders>
            <w:shd w:color="auto" w:fill="D9D9D9" w:val="clear"/>
          </w:tcPr>
          <w:p>
            <w:pPr>
              <w:pStyle w:val="Normal"/>
              <w:rPr/>
            </w:pPr>
            <w:r>
              <w:rPr>
                <w:b/>
                <w:sz w:val="20"/>
                <w:szCs w:val="20"/>
              </w:rPr>
              <w:t>Rozdiel</w:t>
            </w:r>
          </w:p>
          <w:p>
            <w:pPr>
              <w:pStyle w:val="Normal"/>
              <w:rPr/>
            </w:pPr>
            <w:r>
              <w:rPr>
                <w:b/>
                <w:sz w:val="20"/>
                <w:szCs w:val="20"/>
              </w:rPr>
              <w:t>(stĺ.3 - stĺ.4 )</w:t>
            </w:r>
          </w:p>
          <w:p>
            <w:pPr>
              <w:pStyle w:val="Normal"/>
              <w:rPr>
                <w:b/>
                <w:sz w:val="20"/>
                <w:szCs w:val="20"/>
              </w:rPr>
            </w:pPr>
            <w:r>
              <w:rPr>
                <w:b/>
                <w:sz w:val="20"/>
                <w:szCs w:val="20"/>
              </w:rPr>
            </w:r>
          </w:p>
          <w:p>
            <w:pPr>
              <w:pStyle w:val="Normal"/>
              <w:rPr>
                <w:b/>
                <w:sz w:val="20"/>
                <w:szCs w:val="20"/>
              </w:rPr>
            </w:pPr>
            <w:r>
              <w:rPr>
                <w:b/>
                <w:sz w:val="20"/>
                <w:szCs w:val="20"/>
              </w:rPr>
            </w:r>
          </w:p>
          <w:p>
            <w:pPr>
              <w:pStyle w:val="Normal"/>
              <w:jc w:val="center"/>
              <w:rPr/>
            </w:pPr>
            <w:r>
              <w:rPr>
                <w:b/>
                <w:sz w:val="20"/>
                <w:szCs w:val="20"/>
              </w:rPr>
              <w:t>- 5 -</w:t>
            </w:r>
          </w:p>
        </w:tc>
      </w:tr>
      <w:tr>
        <w:trPr>
          <w:trHeight w:val="278"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Obvodný úrad</w:t>
            </w:r>
          </w:p>
        </w:tc>
        <w:tc>
          <w:tcPr>
            <w:tcW w:w="2657" w:type="dxa"/>
            <w:tcBorders>
              <w:top w:val="single" w:sz="4" w:space="0" w:color="000000"/>
              <w:left w:val="single" w:sz="4" w:space="0" w:color="000000"/>
              <w:bottom w:val="single" w:sz="4" w:space="0" w:color="000000"/>
            </w:tcBorders>
            <w:shd w:fill="auto" w:val="clear"/>
          </w:tcPr>
          <w:p>
            <w:pPr>
              <w:pStyle w:val="Normal"/>
              <w:rPr/>
            </w:pPr>
            <w:r>
              <w:rPr/>
              <w:t>Register obyvateľ. adries</w:t>
            </w:r>
          </w:p>
        </w:tc>
        <w:tc>
          <w:tcPr>
            <w:tcW w:w="1650" w:type="dxa"/>
            <w:tcBorders>
              <w:top w:val="single" w:sz="4" w:space="0" w:color="000000"/>
              <w:left w:val="single" w:sz="4" w:space="0" w:color="000000"/>
              <w:bottom w:val="single" w:sz="4" w:space="0" w:color="000000"/>
            </w:tcBorders>
            <w:shd w:fill="auto" w:val="clear"/>
          </w:tcPr>
          <w:p>
            <w:pPr>
              <w:pStyle w:val="Normal"/>
              <w:jc w:val="right"/>
              <w:rPr/>
            </w:pPr>
            <w:r>
              <w:rPr/>
              <w:t>419,18</w:t>
            </w:r>
          </w:p>
        </w:tc>
        <w:tc>
          <w:tcPr>
            <w:tcW w:w="1470" w:type="dxa"/>
            <w:tcBorders>
              <w:top w:val="single" w:sz="4" w:space="0" w:color="000000"/>
              <w:left w:val="single" w:sz="4" w:space="0" w:color="000000"/>
              <w:bottom w:val="single" w:sz="4" w:space="0" w:color="000000"/>
            </w:tcBorders>
            <w:shd w:fill="auto" w:val="clear"/>
          </w:tcPr>
          <w:p>
            <w:pPr>
              <w:pStyle w:val="Normal"/>
              <w:jc w:val="right"/>
              <w:rPr/>
            </w:pPr>
            <w:r>
              <w:rPr/>
              <w:t>419,18</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Krajský stavebný  úrad</w:t>
            </w:r>
          </w:p>
        </w:tc>
        <w:tc>
          <w:tcPr>
            <w:tcW w:w="2657" w:type="dxa"/>
            <w:tcBorders>
              <w:top w:val="single" w:sz="4" w:space="0" w:color="000000"/>
              <w:left w:val="single" w:sz="4" w:space="0" w:color="000000"/>
              <w:bottom w:val="single" w:sz="4" w:space="0" w:color="000000"/>
            </w:tcBorders>
            <w:shd w:fill="auto" w:val="clear"/>
          </w:tcPr>
          <w:p>
            <w:pPr>
              <w:pStyle w:val="Normal"/>
              <w:rPr/>
            </w:pPr>
            <w:r>
              <w:rPr/>
              <w:t>Stavebný úrad</w:t>
            </w:r>
          </w:p>
        </w:tc>
        <w:tc>
          <w:tcPr>
            <w:tcW w:w="1650" w:type="dxa"/>
            <w:tcBorders>
              <w:top w:val="single" w:sz="4" w:space="0" w:color="000000"/>
              <w:left w:val="single" w:sz="4" w:space="0" w:color="000000"/>
              <w:bottom w:val="single" w:sz="4" w:space="0" w:color="000000"/>
            </w:tcBorders>
            <w:shd w:fill="auto" w:val="clear"/>
          </w:tcPr>
          <w:p>
            <w:pPr>
              <w:pStyle w:val="Normal"/>
              <w:jc w:val="right"/>
              <w:rPr>
                <w:sz w:val="22"/>
                <w:szCs w:val="22"/>
              </w:rPr>
            </w:pPr>
            <w:r>
              <w:rPr>
                <w:sz w:val="22"/>
                <w:szCs w:val="22"/>
              </w:rPr>
              <w:t>1.966,97</w:t>
            </w:r>
          </w:p>
        </w:tc>
        <w:tc>
          <w:tcPr>
            <w:tcW w:w="1470" w:type="dxa"/>
            <w:tcBorders>
              <w:top w:val="single" w:sz="4" w:space="0" w:color="000000"/>
              <w:left w:val="single" w:sz="4" w:space="0" w:color="000000"/>
              <w:bottom w:val="single" w:sz="4" w:space="0" w:color="000000"/>
            </w:tcBorders>
            <w:shd w:fill="auto" w:val="clear"/>
          </w:tcPr>
          <w:p>
            <w:pPr>
              <w:pStyle w:val="Normal"/>
              <w:jc w:val="right"/>
              <w:rPr>
                <w:sz w:val="22"/>
                <w:szCs w:val="22"/>
              </w:rPr>
            </w:pPr>
            <w:r>
              <w:rPr>
                <w:sz w:val="22"/>
                <w:szCs w:val="22"/>
              </w:rPr>
              <w:t>1.966,97</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Krajský úrad, cest. dopr.</w:t>
            </w:r>
          </w:p>
        </w:tc>
        <w:tc>
          <w:tcPr>
            <w:tcW w:w="2657" w:type="dxa"/>
            <w:tcBorders>
              <w:top w:val="single" w:sz="4" w:space="0" w:color="000000"/>
              <w:left w:val="single" w:sz="4" w:space="0" w:color="000000"/>
              <w:bottom w:val="single" w:sz="4" w:space="0" w:color="000000"/>
            </w:tcBorders>
            <w:shd w:fill="auto" w:val="clear"/>
          </w:tcPr>
          <w:p>
            <w:pPr>
              <w:pStyle w:val="Normal"/>
              <w:rPr/>
            </w:pPr>
            <w:r>
              <w:rPr/>
              <w:t>Doprava a komunikácie</w:t>
            </w:r>
          </w:p>
        </w:tc>
        <w:tc>
          <w:tcPr>
            <w:tcW w:w="1650" w:type="dxa"/>
            <w:tcBorders>
              <w:top w:val="single" w:sz="4" w:space="0" w:color="000000"/>
              <w:left w:val="single" w:sz="4" w:space="0" w:color="000000"/>
              <w:bottom w:val="single" w:sz="4" w:space="0" w:color="000000"/>
            </w:tcBorders>
            <w:shd w:fill="auto" w:val="clear"/>
          </w:tcPr>
          <w:p>
            <w:pPr>
              <w:pStyle w:val="Normal"/>
              <w:jc w:val="right"/>
              <w:rPr/>
            </w:pPr>
            <w:r>
              <w:rPr/>
              <w:t>52,10</w:t>
            </w:r>
          </w:p>
        </w:tc>
        <w:tc>
          <w:tcPr>
            <w:tcW w:w="1470" w:type="dxa"/>
            <w:tcBorders>
              <w:top w:val="single" w:sz="4" w:space="0" w:color="000000"/>
              <w:left w:val="single" w:sz="4" w:space="0" w:color="000000"/>
              <w:bottom w:val="single" w:sz="4" w:space="0" w:color="000000"/>
            </w:tcBorders>
            <w:shd w:fill="auto" w:val="clear"/>
          </w:tcPr>
          <w:p>
            <w:pPr>
              <w:pStyle w:val="Normal"/>
              <w:jc w:val="right"/>
              <w:rPr/>
            </w:pPr>
            <w:r>
              <w:rPr/>
              <w:t>52,10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5"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Envirofond</w:t>
            </w:r>
          </w:p>
        </w:tc>
        <w:tc>
          <w:tcPr>
            <w:tcW w:w="2657" w:type="dxa"/>
            <w:tcBorders>
              <w:top w:val="single" w:sz="4" w:space="0" w:color="000000"/>
              <w:left w:val="single" w:sz="4" w:space="0" w:color="000000"/>
              <w:bottom w:val="single" w:sz="4" w:space="0" w:color="000000"/>
            </w:tcBorders>
            <w:shd w:fill="auto" w:val="clear"/>
          </w:tcPr>
          <w:p>
            <w:pPr>
              <w:pStyle w:val="Normal"/>
              <w:rPr/>
            </w:pPr>
            <w:r>
              <w:rPr/>
              <w:t>Malotraktor, mulčovač</w:t>
            </w:r>
          </w:p>
        </w:tc>
        <w:tc>
          <w:tcPr>
            <w:tcW w:w="1650" w:type="dxa"/>
            <w:tcBorders>
              <w:top w:val="single" w:sz="4" w:space="0" w:color="000000"/>
              <w:left w:val="single" w:sz="4" w:space="0" w:color="000000"/>
              <w:bottom w:val="single" w:sz="4" w:space="0" w:color="000000"/>
            </w:tcBorders>
            <w:shd w:fill="auto" w:val="clear"/>
          </w:tcPr>
          <w:p>
            <w:pPr>
              <w:pStyle w:val="Normal"/>
              <w:jc w:val="right"/>
              <w:rPr/>
            </w:pPr>
            <w:r>
              <w:rPr/>
              <w:t>14.798,00</w:t>
            </w:r>
          </w:p>
        </w:tc>
        <w:tc>
          <w:tcPr>
            <w:tcW w:w="1470" w:type="dxa"/>
            <w:tcBorders>
              <w:top w:val="single" w:sz="4" w:space="0" w:color="000000"/>
              <w:left w:val="single" w:sz="4" w:space="0" w:color="000000"/>
              <w:bottom w:val="single" w:sz="4" w:space="0" w:color="000000"/>
            </w:tcBorders>
            <w:shd w:fill="auto" w:val="clear"/>
          </w:tcPr>
          <w:p>
            <w:pPr>
              <w:pStyle w:val="Normal"/>
              <w:jc w:val="right"/>
              <w:rPr/>
            </w:pPr>
            <w:r>
              <w:rPr/>
              <w:t>0,00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14.798,00</w:t>
            </w:r>
          </w:p>
        </w:tc>
      </w:tr>
      <w:tr>
        <w:trPr>
          <w:trHeight w:val="275"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MŽP SR</w:t>
            </w:r>
          </w:p>
        </w:tc>
        <w:tc>
          <w:tcPr>
            <w:tcW w:w="2657" w:type="dxa"/>
            <w:tcBorders>
              <w:top w:val="single" w:sz="4" w:space="0" w:color="000000"/>
              <w:left w:val="single" w:sz="4" w:space="0" w:color="000000"/>
              <w:bottom w:val="single" w:sz="4" w:space="0" w:color="000000"/>
            </w:tcBorders>
            <w:shd w:fill="auto" w:val="clear"/>
          </w:tcPr>
          <w:p>
            <w:pPr>
              <w:pStyle w:val="Normal"/>
              <w:rPr/>
            </w:pPr>
            <w:r>
              <w:rPr/>
              <w:t>Životné prostredie</w:t>
            </w:r>
          </w:p>
        </w:tc>
        <w:tc>
          <w:tcPr>
            <w:tcW w:w="1650" w:type="dxa"/>
            <w:tcBorders>
              <w:top w:val="single" w:sz="4" w:space="0" w:color="000000"/>
              <w:left w:val="single" w:sz="4" w:space="0" w:color="000000"/>
              <w:bottom w:val="single" w:sz="4" w:space="0" w:color="000000"/>
            </w:tcBorders>
            <w:shd w:fill="auto" w:val="clear"/>
          </w:tcPr>
          <w:p>
            <w:pPr>
              <w:pStyle w:val="Normal"/>
              <w:jc w:val="right"/>
              <w:rPr/>
            </w:pPr>
            <w:r>
              <w:rPr/>
              <w:t>145,96</w:t>
            </w:r>
          </w:p>
        </w:tc>
        <w:tc>
          <w:tcPr>
            <w:tcW w:w="1470" w:type="dxa"/>
            <w:tcBorders>
              <w:top w:val="single" w:sz="4" w:space="0" w:color="000000"/>
              <w:left w:val="single" w:sz="4" w:space="0" w:color="000000"/>
              <w:bottom w:val="single" w:sz="4" w:space="0" w:color="000000"/>
            </w:tcBorders>
            <w:shd w:fill="auto" w:val="clear"/>
          </w:tcPr>
          <w:p>
            <w:pPr>
              <w:pStyle w:val="Normal"/>
              <w:jc w:val="right"/>
              <w:rPr/>
            </w:pPr>
            <w:r>
              <w:rPr/>
              <w:t>145,96</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6"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NIVaM</w:t>
            </w:r>
          </w:p>
        </w:tc>
        <w:tc>
          <w:tcPr>
            <w:tcW w:w="2657" w:type="dxa"/>
            <w:tcBorders>
              <w:top w:val="single" w:sz="4" w:space="0" w:color="000000"/>
              <w:left w:val="single" w:sz="4" w:space="0" w:color="000000"/>
              <w:bottom w:val="single" w:sz="4" w:space="0" w:color="000000"/>
            </w:tcBorders>
            <w:shd w:fill="auto" w:val="clear"/>
          </w:tcPr>
          <w:p>
            <w:pPr>
              <w:pStyle w:val="Normal"/>
              <w:rPr/>
            </w:pPr>
            <w:r>
              <w:rPr/>
              <w:t>Projekt ZŠ</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33.596,00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33.596,00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337"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Obvodný úrad</w:t>
            </w:r>
          </w:p>
        </w:tc>
        <w:tc>
          <w:tcPr>
            <w:tcW w:w="2657" w:type="dxa"/>
            <w:tcBorders>
              <w:top w:val="single" w:sz="4" w:space="0" w:color="000000"/>
              <w:left w:val="single" w:sz="4" w:space="0" w:color="000000"/>
              <w:bottom w:val="single" w:sz="4" w:space="0" w:color="000000"/>
            </w:tcBorders>
            <w:shd w:fill="auto" w:val="clear"/>
          </w:tcPr>
          <w:p>
            <w:pPr>
              <w:pStyle w:val="Normal"/>
              <w:rPr/>
            </w:pPr>
            <w:r>
              <w:rPr/>
              <w:t>Matrika</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6.706,86</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6.706,86</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88"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MV SR</w:t>
            </w:r>
          </w:p>
        </w:tc>
        <w:tc>
          <w:tcPr>
            <w:tcW w:w="2657" w:type="dxa"/>
            <w:tcBorders>
              <w:top w:val="single" w:sz="4" w:space="0" w:color="000000"/>
              <w:left w:val="single" w:sz="4" w:space="0" w:color="000000"/>
              <w:bottom w:val="single" w:sz="4" w:space="0" w:color="000000"/>
            </w:tcBorders>
            <w:shd w:fill="auto" w:val="clear"/>
          </w:tcPr>
          <w:p>
            <w:pPr>
              <w:pStyle w:val="Normal"/>
              <w:rPr/>
            </w:pPr>
            <w:r>
              <w:rPr/>
              <w:t>Mimoriadna situácia-Povodne</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732,00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732,00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88" w:hRule="atLeast"/>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Obvodný úrad</w:t>
            </w:r>
          </w:p>
        </w:tc>
        <w:tc>
          <w:tcPr>
            <w:tcW w:w="2657" w:type="dxa"/>
            <w:tcBorders>
              <w:top w:val="single" w:sz="4" w:space="0" w:color="000000"/>
              <w:left w:val="single" w:sz="4" w:space="0" w:color="000000"/>
              <w:bottom w:val="single" w:sz="4" w:space="0" w:color="000000"/>
            </w:tcBorders>
            <w:shd w:fill="auto" w:val="clear"/>
          </w:tcPr>
          <w:p>
            <w:pPr>
              <w:pStyle w:val="Normal"/>
              <w:rPr/>
            </w:pPr>
            <w:r>
              <w:rPr/>
              <w:t>Voľby</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3.281,85</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3.281,85</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Obvodný úrad</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Ukrajina</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2.400,00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2.400,00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rPr/>
            </w:pPr>
            <w:r>
              <w:rPr/>
              <w:t xml:space="preserve">    </w:t>
            </w:r>
            <w:r>
              <w:rPr/>
              <w:t>Mimo VS</w:t>
            </w:r>
          </w:p>
        </w:tc>
        <w:tc>
          <w:tcPr>
            <w:tcW w:w="2657" w:type="dxa"/>
            <w:tcBorders>
              <w:top w:val="single" w:sz="4" w:space="0" w:color="000000"/>
              <w:left w:val="single" w:sz="4" w:space="0" w:color="000000"/>
              <w:bottom w:val="single" w:sz="4" w:space="0" w:color="000000"/>
            </w:tcBorders>
            <w:shd w:fill="auto" w:val="clear"/>
          </w:tcPr>
          <w:p>
            <w:pPr>
              <w:pStyle w:val="Normal"/>
              <w:rPr/>
            </w:pPr>
            <w:r>
              <w:rPr/>
              <w:t>DHZ</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2.984,00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2.984,00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KŠU</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ZŠ</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922.994,48</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922.994,48</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KŠU</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MŠ</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8.593,00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8.593,00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MFSR</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Chodník</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10.150,00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0,00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10.150,00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MH SR</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Energie</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3.417,38</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3.417,38</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UPSVaR ZŠ</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ZŠ strava</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83.009,70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74.428,10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8.581,60</w:t>
            </w:r>
          </w:p>
        </w:tc>
      </w:tr>
      <w:tr>
        <w:trPr/>
        <w:tc>
          <w:tcPr>
            <w:tcW w:w="2668" w:type="dxa"/>
            <w:tcBorders>
              <w:top w:val="single" w:sz="4" w:space="0" w:color="000000"/>
              <w:left w:val="single" w:sz="4" w:space="0" w:color="000000"/>
              <w:bottom w:val="single" w:sz="4" w:space="0" w:color="000000"/>
            </w:tcBorders>
            <w:shd w:fill="auto" w:val="clear"/>
          </w:tcPr>
          <w:p>
            <w:pPr>
              <w:pStyle w:val="Normal"/>
              <w:snapToGrid w:val="false"/>
              <w:rPr/>
            </w:pPr>
            <w:r>
              <w:rPr/>
              <w:t xml:space="preserve">    </w:t>
            </w:r>
            <w:r>
              <w:rPr/>
              <w:t>MFSR</w:t>
            </w:r>
          </w:p>
        </w:tc>
        <w:tc>
          <w:tcPr>
            <w:tcW w:w="2657" w:type="dxa"/>
            <w:tcBorders>
              <w:top w:val="single" w:sz="4" w:space="0" w:color="000000"/>
              <w:left w:val="single" w:sz="4" w:space="0" w:color="000000"/>
              <w:bottom w:val="single" w:sz="4" w:space="0" w:color="000000"/>
            </w:tcBorders>
            <w:shd w:fill="auto" w:val="clear"/>
          </w:tcPr>
          <w:p>
            <w:pPr>
              <w:pStyle w:val="Normal"/>
              <w:snapToGrid w:val="false"/>
              <w:rPr/>
            </w:pPr>
            <w:r>
              <w:rPr/>
              <w:t>výpadok DPFO</w:t>
            </w:r>
          </w:p>
        </w:tc>
        <w:tc>
          <w:tcPr>
            <w:tcW w:w="1650" w:type="dxa"/>
            <w:tcBorders>
              <w:top w:val="single" w:sz="4" w:space="0" w:color="000000"/>
              <w:left w:val="single" w:sz="4" w:space="0" w:color="000000"/>
              <w:bottom w:val="single" w:sz="4" w:space="0" w:color="000000"/>
            </w:tcBorders>
            <w:shd w:fill="auto" w:val="clear"/>
          </w:tcPr>
          <w:p>
            <w:pPr>
              <w:pStyle w:val="Normal"/>
              <w:snapToGrid w:val="false"/>
              <w:jc w:val="right"/>
              <w:rPr/>
            </w:pPr>
            <w:r>
              <w:rPr/>
              <w:t>12.024,00</w:t>
            </w:r>
          </w:p>
        </w:tc>
        <w:tc>
          <w:tcPr>
            <w:tcW w:w="1470" w:type="dxa"/>
            <w:tcBorders>
              <w:top w:val="single" w:sz="4" w:space="0" w:color="000000"/>
              <w:left w:val="single" w:sz="4" w:space="0" w:color="000000"/>
              <w:bottom w:val="single" w:sz="4" w:space="0" w:color="000000"/>
            </w:tcBorders>
            <w:shd w:fill="auto" w:val="clear"/>
          </w:tcPr>
          <w:p>
            <w:pPr>
              <w:pStyle w:val="Normal"/>
              <w:snapToGrid w:val="false"/>
              <w:jc w:val="right"/>
              <w:rPr/>
            </w:pPr>
            <w:r>
              <w:rPr/>
              <w:t>12.024,00</w:t>
            </w:r>
          </w:p>
        </w:tc>
        <w:tc>
          <w:tcPr>
            <w:tcW w:w="130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bl>
    <w:p>
      <w:pPr>
        <w:pStyle w:val="Normal"/>
        <w:tabs>
          <w:tab w:val="clear" w:pos="708"/>
          <w:tab w:val="left" w:pos="426" w:leader="none"/>
        </w:tabs>
        <w:jc w:val="both"/>
        <w:rPr/>
      </w:pPr>
      <w:r>
        <w:rPr/>
      </w:r>
    </w:p>
    <w:p>
      <w:pPr>
        <w:pStyle w:val="Normal"/>
        <w:tabs>
          <w:tab w:val="clear" w:pos="708"/>
          <w:tab w:val="left" w:pos="690" w:leader="none"/>
        </w:tabs>
        <w:ind w:hanging="426" w:left="426"/>
        <w:jc w:val="both"/>
        <w:rPr/>
      </w:pPr>
      <w:r>
        <w:rPr>
          <w:b/>
          <w:bCs/>
        </w:rPr>
        <w:t>c) Finančné usporiadanie voči štátnym fondom</w:t>
      </w:r>
    </w:p>
    <w:p>
      <w:pPr>
        <w:pStyle w:val="Normal"/>
        <w:jc w:val="both"/>
        <w:rPr/>
      </w:pPr>
      <w:r>
        <w:rPr/>
        <w:t>Obec neuzatvorila v roku 2024 žiadnu zmluvu so štátnym fondom.</w:t>
      </w:r>
    </w:p>
    <w:p>
      <w:pPr>
        <w:pStyle w:val="Normal"/>
        <w:jc w:val="both"/>
        <w:rPr/>
      </w:pPr>
      <w:r>
        <w:rPr/>
      </w:r>
    </w:p>
    <w:p>
      <w:pPr>
        <w:pStyle w:val="Normal"/>
        <w:tabs>
          <w:tab w:val="clear" w:pos="708"/>
          <w:tab w:val="left" w:pos="426" w:leader="none"/>
        </w:tabs>
        <w:ind w:hanging="426" w:left="450"/>
        <w:jc w:val="both"/>
        <w:rPr/>
      </w:pPr>
      <w:r>
        <w:rPr>
          <w:b/>
          <w:bCs/>
        </w:rPr>
        <w:t>d) Finančné usporiadanie voči rozpočtom iných obciam</w:t>
      </w:r>
    </w:p>
    <w:p>
      <w:pPr>
        <w:pStyle w:val="Normal"/>
        <w:tabs>
          <w:tab w:val="clear" w:pos="708"/>
          <w:tab w:val="left" w:pos="426" w:leader="none"/>
        </w:tabs>
        <w:ind w:hanging="426" w:left="450"/>
        <w:jc w:val="both"/>
        <w:rPr/>
      </w:pPr>
      <w:r>
        <w:rPr/>
        <w:t xml:space="preserve"> </w:t>
      </w:r>
      <w:r>
        <w:rPr/>
        <w:t xml:space="preserve">Obec neuzatvorila v roku 2024 žiadnu zmluvu s inými obcami. </w:t>
      </w:r>
    </w:p>
    <w:p>
      <w:pPr>
        <w:pStyle w:val="Normal"/>
        <w:tabs>
          <w:tab w:val="clear" w:pos="708"/>
          <w:tab w:val="left" w:pos="426" w:leader="none"/>
        </w:tabs>
        <w:ind w:hanging="0" w:left="24"/>
        <w:jc w:val="both"/>
        <w:rPr>
          <w:u w:val="single"/>
        </w:rPr>
      </w:pPr>
      <w:r>
        <w:rPr>
          <w:u w:val="single"/>
        </w:rPr>
      </w:r>
    </w:p>
    <w:p>
      <w:pPr>
        <w:pStyle w:val="Normal"/>
        <w:tabs>
          <w:tab w:val="clear" w:pos="708"/>
          <w:tab w:val="left" w:pos="426" w:leader="none"/>
          <w:tab w:val="left" w:pos="465" w:leader="none"/>
        </w:tabs>
        <w:ind w:hanging="426" w:left="426"/>
        <w:jc w:val="both"/>
        <w:rPr/>
      </w:pPr>
      <w:r>
        <w:rPr>
          <w:b/>
          <w:bCs/>
        </w:rPr>
        <w:t xml:space="preserve"> </w:t>
      </w:r>
      <w:r>
        <w:rPr>
          <w:b/>
          <w:bCs/>
        </w:rPr>
        <w:t>e)  Finančné usporiadanie voči rozpočtom VÚC</w:t>
      </w:r>
    </w:p>
    <w:p>
      <w:pPr>
        <w:pStyle w:val="Normal"/>
        <w:tabs>
          <w:tab w:val="clear" w:pos="708"/>
          <w:tab w:val="left" w:pos="426" w:leader="none"/>
        </w:tabs>
        <w:ind w:hanging="426" w:left="450"/>
        <w:jc w:val="both"/>
        <w:rPr>
          <w:color w:val="auto"/>
        </w:rPr>
      </w:pPr>
      <w:r>
        <w:rPr>
          <w:color w:val="auto"/>
        </w:rPr>
        <w:t xml:space="preserve">Obec neuzatvorila v roku 2024 žiadnu zmluvu s inými obcami. </w:t>
      </w:r>
    </w:p>
    <w:p>
      <w:pPr>
        <w:pStyle w:val="Normal"/>
        <w:tabs>
          <w:tab w:val="clear" w:pos="708"/>
          <w:tab w:val="left" w:pos="426" w:leader="none"/>
        </w:tabs>
        <w:ind w:hanging="426" w:left="450"/>
        <w:jc w:val="both"/>
        <w:rPr>
          <w:color w:val="auto"/>
        </w:rPr>
      </w:pPr>
      <w:r>
        <w:rPr>
          <w:color w:val="auto"/>
        </w:rPr>
      </w:r>
    </w:p>
    <w:p>
      <w:pPr>
        <w:pStyle w:val="Normal"/>
        <w:jc w:val="both"/>
        <w:rPr>
          <w:sz w:val="24"/>
          <w:szCs w:val="24"/>
        </w:rPr>
      </w:pPr>
      <w:r>
        <w:rPr>
          <w:b/>
          <w:bCs/>
          <w:sz w:val="24"/>
          <w:szCs w:val="24"/>
        </w:rPr>
        <w:t>Prehľad o poskytnutých dotáciách</w:t>
      </w:r>
    </w:p>
    <w:p>
      <w:pPr>
        <w:pStyle w:val="Normal"/>
        <w:jc w:val="both"/>
        <w:rPr/>
      </w:pPr>
      <w:r>
        <w:rPr/>
        <w:t>Obec v roku 2024 poskytla dotácie v súlade so VZN obce Ľubeľa na podporu všeobecne prospešných služieb.</w:t>
      </w:r>
    </w:p>
    <w:p>
      <w:pPr>
        <w:pStyle w:val="Normal"/>
        <w:jc w:val="both"/>
        <w:rPr>
          <w:b/>
          <w:sz w:val="20"/>
          <w:szCs w:val="20"/>
        </w:rPr>
      </w:pPr>
      <w:r>
        <w:rPr>
          <w:b/>
          <w:sz w:val="20"/>
          <w:szCs w:val="20"/>
        </w:rPr>
      </w:r>
    </w:p>
    <w:tbl>
      <w:tblPr>
        <w:tblW w:w="9765" w:type="dxa"/>
        <w:jc w:val="left"/>
        <w:tblInd w:w="107" w:type="dxa"/>
        <w:tblLayout w:type="fixed"/>
        <w:tblCellMar>
          <w:top w:w="0" w:type="dxa"/>
          <w:left w:w="103" w:type="dxa"/>
          <w:bottom w:w="0" w:type="dxa"/>
          <w:right w:w="108" w:type="dxa"/>
        </w:tblCellMar>
        <w:tblLook w:firstRow="1" w:noVBand="1" w:lastRow="0" w:firstColumn="1" w:lastColumn="0" w:noHBand="0" w:val="04a0"/>
      </w:tblPr>
      <w:tblGrid>
        <w:gridCol w:w="4198"/>
        <w:gridCol w:w="2057"/>
        <w:gridCol w:w="2264"/>
        <w:gridCol w:w="1245"/>
      </w:tblGrid>
      <w:tr>
        <w:trPr/>
        <w:tc>
          <w:tcPr>
            <w:tcW w:w="4198" w:type="dxa"/>
            <w:tcBorders>
              <w:top w:val="single" w:sz="4" w:space="0" w:color="000000"/>
              <w:left w:val="single" w:sz="4" w:space="0" w:color="000000"/>
              <w:bottom w:val="single" w:sz="4" w:space="0" w:color="000000"/>
            </w:tcBorders>
            <w:shd w:color="auto" w:fill="D9D9D9" w:val="clear"/>
          </w:tcPr>
          <w:p>
            <w:pPr>
              <w:pStyle w:val="Normal"/>
              <w:snapToGrid w:val="false"/>
              <w:jc w:val="center"/>
              <w:rPr>
                <w:b/>
                <w:sz w:val="20"/>
                <w:szCs w:val="20"/>
              </w:rPr>
            </w:pPr>
            <w:r>
              <w:rPr>
                <w:b/>
                <w:sz w:val="20"/>
                <w:szCs w:val="20"/>
              </w:rPr>
            </w:r>
          </w:p>
          <w:p>
            <w:pPr>
              <w:pStyle w:val="Normal"/>
              <w:rPr>
                <w:b/>
                <w:sz w:val="20"/>
                <w:szCs w:val="20"/>
              </w:rPr>
            </w:pPr>
            <w:r>
              <w:rPr>
                <w:b/>
                <w:sz w:val="20"/>
                <w:szCs w:val="20"/>
              </w:rPr>
            </w:r>
          </w:p>
          <w:p>
            <w:pPr>
              <w:pStyle w:val="Normal"/>
              <w:jc w:val="center"/>
              <w:rPr/>
            </w:pPr>
            <w:r>
              <w:rPr>
                <w:b/>
                <w:sz w:val="20"/>
                <w:szCs w:val="20"/>
              </w:rPr>
              <w:t>Obec</w:t>
            </w:r>
          </w:p>
          <w:p>
            <w:pPr>
              <w:pStyle w:val="Normal"/>
              <w:jc w:val="center"/>
              <w:rPr/>
            </w:pPr>
            <w:r>
              <w:rPr>
                <w:b/>
                <w:sz w:val="20"/>
                <w:szCs w:val="20"/>
              </w:rPr>
              <w:t>- 1 -</w:t>
            </w:r>
          </w:p>
        </w:tc>
        <w:tc>
          <w:tcPr>
            <w:tcW w:w="2057" w:type="dxa"/>
            <w:tcBorders>
              <w:top w:val="single" w:sz="4" w:space="0" w:color="000000"/>
              <w:left w:val="single" w:sz="4" w:space="0" w:color="000000"/>
              <w:bottom w:val="single" w:sz="4" w:space="0" w:color="000000"/>
            </w:tcBorders>
            <w:shd w:color="auto" w:fill="D9D9D9" w:val="clear"/>
          </w:tcPr>
          <w:p>
            <w:pPr>
              <w:pStyle w:val="Normal"/>
              <w:jc w:val="center"/>
              <w:rPr/>
            </w:pPr>
            <w:r>
              <w:rPr>
                <w:b/>
                <w:sz w:val="20"/>
                <w:szCs w:val="20"/>
              </w:rPr>
              <w:t>Suma  poskytnutých</w:t>
            </w:r>
          </w:p>
          <w:p>
            <w:pPr>
              <w:pStyle w:val="Normal"/>
              <w:jc w:val="center"/>
              <w:rPr/>
            </w:pPr>
            <w:r>
              <w:rPr>
                <w:b/>
                <w:sz w:val="20"/>
                <w:szCs w:val="20"/>
              </w:rPr>
              <w:t>finančných prostriedkov</w:t>
            </w:r>
          </w:p>
          <w:p>
            <w:pPr>
              <w:pStyle w:val="Normal"/>
              <w:jc w:val="center"/>
              <w:rPr/>
            </w:pPr>
            <w:r>
              <w:rPr>
                <w:b/>
                <w:sz w:val="20"/>
                <w:szCs w:val="20"/>
              </w:rPr>
              <w:t>- 2 -</w:t>
            </w:r>
          </w:p>
        </w:tc>
        <w:tc>
          <w:tcPr>
            <w:tcW w:w="2264" w:type="dxa"/>
            <w:tcBorders>
              <w:top w:val="single" w:sz="4" w:space="0" w:color="000000"/>
              <w:left w:val="single" w:sz="4" w:space="0" w:color="000000"/>
              <w:bottom w:val="single" w:sz="4" w:space="0" w:color="000000"/>
            </w:tcBorders>
            <w:shd w:color="auto" w:fill="D9D9D9" w:val="clear"/>
          </w:tcPr>
          <w:p>
            <w:pPr>
              <w:pStyle w:val="Normal"/>
              <w:jc w:val="center"/>
              <w:rPr/>
            </w:pPr>
            <w:r>
              <w:rPr>
                <w:b/>
                <w:sz w:val="20"/>
                <w:szCs w:val="20"/>
              </w:rPr>
              <w:t>Suma skutočne použitých finančných prostriedkov</w:t>
            </w:r>
          </w:p>
          <w:p>
            <w:pPr>
              <w:pStyle w:val="Normal"/>
              <w:jc w:val="center"/>
              <w:rPr/>
            </w:pPr>
            <w:r>
              <w:rPr>
                <w:b/>
                <w:sz w:val="20"/>
                <w:szCs w:val="20"/>
              </w:rPr>
              <w:t>- 3-</w:t>
            </w:r>
          </w:p>
        </w:tc>
        <w:tc>
          <w:tcPr>
            <w:tcW w:w="1245"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b/>
                <w:sz w:val="20"/>
                <w:szCs w:val="20"/>
              </w:rPr>
              <w:t>Rozdiel</w:t>
            </w:r>
          </w:p>
          <w:p>
            <w:pPr>
              <w:pStyle w:val="Normal"/>
              <w:jc w:val="center"/>
              <w:rPr/>
            </w:pPr>
            <w:r>
              <w:rPr>
                <w:b/>
                <w:sz w:val="20"/>
                <w:szCs w:val="20"/>
              </w:rPr>
              <w:t>(stĺ.3 - stĺ.4 )</w:t>
            </w:r>
          </w:p>
          <w:p>
            <w:pPr>
              <w:pStyle w:val="Normal"/>
              <w:jc w:val="center"/>
              <w:rPr/>
            </w:pPr>
            <w:r>
              <w:rPr>
                <w:b/>
                <w:sz w:val="20"/>
                <w:szCs w:val="20"/>
              </w:rPr>
              <w:t>- 4 -</w:t>
            </w:r>
          </w:p>
        </w:tc>
      </w:tr>
      <w:tr>
        <w:trPr>
          <w:trHeight w:val="278" w:hRule="atLeast"/>
        </w:trPr>
        <w:tc>
          <w:tcPr>
            <w:tcW w:w="4198" w:type="dxa"/>
            <w:tcBorders>
              <w:top w:val="single" w:sz="4" w:space="0" w:color="000000"/>
              <w:left w:val="single" w:sz="4" w:space="0" w:color="000000"/>
              <w:bottom w:val="single" w:sz="4" w:space="0" w:color="000000"/>
            </w:tcBorders>
            <w:shd w:fill="auto" w:val="clear"/>
          </w:tcPr>
          <w:p>
            <w:pPr>
              <w:pStyle w:val="Heading1"/>
              <w:spacing w:lineRule="auto" w:line="360"/>
              <w:rPr>
                <w:b w:val="false"/>
                <w:bCs w:val="false"/>
                <w:sz w:val="22"/>
                <w:szCs w:val="22"/>
              </w:rPr>
            </w:pPr>
            <w:r>
              <w:rPr>
                <w:b w:val="false"/>
                <w:bCs w:val="false"/>
                <w:sz w:val="22"/>
                <w:szCs w:val="22"/>
              </w:rPr>
              <w:t>Rada mládeže</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500,00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500,00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8" w:hRule="atLeast"/>
        </w:trPr>
        <w:tc>
          <w:tcPr>
            <w:tcW w:w="4198" w:type="dxa"/>
            <w:tcBorders>
              <w:top w:val="single" w:sz="4" w:space="0" w:color="000000"/>
              <w:left w:val="single" w:sz="4" w:space="0" w:color="000000"/>
              <w:bottom w:val="single" w:sz="4" w:space="0" w:color="000000"/>
            </w:tcBorders>
            <w:shd w:fill="auto" w:val="clear"/>
          </w:tcPr>
          <w:p>
            <w:pPr>
              <w:pStyle w:val="Heading1"/>
              <w:spacing w:lineRule="auto" w:line="360"/>
              <w:rPr>
                <w:b w:val="false"/>
                <w:bCs w:val="false"/>
                <w:sz w:val="22"/>
                <w:szCs w:val="22"/>
              </w:rPr>
            </w:pPr>
            <w:r>
              <w:rPr>
                <w:b w:val="false"/>
                <w:bCs w:val="false"/>
                <w:sz w:val="22"/>
                <w:szCs w:val="22"/>
              </w:rPr>
              <w:t>TJ Partizán Ľubeľa</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8" w:hRule="atLeast"/>
        </w:trPr>
        <w:tc>
          <w:tcPr>
            <w:tcW w:w="4198" w:type="dxa"/>
            <w:tcBorders>
              <w:top w:val="single" w:sz="4" w:space="0" w:color="000000"/>
              <w:left w:val="single" w:sz="4" w:space="0" w:color="000000"/>
              <w:bottom w:val="single" w:sz="4" w:space="0" w:color="000000"/>
            </w:tcBorders>
            <w:shd w:fill="auto" w:val="clear"/>
          </w:tcPr>
          <w:p>
            <w:pPr>
              <w:pStyle w:val="Heading1"/>
              <w:spacing w:lineRule="auto" w:line="360"/>
              <w:rPr>
                <w:b w:val="false"/>
                <w:bCs w:val="false"/>
                <w:sz w:val="22"/>
                <w:szCs w:val="22"/>
              </w:rPr>
            </w:pPr>
            <w:r>
              <w:rPr>
                <w:b w:val="false"/>
                <w:bCs w:val="false"/>
                <w:sz w:val="22"/>
                <w:szCs w:val="22"/>
              </w:rPr>
              <w:t>Stolný tenis</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1.850,00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1.850,00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8" w:hRule="atLeast"/>
        </w:trPr>
        <w:tc>
          <w:tcPr>
            <w:tcW w:w="4198" w:type="dxa"/>
            <w:tcBorders>
              <w:top w:val="single" w:sz="4" w:space="0" w:color="000000"/>
              <w:left w:val="single" w:sz="4" w:space="0" w:color="000000"/>
              <w:bottom w:val="single" w:sz="4" w:space="0" w:color="000000"/>
            </w:tcBorders>
            <w:shd w:fill="auto" w:val="clear"/>
          </w:tcPr>
          <w:p>
            <w:pPr>
              <w:pStyle w:val="Heading1"/>
              <w:spacing w:lineRule="auto" w:line="360"/>
              <w:rPr>
                <w:b w:val="false"/>
                <w:bCs w:val="false"/>
                <w:sz w:val="22"/>
                <w:szCs w:val="22"/>
              </w:rPr>
            </w:pPr>
            <w:bookmarkStart w:id="5" w:name="headline"/>
            <w:bookmarkEnd w:id="5"/>
            <w:r>
              <w:rPr>
                <w:b w:val="false"/>
                <w:bCs w:val="false"/>
                <w:sz w:val="22"/>
                <w:szCs w:val="22"/>
              </w:rPr>
              <w:t>Ľubeľské ochotnícke divadlo K. O. Urbana</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rHeight w:val="278" w:hRule="atLeast"/>
        </w:trPr>
        <w:tc>
          <w:tcPr>
            <w:tcW w:w="4198" w:type="dxa"/>
            <w:tcBorders>
              <w:top w:val="single" w:sz="4" w:space="0" w:color="000000"/>
              <w:left w:val="single" w:sz="4" w:space="0" w:color="000000"/>
              <w:bottom w:val="single" w:sz="4" w:space="0" w:color="000000"/>
            </w:tcBorders>
            <w:shd w:fill="auto" w:val="clear"/>
          </w:tcPr>
          <w:p>
            <w:pPr>
              <w:pStyle w:val="Normal"/>
              <w:spacing w:lineRule="auto" w:line="360"/>
              <w:rPr>
                <w:sz w:val="22"/>
                <w:szCs w:val="22"/>
              </w:rPr>
            </w:pPr>
            <w:r>
              <w:rPr>
                <w:sz w:val="22"/>
                <w:szCs w:val="22"/>
              </w:rPr>
              <w:t>CVČ Liptovský Mikuláš</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644,00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644,00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4198" w:type="dxa"/>
            <w:tcBorders>
              <w:top w:val="single" w:sz="4" w:space="0" w:color="000000"/>
              <w:left w:val="single" w:sz="4" w:space="0" w:color="000000"/>
              <w:bottom w:val="single" w:sz="4" w:space="0" w:color="000000"/>
            </w:tcBorders>
            <w:shd w:fill="auto" w:val="clear"/>
          </w:tcPr>
          <w:p>
            <w:pPr>
              <w:pStyle w:val="Normal"/>
              <w:snapToGrid w:val="false"/>
              <w:spacing w:lineRule="auto" w:line="360"/>
              <w:rPr>
                <w:sz w:val="22"/>
                <w:szCs w:val="22"/>
              </w:rPr>
            </w:pPr>
            <w:r>
              <w:rPr>
                <w:sz w:val="22"/>
                <w:szCs w:val="22"/>
              </w:rPr>
              <w:t>Slovenský červený kríž</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600,00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600,00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4198" w:type="dxa"/>
            <w:tcBorders>
              <w:top w:val="single" w:sz="4" w:space="0" w:color="000000"/>
              <w:left w:val="single" w:sz="4" w:space="0" w:color="000000"/>
              <w:bottom w:val="single" w:sz="4" w:space="0" w:color="000000"/>
            </w:tcBorders>
            <w:shd w:fill="auto" w:val="clear"/>
          </w:tcPr>
          <w:p>
            <w:pPr>
              <w:pStyle w:val="Normal"/>
              <w:snapToGrid w:val="false"/>
              <w:spacing w:lineRule="auto" w:line="360"/>
              <w:rPr>
                <w:sz w:val="22"/>
                <w:szCs w:val="22"/>
              </w:rPr>
            </w:pPr>
            <w:r>
              <w:rPr>
                <w:sz w:val="22"/>
                <w:szCs w:val="22"/>
              </w:rPr>
              <w:t>Slovensky zväz protifašistických bojovníkov</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400,00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400,00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r>
        <w:trPr/>
        <w:tc>
          <w:tcPr>
            <w:tcW w:w="4198" w:type="dxa"/>
            <w:tcBorders>
              <w:top w:val="single" w:sz="4" w:space="0" w:color="000000"/>
              <w:left w:val="single" w:sz="4" w:space="0" w:color="000000"/>
              <w:bottom w:val="single" w:sz="4" w:space="0" w:color="000000"/>
            </w:tcBorders>
            <w:shd w:fill="auto" w:val="clear"/>
          </w:tcPr>
          <w:p>
            <w:pPr>
              <w:pStyle w:val="Normal"/>
              <w:snapToGrid w:val="false"/>
              <w:spacing w:lineRule="auto" w:line="360"/>
              <w:rPr>
                <w:sz w:val="22"/>
                <w:szCs w:val="22"/>
              </w:rPr>
            </w:pPr>
            <w:r>
              <w:rPr>
                <w:sz w:val="22"/>
                <w:szCs w:val="22"/>
              </w:rPr>
              <w:t>DHZ</w:t>
            </w:r>
          </w:p>
        </w:tc>
        <w:tc>
          <w:tcPr>
            <w:tcW w:w="2057"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w:t>
            </w:r>
          </w:p>
        </w:tc>
        <w:tc>
          <w:tcPr>
            <w:tcW w:w="2264"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t>1.000,00</w:t>
            </w:r>
          </w:p>
        </w:tc>
        <w:tc>
          <w:tcPr>
            <w:tcW w:w="1245"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t>0,00</w:t>
            </w:r>
          </w:p>
        </w:tc>
      </w:tr>
    </w:tbl>
    <w:p>
      <w:pPr>
        <w:pStyle w:val="Normal"/>
        <w:jc w:val="both"/>
        <w:rPr/>
      </w:pPr>
      <w:r>
        <w:rPr/>
      </w:r>
    </w:p>
    <w:p>
      <w:pPr>
        <w:pStyle w:val="Normal"/>
        <w:jc w:val="both"/>
        <w:rPr/>
      </w:pPr>
      <w:r>
        <w:rPr/>
        <w:t>K 31.12.2024 boli vyúčtované všetky dotácie, ktoré boli poskytnuté v súlade so VZN o dotáciách.</w:t>
      </w:r>
    </w:p>
    <w:p>
      <w:pPr>
        <w:pStyle w:val="Normal"/>
        <w:tabs>
          <w:tab w:val="clear" w:pos="708"/>
          <w:tab w:val="left" w:pos="11880" w:leader="none"/>
        </w:tabs>
        <w:ind w:hanging="0" w:left="720"/>
        <w:jc w:val="both"/>
        <w:rPr>
          <w:bCs/>
          <w:color w:val="C9211E"/>
          <w:sz w:val="16"/>
          <w:szCs w:val="16"/>
          <w:highlight w:val="red"/>
        </w:rPr>
      </w:pPr>
      <w:r>
        <w:rPr>
          <w:bCs/>
          <w:color w:val="C9211E"/>
          <w:sz w:val="16"/>
          <w:szCs w:val="16"/>
          <w:highlight w:val="red"/>
        </w:rPr>
      </w:r>
    </w:p>
    <w:p>
      <w:pPr>
        <w:pStyle w:val="Normal"/>
        <w:tabs>
          <w:tab w:val="clear" w:pos="708"/>
          <w:tab w:val="left" w:pos="7380" w:leader="none"/>
          <w:tab w:val="left" w:pos="9720" w:leader="none"/>
          <w:tab w:val="left" w:pos="11880" w:leader="none"/>
        </w:tabs>
        <w:jc w:val="both"/>
        <w:rPr/>
      </w:pPr>
      <w:r>
        <w:rPr>
          <w:b/>
          <w:bCs/>
        </w:rPr>
        <w:t>Prehľad dlhodobého majetku</w:t>
      </w:r>
    </w:p>
    <w:p>
      <w:pPr>
        <w:pStyle w:val="Normal"/>
        <w:tabs>
          <w:tab w:val="clear" w:pos="708"/>
          <w:tab w:val="left" w:pos="7380" w:leader="none"/>
          <w:tab w:val="left" w:pos="9720" w:leader="none"/>
          <w:tab w:val="left" w:pos="11880" w:leader="none"/>
        </w:tabs>
        <w:jc w:val="both"/>
        <w:rPr>
          <w:b/>
          <w:bCs/>
          <w:sz w:val="28"/>
          <w:szCs w:val="28"/>
        </w:rPr>
      </w:pPr>
      <w:r>
        <w:rPr>
          <w:b/>
          <w:bCs/>
          <w:sz w:val="28"/>
          <w:szCs w:val="28"/>
        </w:rPr>
      </w:r>
    </w:p>
    <w:tbl>
      <w:tblPr>
        <w:tblW w:w="9833" w:type="dxa"/>
        <w:jc w:val="left"/>
        <w:tblInd w:w="132" w:type="dxa"/>
        <w:tblLayout w:type="fixed"/>
        <w:tblCellMar>
          <w:top w:w="0" w:type="dxa"/>
          <w:left w:w="98" w:type="dxa"/>
          <w:bottom w:w="0" w:type="dxa"/>
          <w:right w:w="108" w:type="dxa"/>
        </w:tblCellMar>
        <w:tblLook w:firstRow="0" w:noVBand="0" w:lastRow="0" w:firstColumn="0" w:lastColumn="0" w:noHBand="0" w:val="0000"/>
      </w:tblPr>
      <w:tblGrid>
        <w:gridCol w:w="2489"/>
        <w:gridCol w:w="841"/>
        <w:gridCol w:w="3120"/>
        <w:gridCol w:w="3382"/>
      </w:tblGrid>
      <w:tr>
        <w:trPr>
          <w:trHeight w:val="406" w:hRule="atLeast"/>
        </w:trPr>
        <w:tc>
          <w:tcPr>
            <w:tcW w:w="2489"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Názov</w:t>
            </w:r>
          </w:p>
        </w:tc>
        <w:tc>
          <w:tcPr>
            <w:tcW w:w="841"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Účet</w:t>
            </w:r>
          </w:p>
        </w:tc>
        <w:tc>
          <w:tcPr>
            <w:tcW w:w="3120"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OC</w:t>
            </w:r>
          </w:p>
          <w:p>
            <w:pPr>
              <w:pStyle w:val="Normal"/>
              <w:jc w:val="center"/>
              <w:rPr/>
            </w:pPr>
            <w:r>
              <w:rPr>
                <w:b/>
                <w:sz w:val="22"/>
                <w:szCs w:val="22"/>
              </w:rPr>
              <w:t>k 31.12.2024</w:t>
            </w:r>
          </w:p>
        </w:tc>
        <w:tc>
          <w:tcPr>
            <w:tcW w:w="3382"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sz w:val="22"/>
                <w:szCs w:val="22"/>
              </w:rPr>
              <w:t>OC</w:t>
            </w:r>
          </w:p>
          <w:p>
            <w:pPr>
              <w:pStyle w:val="Normal"/>
              <w:jc w:val="center"/>
              <w:rPr/>
            </w:pPr>
            <w:r>
              <w:rPr>
                <w:b/>
                <w:sz w:val="22"/>
                <w:szCs w:val="22"/>
              </w:rPr>
              <w:t>k 31.12.2024</w:t>
            </w:r>
          </w:p>
        </w:tc>
      </w:tr>
      <w:tr>
        <w:trPr>
          <w:trHeight w:val="276" w:hRule="atLeast"/>
        </w:trPr>
        <w:tc>
          <w:tcPr>
            <w:tcW w:w="2489"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 DNM</w:t>
            </w:r>
          </w:p>
        </w:tc>
        <w:tc>
          <w:tcPr>
            <w:tcW w:w="841"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12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right"/>
              <w:rPr/>
            </w:pPr>
            <w:r>
              <w:rPr>
                <w:b/>
                <w:sz w:val="22"/>
                <w:szCs w:val="22"/>
              </w:rPr>
              <w:t>11.567,85</w:t>
            </w:r>
          </w:p>
        </w:tc>
        <w:tc>
          <w:tcPr>
            <w:tcW w:w="3382"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snapToGrid w:val="false"/>
              <w:jc w:val="right"/>
              <w:rPr/>
            </w:pPr>
            <w:r>
              <w:rPr>
                <w:b/>
              </w:rPr>
              <w:t>8.989,25</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Drobný DNM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both"/>
              <w:rPr/>
            </w:pPr>
            <w:r>
              <w:rPr>
                <w:sz w:val="22"/>
                <w:szCs w:val="22"/>
              </w:rPr>
              <w:t>018</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sz w:val="22"/>
                <w:szCs w:val="22"/>
              </w:rPr>
              <w:t>74,75</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sz w:val="22"/>
                <w:szCs w:val="22"/>
              </w:rPr>
              <w:t>35,75</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Ostatný DNM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019</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t>3.979,10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795,50</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Obstaranie DNM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041</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t>7.514,00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8.158,00</w:t>
            </w:r>
          </w:p>
        </w:tc>
      </w:tr>
      <w:tr>
        <w:trPr>
          <w:trHeight w:val="276" w:hRule="atLeast"/>
        </w:trPr>
        <w:tc>
          <w:tcPr>
            <w:tcW w:w="2489"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 DHM</w:t>
            </w:r>
          </w:p>
        </w:tc>
        <w:tc>
          <w:tcPr>
            <w:tcW w:w="841"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12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pPr>
            <w:r>
              <w:rPr>
                <w:b/>
              </w:rPr>
              <w:t>2.420.484,46</w:t>
            </w:r>
          </w:p>
        </w:tc>
        <w:tc>
          <w:tcPr>
            <w:tcW w:w="3382"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pPr>
            <w:r>
              <w:rPr>
                <w:b/>
              </w:rPr>
              <w:t>2.654.069,63</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Obstaranie DHM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042</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pPr>
            <w:r>
              <w:rPr/>
              <w:t>18.885,36</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pPr>
            <w:r>
              <w:rPr/>
              <w:t>63.646,74</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Pozemky</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031</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pPr>
            <w:r>
              <w:rPr/>
              <w:t>189.714,88</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pPr>
            <w:r>
              <w:rPr/>
              <w:t>189.714,88</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Umelec.diela a zbierky</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032</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sz w:val="22"/>
                <w:szCs w:val="22"/>
              </w:rPr>
              <w:t>0,00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0,00</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Stavby</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021</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pPr>
            <w:r>
              <w:rPr/>
              <w:t>2.179.999,80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pPr>
            <w:r>
              <w:rPr/>
              <w:t>2.356.631,26</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Samost. hnuteľné veci</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022</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pPr>
            <w:r>
              <w:rPr/>
              <w:t>30.061,58</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pPr>
            <w:r>
              <w:rPr/>
              <w:t>42.351,13</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Dopravné prostriedky</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023</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sz w:val="22"/>
                <w:szCs w:val="22"/>
              </w:rPr>
              <w:t>1.822,84</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1.725,62</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Ostatný DHM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029</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sz w:val="22"/>
                <w:szCs w:val="22"/>
              </w:rPr>
              <w:t>0,00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0,00</w:t>
            </w:r>
          </w:p>
        </w:tc>
      </w:tr>
      <w:tr>
        <w:trPr>
          <w:trHeight w:val="276" w:hRule="atLeast"/>
        </w:trPr>
        <w:tc>
          <w:tcPr>
            <w:tcW w:w="2489"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 DFM</w:t>
            </w:r>
          </w:p>
        </w:tc>
        <w:tc>
          <w:tcPr>
            <w:tcW w:w="841"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12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right"/>
              <w:rPr/>
            </w:pPr>
            <w:r>
              <w:rPr>
                <w:b/>
                <w:sz w:val="22"/>
                <w:szCs w:val="22"/>
              </w:rPr>
              <w:t>299.364,40</w:t>
            </w:r>
          </w:p>
        </w:tc>
        <w:tc>
          <w:tcPr>
            <w:tcW w:w="3382"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snapToGrid w:val="false"/>
              <w:jc w:val="right"/>
              <w:rPr/>
            </w:pPr>
            <w:r>
              <w:rPr>
                <w:b/>
              </w:rPr>
              <w:t>299.364,40</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Podielové CP a pod.</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062</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t>0,00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0,00</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Realizované CP a pod.</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063</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t>299.364,40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299.364,40</w:t>
            </w:r>
          </w:p>
        </w:tc>
      </w:tr>
      <w:tr>
        <w:trPr>
          <w:trHeight w:val="276" w:hRule="atLeast"/>
        </w:trPr>
        <w:tc>
          <w:tcPr>
            <w:tcW w:w="2489"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Ostatný DFM</w:t>
            </w:r>
          </w:p>
        </w:tc>
        <w:tc>
          <w:tcPr>
            <w:tcW w:w="841"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pPr>
            <w:r>
              <w:rPr>
                <w:sz w:val="22"/>
                <w:szCs w:val="22"/>
              </w:rPr>
              <w:t>069</w:t>
            </w:r>
          </w:p>
        </w:tc>
        <w:tc>
          <w:tcPr>
            <w:tcW w:w="3120"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pPr>
            <w:r>
              <w:rPr/>
              <w:t>0,00</w:t>
            </w:r>
          </w:p>
        </w:tc>
        <w:tc>
          <w:tcPr>
            <w:tcW w:w="3382"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pPr>
            <w:r>
              <w:rPr/>
              <w:t>0,00</w:t>
            </w:r>
          </w:p>
        </w:tc>
      </w:tr>
      <w:tr>
        <w:trPr>
          <w:trHeight w:val="276" w:hRule="atLeast"/>
        </w:trPr>
        <w:tc>
          <w:tcPr>
            <w:tcW w:w="2489"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w:t>
            </w:r>
          </w:p>
        </w:tc>
        <w:tc>
          <w:tcPr>
            <w:tcW w:w="841"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12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pPr>
            <w:r>
              <w:rPr>
                <w:b/>
              </w:rPr>
              <w:t>2.731.416,71</w:t>
            </w:r>
          </w:p>
        </w:tc>
        <w:tc>
          <w:tcPr>
            <w:tcW w:w="3382"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pPr>
            <w:r>
              <w:rPr>
                <w:b/>
              </w:rPr>
              <w:t>2.962.423,28</w:t>
            </w:r>
          </w:p>
        </w:tc>
      </w:tr>
    </w:tbl>
    <w:p>
      <w:pPr>
        <w:pStyle w:val="Normal"/>
        <w:tabs>
          <w:tab w:val="clear" w:pos="708"/>
          <w:tab w:val="left" w:pos="7380" w:leader="none"/>
          <w:tab w:val="left" w:pos="9720" w:leader="none"/>
          <w:tab w:val="left" w:pos="11880" w:leader="none"/>
        </w:tabs>
        <w:jc w:val="both"/>
        <w:rPr>
          <w:b/>
          <w:bCs/>
          <w:sz w:val="28"/>
          <w:szCs w:val="28"/>
        </w:rPr>
      </w:pPr>
      <w:r>
        <w:rPr>
          <w:b/>
          <w:bCs/>
          <w:sz w:val="28"/>
          <w:szCs w:val="28"/>
        </w:rPr>
      </w:r>
    </w:p>
    <w:p>
      <w:pPr>
        <w:pStyle w:val="Normal"/>
        <w:tabs>
          <w:tab w:val="clear" w:pos="708"/>
          <w:tab w:val="left" w:pos="7380" w:leader="none"/>
          <w:tab w:val="left" w:pos="9720" w:leader="none"/>
          <w:tab w:val="left" w:pos="11880" w:leader="none"/>
        </w:tabs>
        <w:jc w:val="both"/>
        <w:rPr>
          <w:sz w:val="24"/>
          <w:szCs w:val="24"/>
        </w:rPr>
      </w:pPr>
      <w:r>
        <w:rPr>
          <w:b/>
          <w:bCs/>
          <w:sz w:val="24"/>
          <w:szCs w:val="24"/>
        </w:rPr>
        <w:t>Analýza nákladov a výnosov</w:t>
      </w:r>
    </w:p>
    <w:p>
      <w:pPr>
        <w:pStyle w:val="Normal"/>
        <w:tabs>
          <w:tab w:val="clear" w:pos="708"/>
          <w:tab w:val="left" w:pos="1087" w:leader="none"/>
        </w:tabs>
        <w:ind w:hanging="0" w:left="54"/>
        <w:jc w:val="both"/>
        <w:rPr>
          <w:b/>
        </w:rPr>
      </w:pPr>
      <w:r>
        <w:rPr>
          <w:b/>
        </w:rPr>
      </w:r>
    </w:p>
    <w:p>
      <w:pPr>
        <w:pStyle w:val="Normal"/>
        <w:tabs>
          <w:tab w:val="clear" w:pos="708"/>
          <w:tab w:val="left" w:pos="1087" w:leader="none"/>
        </w:tabs>
        <w:ind w:hanging="0" w:left="54"/>
        <w:jc w:val="both"/>
        <w:rPr/>
      </w:pPr>
      <w:r>
        <w:rPr>
          <w:b/>
        </w:rPr>
        <w:t>Individuálna účtovná závierka</w:t>
      </w:r>
    </w:p>
    <w:p>
      <w:pPr>
        <w:pStyle w:val="Normal"/>
        <w:ind w:hanging="0" w:left="54"/>
        <w:jc w:val="both"/>
        <w:rPr/>
      </w:pPr>
      <w:r>
        <w:rPr/>
        <w:t>V rámci individuálnej účtovnej závierky obce za rok 2024 boli vyčíslené nasledujúce druhy nákladov, ktoré boli zahrnuté vo výkaze ziskov a strát Úč ROPO SFOV 2-01.</w:t>
      </w:r>
    </w:p>
    <w:p>
      <w:pPr>
        <w:pStyle w:val="Normal"/>
        <w:ind w:hanging="0" w:left="54"/>
        <w:jc w:val="both"/>
        <w:rPr>
          <w:highlight w:val="red"/>
        </w:rPr>
      </w:pPr>
      <w:r>
        <w:rPr>
          <w:highlight w:val="red"/>
        </w:rPr>
      </w:r>
    </w:p>
    <w:p>
      <w:pPr>
        <w:pStyle w:val="Normal"/>
        <w:tabs>
          <w:tab w:val="clear" w:pos="708"/>
          <w:tab w:val="left" w:pos="1087" w:leader="none"/>
        </w:tabs>
        <w:ind w:hanging="0" w:left="54"/>
        <w:jc w:val="both"/>
        <w:rPr/>
      </w:pPr>
      <w:r>
        <w:rPr>
          <w:b/>
        </w:rPr>
        <w:t xml:space="preserve">Prehľad nákladov </w:t>
      </w:r>
    </w:p>
    <w:tbl>
      <w:tblPr>
        <w:tblW w:w="9795" w:type="dxa"/>
        <w:jc w:val="left"/>
        <w:tblInd w:w="124" w:type="dxa"/>
        <w:tblLayout w:type="fixed"/>
        <w:tblCellMar>
          <w:top w:w="0" w:type="dxa"/>
          <w:left w:w="60" w:type="dxa"/>
          <w:bottom w:w="0" w:type="dxa"/>
          <w:right w:w="70" w:type="dxa"/>
        </w:tblCellMar>
        <w:tblLook w:firstRow="0" w:noVBand="0" w:lastRow="0" w:firstColumn="0" w:lastColumn="0" w:noHBand="0" w:val="0000"/>
      </w:tblPr>
      <w:tblGrid>
        <w:gridCol w:w="1125"/>
        <w:gridCol w:w="5384"/>
        <w:gridCol w:w="1652"/>
        <w:gridCol w:w="1633"/>
      </w:tblGrid>
      <w:tr>
        <w:trPr/>
        <w:tc>
          <w:tcPr>
            <w:tcW w:w="1125"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5384"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Popis /číslo účtu a názov/</w:t>
            </w:r>
          </w:p>
        </w:tc>
        <w:tc>
          <w:tcPr>
            <w:tcW w:w="1652"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Suma k  31.12.2024</w:t>
            </w:r>
          </w:p>
        </w:tc>
        <w:tc>
          <w:tcPr>
            <w:tcW w:w="1633" w:type="dxa"/>
            <w:tcBorders>
              <w:top w:val="single" w:sz="4" w:space="0" w:color="000000"/>
              <w:left w:val="single" w:sz="4" w:space="0" w:color="000000"/>
              <w:bottom w:val="single" w:sz="4" w:space="0" w:color="000000"/>
              <w:right w:val="single" w:sz="4" w:space="0" w:color="000000"/>
            </w:tcBorders>
            <w:shd w:color="auto" w:fill="8DB3E2" w:val="clear"/>
            <w:vAlign w:val="center"/>
          </w:tcPr>
          <w:p>
            <w:pPr>
              <w:pStyle w:val="Normal"/>
              <w:jc w:val="center"/>
              <w:rPr/>
            </w:pPr>
            <w:r>
              <w:rPr>
                <w:b/>
              </w:rPr>
              <w:t>Suma k  31.12.2024</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50</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Spotrebované nákupy</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jc w:val="right"/>
              <w:rPr>
                <w:b/>
              </w:rPr>
            </w:pPr>
            <w:r>
              <w:rPr>
                <w:b/>
              </w:rPr>
              <w:t>86.713,82</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jc w:val="right"/>
              <w:rPr>
                <w:b/>
              </w:rPr>
            </w:pPr>
            <w:r>
              <w:rPr>
                <w:b/>
              </w:rPr>
              <w:t>75.749,63</w:t>
            </w:r>
          </w:p>
        </w:tc>
      </w:tr>
      <w:tr>
        <w:trPr/>
        <w:tc>
          <w:tcPr>
            <w:tcW w:w="1125" w:type="dxa"/>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501 – Spotreba materiálu</w:t>
            </w:r>
          </w:p>
        </w:tc>
        <w:tc>
          <w:tcPr>
            <w:tcW w:w="1652" w:type="dxa"/>
            <w:tcBorders>
              <w:top w:val="single" w:sz="4" w:space="0" w:color="000000"/>
              <w:left w:val="single" w:sz="4" w:space="0" w:color="000000"/>
              <w:bottom w:val="single" w:sz="4" w:space="0" w:color="000000"/>
            </w:tcBorders>
            <w:shd w:fill="auto" w:val="clear"/>
            <w:vAlign w:val="center"/>
          </w:tcPr>
          <w:p>
            <w:pPr>
              <w:pStyle w:val="Normal"/>
              <w:jc w:val="right"/>
              <w:rPr/>
            </w:pPr>
            <w:r>
              <w:rPr/>
              <w:t>35.331,09</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pPr>
            <w:r>
              <w:rPr/>
              <w:t>35.385,67</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502 – Spotreba energie</w:t>
            </w:r>
          </w:p>
        </w:tc>
        <w:tc>
          <w:tcPr>
            <w:tcW w:w="1652" w:type="dxa"/>
            <w:tcBorders>
              <w:top w:val="single" w:sz="4" w:space="0" w:color="000000"/>
              <w:left w:val="single" w:sz="4" w:space="0" w:color="000000"/>
              <w:bottom w:val="single" w:sz="4" w:space="0" w:color="000000"/>
            </w:tcBorders>
            <w:shd w:fill="auto" w:val="clear"/>
            <w:vAlign w:val="center"/>
          </w:tcPr>
          <w:p>
            <w:pPr>
              <w:pStyle w:val="Normal"/>
              <w:jc w:val="right"/>
              <w:rPr/>
            </w:pPr>
            <w:r>
              <w:rPr/>
              <w:t>51.382,73</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pPr>
            <w:r>
              <w:rPr/>
              <w:t>40.363,96</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51</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Služby</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153.566,86</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135.956,35</w:t>
            </w:r>
          </w:p>
        </w:tc>
      </w:tr>
      <w:tr>
        <w:trPr/>
        <w:tc>
          <w:tcPr>
            <w:tcW w:w="1125"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511 – Opravy a udržiavanie</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16.074,87</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16.531,36</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512 – Cestovné</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853,02</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889,93</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513 – Náklady na reprezentáciu</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8.395,89</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8.734,18</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518 – Ostatné služby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128.243,08</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109.800,88</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52</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Osobné náklady</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186.553,01</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189.306,65</w:t>
            </w:r>
          </w:p>
        </w:tc>
      </w:tr>
      <w:tr>
        <w:trPr/>
        <w:tc>
          <w:tcPr>
            <w:tcW w:w="1125" w:type="dxa"/>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521 – Mzdové náklady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137.003,48</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137.835,08</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524 – Zákonné sociálne poistenie</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42.478,78</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44.520,41</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525 – Ostatné sociálne poistenie</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1.760,00</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1.635,00</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527-  Zákonné sociálne náklady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5.310,75</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5.316,16</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53</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Dane a poplatky</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89,84</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104.90</w:t>
            </w:r>
          </w:p>
        </w:tc>
      </w:tr>
      <w:tr>
        <w:trPr/>
        <w:tc>
          <w:tcPr>
            <w:tcW w:w="1125" w:type="dxa"/>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538 – Ostatné dane a poplatky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89,84</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104,90</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54</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Ostatné náklady na prevádzkovú činnosť</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9.523,06</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4.203,33</w:t>
            </w:r>
          </w:p>
        </w:tc>
      </w:tr>
      <w:tr>
        <w:trPr/>
        <w:tc>
          <w:tcPr>
            <w:tcW w:w="1125"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541 – Zostatková cena predaného DN a DH majetku</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545 – Ostatné pokuty, penále a úroky z.</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546 – Odpis pohľadávky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68,20</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548 – Ostatné náklady na prevádzkovú činnosť</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9.454,86</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4.203,33</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55</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Odpisy, rezervy a opravné položky z prev. a fin. činnosti</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97.492,57</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107.784,06</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551 – Odpisy DN a DH majetku</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97.492,57</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105.013,72</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553 – Tvorba ostatných rezerv z prevádzkovej činnosti</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2.633,96</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2.770,34</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56</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Finančné náklady</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14.559,55</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15.419,49</w:t>
            </w:r>
          </w:p>
        </w:tc>
      </w:tr>
      <w:tr>
        <w:trPr/>
        <w:tc>
          <w:tcPr>
            <w:tcW w:w="1125" w:type="dxa"/>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rPr>
            </w:pPr>
            <w:r>
              <w:rPr>
                <w:b/>
              </w:rPr>
            </w:r>
          </w:p>
        </w:tc>
        <w:tc>
          <w:tcPr>
            <w:tcW w:w="5384" w:type="dxa"/>
            <w:tcBorders>
              <w:top w:val="single" w:sz="4" w:space="0" w:color="000000"/>
              <w:left w:val="single" w:sz="4" w:space="0" w:color="000000"/>
              <w:bottom w:val="single" w:sz="4" w:space="0" w:color="000000"/>
            </w:tcBorders>
            <w:shd w:fill="auto" w:val="clear"/>
          </w:tcPr>
          <w:p>
            <w:pPr>
              <w:pStyle w:val="Normal"/>
              <w:rPr/>
            </w:pPr>
            <w:r>
              <w:rPr/>
              <w:t>562 – Úroky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13.611,01</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14.095,55</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568 – Ostatné finančné náklady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948,54</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1.323,94</w:t>
            </w:r>
          </w:p>
        </w:tc>
      </w:tr>
      <w:tr>
        <w:trPr>
          <w:trHeight w:val="342" w:hRule="atLeast"/>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rPr>
              <w:t>58</w:t>
            </w:r>
          </w:p>
        </w:tc>
        <w:tc>
          <w:tcPr>
            <w:tcW w:w="5384" w:type="dxa"/>
            <w:tcBorders>
              <w:top w:val="single" w:sz="4" w:space="0" w:color="000000"/>
              <w:left w:val="single" w:sz="4" w:space="0" w:color="000000"/>
              <w:bottom w:val="single" w:sz="4" w:space="0" w:color="000000"/>
            </w:tcBorders>
            <w:shd w:color="auto" w:fill="FFFF99" w:val="clear"/>
          </w:tcPr>
          <w:p>
            <w:pPr>
              <w:pStyle w:val="Normal"/>
              <w:rPr>
                <w:b/>
              </w:rPr>
            </w:pPr>
            <w:r>
              <w:rPr>
                <w:b/>
              </w:rPr>
              <w:t>Náklady na transfery a náklady z odvodu príjmov</w:t>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283.260,86</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313.986,79</w:t>
            </w:r>
          </w:p>
        </w:tc>
      </w:tr>
      <w:tr>
        <w:trPr/>
        <w:tc>
          <w:tcPr>
            <w:tcW w:w="1125" w:type="dxa"/>
            <w:vMerge w:val="restart"/>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p>
            <w:pPr>
              <w:pStyle w:val="Normal"/>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584 – Náklady na transfery z rozpočtu obce, VUC do RO a PO zriadených obcou, VUC</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256.215,78</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283.738,50</w:t>
            </w:r>
          </w:p>
        </w:tc>
      </w:tr>
      <w:tr>
        <w:trPr/>
        <w:tc>
          <w:tcPr>
            <w:tcW w:w="1125"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585 – Náklady na transfery z rozpočtu obce ostatným subjektom VS</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8.070,00</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586 – Náklady na transfery z rozpočtu obce alebo VUC subjektom mimo VS</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16.913,92</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27.841,57</w:t>
            </w:r>
          </w:p>
        </w:tc>
      </w:tr>
      <w:tr>
        <w:trPr/>
        <w:tc>
          <w:tcPr>
            <w:tcW w:w="1125" w:type="dxa"/>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384" w:type="dxa"/>
            <w:tcBorders>
              <w:top w:val="single" w:sz="4" w:space="0" w:color="000000"/>
              <w:left w:val="single" w:sz="4" w:space="0" w:color="000000"/>
              <w:bottom w:val="single" w:sz="4" w:space="0" w:color="000000"/>
            </w:tcBorders>
            <w:shd w:fill="auto" w:val="clear"/>
          </w:tcPr>
          <w:p>
            <w:pPr>
              <w:pStyle w:val="Normal"/>
              <w:rPr/>
            </w:pPr>
            <w:r>
              <w:rPr/>
              <w:t>587 – Náklady na ostatné transfery</w:t>
            </w:r>
          </w:p>
        </w:tc>
        <w:tc>
          <w:tcPr>
            <w:tcW w:w="1652"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2.061,16</w:t>
            </w:r>
          </w:p>
        </w:tc>
        <w:tc>
          <w:tcPr>
            <w:tcW w:w="163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2.406,72</w:t>
            </w:r>
          </w:p>
        </w:tc>
      </w:tr>
      <w:tr>
        <w:trPr>
          <w:trHeight w:val="422" w:hRule="atLeast"/>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b/>
              </w:rPr>
            </w:pPr>
            <w:r>
              <w:rPr>
                <w:b/>
              </w:rPr>
              <w:t>Spolu náklady</w:t>
            </w:r>
          </w:p>
        </w:tc>
        <w:tc>
          <w:tcPr>
            <w:tcW w:w="5384" w:type="dxa"/>
            <w:tcBorders>
              <w:top w:val="single" w:sz="4" w:space="0" w:color="000000"/>
              <w:left w:val="single" w:sz="4" w:space="0" w:color="000000"/>
              <w:bottom w:val="single" w:sz="4" w:space="0" w:color="000000"/>
            </w:tcBorders>
            <w:shd w:color="auto" w:fill="FFFF99" w:val="clear"/>
          </w:tcPr>
          <w:p>
            <w:pPr>
              <w:pStyle w:val="Normal"/>
              <w:snapToGrid w:val="false"/>
              <w:rPr>
                <w:b/>
              </w:rPr>
            </w:pPr>
            <w:r>
              <w:rPr>
                <w:b/>
              </w:rPr>
            </w:r>
          </w:p>
        </w:tc>
        <w:tc>
          <w:tcPr>
            <w:tcW w:w="1652"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rPr>
              <w:t>831.759,57</w:t>
            </w:r>
          </w:p>
        </w:tc>
        <w:tc>
          <w:tcPr>
            <w:tcW w:w="163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rPr>
              <w:t>842.511,20</w:t>
            </w:r>
          </w:p>
        </w:tc>
      </w:tr>
    </w:tbl>
    <w:p>
      <w:pPr>
        <w:pStyle w:val="Normal"/>
        <w:ind w:firstLine="654" w:left="54"/>
        <w:jc w:val="both"/>
        <w:rPr>
          <w:b/>
          <w:color w:val="C9211E"/>
        </w:rPr>
      </w:pPr>
      <w:r>
        <w:rPr>
          <w:b/>
          <w:color w:val="C9211E"/>
        </w:rPr>
      </w:r>
    </w:p>
    <w:p>
      <w:pPr>
        <w:pStyle w:val="Normal"/>
        <w:tabs>
          <w:tab w:val="clear" w:pos="708"/>
          <w:tab w:val="left" w:pos="1087" w:leader="none"/>
        </w:tabs>
        <w:ind w:hanging="0" w:left="54"/>
        <w:jc w:val="both"/>
        <w:rPr/>
      </w:pPr>
      <w:r>
        <w:rPr>
          <w:b/>
        </w:rPr>
        <w:t xml:space="preserve">Prehľad výnosov </w:t>
      </w:r>
    </w:p>
    <w:tbl>
      <w:tblPr>
        <w:tblW w:w="9795" w:type="dxa"/>
        <w:jc w:val="left"/>
        <w:tblInd w:w="154" w:type="dxa"/>
        <w:tblLayout w:type="fixed"/>
        <w:tblCellMar>
          <w:top w:w="0" w:type="dxa"/>
          <w:left w:w="60" w:type="dxa"/>
          <w:bottom w:w="0" w:type="dxa"/>
          <w:right w:w="70" w:type="dxa"/>
        </w:tblCellMar>
        <w:tblLook w:firstRow="0" w:noVBand="0" w:lastRow="0" w:firstColumn="0" w:lastColumn="0" w:noHBand="0" w:val="0000"/>
      </w:tblPr>
      <w:tblGrid>
        <w:gridCol w:w="1108"/>
        <w:gridCol w:w="5401"/>
        <w:gridCol w:w="1591"/>
        <w:gridCol w:w="1694"/>
      </w:tblGrid>
      <w:tr>
        <w:trPr/>
        <w:tc>
          <w:tcPr>
            <w:tcW w:w="1108"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5401"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Popis /číslo účtu a názov/</w:t>
            </w:r>
          </w:p>
        </w:tc>
        <w:tc>
          <w:tcPr>
            <w:tcW w:w="1591" w:type="dxa"/>
            <w:tcBorders>
              <w:top w:val="single" w:sz="4" w:space="0" w:color="000000"/>
              <w:left w:val="single" w:sz="4" w:space="0" w:color="000000"/>
              <w:bottom w:val="single" w:sz="4" w:space="0" w:color="000000"/>
            </w:tcBorders>
            <w:shd w:color="auto" w:fill="8DB3E2" w:val="clear"/>
          </w:tcPr>
          <w:p>
            <w:pPr>
              <w:pStyle w:val="Normal"/>
              <w:jc w:val="center"/>
              <w:rPr/>
            </w:pPr>
            <w:r>
              <w:rPr>
                <w:b/>
              </w:rPr>
              <w:t>Suma k  31.12.2024</w:t>
            </w:r>
          </w:p>
        </w:tc>
        <w:tc>
          <w:tcPr>
            <w:tcW w:w="1694"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rPr>
              <w:t>Suma k  31.12.2024</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60</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Tržby za vlastné výkony  a tovary</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2.582,00</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8.675,18</w:t>
            </w:r>
          </w:p>
        </w:tc>
      </w:tr>
      <w:tr>
        <w:trPr/>
        <w:tc>
          <w:tcPr>
            <w:tcW w:w="1108"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214"/>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602 – Tržby z predaja služieb</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2.582,00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8.675,18</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62</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Aktivácia</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0,00</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0,00</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624 – Aktivácia  DHM</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63</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Daňové a colné výnosy a výnosy z poplatkov</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745.438,64</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713.267,24</w:t>
            </w:r>
          </w:p>
        </w:tc>
      </w:tr>
      <w:tr>
        <w:trPr/>
        <w:tc>
          <w:tcPr>
            <w:tcW w:w="1108" w:type="dxa"/>
            <w:vMerge w:val="restart"/>
            <w:tcBorders>
              <w:top w:val="single" w:sz="4" w:space="0" w:color="000000"/>
              <w:left w:val="single" w:sz="4" w:space="0" w:color="000000"/>
              <w:bottom w:val="single" w:sz="4" w:space="0" w:color="000000"/>
            </w:tcBorders>
            <w:shd w:fill="auto" w:val="clear"/>
          </w:tcPr>
          <w:p>
            <w:pPr>
              <w:pStyle w:val="Normal"/>
              <w:tabs>
                <w:tab w:val="clear" w:pos="708"/>
                <w:tab w:val="left" w:pos="356" w:leader="none"/>
              </w:tabs>
              <w:suppressAutoHyphens w:val="false"/>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632 – Daňové výnosy samosprávy</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697.154,16</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665.317,80</w:t>
            </w:r>
          </w:p>
        </w:tc>
      </w:tr>
      <w:tr>
        <w:trPr/>
        <w:tc>
          <w:tcPr>
            <w:tcW w:w="1108"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401" w:type="dxa"/>
            <w:tcBorders>
              <w:top w:val="single" w:sz="4" w:space="0" w:color="000000"/>
              <w:left w:val="single" w:sz="4" w:space="0" w:color="000000"/>
              <w:bottom w:val="single" w:sz="4" w:space="0" w:color="000000"/>
            </w:tcBorders>
            <w:shd w:fill="auto" w:val="clear"/>
          </w:tcPr>
          <w:p>
            <w:pPr>
              <w:pStyle w:val="Normal"/>
              <w:rPr/>
            </w:pPr>
            <w:r>
              <w:rPr/>
              <w:t>633 – Výnosy z poplatkov</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48.284,48</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47.949,44</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pPr>
            <w:r>
              <w:rPr>
                <w:b/>
              </w:rPr>
              <w:t>64</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Ostatné výnosy z prevádzkovej činnosti</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58.260,77</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26.710,64</w:t>
            </w:r>
          </w:p>
        </w:tc>
      </w:tr>
      <w:tr>
        <w:trPr/>
        <w:tc>
          <w:tcPr>
            <w:tcW w:w="1108" w:type="dxa"/>
            <w:vMerge w:val="restart"/>
            <w:tcBorders>
              <w:top w:val="single" w:sz="4" w:space="0" w:color="000000"/>
              <w:left w:val="single" w:sz="4" w:space="0" w:color="000000"/>
              <w:bottom w:val="single" w:sz="4" w:space="0" w:color="000000"/>
            </w:tcBorders>
            <w:shd w:fill="auto" w:val="clear"/>
          </w:tcPr>
          <w:p>
            <w:pPr>
              <w:pStyle w:val="Normal"/>
              <w:tabs>
                <w:tab w:val="clear" w:pos="708"/>
                <w:tab w:val="left" w:pos="356" w:leader="none"/>
              </w:tabs>
              <w:suppressAutoHyphens w:val="false"/>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641 –  Tržby z predaja DNM a DHM</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3.400,00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8"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401" w:type="dxa"/>
            <w:tcBorders>
              <w:top w:val="single" w:sz="4" w:space="0" w:color="000000"/>
              <w:left w:val="single" w:sz="4" w:space="0" w:color="000000"/>
              <w:bottom w:val="single" w:sz="4" w:space="0" w:color="000000"/>
            </w:tcBorders>
            <w:shd w:fill="auto" w:val="clear"/>
          </w:tcPr>
          <w:p>
            <w:pPr>
              <w:pStyle w:val="Normal"/>
              <w:rPr/>
            </w:pPr>
            <w:r>
              <w:rPr/>
              <w:t>645 – Ostatné pokuty, penále a úroky z omeškania</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8" w:type="dxa"/>
            <w:vMerge w:val="continue"/>
            <w:tcBorders>
              <w:top w:val="single" w:sz="4" w:space="0" w:color="000000"/>
              <w:left w:val="single" w:sz="4" w:space="0" w:color="000000"/>
              <w:bottom w:val="single" w:sz="4" w:space="0" w:color="000000"/>
            </w:tcBorders>
            <w:shd w:fill="auto" w:val="clear"/>
          </w:tcPr>
          <w:p>
            <w:pPr>
              <w:pStyle w:val="Normal"/>
              <w:snapToGrid w:val="false"/>
              <w:rPr/>
            </w:pPr>
            <w:r>
              <w:rPr/>
            </w:r>
          </w:p>
        </w:tc>
        <w:tc>
          <w:tcPr>
            <w:tcW w:w="5401" w:type="dxa"/>
            <w:tcBorders>
              <w:top w:val="single" w:sz="4" w:space="0" w:color="000000"/>
              <w:left w:val="single" w:sz="4" w:space="0" w:color="000000"/>
              <w:bottom w:val="single" w:sz="4" w:space="0" w:color="000000"/>
            </w:tcBorders>
            <w:shd w:fill="auto" w:val="clear"/>
          </w:tcPr>
          <w:p>
            <w:pPr>
              <w:pStyle w:val="Normal"/>
              <w:rPr/>
            </w:pPr>
            <w:r>
              <w:rPr/>
              <w:t>648 – Ostatné výnosy z prevádzkovej činnosti</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54.860,77</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26.710,64</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pPr>
            <w:r>
              <w:rPr>
                <w:b/>
              </w:rPr>
              <w:t>65</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Zúčtovanie rezerv, OP z prev. a fin. činnosti, časového r...</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2.100,00</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2.100,00</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653 – Zúčtovanie ostatných rezerv z prevádzkovej činnosti</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2.100,00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2.100,00</w:t>
            </w:r>
          </w:p>
        </w:tc>
      </w:tr>
      <w:tr>
        <w:trPr>
          <w:trHeight w:val="410" w:hRule="atLeast"/>
        </w:trPr>
        <w:tc>
          <w:tcPr>
            <w:tcW w:w="1108"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66</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Finančné výnosy</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0,00</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0,00</w:t>
            </w:r>
          </w:p>
        </w:tc>
      </w:tr>
      <w:tr>
        <w:trPr/>
        <w:tc>
          <w:tcPr>
            <w:tcW w:w="1108"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356"/>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668 – Ostatné finančné výnosy</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67</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Mimoriadne výnosy</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0,00</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0,00</w:t>
            </w:r>
          </w:p>
        </w:tc>
      </w:tr>
      <w:tr>
        <w:trPr/>
        <w:tc>
          <w:tcPr>
            <w:tcW w:w="1108"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356"/>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672 –  Náhrady škôd</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69</w:t>
            </w:r>
          </w:p>
        </w:tc>
        <w:tc>
          <w:tcPr>
            <w:tcW w:w="5401" w:type="dxa"/>
            <w:tcBorders>
              <w:top w:val="single" w:sz="4" w:space="0" w:color="000000"/>
              <w:left w:val="single" w:sz="4" w:space="0" w:color="000000"/>
              <w:bottom w:val="single" w:sz="4" w:space="0" w:color="000000"/>
            </w:tcBorders>
            <w:shd w:color="auto" w:fill="FFFF99" w:val="clear"/>
          </w:tcPr>
          <w:p>
            <w:pPr>
              <w:pStyle w:val="Normal"/>
              <w:rPr/>
            </w:pPr>
            <w:r>
              <w:rPr>
                <w:b/>
              </w:rPr>
              <w:t>Výnosy z transferov a RP v obciach, VUC a v RO, PO nimi zriadené</w:t>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136.436,74</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108.444,57</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693 – Výnosy samosprávy z BT zo ŠR a od iných sub. VS</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47.660,23</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30.146,30</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694 – Výnosy samosprávy z KT zo ŠR a od iných sub. VS</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34.621,38</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36.322,70</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697 -  Výnosy samosprávy z BT od iných sub. mimo VS</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6.424,10</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2.984,00</w:t>
            </w:r>
          </w:p>
        </w:tc>
      </w:tr>
      <w:tr>
        <w:trPr/>
        <w:tc>
          <w:tcPr>
            <w:tcW w:w="1108" w:type="dxa"/>
            <w:tcBorders>
              <w:top w:val="single" w:sz="4" w:space="0" w:color="000000"/>
              <w:left w:val="single" w:sz="4" w:space="0" w:color="000000"/>
              <w:bottom w:val="single" w:sz="4" w:space="0" w:color="000000"/>
            </w:tcBorders>
            <w:shd w:fill="auto" w:val="clear"/>
          </w:tcPr>
          <w:p>
            <w:pPr>
              <w:pStyle w:val="Normal"/>
              <w:snapToGrid w:val="false"/>
              <w:jc w:val="center"/>
              <w:rPr>
                <w:b/>
              </w:rPr>
            </w:pPr>
            <w:r>
              <w:rPr>
                <w:b/>
              </w:rPr>
            </w:r>
          </w:p>
        </w:tc>
        <w:tc>
          <w:tcPr>
            <w:tcW w:w="5401" w:type="dxa"/>
            <w:tcBorders>
              <w:top w:val="single" w:sz="4" w:space="0" w:color="000000"/>
              <w:left w:val="single" w:sz="4" w:space="0" w:color="000000"/>
              <w:bottom w:val="single" w:sz="4" w:space="0" w:color="000000"/>
            </w:tcBorders>
            <w:shd w:fill="auto" w:val="clear"/>
          </w:tcPr>
          <w:p>
            <w:pPr>
              <w:pStyle w:val="Normal"/>
              <w:rPr/>
            </w:pPr>
            <w:r>
              <w:rPr/>
              <w:t>699 – Výnosy samosprávy z odvodu rozpočtových príjmov</w:t>
            </w:r>
          </w:p>
        </w:tc>
        <w:tc>
          <w:tcPr>
            <w:tcW w:w="1591"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47.731,03</w:t>
            </w:r>
          </w:p>
        </w:tc>
        <w:tc>
          <w:tcPr>
            <w:tcW w:w="169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38.991,57</w:t>
            </w:r>
          </w:p>
        </w:tc>
      </w:tr>
      <w:tr>
        <w:trPr/>
        <w:tc>
          <w:tcPr>
            <w:tcW w:w="1108" w:type="dxa"/>
            <w:tcBorders>
              <w:top w:val="single" w:sz="4" w:space="0" w:color="000000"/>
              <w:left w:val="single" w:sz="4" w:space="0" w:color="000000"/>
              <w:bottom w:val="single" w:sz="4" w:space="0" w:color="000000"/>
            </w:tcBorders>
            <w:shd w:color="auto" w:fill="FFFF99" w:val="clear"/>
          </w:tcPr>
          <w:p>
            <w:pPr>
              <w:pStyle w:val="Normal"/>
              <w:jc w:val="center"/>
              <w:rPr/>
            </w:pPr>
            <w:r>
              <w:rPr>
                <w:b/>
              </w:rPr>
              <w:t>Spolu výnosy</w:t>
            </w:r>
          </w:p>
        </w:tc>
        <w:tc>
          <w:tcPr>
            <w:tcW w:w="5401" w:type="dxa"/>
            <w:tcBorders>
              <w:top w:val="single" w:sz="4" w:space="0" w:color="000000"/>
              <w:left w:val="single" w:sz="4" w:space="0" w:color="000000"/>
              <w:bottom w:val="single" w:sz="4" w:space="0" w:color="000000"/>
            </w:tcBorders>
            <w:shd w:color="auto" w:fill="FFFF99" w:val="clear"/>
          </w:tcPr>
          <w:p>
            <w:pPr>
              <w:pStyle w:val="Normal"/>
              <w:snapToGrid w:val="false"/>
              <w:rPr>
                <w:b/>
              </w:rPr>
            </w:pPr>
            <w:r>
              <w:rPr>
                <w:b/>
              </w:rPr>
            </w:r>
          </w:p>
        </w:tc>
        <w:tc>
          <w:tcPr>
            <w:tcW w:w="15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944.818,15</w:t>
            </w:r>
          </w:p>
        </w:tc>
        <w:tc>
          <w:tcPr>
            <w:tcW w:w="1694"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859.197,63</w:t>
            </w:r>
          </w:p>
        </w:tc>
      </w:tr>
    </w:tbl>
    <w:p>
      <w:pPr>
        <w:pStyle w:val="Normal"/>
        <w:tabs>
          <w:tab w:val="clear" w:pos="708"/>
          <w:tab w:val="left" w:pos="1087" w:leader="none"/>
        </w:tabs>
        <w:ind w:hanging="0" w:left="54"/>
        <w:jc w:val="both"/>
        <w:rPr>
          <w:b/>
          <w:color w:val="C9211E"/>
        </w:rPr>
      </w:pPr>
      <w:r>
        <w:rPr>
          <w:b/>
          <w:color w:val="C9211E"/>
        </w:rPr>
      </w:r>
    </w:p>
    <w:p>
      <w:pPr>
        <w:pStyle w:val="Normal"/>
        <w:tabs>
          <w:tab w:val="clear" w:pos="708"/>
          <w:tab w:val="left" w:pos="1087" w:leader="none"/>
        </w:tabs>
        <w:ind w:hanging="0" w:left="54"/>
        <w:jc w:val="both"/>
        <w:rPr>
          <w:b/>
          <w:color w:val="C9211E"/>
        </w:rPr>
      </w:pPr>
      <w:r>
        <w:rPr>
          <w:b/>
          <w:color w:val="C9211E"/>
        </w:rPr>
      </w:r>
    </w:p>
    <w:tbl>
      <w:tblPr>
        <w:tblW w:w="9810" w:type="dxa"/>
        <w:jc w:val="left"/>
        <w:tblInd w:w="154" w:type="dxa"/>
        <w:tblLayout w:type="fixed"/>
        <w:tblCellMar>
          <w:top w:w="0" w:type="dxa"/>
          <w:left w:w="60" w:type="dxa"/>
          <w:bottom w:w="0" w:type="dxa"/>
          <w:right w:w="70" w:type="dxa"/>
        </w:tblCellMar>
        <w:tblLook w:firstRow="0" w:noVBand="0" w:lastRow="0" w:firstColumn="0" w:lastColumn="0" w:noHBand="0" w:val="0000"/>
      </w:tblPr>
      <w:tblGrid>
        <w:gridCol w:w="1109"/>
        <w:gridCol w:w="5415"/>
        <w:gridCol w:w="1590"/>
        <w:gridCol w:w="1695"/>
      </w:tblGrid>
      <w:tr>
        <w:trPr/>
        <w:tc>
          <w:tcPr>
            <w:tcW w:w="1109"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5415"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Výsledok hospodárenia</w:t>
            </w:r>
          </w:p>
        </w:tc>
        <w:tc>
          <w:tcPr>
            <w:tcW w:w="1590" w:type="dxa"/>
            <w:tcBorders>
              <w:top w:val="single" w:sz="4" w:space="0" w:color="000000"/>
              <w:left w:val="single" w:sz="4" w:space="0" w:color="000000"/>
              <w:bottom w:val="single" w:sz="4" w:space="0" w:color="000000"/>
            </w:tcBorders>
            <w:shd w:color="auto" w:fill="8DB3E2" w:val="clear"/>
          </w:tcPr>
          <w:p>
            <w:pPr>
              <w:pStyle w:val="Normal"/>
              <w:jc w:val="center"/>
              <w:rPr/>
            </w:pPr>
            <w:r>
              <w:rPr>
                <w:b/>
              </w:rPr>
              <w:t>Suma k 31.12.2024</w:t>
            </w:r>
          </w:p>
        </w:tc>
        <w:tc>
          <w:tcPr>
            <w:tcW w:w="1695"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rPr>
              <w:t>Suma k 31.12.2024</w:t>
            </w:r>
          </w:p>
        </w:tc>
      </w:tr>
      <w:tr>
        <w:trPr>
          <w:trHeight w:val="310" w:hRule="atLeast"/>
        </w:trPr>
        <w:tc>
          <w:tcPr>
            <w:tcW w:w="6524" w:type="dxa"/>
            <w:gridSpan w:val="2"/>
            <w:tcBorders>
              <w:top w:val="single" w:sz="4" w:space="0" w:color="000000"/>
              <w:left w:val="single" w:sz="4" w:space="0" w:color="000000"/>
              <w:bottom w:val="single" w:sz="4" w:space="0" w:color="000000"/>
            </w:tcBorders>
            <w:shd w:color="auto" w:fill="FFFF99" w:val="clear"/>
            <w:vAlign w:val="center"/>
          </w:tcPr>
          <w:p>
            <w:pPr>
              <w:pStyle w:val="Normal"/>
              <w:rPr/>
            </w:pPr>
            <w:r>
              <w:rPr>
                <w:b/>
              </w:rPr>
              <w:t>Výsledok hospodárenia pred zdanením</w:t>
            </w:r>
          </w:p>
        </w:tc>
        <w:tc>
          <w:tcPr>
            <w:tcW w:w="1590"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bCs/>
              </w:rPr>
              <w:t>113.058,58</w:t>
            </w:r>
          </w:p>
        </w:tc>
        <w:tc>
          <w:tcPr>
            <w:tcW w:w="169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bCs/>
              </w:rPr>
              <w:t>16.686,43</w:t>
            </w:r>
          </w:p>
        </w:tc>
      </w:tr>
      <w:tr>
        <w:trPr/>
        <w:tc>
          <w:tcPr>
            <w:tcW w:w="1109" w:type="dxa"/>
            <w:tcBorders>
              <w:top w:val="single" w:sz="4" w:space="0" w:color="000000"/>
              <w:left w:val="single" w:sz="4" w:space="0" w:color="000000"/>
              <w:bottom w:val="single" w:sz="4" w:space="0" w:color="000000"/>
            </w:tcBorders>
            <w:shd w:fill="auto" w:val="clear"/>
          </w:tcPr>
          <w:p>
            <w:pPr>
              <w:pStyle w:val="Normal"/>
              <w:jc w:val="center"/>
              <w:rPr/>
            </w:pPr>
            <w:r>
              <w:rPr/>
              <w:t>591</w:t>
            </w:r>
          </w:p>
        </w:tc>
        <w:tc>
          <w:tcPr>
            <w:tcW w:w="5415" w:type="dxa"/>
            <w:tcBorders>
              <w:top w:val="single" w:sz="4" w:space="0" w:color="000000"/>
              <w:left w:val="single" w:sz="4" w:space="0" w:color="000000"/>
              <w:bottom w:val="single" w:sz="4" w:space="0" w:color="000000"/>
            </w:tcBorders>
            <w:shd w:fill="auto" w:val="clear"/>
          </w:tcPr>
          <w:p>
            <w:pPr>
              <w:pStyle w:val="Normal"/>
              <w:rPr/>
            </w:pPr>
            <w:r>
              <w:rPr/>
              <w:t>Splatná daň z príjmov</w:t>
            </w:r>
          </w:p>
        </w:tc>
        <w:tc>
          <w:tcPr>
            <w:tcW w:w="1590"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c>
          <w:tcPr>
            <w:tcW w:w="1109" w:type="dxa"/>
            <w:tcBorders>
              <w:top w:val="single" w:sz="4" w:space="0" w:color="000000"/>
              <w:left w:val="single" w:sz="4" w:space="0" w:color="000000"/>
              <w:bottom w:val="single" w:sz="4" w:space="0" w:color="000000"/>
            </w:tcBorders>
            <w:shd w:fill="auto" w:val="clear"/>
          </w:tcPr>
          <w:p>
            <w:pPr>
              <w:pStyle w:val="Normal"/>
              <w:jc w:val="center"/>
              <w:rPr/>
            </w:pPr>
            <w:r>
              <w:rPr/>
              <w:t>595</w:t>
            </w:r>
          </w:p>
        </w:tc>
        <w:tc>
          <w:tcPr>
            <w:tcW w:w="5415" w:type="dxa"/>
            <w:tcBorders>
              <w:top w:val="single" w:sz="4" w:space="0" w:color="000000"/>
              <w:left w:val="single" w:sz="4" w:space="0" w:color="000000"/>
              <w:bottom w:val="single" w:sz="4" w:space="0" w:color="000000"/>
            </w:tcBorders>
            <w:shd w:fill="auto" w:val="clear"/>
          </w:tcPr>
          <w:p>
            <w:pPr>
              <w:pStyle w:val="Normal"/>
              <w:rPr/>
            </w:pPr>
            <w:r>
              <w:rPr/>
              <w:t>Dodatočne platená daň z príjmov</w:t>
            </w:r>
          </w:p>
        </w:tc>
        <w:tc>
          <w:tcPr>
            <w:tcW w:w="1590"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pPr>
            <w:r>
              <w:rPr/>
              <w:t>0,00</w:t>
            </w:r>
          </w:p>
        </w:tc>
        <w:tc>
          <w:tcPr>
            <w:tcW w:w="169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pPr>
            <w:r>
              <w:rPr/>
              <w:t>0,00</w:t>
            </w:r>
          </w:p>
        </w:tc>
      </w:tr>
      <w:tr>
        <w:trPr>
          <w:trHeight w:val="436" w:hRule="atLeast"/>
        </w:trPr>
        <w:tc>
          <w:tcPr>
            <w:tcW w:w="6524" w:type="dxa"/>
            <w:gridSpan w:val="2"/>
            <w:tcBorders>
              <w:top w:val="single" w:sz="4" w:space="0" w:color="000000"/>
              <w:left w:val="single" w:sz="4" w:space="0" w:color="000000"/>
              <w:bottom w:val="single" w:sz="4" w:space="0" w:color="000000"/>
            </w:tcBorders>
            <w:shd w:color="auto" w:fill="FFFF99" w:val="clear"/>
            <w:vAlign w:val="center"/>
          </w:tcPr>
          <w:p>
            <w:pPr>
              <w:pStyle w:val="Normal"/>
              <w:rPr/>
            </w:pPr>
            <w:r>
              <w:rPr>
                <w:b/>
              </w:rPr>
              <w:t>Výsledok hospodárenia po zdanení</w:t>
            </w:r>
          </w:p>
        </w:tc>
        <w:tc>
          <w:tcPr>
            <w:tcW w:w="1590"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bCs/>
              </w:rPr>
              <w:t>113.058,58</w:t>
            </w:r>
          </w:p>
        </w:tc>
        <w:tc>
          <w:tcPr>
            <w:tcW w:w="169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bCs/>
              </w:rPr>
              <w:t>16.686,43</w:t>
            </w:r>
          </w:p>
        </w:tc>
      </w:tr>
    </w:tbl>
    <w:p>
      <w:pPr>
        <w:pStyle w:val="Normal"/>
        <w:tabs>
          <w:tab w:val="clear" w:pos="708"/>
          <w:tab w:val="left" w:pos="1087" w:leader="none"/>
        </w:tabs>
        <w:jc w:val="both"/>
        <w:rPr>
          <w:b/>
          <w:color w:val="C9211E"/>
          <w:sz w:val="28"/>
          <w:szCs w:val="28"/>
        </w:rPr>
      </w:pPr>
      <w:r>
        <w:rPr>
          <w:b/>
          <w:color w:val="C9211E"/>
          <w:sz w:val="28"/>
          <w:szCs w:val="28"/>
        </w:rPr>
      </w:r>
    </w:p>
    <w:p>
      <w:pPr>
        <w:pStyle w:val="Normal"/>
        <w:tabs>
          <w:tab w:val="clear" w:pos="708"/>
          <w:tab w:val="left" w:pos="1087" w:leader="none"/>
        </w:tabs>
        <w:jc w:val="both"/>
        <w:rPr>
          <w:color w:val="auto"/>
        </w:rPr>
      </w:pPr>
      <w:r>
        <w:rPr>
          <w:b/>
          <w:color w:val="auto"/>
          <w:sz w:val="28"/>
          <w:szCs w:val="28"/>
        </w:rPr>
        <w:t>7. Konsolidovaná účtovná závierka</w:t>
      </w:r>
    </w:p>
    <w:p>
      <w:pPr>
        <w:pStyle w:val="Normal"/>
        <w:rPr>
          <w:b/>
          <w:sz w:val="24"/>
          <w:szCs w:val="28"/>
        </w:rPr>
      </w:pPr>
      <w:r>
        <w:rPr>
          <w:b/>
          <w:sz w:val="24"/>
          <w:szCs w:val="28"/>
        </w:rPr>
      </w:r>
    </w:p>
    <w:p>
      <w:pPr>
        <w:pStyle w:val="Normal"/>
        <w:rPr>
          <w:color w:val="auto"/>
        </w:rPr>
      </w:pPr>
      <w:r>
        <w:rPr>
          <w:b/>
          <w:color w:val="auto"/>
          <w:sz w:val="28"/>
          <w:szCs w:val="28"/>
        </w:rPr>
        <w:t>Konsolidovaný celok</w:t>
      </w:r>
    </w:p>
    <w:p>
      <w:pPr>
        <w:pStyle w:val="Normal"/>
        <w:spacing w:lineRule="atLeast" w:line="100"/>
        <w:jc w:val="both"/>
        <w:rPr>
          <w:color w:val="auto"/>
        </w:rPr>
      </w:pPr>
      <w:r>
        <w:rPr>
          <w:color w:val="auto"/>
        </w:rPr>
        <w:t>Obec Ľubeľa</w:t>
      </w:r>
      <w:bookmarkStart w:id="6" w:name="OLE_LINK7"/>
      <w:bookmarkStart w:id="7" w:name="OLE_LINK8"/>
      <w:bookmarkStart w:id="8" w:name="OLE_LINK9"/>
      <w:bookmarkStart w:id="9" w:name="OLE_LINK10"/>
      <w:bookmarkStart w:id="10" w:name="OLE_LINK11"/>
      <w:bookmarkStart w:id="11" w:name="OLE_LINK12"/>
      <w:bookmarkStart w:id="12" w:name="OLE_LINK13"/>
      <w:bookmarkStart w:id="13" w:name="OLE_LINK14"/>
      <w:r>
        <w:rPr>
          <w:color w:val="auto"/>
        </w:rPr>
        <w:t xml:space="preserve"> </w:t>
      </w:r>
      <w:bookmarkEnd w:id="6"/>
      <w:bookmarkEnd w:id="7"/>
      <w:bookmarkEnd w:id="8"/>
      <w:bookmarkEnd w:id="9"/>
      <w:bookmarkEnd w:id="10"/>
      <w:bookmarkEnd w:id="11"/>
      <w:bookmarkEnd w:id="12"/>
      <w:bookmarkEnd w:id="13"/>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C9211E"/>
        </w:rPr>
      </w:pPr>
      <w:r>
        <w:rPr>
          <w:b/>
          <w:bCs/>
          <w:color w:val="auto"/>
        </w:rPr>
        <w:t>a) Rozpočtová  organizácia, ktorej zriaďovateľom je Obec Ľubeľa:</w:t>
      </w:r>
    </w:p>
    <w:p>
      <w:pPr>
        <w:pStyle w:val="Normal"/>
        <w:jc w:val="both"/>
        <w:rPr>
          <w:color w:val="C9211E"/>
        </w:rPr>
      </w:pPr>
      <w:r>
        <w:rPr>
          <w:b/>
          <w:bCs/>
          <w:color w:val="auto"/>
        </w:rPr>
        <w:t>Základná škola s materskou školou Ľubeľa</w:t>
      </w:r>
    </w:p>
    <w:p>
      <w:pPr>
        <w:pStyle w:val="Normal"/>
        <w:rPr>
          <w:color w:val="C9211E"/>
        </w:rPr>
      </w:pPr>
      <w:r>
        <w:rPr>
          <w:b/>
          <w:bCs/>
          <w:color w:val="auto"/>
        </w:rPr>
        <w:t>Adresa:</w:t>
      </w:r>
      <w:r>
        <w:rPr>
          <w:color w:val="auto"/>
        </w:rPr>
        <w:t xml:space="preserve"> Ľubeľa 161, 032 14  Ľubeľa</w:t>
      </w:r>
    </w:p>
    <w:p>
      <w:pPr>
        <w:pStyle w:val="Normal"/>
        <w:rPr>
          <w:color w:val="C9211E"/>
        </w:rPr>
      </w:pPr>
      <w:r>
        <w:rPr>
          <w:b/>
          <w:bCs/>
          <w:color w:val="auto"/>
        </w:rPr>
        <w:t xml:space="preserve">Riaditeľ: </w:t>
      </w:r>
      <w:r>
        <w:rPr>
          <w:color w:val="auto"/>
        </w:rPr>
        <w:t>Mgr. Iveta Kališová</w:t>
      </w:r>
    </w:p>
    <w:p>
      <w:pPr>
        <w:pStyle w:val="Normal"/>
        <w:jc w:val="both"/>
        <w:rPr>
          <w:color w:val="auto"/>
        </w:rPr>
      </w:pPr>
      <w:r>
        <w:rPr>
          <w:color w:val="auto"/>
        </w:rPr>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color w:val="auto"/>
        </w:rPr>
      </w:pP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2024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C9211E"/>
        </w:rPr>
      </w:pPr>
      <w:r>
        <w:rPr>
          <w:color w:val="auto"/>
        </w:rPr>
        <w:t>Vzhľadom na štruktúru konsolidovaných účtovných jednotiek a majetkovú účasť Obce Ľubeľa je vo vzťahu k rozpočtovej organizácii použitá metóda úplnej konsolidácie.</w:t>
      </w:r>
    </w:p>
    <w:p>
      <w:pPr>
        <w:pStyle w:val="Normal"/>
        <w:jc w:val="both"/>
        <w:rPr>
          <w:color w:val="C9211E"/>
        </w:rPr>
      </w:pPr>
      <w:r>
        <w:rPr>
          <w:color w:val="auto"/>
        </w:rPr>
        <w:tab/>
      </w:r>
    </w:p>
    <w:p>
      <w:pPr>
        <w:pStyle w:val="Normal"/>
        <w:jc w:val="both"/>
        <w:rPr>
          <w:color w:val="C9211E"/>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C9211E"/>
        </w:rPr>
      </w:pPr>
      <w:r>
        <w:rPr>
          <w:b/>
          <w:color w:val="auto"/>
        </w:rPr>
        <w:t>1. Konsolidácia kapitálu (nevzťahuje sa na RO, PO)</w:t>
      </w:r>
    </w:p>
    <w:p>
      <w:pPr>
        <w:pStyle w:val="Normal"/>
        <w:jc w:val="both"/>
        <w:rPr>
          <w:color w:val="C9211E"/>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C9211E"/>
        </w:rPr>
      </w:pPr>
      <w:r>
        <w:rPr>
          <w:b/>
          <w:color w:val="auto"/>
        </w:rPr>
        <w:t>2. Konsolidácia pohľadávok a záväzkov</w:t>
      </w:r>
    </w:p>
    <w:p>
      <w:pPr>
        <w:pStyle w:val="Normal"/>
        <w:jc w:val="both"/>
        <w:rPr>
          <w:color w:val="C9211E"/>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C9211E"/>
        </w:rPr>
      </w:pPr>
      <w:r>
        <w:rPr>
          <w:color w:val="auto"/>
        </w:rPr>
        <w:t xml:space="preserve">a) Pravé (vytvorené napr. rezervami, opravnými položkami vo vzájomných vzťahoch). </w:t>
      </w:r>
    </w:p>
    <w:p>
      <w:pPr>
        <w:pStyle w:val="Normal"/>
        <w:jc w:val="both"/>
        <w:rPr>
          <w:color w:val="C9211E"/>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C9211E"/>
        </w:rPr>
      </w:pPr>
      <w:r>
        <w:rPr>
          <w:color w:val="auto"/>
        </w:rPr>
        <w:t>b) Nepravé (vytvorené napr. chybným zaúčtovaním, časovým posunom v zaúčtovaní a pod.).</w:t>
      </w:r>
    </w:p>
    <w:p>
      <w:pPr>
        <w:pStyle w:val="Normal"/>
        <w:jc w:val="both"/>
        <w:rPr>
          <w:color w:val="C9211E"/>
        </w:rPr>
      </w:pPr>
      <w:r>
        <w:rPr>
          <w:color w:val="auto"/>
        </w:rPr>
        <w:t>Nepravé rozdiely budú vysporiadané v procese odsúhlasovania zostatkov záväzkov a pohľadávok, resp. v rámci konsolidačných operácií mesta a konsolidovaných ÚJ.</w:t>
      </w:r>
    </w:p>
    <w:p>
      <w:pPr>
        <w:pStyle w:val="Normal"/>
        <w:jc w:val="both"/>
        <w:rPr>
          <w:color w:val="C9211E"/>
        </w:rPr>
      </w:pPr>
      <w:r>
        <w:rPr>
          <w:b/>
          <w:color w:val="auto"/>
        </w:rPr>
        <w:t>3. Konsolidácia medzivýsledku</w:t>
      </w:r>
    </w:p>
    <w:p>
      <w:pPr>
        <w:pStyle w:val="Normal"/>
        <w:jc w:val="both"/>
        <w:rPr>
          <w:color w:val="C9211E"/>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C9211E"/>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Cs/>
          <w:color w:val="C9211E"/>
          <w:sz w:val="28"/>
          <w:szCs w:val="28"/>
          <w:highlight w:val="red"/>
        </w:rPr>
      </w:pPr>
      <w:r>
        <w:rPr>
          <w:rFonts w:cs="Calibri-Bold" w:ascii="Calibri-Bold" w:hAnsi="Calibri-Bold"/>
          <w:b/>
          <w:bCs/>
          <w:color w:val="C9211E"/>
          <w:sz w:val="28"/>
          <w:szCs w:val="28"/>
          <w:highlight w:val="red"/>
        </w:rPr>
      </w:r>
    </w:p>
    <w:p>
      <w:pPr>
        <w:pStyle w:val="Normal"/>
        <w:rPr/>
      </w:pPr>
      <w:r>
        <w:rPr>
          <w:b/>
          <w:sz w:val="28"/>
          <w:szCs w:val="28"/>
        </w:rPr>
        <w:t>Hospodárenie  konsolidovaného  celku za rok 2024</w:t>
      </w:r>
    </w:p>
    <w:p>
      <w:pPr>
        <w:pStyle w:val="Normal"/>
        <w:rPr/>
      </w:pPr>
      <w:r>
        <w:rPr/>
      </w:r>
    </w:p>
    <w:p>
      <w:pPr>
        <w:pStyle w:val="Normal"/>
        <w:tabs>
          <w:tab w:val="clear" w:pos="708"/>
          <w:tab w:val="left" w:pos="360" w:leader="none"/>
        </w:tabs>
        <w:jc w:val="both"/>
        <w:rPr/>
      </w:pPr>
      <w:r>
        <w:rPr>
          <w:b/>
        </w:rPr>
        <w:t>Údaje konsolidovanej súvahy obce Ľubeľa uvádzame v nasledovnej tabuľke</w:t>
      </w:r>
    </w:p>
    <w:p>
      <w:pPr>
        <w:pStyle w:val="Normal"/>
        <w:tabs>
          <w:tab w:val="clear" w:pos="708"/>
          <w:tab w:val="left" w:pos="360" w:leader="none"/>
        </w:tabs>
        <w:jc w:val="both"/>
        <w:rPr>
          <w:b/>
          <w:color w:val="C9211E"/>
          <w:highlight w:val="red"/>
        </w:rPr>
      </w:pPr>
      <w:r>
        <w:rPr>
          <w:b/>
          <w:color w:val="C9211E"/>
          <w:highlight w:val="red"/>
        </w:rPr>
      </w:r>
    </w:p>
    <w:tbl>
      <w:tblPr>
        <w:tblW w:w="9855" w:type="dxa"/>
        <w:jc w:val="left"/>
        <w:tblInd w:w="64" w:type="dxa"/>
        <w:tblLayout w:type="fixed"/>
        <w:tblCellMar>
          <w:top w:w="55" w:type="dxa"/>
          <w:left w:w="45" w:type="dxa"/>
          <w:bottom w:w="55" w:type="dxa"/>
          <w:right w:w="55" w:type="dxa"/>
        </w:tblCellMar>
        <w:tblLook w:firstRow="0" w:noVBand="0" w:lastRow="0" w:firstColumn="0" w:lastColumn="0" w:noHBand="0" w:val="0000"/>
      </w:tblPr>
      <w:tblGrid>
        <w:gridCol w:w="1454"/>
        <w:gridCol w:w="1262"/>
        <w:gridCol w:w="1243"/>
        <w:gridCol w:w="1306"/>
        <w:gridCol w:w="794"/>
        <w:gridCol w:w="842"/>
        <w:gridCol w:w="1424"/>
        <w:gridCol w:w="1528"/>
      </w:tblGrid>
      <w:tr>
        <w:trPr>
          <w:trHeight w:val="276" w:hRule="atLeast"/>
        </w:trPr>
        <w:tc>
          <w:tcPr>
            <w:tcW w:w="1454" w:type="dxa"/>
            <w:tcBorders>
              <w:top w:val="single" w:sz="4" w:space="0" w:color="000000"/>
              <w:left w:val="single" w:sz="4" w:space="0" w:color="000000"/>
              <w:bottom w:val="single" w:sz="4" w:space="0" w:color="000000"/>
            </w:tcBorders>
            <w:shd w:color="auto" w:fill="8DB3E2" w:val="clear"/>
          </w:tcPr>
          <w:p>
            <w:pPr>
              <w:pStyle w:val="Obsahtabuky"/>
              <w:snapToGrid w:val="false"/>
              <w:rPr>
                <w:sz w:val="20"/>
                <w:szCs w:val="20"/>
              </w:rPr>
            </w:pPr>
            <w:r>
              <w:rPr>
                <w:b/>
                <w:bCs/>
                <w:sz w:val="20"/>
                <w:szCs w:val="20"/>
              </w:rPr>
              <w:t>Aktíva</w:t>
            </w:r>
          </w:p>
        </w:tc>
        <w:tc>
          <w:tcPr>
            <w:tcW w:w="126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243"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ZŠ</w:t>
            </w:r>
          </w:p>
        </w:tc>
        <w:tc>
          <w:tcPr>
            <w:tcW w:w="130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79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Md</w:t>
            </w:r>
          </w:p>
        </w:tc>
        <w:tc>
          <w:tcPr>
            <w:tcW w:w="84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Dal</w:t>
            </w:r>
          </w:p>
        </w:tc>
        <w:tc>
          <w:tcPr>
            <w:tcW w:w="142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31.12.2023</w:t>
            </w:r>
          </w:p>
        </w:tc>
        <w:tc>
          <w:tcPr>
            <w:tcW w:w="1528"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DNM</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8.989,25</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8.989,25</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11.567,85</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8.989,25</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DHM</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2.654.069,63</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2.654.069,63</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2.420.484,46</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2.654.069,63</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DFM</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299.364,40</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299.364,40</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299.364,40</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299.364,40</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Zásob</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825,00</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1.738,16</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2.563,16</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2.559,74</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2.563,16</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Zaúčt.OP RO</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972,46</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972,46</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972,46</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Iné pohľad.</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Pohľadávky</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19.840,54</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972,46</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20.813,00</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13.021,50</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20.813,00</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Zaúčt.sub.VS</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 účty</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74.267,71</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111.692,74</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185.960,45</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351.155,59</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185.960,45</w:t>
            </w:r>
          </w:p>
        </w:tc>
      </w:tr>
      <w:tr>
        <w:trPr>
          <w:trHeight w:val="276" w:hRule="atLeast"/>
        </w:trPr>
        <w:tc>
          <w:tcPr>
            <w:tcW w:w="14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Čas.rozlíš.</w:t>
            </w:r>
          </w:p>
        </w:tc>
        <w:tc>
          <w:tcPr>
            <w:tcW w:w="126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1.632,65</w:t>
            </w:r>
          </w:p>
        </w:tc>
        <w:tc>
          <w:tcPr>
            <w:tcW w:w="1243"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1.632,65</w:t>
            </w:r>
          </w:p>
        </w:tc>
        <w:tc>
          <w:tcPr>
            <w:tcW w:w="79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1.429,71</w:t>
            </w:r>
          </w:p>
        </w:tc>
        <w:tc>
          <w:tcPr>
            <w:tcW w:w="1528"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1.632,65</w:t>
            </w:r>
          </w:p>
        </w:tc>
      </w:tr>
      <w:tr>
        <w:trPr>
          <w:trHeight w:val="276" w:hRule="atLeast"/>
        </w:trPr>
        <w:tc>
          <w:tcPr>
            <w:tcW w:w="145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b/>
                <w:bCs/>
              </w:rPr>
            </w:pPr>
            <w:r>
              <w:rPr>
                <w:b/>
                <w:bCs/>
                <w:sz w:val="20"/>
                <w:szCs w:val="20"/>
              </w:rPr>
              <w:t>Majetok spolu</w:t>
            </w:r>
          </w:p>
        </w:tc>
        <w:tc>
          <w:tcPr>
            <w:tcW w:w="1262"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3.059.961,64</w:t>
            </w:r>
          </w:p>
        </w:tc>
        <w:tc>
          <w:tcPr>
            <w:tcW w:w="1243"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114.403,36</w:t>
            </w:r>
          </w:p>
        </w:tc>
        <w:tc>
          <w:tcPr>
            <w:tcW w:w="1306"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3.174.365,00</w:t>
            </w:r>
          </w:p>
        </w:tc>
        <w:tc>
          <w:tcPr>
            <w:tcW w:w="79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842"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142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3.099.583,25</w:t>
            </w:r>
          </w:p>
        </w:tc>
        <w:tc>
          <w:tcPr>
            <w:tcW w:w="1528"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b/>
                <w:bCs/>
              </w:rPr>
            </w:pPr>
            <w:r>
              <w:rPr>
                <w:b/>
                <w:bCs/>
                <w:sz w:val="20"/>
                <w:szCs w:val="20"/>
              </w:rPr>
              <w:t>3.173.392,54</w:t>
            </w:r>
          </w:p>
        </w:tc>
      </w:tr>
      <w:tr>
        <w:trPr>
          <w:trHeight w:val="276" w:hRule="atLeast"/>
        </w:trPr>
        <w:tc>
          <w:tcPr>
            <w:tcW w:w="1454" w:type="dxa"/>
            <w:tcBorders>
              <w:top w:val="single" w:sz="4" w:space="0" w:color="000000"/>
              <w:left w:val="single" w:sz="4" w:space="0" w:color="000000"/>
              <w:bottom w:val="single" w:sz="4" w:space="0" w:color="000000"/>
            </w:tcBorders>
            <w:shd w:color="auto" w:fill="8DB3E2" w:val="clear"/>
          </w:tcPr>
          <w:p>
            <w:pPr>
              <w:pStyle w:val="Obsahtabuky"/>
              <w:snapToGrid w:val="false"/>
              <w:jc w:val="both"/>
              <w:rPr>
                <w:sz w:val="20"/>
                <w:szCs w:val="20"/>
              </w:rPr>
            </w:pPr>
            <w:r>
              <w:rPr>
                <w:b/>
                <w:bCs/>
                <w:sz w:val="20"/>
                <w:szCs w:val="20"/>
              </w:rPr>
              <w:t>Pasíva</w:t>
            </w:r>
          </w:p>
          <w:p>
            <w:pPr>
              <w:pStyle w:val="Obsahtabuky"/>
              <w:snapToGrid w:val="false"/>
              <w:jc w:val="both"/>
              <w:rPr>
                <w:b/>
                <w:bCs/>
                <w:sz w:val="20"/>
                <w:szCs w:val="20"/>
              </w:rPr>
            </w:pPr>
            <w:r>
              <w:rPr>
                <w:b/>
                <w:bCs/>
                <w:sz w:val="20"/>
                <w:szCs w:val="20"/>
              </w:rPr>
            </w:r>
          </w:p>
        </w:tc>
        <w:tc>
          <w:tcPr>
            <w:tcW w:w="126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243"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ZŠ</w:t>
            </w:r>
          </w:p>
        </w:tc>
        <w:tc>
          <w:tcPr>
            <w:tcW w:w="130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79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Md</w:t>
            </w:r>
          </w:p>
        </w:tc>
        <w:tc>
          <w:tcPr>
            <w:tcW w:w="84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Dal</w:t>
            </w:r>
          </w:p>
        </w:tc>
        <w:tc>
          <w:tcPr>
            <w:tcW w:w="142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 31.12.2023</w:t>
            </w:r>
          </w:p>
        </w:tc>
        <w:tc>
          <w:tcPr>
            <w:tcW w:w="1528"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Spolu 31.12.2024</w:t>
            </w:r>
          </w:p>
        </w:tc>
      </w:tr>
      <w:tr>
        <w:trPr>
          <w:trHeight w:val="699"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Vlastné imanie</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1.177.790,15</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-9.168,05</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1.168.622,10</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1.153.602,65</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1.168.622,10</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Oceň. rozdiely</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Fondy</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Nevysp. HV</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1.161.103,72</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-7.284,40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1.153.819,32</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1.032.586,29</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1.153.819,32</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bCs/>
                <w:sz w:val="20"/>
                <w:szCs w:val="20"/>
              </w:rPr>
              <w:t>Výsledok 2024</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16.686,43</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-1.883,65</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14.802,78</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121.016,36</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14.802,78</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Záväzky</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800.962,51</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123.571,41</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924.533,92</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957.694,25</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923.561,46</w:t>
            </w:r>
          </w:p>
        </w:tc>
      </w:tr>
      <w:tr>
        <w:trPr>
          <w:trHeight w:val="35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Rezervy</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2.100,00</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2.100,00</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2.100,00</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2.100,00</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Zaúčt.subj.VS</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41.588,22</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972,46</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42.560,68</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972,46</w:t>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202.534,85</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41.588,22</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Dlhodobé záv.</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332.110,59</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7.139,98</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339.250,57</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350.281,94</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339.250,57</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Krátkod. záv.</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137.635,71</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115.458,97</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253.094,68</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175.970,47</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253.094,68</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Bankové úvery</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287.527,99</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287.527,99</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226.806,99</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287.527,99</w:t>
            </w:r>
          </w:p>
        </w:tc>
      </w:tr>
      <w:tr>
        <w:trPr>
          <w:trHeight w:val="276" w:hRule="atLeast"/>
        </w:trPr>
        <w:tc>
          <w:tcPr>
            <w:tcW w:w="1454"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Čas.rozlíšenie</w:t>
            </w:r>
          </w:p>
        </w:tc>
        <w:tc>
          <w:tcPr>
            <w:tcW w:w="126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1.081,208,98</w:t>
            </w:r>
          </w:p>
        </w:tc>
        <w:tc>
          <w:tcPr>
            <w:tcW w:w="1243"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1306"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79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84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988.286,35</w:t>
            </w:r>
          </w:p>
        </w:tc>
        <w:tc>
          <w:tcPr>
            <w:tcW w:w="1528"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0,00</w:t>
            </w:r>
          </w:p>
        </w:tc>
      </w:tr>
      <w:tr>
        <w:trPr>
          <w:trHeight w:val="276" w:hRule="atLeast"/>
        </w:trPr>
        <w:tc>
          <w:tcPr>
            <w:tcW w:w="145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b/>
                <w:bCs/>
              </w:rPr>
            </w:pPr>
            <w:r>
              <w:rPr>
                <w:b/>
                <w:bCs/>
                <w:sz w:val="20"/>
                <w:szCs w:val="20"/>
              </w:rPr>
              <w:t>VI a záväzky</w:t>
            </w:r>
          </w:p>
        </w:tc>
        <w:tc>
          <w:tcPr>
            <w:tcW w:w="1262"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3.059.961,64</w:t>
            </w:r>
          </w:p>
        </w:tc>
        <w:tc>
          <w:tcPr>
            <w:tcW w:w="1243"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114.403,36</w:t>
            </w:r>
          </w:p>
        </w:tc>
        <w:tc>
          <w:tcPr>
            <w:tcW w:w="1306"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3.174.365,00</w:t>
            </w:r>
          </w:p>
        </w:tc>
        <w:tc>
          <w:tcPr>
            <w:tcW w:w="79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842"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142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3.099.583,25</w:t>
            </w:r>
          </w:p>
        </w:tc>
        <w:tc>
          <w:tcPr>
            <w:tcW w:w="1528"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b/>
                <w:bCs/>
              </w:rPr>
            </w:pPr>
            <w:r>
              <w:rPr>
                <w:b/>
                <w:bCs/>
                <w:sz w:val="20"/>
                <w:szCs w:val="20"/>
              </w:rPr>
              <w:t>3.173.392,54</w:t>
            </w:r>
          </w:p>
        </w:tc>
      </w:tr>
    </w:tbl>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pPr>
      <w:r>
        <w:rPr>
          <w:b/>
        </w:rPr>
        <w:t xml:space="preserve">Okrem konsolidácie majetku a záväzkov, boli za rok 2024 konsolidované náklady a výnosy. </w:t>
      </w:r>
    </w:p>
    <w:p>
      <w:pPr>
        <w:pStyle w:val="Normal"/>
        <w:tabs>
          <w:tab w:val="clear" w:pos="708"/>
          <w:tab w:val="left" w:pos="360" w:leader="none"/>
        </w:tabs>
        <w:jc w:val="both"/>
        <w:rPr>
          <w:b/>
          <w:sz w:val="20"/>
          <w:szCs w:val="20"/>
        </w:rPr>
      </w:pPr>
      <w:r>
        <w:rPr>
          <w:b/>
          <w:sz w:val="20"/>
          <w:szCs w:val="20"/>
        </w:rPr>
      </w:r>
    </w:p>
    <w:p>
      <w:pPr>
        <w:pStyle w:val="Normal"/>
        <w:tabs>
          <w:tab w:val="clear" w:pos="708"/>
          <w:tab w:val="left" w:pos="360" w:leader="none"/>
        </w:tabs>
        <w:jc w:val="both"/>
        <w:rPr>
          <w:b/>
        </w:rPr>
      </w:pPr>
      <w:r>
        <w:rPr>
          <w:b/>
        </w:rPr>
        <w:t>Prehľad nákladov a výnosov za konsolidovaný celok uvádzame v nasledujúcich tabuľkách.</w:t>
      </w:r>
    </w:p>
    <w:p>
      <w:pPr>
        <w:pStyle w:val="Normal"/>
        <w:tabs>
          <w:tab w:val="clear" w:pos="708"/>
          <w:tab w:val="left" w:pos="360" w:leader="none"/>
        </w:tabs>
        <w:jc w:val="both"/>
        <w:rPr/>
      </w:pPr>
      <w:r>
        <w:rPr/>
      </w:r>
    </w:p>
    <w:tbl>
      <w:tblPr>
        <w:tblW w:w="9915" w:type="dxa"/>
        <w:jc w:val="left"/>
        <w:tblInd w:w="19" w:type="dxa"/>
        <w:tblLayout w:type="fixed"/>
        <w:tblCellMar>
          <w:top w:w="55" w:type="dxa"/>
          <w:left w:w="45" w:type="dxa"/>
          <w:bottom w:w="55" w:type="dxa"/>
          <w:right w:w="55" w:type="dxa"/>
        </w:tblCellMar>
        <w:tblLook w:firstRow="0" w:noVBand="0" w:lastRow="0" w:firstColumn="0" w:lastColumn="0" w:noHBand="0" w:val="0000"/>
      </w:tblPr>
      <w:tblGrid>
        <w:gridCol w:w="1695"/>
        <w:gridCol w:w="1305"/>
        <w:gridCol w:w="1364"/>
        <w:gridCol w:w="1245"/>
        <w:gridCol w:w="736"/>
        <w:gridCol w:w="1081"/>
        <w:gridCol w:w="1244"/>
        <w:gridCol w:w="1243"/>
      </w:tblGrid>
      <w:tr>
        <w:trPr>
          <w:trHeight w:val="276" w:hRule="atLeast"/>
        </w:trPr>
        <w:tc>
          <w:tcPr>
            <w:tcW w:w="169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Náklady</w:t>
            </w:r>
          </w:p>
        </w:tc>
        <w:tc>
          <w:tcPr>
            <w:tcW w:w="130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36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ZŠ</w:t>
            </w:r>
          </w:p>
        </w:tc>
        <w:tc>
          <w:tcPr>
            <w:tcW w:w="124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73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Md</w:t>
            </w:r>
          </w:p>
        </w:tc>
        <w:tc>
          <w:tcPr>
            <w:tcW w:w="108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Dal</w:t>
            </w:r>
          </w:p>
        </w:tc>
        <w:tc>
          <w:tcPr>
            <w:tcW w:w="124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31.12.2023</w:t>
            </w:r>
          </w:p>
        </w:tc>
        <w:tc>
          <w:tcPr>
            <w:tcW w:w="124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Prev.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513.104,92</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1.500.851,63</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2.013.956,55</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1.880.615,32</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2.013.956,55</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Materiál, ener.</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75.749,63</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245.137,03</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320.886,66</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335.870,14</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320.886,66</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Služby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135.956,35</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26.379,89</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162.336,24</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182.750,69</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162.336,24</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Osob.náklady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189.306,65</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1.167.143,49</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1.356.450,14</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1.214.966,83</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1.356.450,14</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Dane a popl.</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104,90</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1.060,00</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1.164,90</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1.049,84</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1.164,90</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Ostatné nákl.</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4.203,33</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61.131,22</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65.334,55</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48.485,25</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65.334,55</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Odpisy, rezer.</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107.784,06</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107.784,06</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97.492,57</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107.784,06</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Finan.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15.419,49</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2.260,27</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17.679,76</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16.813,07</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17.679,76</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Finančné nákl.</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15.419,49</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2.260,27</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17.679,76</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16.813,07</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17.679,76</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Mim.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76" w:hRule="atLeast"/>
        </w:trPr>
        <w:tc>
          <w:tcPr>
            <w:tcW w:w="16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Transfery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313.986,79</w:t>
            </w:r>
          </w:p>
        </w:tc>
        <w:tc>
          <w:tcPr>
            <w:tcW w:w="136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38.991,57</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352.978,36</w:t>
            </w:r>
          </w:p>
        </w:tc>
        <w:tc>
          <w:tcPr>
            <w:tcW w:w="736"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081"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322.730,07</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27.045,08</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30.248,29</w:t>
            </w:r>
          </w:p>
        </w:tc>
      </w:tr>
      <w:tr>
        <w:trPr>
          <w:trHeight w:val="276" w:hRule="atLeast"/>
        </w:trPr>
        <w:tc>
          <w:tcPr>
            <w:tcW w:w="1695" w:type="dxa"/>
            <w:tcBorders>
              <w:top w:val="single" w:sz="4" w:space="0" w:color="000000"/>
              <w:left w:val="single" w:sz="4" w:space="0" w:color="000000"/>
              <w:bottom w:val="single" w:sz="4" w:space="0" w:color="000000"/>
            </w:tcBorders>
            <w:shd w:color="auto" w:fill="FFFF99" w:val="clear"/>
          </w:tcPr>
          <w:p>
            <w:pPr>
              <w:pStyle w:val="Obsahtabuky"/>
              <w:snapToGrid w:val="false"/>
              <w:jc w:val="both"/>
              <w:rPr>
                <w:b/>
                <w:bCs/>
              </w:rPr>
            </w:pPr>
            <w:r>
              <w:rPr>
                <w:b/>
                <w:bCs/>
                <w:sz w:val="20"/>
                <w:szCs w:val="20"/>
              </w:rPr>
              <w:t>Celkom</w:t>
            </w:r>
          </w:p>
        </w:tc>
        <w:tc>
          <w:tcPr>
            <w:tcW w:w="1305"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842.511,20</w:t>
            </w:r>
          </w:p>
        </w:tc>
        <w:tc>
          <w:tcPr>
            <w:tcW w:w="136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1.542.103,47</w:t>
            </w:r>
          </w:p>
        </w:tc>
        <w:tc>
          <w:tcPr>
            <w:tcW w:w="124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2.384.614,67</w:t>
            </w:r>
          </w:p>
        </w:tc>
        <w:tc>
          <w:tcPr>
            <w:tcW w:w="736"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sz w:val="20"/>
                <w:szCs w:val="20"/>
              </w:rPr>
            </w:pPr>
            <w:r>
              <w:rPr>
                <w:b/>
                <w:bCs/>
                <w:sz w:val="20"/>
                <w:szCs w:val="20"/>
              </w:rPr>
            </w:r>
          </w:p>
        </w:tc>
        <w:tc>
          <w:tcPr>
            <w:tcW w:w="1081"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322.730,07</w:t>
            </w:r>
          </w:p>
        </w:tc>
        <w:tc>
          <w:tcPr>
            <w:tcW w:w="124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1.924.473,47</w:t>
            </w:r>
          </w:p>
        </w:tc>
        <w:tc>
          <w:tcPr>
            <w:tcW w:w="1243"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b/>
                <w:bCs/>
              </w:rPr>
            </w:pPr>
            <w:r>
              <w:rPr>
                <w:b/>
                <w:bCs/>
                <w:sz w:val="20"/>
                <w:szCs w:val="20"/>
              </w:rPr>
              <w:t>2.061.884,60</w:t>
            </w:r>
          </w:p>
        </w:tc>
      </w:tr>
    </w:tbl>
    <w:p>
      <w:pPr>
        <w:pStyle w:val="Normal"/>
        <w:tabs>
          <w:tab w:val="clear" w:pos="708"/>
          <w:tab w:val="left" w:pos="360" w:leader="none"/>
        </w:tabs>
        <w:jc w:val="both"/>
        <w:rPr>
          <w:color w:val="C9211E"/>
        </w:rPr>
      </w:pPr>
      <w:r>
        <w:rPr>
          <w:color w:val="C9211E"/>
        </w:rPr>
        <w:tab/>
        <w:tab/>
      </w:r>
    </w:p>
    <w:tbl>
      <w:tblPr>
        <w:tblW w:w="9975" w:type="dxa"/>
        <w:jc w:val="left"/>
        <w:tblInd w:w="-11" w:type="dxa"/>
        <w:tblLayout w:type="fixed"/>
        <w:tblCellMar>
          <w:top w:w="55" w:type="dxa"/>
          <w:left w:w="45" w:type="dxa"/>
          <w:bottom w:w="55" w:type="dxa"/>
          <w:right w:w="55" w:type="dxa"/>
        </w:tblCellMar>
        <w:tblLook w:firstRow="0" w:noVBand="0" w:lastRow="0" w:firstColumn="0" w:lastColumn="0" w:noHBand="0" w:val="0000"/>
      </w:tblPr>
      <w:tblGrid>
        <w:gridCol w:w="1754"/>
        <w:gridCol w:w="1246"/>
        <w:gridCol w:w="1424"/>
        <w:gridCol w:w="1412"/>
        <w:gridCol w:w="1019"/>
        <w:gridCol w:w="571"/>
        <w:gridCol w:w="1276"/>
        <w:gridCol w:w="1271"/>
      </w:tblGrid>
      <w:tr>
        <w:trPr>
          <w:trHeight w:val="276" w:hRule="atLeast"/>
        </w:trPr>
        <w:tc>
          <w:tcPr>
            <w:tcW w:w="175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Výnosy</w:t>
            </w:r>
          </w:p>
        </w:tc>
        <w:tc>
          <w:tcPr>
            <w:tcW w:w="124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42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ZŠ</w:t>
            </w:r>
          </w:p>
        </w:tc>
        <w:tc>
          <w:tcPr>
            <w:tcW w:w="141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1019"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Md</w:t>
            </w:r>
          </w:p>
        </w:tc>
        <w:tc>
          <w:tcPr>
            <w:tcW w:w="57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Dal</w:t>
            </w:r>
          </w:p>
        </w:tc>
        <w:tc>
          <w:tcPr>
            <w:tcW w:w="127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31.12.2023</w:t>
            </w:r>
          </w:p>
        </w:tc>
        <w:tc>
          <w:tcPr>
            <w:tcW w:w="1271"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Prev. činnosť</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750.753,06</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120.203,11</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870.956,17</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929.130,07</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870.956,17</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Tržby, výkony</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8.675,18</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110.263,70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118.938,88</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109.293,93</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118.938,88</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Aktivácia</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7.033,41</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7.033,41</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9.885,33</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7.033,41</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Dane a popl.</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713.267,24</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713.267,24</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745.438,64</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713.267,24</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Ostatné výnos.</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26.710,64</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2.906,00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29.616,64</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62.412,17</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29.616,64</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Zúčt. rezerv</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2.100,00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2.100,00</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2.100,00</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2.100,00</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Finan. činnosť</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Finan.výnosy</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Mim. činnosť</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Mimoriad.výn.</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754"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Transfery</w:t>
            </w:r>
          </w:p>
        </w:tc>
        <w:tc>
          <w:tcPr>
            <w:tcW w:w="124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108.444,57</w:t>
            </w:r>
          </w:p>
        </w:tc>
        <w:tc>
          <w:tcPr>
            <w:tcW w:w="142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1.420.016,71</w:t>
            </w:r>
          </w:p>
        </w:tc>
        <w:tc>
          <w:tcPr>
            <w:tcW w:w="1412"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1.528.461,28</w:t>
            </w:r>
          </w:p>
        </w:tc>
        <w:tc>
          <w:tcPr>
            <w:tcW w:w="1019"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322.730,07</w:t>
            </w:r>
          </w:p>
        </w:tc>
        <w:tc>
          <w:tcPr>
            <w:tcW w:w="57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276"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1.116.359,76</w:t>
            </w:r>
          </w:p>
        </w:tc>
        <w:tc>
          <w:tcPr>
            <w:tcW w:w="127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1.205.731,21</w:t>
            </w:r>
          </w:p>
        </w:tc>
      </w:tr>
      <w:tr>
        <w:trPr>
          <w:trHeight w:val="276" w:hRule="atLeast"/>
        </w:trPr>
        <w:tc>
          <w:tcPr>
            <w:tcW w:w="1754" w:type="dxa"/>
            <w:tcBorders>
              <w:top w:val="single" w:sz="4" w:space="0" w:color="000000"/>
              <w:left w:val="single" w:sz="4" w:space="0" w:color="000000"/>
              <w:bottom w:val="single" w:sz="4" w:space="0" w:color="000000"/>
            </w:tcBorders>
            <w:shd w:color="auto" w:fill="FFFF99" w:val="clear"/>
          </w:tcPr>
          <w:p>
            <w:pPr>
              <w:pStyle w:val="Obsahtabuky"/>
              <w:snapToGrid w:val="false"/>
              <w:jc w:val="both"/>
              <w:rPr>
                <w:b/>
                <w:bCs/>
              </w:rPr>
            </w:pPr>
            <w:r>
              <w:rPr>
                <w:b/>
                <w:bCs/>
                <w:sz w:val="20"/>
                <w:szCs w:val="20"/>
              </w:rPr>
              <w:t>Celkom</w:t>
            </w:r>
          </w:p>
        </w:tc>
        <w:tc>
          <w:tcPr>
            <w:tcW w:w="1246"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859.197,63</w:t>
            </w:r>
          </w:p>
        </w:tc>
        <w:tc>
          <w:tcPr>
            <w:tcW w:w="142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1.540.219,82</w:t>
            </w:r>
          </w:p>
        </w:tc>
        <w:tc>
          <w:tcPr>
            <w:tcW w:w="1412"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2.399.417,45</w:t>
            </w:r>
          </w:p>
        </w:tc>
        <w:tc>
          <w:tcPr>
            <w:tcW w:w="1019"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322.730,07</w:t>
            </w:r>
          </w:p>
        </w:tc>
        <w:tc>
          <w:tcPr>
            <w:tcW w:w="571"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sz w:val="20"/>
                <w:szCs w:val="20"/>
              </w:rPr>
            </w:pPr>
            <w:r>
              <w:rPr>
                <w:b/>
                <w:bCs/>
                <w:sz w:val="20"/>
                <w:szCs w:val="20"/>
              </w:rPr>
            </w:r>
          </w:p>
        </w:tc>
        <w:tc>
          <w:tcPr>
            <w:tcW w:w="1276"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2.045.489,83</w:t>
            </w:r>
          </w:p>
        </w:tc>
        <w:tc>
          <w:tcPr>
            <w:tcW w:w="1271"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b/>
                <w:bCs/>
              </w:rPr>
            </w:pPr>
            <w:r>
              <w:rPr>
                <w:b/>
                <w:bCs/>
                <w:sz w:val="20"/>
                <w:szCs w:val="20"/>
              </w:rPr>
              <w:t>2.076.687,38</w:t>
            </w:r>
          </w:p>
        </w:tc>
      </w:tr>
    </w:tbl>
    <w:p>
      <w:pPr>
        <w:pStyle w:val="Normal"/>
        <w:tabs>
          <w:tab w:val="clear" w:pos="708"/>
          <w:tab w:val="left" w:pos="360" w:leader="none"/>
        </w:tabs>
        <w:jc w:val="both"/>
        <w:rPr>
          <w:color w:val="C9211E"/>
        </w:rPr>
      </w:pPr>
      <w:r>
        <w:rPr>
          <w:color w:val="C9211E"/>
        </w:rPr>
        <w:tab/>
      </w:r>
    </w:p>
    <w:p>
      <w:pPr>
        <w:pStyle w:val="Normal"/>
        <w:tabs>
          <w:tab w:val="clear" w:pos="708"/>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clear" w:pos="708"/>
          <w:tab w:val="left" w:pos="1087" w:leader="none"/>
        </w:tabs>
        <w:ind w:hanging="0" w:left="54"/>
        <w:jc w:val="both"/>
        <w:rPr>
          <w:b/>
          <w:color w:val="C9211E"/>
          <w:sz w:val="28"/>
          <w:szCs w:val="28"/>
          <w:highlight w:val="red"/>
        </w:rPr>
      </w:pPr>
      <w:r>
        <w:rPr>
          <w:b/>
          <w:color w:val="C9211E"/>
          <w:sz w:val="28"/>
          <w:szCs w:val="28"/>
          <w:highlight w:val="red"/>
        </w:rPr>
      </w:r>
    </w:p>
    <w:p>
      <w:pPr>
        <w:pStyle w:val="Normal"/>
        <w:tabs>
          <w:tab w:val="clear" w:pos="708"/>
          <w:tab w:val="left" w:pos="1087" w:leader="none"/>
        </w:tabs>
        <w:ind w:hanging="0" w:left="54"/>
        <w:jc w:val="both"/>
        <w:rPr>
          <w:b/>
          <w:color w:val="C9211E"/>
          <w:sz w:val="28"/>
          <w:szCs w:val="28"/>
          <w:highlight w:val="red"/>
        </w:rPr>
      </w:pPr>
      <w:r>
        <w:rPr>
          <w:b/>
          <w:color w:val="C9211E"/>
          <w:sz w:val="28"/>
          <w:szCs w:val="28"/>
          <w:highlight w:val="red"/>
        </w:rPr>
      </w:r>
    </w:p>
    <w:p>
      <w:pPr>
        <w:pStyle w:val="Normal"/>
        <w:tabs>
          <w:tab w:val="clear" w:pos="708"/>
          <w:tab w:val="left" w:pos="1087" w:leader="none"/>
        </w:tabs>
        <w:ind w:hanging="0" w:left="54"/>
        <w:jc w:val="both"/>
        <w:rPr>
          <w:color w:val="C9211E"/>
        </w:rPr>
      </w:pPr>
      <w:r>
        <w:rPr>
          <w:b/>
          <w:color w:val="auto"/>
          <w:sz w:val="28"/>
          <w:szCs w:val="28"/>
        </w:rPr>
        <w:t>8. Predpokladaný budúci vývoj – zámery obce</w:t>
      </w:r>
    </w:p>
    <w:p>
      <w:pPr>
        <w:pStyle w:val="Normal"/>
        <w:tabs>
          <w:tab w:val="clear" w:pos="708"/>
          <w:tab w:val="left" w:pos="7380" w:leader="none"/>
          <w:tab w:val="left" w:pos="9720" w:leader="none"/>
          <w:tab w:val="left" w:pos="11880" w:leader="none"/>
        </w:tabs>
        <w:jc w:val="both"/>
        <w:rPr>
          <w:bCs/>
          <w:color w:val="auto"/>
          <w:sz w:val="20"/>
          <w:szCs w:val="20"/>
        </w:rPr>
      </w:pPr>
      <w:r>
        <w:rPr>
          <w:bCs/>
          <w:color w:val="auto"/>
          <w:sz w:val="20"/>
          <w:szCs w:val="20"/>
        </w:rPr>
      </w:r>
    </w:p>
    <w:p>
      <w:pPr>
        <w:pStyle w:val="BodyText"/>
        <w:tabs>
          <w:tab w:val="clear" w:pos="708"/>
          <w:tab w:val="left" w:pos="360" w:leader="none"/>
        </w:tabs>
        <w:jc w:val="both"/>
        <w:rPr>
          <w:color w:val="auto"/>
        </w:rPr>
      </w:pPr>
      <w:r>
        <w:rPr>
          <w:color w:val="auto"/>
          <w:sz w:val="24"/>
        </w:rPr>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BodyText"/>
        <w:tabs>
          <w:tab w:val="clear" w:pos="708"/>
          <w:tab w:val="left" w:pos="360" w:leader="none"/>
        </w:tabs>
        <w:jc w:val="both"/>
        <w:rPr>
          <w:color w:val="auto"/>
          <w:sz w:val="20"/>
          <w:szCs w:val="20"/>
          <w:highlight w:val="red"/>
        </w:rPr>
      </w:pPr>
      <w:r>
        <w:rPr>
          <w:color w:val="auto"/>
          <w:sz w:val="20"/>
          <w:szCs w:val="20"/>
          <w:highlight w:val="red"/>
        </w:rPr>
      </w:r>
    </w:p>
    <w:p>
      <w:pPr>
        <w:pStyle w:val="Normal"/>
        <w:tabs>
          <w:tab w:val="clear" w:pos="708"/>
          <w:tab w:val="left" w:pos="1087" w:leader="none"/>
        </w:tabs>
        <w:ind w:hanging="0" w:left="54"/>
        <w:jc w:val="both"/>
        <w:rPr>
          <w:color w:val="C9211E"/>
        </w:rPr>
      </w:pPr>
      <w:r>
        <w:rPr>
          <w:b/>
          <w:color w:val="auto"/>
          <w:sz w:val="28"/>
          <w:szCs w:val="28"/>
        </w:rPr>
        <w:t>9. Udalosti osobitného významu po skončení účtovného obdobia</w:t>
      </w:r>
    </w:p>
    <w:p>
      <w:pPr>
        <w:pStyle w:val="Normal"/>
        <w:tabs>
          <w:tab w:val="clear" w:pos="708"/>
          <w:tab w:val="left" w:pos="7380" w:leader="none"/>
          <w:tab w:val="left" w:pos="9720" w:leader="none"/>
          <w:tab w:val="left" w:pos="11880" w:leader="none"/>
        </w:tabs>
        <w:rPr>
          <w:b/>
          <w:bCs/>
          <w:color w:val="auto"/>
          <w:sz w:val="20"/>
          <w:szCs w:val="20"/>
        </w:rPr>
      </w:pPr>
      <w:r>
        <w:rPr>
          <w:b/>
          <w:bCs/>
          <w:color w:val="auto"/>
          <w:sz w:val="20"/>
          <w:szCs w:val="20"/>
        </w:rPr>
      </w:r>
    </w:p>
    <w:p>
      <w:pPr>
        <w:pStyle w:val="Normal"/>
        <w:jc w:val="both"/>
        <w:rPr>
          <w:color w:val="C9211E"/>
        </w:rPr>
      </w:pPr>
      <w:r>
        <w:rPr>
          <w:bCs/>
          <w:color w:val="auto"/>
        </w:rPr>
        <w:t xml:space="preserve">Po ukončení účtovného obdobia nenastali žiadne udalosti osobitného významu, ktoré by  bolo potrebné uviesť v tejto výročnej správe.  </w:t>
      </w:r>
    </w:p>
    <w:p>
      <w:pPr>
        <w:pStyle w:val="Normal"/>
        <w:tabs>
          <w:tab w:val="clear" w:pos="708"/>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clear" w:pos="708"/>
          <w:tab w:val="left" w:pos="567" w:leader="none"/>
          <w:tab w:val="left" w:pos="7380" w:leader="none"/>
          <w:tab w:val="left" w:pos="9720" w:leader="none"/>
          <w:tab w:val="left" w:pos="11880" w:leader="none"/>
        </w:tabs>
        <w:jc w:val="both"/>
        <w:rPr>
          <w:color w:val="auto"/>
        </w:rPr>
      </w:pPr>
      <w:r>
        <w:rPr>
          <w:bCs/>
          <w:color w:val="auto"/>
        </w:rPr>
        <w:t>Táto výročná správa sa vyhotovuje za účtovné obdobie od 1.1.2024 do 31.12.2024. Obec Ľubeľa</w:t>
      </w:r>
      <w:r>
        <w:rPr>
          <w:color w:val="auto"/>
        </w:rPr>
        <w:t xml:space="preserve"> </w:t>
      </w:r>
      <w:r>
        <w:rPr>
          <w:bCs/>
          <w:color w:val="auto"/>
        </w:rPr>
        <w:t xml:space="preserve">zostavovala za rok 2024 účtovnú závierku za konsolidovaný celok. </w:t>
      </w:r>
    </w:p>
    <w:p>
      <w:pPr>
        <w:pStyle w:val="Normal"/>
        <w:jc w:val="both"/>
        <w:rPr>
          <w:color w:val="C9211E"/>
        </w:rPr>
      </w:pPr>
      <w:r>
        <w:rPr>
          <w:bCs/>
          <w:color w:val="auto"/>
        </w:rPr>
        <w:t>Účtovné závierky boli odovzdané metodikovi pre účtovníctvo na Daňovom úrade v Liptovskom Mikuláši v zákonom stanovenom termíne.</w:t>
      </w:r>
    </w:p>
    <w:p>
      <w:pPr>
        <w:pStyle w:val="Normal"/>
        <w:jc w:val="both"/>
        <w:rPr>
          <w:b/>
          <w:bCs/>
          <w:color w:val="auto"/>
          <w:sz w:val="20"/>
          <w:szCs w:val="20"/>
        </w:rPr>
      </w:pPr>
      <w:r>
        <w:rPr>
          <w:b/>
          <w:bCs/>
          <w:color w:val="auto"/>
          <w:sz w:val="20"/>
          <w:szCs w:val="20"/>
        </w:rPr>
      </w:r>
    </w:p>
    <w:p>
      <w:pPr>
        <w:pStyle w:val="Normal"/>
        <w:jc w:val="both"/>
        <w:rPr>
          <w:color w:val="C9211E"/>
        </w:rPr>
      </w:pPr>
      <w:r>
        <w:rPr>
          <w:b/>
          <w:bCs/>
          <w:color w:val="auto"/>
        </w:rPr>
        <w:t>Prílohy:</w:t>
      </w:r>
    </w:p>
    <w:p>
      <w:pPr>
        <w:pStyle w:val="Normal"/>
        <w:jc w:val="both"/>
        <w:rPr>
          <w:color w:val="C9211E"/>
        </w:rPr>
      </w:pPr>
      <w:r>
        <w:rPr>
          <w:bCs/>
          <w:color w:val="auto"/>
        </w:rPr>
        <w:t>Individuálna účtovná závierka: Súvaha, Výkaz ziskov a strát, Poznámky, Správa audítora</w:t>
      </w:r>
    </w:p>
    <w:p>
      <w:pPr>
        <w:pStyle w:val="Normal"/>
        <w:jc w:val="both"/>
        <w:rPr>
          <w:color w:val="auto"/>
        </w:rPr>
      </w:pPr>
      <w:r>
        <w:rPr>
          <w:bCs/>
          <w:color w:val="auto"/>
        </w:rPr>
        <w:t>Konsolidovaná účtovná závierka: K Súvaha, K Výkaz ziskov a strát, K Poznámky, Správa audítora</w:t>
      </w:r>
    </w:p>
    <w:sectPr>
      <w:footerReference w:type="default" r:id="rId8"/>
      <w:type w:val="nextPage"/>
      <w:pgSz w:w="11906" w:h="16838"/>
      <w:pgMar w:left="1276" w:right="848" w:gutter="0" w:header="0" w:top="750" w:footer="133" w:bottom="568"/>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TimesNewRoman">
    <w:charset w:val="ee"/>
    <w:family w:val="roman"/>
    <w:pitch w:val="variable"/>
  </w:font>
  <w:font w:name="Times-Roman">
    <w:altName w:val="Times New 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24</w:t>
    </w:r>
    <w:r>
      <w:rPr/>
      <w:fldChar w:fldCharType="end"/>
    </w:r>
  </w:p>
  <w:p>
    <w:pPr>
      <w:pStyle w:val="Footer"/>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2">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3">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4">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5">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6">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7">
    <w:lvl w:ilvl="0">
      <w:start w:val="1"/>
      <w:numFmt w:val="none"/>
      <w:suff w:val="nothing"/>
      <w:lvlText w:val="."/>
      <w:lvlJc w:val="left"/>
      <w:pPr>
        <w:tabs>
          <w:tab w:val="num" w:pos="0"/>
        </w:tabs>
        <w:ind w:left="720" w:hanging="360"/>
      </w:pPr>
      <w:rPr/>
    </w:lvl>
    <w:lvl w:ilvl="1">
      <w:start w:val="1"/>
      <w:numFmt w:val="none"/>
      <w:suff w:val="nothing"/>
      <w:lvlText w:val="."/>
      <w:lvlJc w:val="left"/>
      <w:pPr>
        <w:tabs>
          <w:tab w:val="num" w:pos="0"/>
        </w:tabs>
        <w:ind w:left="1080" w:hanging="360"/>
      </w:pPr>
      <w:rPr/>
    </w:lvl>
    <w:lvl w:ilvl="2">
      <w:start w:val="1"/>
      <w:numFmt w:val="none"/>
      <w:suff w:val="nothing"/>
      <w:lvlText w:val="."/>
      <w:lvlJc w:val="left"/>
      <w:pPr>
        <w:tabs>
          <w:tab w:val="num" w:pos="0"/>
        </w:tabs>
        <w:ind w:left="1440" w:hanging="360"/>
      </w:pPr>
      <w:rPr/>
    </w:lvl>
    <w:lvl w:ilvl="3">
      <w:start w:val="1"/>
      <w:numFmt w:val="none"/>
      <w:suff w:val="nothing"/>
      <w:lvlText w:val="."/>
      <w:lvlJc w:val="left"/>
      <w:pPr>
        <w:tabs>
          <w:tab w:val="num" w:pos="0"/>
        </w:tabs>
        <w:ind w:left="1800" w:hanging="360"/>
      </w:pPr>
      <w:rPr/>
    </w:lvl>
    <w:lvl w:ilvl="4">
      <w:start w:val="1"/>
      <w:numFmt w:val="none"/>
      <w:suff w:val="nothing"/>
      <w:lvlText w:val="."/>
      <w:lvlJc w:val="left"/>
      <w:pPr>
        <w:tabs>
          <w:tab w:val="num" w:pos="0"/>
        </w:tabs>
        <w:ind w:left="2160" w:hanging="360"/>
      </w:pPr>
      <w:rPr/>
    </w:lvl>
    <w:lvl w:ilvl="5">
      <w:start w:val="1"/>
      <w:numFmt w:val="none"/>
      <w:suff w:val="nothing"/>
      <w:lvlText w:val="."/>
      <w:lvlJc w:val="left"/>
      <w:pPr>
        <w:tabs>
          <w:tab w:val="num" w:pos="0"/>
        </w:tabs>
        <w:ind w:left="2520" w:hanging="360"/>
      </w:pPr>
      <w:rPr/>
    </w:lvl>
    <w:lvl w:ilvl="6">
      <w:start w:val="1"/>
      <w:numFmt w:val="none"/>
      <w:suff w:val="nothing"/>
      <w:lvlText w:val="."/>
      <w:lvlJc w:val="left"/>
      <w:pPr>
        <w:tabs>
          <w:tab w:val="num" w:pos="0"/>
        </w:tabs>
        <w:ind w:left="2880" w:hanging="360"/>
      </w:pPr>
      <w:rPr/>
    </w:lvl>
    <w:lvl w:ilvl="7">
      <w:start w:val="1"/>
      <w:numFmt w:val="none"/>
      <w:suff w:val="nothing"/>
      <w:lvlText w:val="."/>
      <w:lvlJc w:val="left"/>
      <w:pPr>
        <w:tabs>
          <w:tab w:val="num" w:pos="0"/>
        </w:tabs>
        <w:ind w:left="3240" w:hanging="360"/>
      </w:pPr>
      <w:rPr/>
    </w:lvl>
    <w:lvl w:ilvl="8">
      <w:start w:val="1"/>
      <w:numFmt w:val="none"/>
      <w:suff w:val="nothing"/>
      <w:lvlText w:val="."/>
      <w:lvlJc w:val="left"/>
      <w:pPr>
        <w:tabs>
          <w:tab w:val="num" w:pos="0"/>
        </w:tabs>
        <w:ind w:left="3600" w:hanging="360"/>
      </w:pPr>
      <w:rPr/>
    </w:lvl>
  </w:abstractNum>
  <w:abstractNum w:abstractNumId="8">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10"/>
  <w:displayBackgroundShape/>
  <w:embedSystemFonts/>
  <w:defaultTabStop w:val="708"/>
  <w:autoHyphenation w:val="true"/>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ar-SA" w:bidi="ar-SA"/>
    </w:rPr>
  </w:style>
  <w:style w:type="paragraph" w:styleId="Heading1">
    <w:name w:val="Heading 1"/>
    <w:basedOn w:val="Normal"/>
    <w:qFormat/>
    <w:pPr>
      <w:keepNext w:val="true"/>
      <w:outlineLvl w:val="0"/>
    </w:pPr>
    <w:rPr>
      <w:b/>
      <w:bCs/>
    </w:rPr>
  </w:style>
  <w:style w:type="paragraph" w:styleId="Heading2">
    <w:name w:val="Heading 2"/>
    <w:basedOn w:val="Normal"/>
    <w:qFormat/>
    <w:pPr>
      <w:keepNext w:val="true"/>
      <w:outlineLvl w:val="1"/>
    </w:pPr>
    <w:rPr>
      <w:bCs/>
      <w:u w:val="single"/>
    </w:rPr>
  </w:style>
  <w:style w:type="paragraph" w:styleId="Heading3">
    <w:name w:val="Heading 3"/>
    <w:basedOn w:val="Normal"/>
    <w:qFormat/>
    <w:pPr>
      <w:keepNext w:val="true"/>
      <w:outlineLvl w:val="2"/>
    </w:pPr>
    <w:rPr>
      <w:b/>
      <w:bCs/>
      <w:sz w:val="36"/>
    </w:rPr>
  </w:style>
  <w:style w:type="paragraph" w:styleId="Heading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Hyperlink">
    <w:name w:val="Hyperlink"/>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Emphasis">
    <w:name w:val="Emphasis"/>
    <w:qFormat/>
    <w:rPr>
      <w:i/>
      <w:iCs/>
    </w:rPr>
  </w:style>
  <w:style w:type="character" w:styleId="TextkomentraChar" w:customStyle="1">
    <w:name w:val="Text komentára Char"/>
    <w:basedOn w:val="DefaultParagraphFont"/>
    <w:uiPriority w:val="99"/>
    <w:semiHidden/>
    <w:qFormat/>
    <w:rPr>
      <w:lang w:eastAsia="ar-SA"/>
    </w:rPr>
  </w:style>
  <w:style w:type="character" w:styleId="Annotationreference">
    <w:name w:val="annotation reference"/>
    <w:basedOn w:val="DefaultParagraphFont"/>
    <w:uiPriority w:val="99"/>
    <w:semiHidden/>
    <w:unhideWhenUsed/>
    <w:qFormat/>
    <w:rPr>
      <w:sz w:val="16"/>
      <w:szCs w:val="16"/>
    </w:rPr>
  </w:style>
  <w:style w:type="character" w:styleId="UnresolvedMention">
    <w:name w:val="Unresolved Mention"/>
    <w:basedOn w:val="DefaultParagraphFont"/>
    <w:uiPriority w:val="99"/>
    <w:semiHidden/>
    <w:unhideWhenUsed/>
    <w:qFormat/>
    <w:rsid w:val="005178d9"/>
    <w:rPr>
      <w:color w:val="605E5C"/>
      <w:shd w:fill="E1DFDD" w:val="clear"/>
    </w:rPr>
  </w:style>
  <w:style w:type="paragraph" w:styleId="Nadpis" w:customStyle="1">
    <w:name w:val="Nadpis"/>
    <w:basedOn w:val="Normal"/>
    <w:next w:val="BodyText"/>
    <w:qFormat/>
    <w:pPr>
      <w:keepNext w:val="true"/>
      <w:spacing w:before="240" w:after="120"/>
    </w:pPr>
    <w:rPr>
      <w:rFonts w:ascii="Arial" w:hAnsi="Arial" w:eastAsia="MS Mincho" w:cs="Tahoma"/>
      <w:sz w:val="28"/>
      <w:szCs w:val="28"/>
    </w:rPr>
  </w:style>
  <w:style w:type="paragraph" w:styleId="BodyText">
    <w:name w:val="Body Text"/>
    <w:basedOn w:val="Normal"/>
    <w:pPr/>
    <w:rPr>
      <w:sz w:val="32"/>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Caption1">
    <w:name w:val="caption1"/>
    <w:basedOn w:val="Normal"/>
    <w:qFormat/>
    <w:pPr>
      <w:suppressLineNumbers/>
      <w:spacing w:before="120" w:after="120"/>
    </w:pPr>
    <w:rPr>
      <w:rFonts w:cs="Arial"/>
      <w:i/>
      <w:iCs/>
    </w:rPr>
  </w:style>
  <w:style w:type="paragraph" w:styleId="Caption11" w:customStyle="1">
    <w:name w:val="caption11"/>
    <w:basedOn w:val="Normal"/>
    <w:qFormat/>
    <w:pPr>
      <w:suppressLineNumbers/>
      <w:spacing w:before="120" w:after="120"/>
    </w:pPr>
    <w:rPr>
      <w:rFonts w:cs="Arial"/>
      <w:i/>
      <w:iCs/>
    </w:rPr>
  </w:style>
  <w:style w:type="paragraph" w:styleId="Popisok" w:customStyle="1">
    <w:name w:val="Popisok"/>
    <w:basedOn w:val="Normal"/>
    <w:qFormat/>
    <w:pPr>
      <w:suppressLineNumbers/>
      <w:spacing w:before="120" w:after="120"/>
    </w:pPr>
    <w:rPr>
      <w:rFonts w:cs="Tahoma"/>
      <w:i/>
      <w:iCs/>
    </w:rPr>
  </w:style>
  <w:style w:type="paragraph" w:styleId="Title">
    <w:name w:val="Title"/>
    <w:basedOn w:val="Nadpis"/>
    <w:qFormat/>
    <w:pPr/>
    <w:rPr/>
  </w:style>
  <w:style w:type="paragraph" w:styleId="Subtitle">
    <w:name w:val="Subtitle"/>
    <w:basedOn w:val="Nadpis"/>
    <w:qFormat/>
    <w:pPr>
      <w:jc w:val="center"/>
    </w:pPr>
    <w:rPr>
      <w:i/>
      <w:iCs/>
    </w:rPr>
  </w:style>
  <w:style w:type="paragraph" w:styleId="Popis1" w:customStyle="1">
    <w:name w:val="Popis1"/>
    <w:basedOn w:val="Normal"/>
    <w:qFormat/>
    <w:pPr/>
    <w:rPr>
      <w:b/>
      <w:bCs/>
    </w:rPr>
  </w:style>
  <w:style w:type="paragraph" w:styleId="Hlavikaapta" w:customStyle="1">
    <w:name w:val="Hlavička a päta"/>
    <w:basedOn w:val="Normal"/>
    <w:qFormat/>
    <w:pPr/>
    <w:rPr/>
  </w:style>
  <w:style w:type="paragraph" w:styleId="Header">
    <w:name w:val="Header"/>
    <w:basedOn w:val="Normal"/>
    <w:pPr>
      <w:tabs>
        <w:tab w:val="clear" w:pos="708"/>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BodyText"/>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BodyText"/>
    <w:qFormat/>
    <w:pPr>
      <w:suppressLineNumbers/>
    </w:pPr>
    <w:rPr/>
  </w:style>
  <w:style w:type="paragraph" w:styleId="WW-Nadpistabuky1" w:customStyle="1">
    <w:name w:val="WW-Nadpis tabuľky1"/>
    <w:basedOn w:val="WW-Obsahtabuky1"/>
    <w:qFormat/>
    <w:pPr>
      <w:jc w:val="center"/>
    </w:pPr>
    <w:rPr>
      <w:b/>
      <w:bCs/>
      <w:i/>
      <w:iCs/>
    </w:rPr>
  </w:style>
  <w:style w:type="paragraph" w:styleId="Footer">
    <w:name w:val="Footer"/>
    <w:basedOn w:val="Normal"/>
    <w:pPr>
      <w:tabs>
        <w:tab w:val="clear" w:pos="708"/>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spacing w:lineRule="auto" w:line="276" w:before="0" w:after="200"/>
      <w:ind w:hanging="0" w:left="720"/>
    </w:pPr>
    <w:rPr>
      <w:rFonts w:ascii="Calibri" w:hAnsi="Calibri" w:cs="Calibri"/>
      <w:sz w:val="22"/>
      <w:szCs w:val="22"/>
      <w:lang w:val="en-US" w:bidi="en-US"/>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Default" w:customStyle="1">
    <w:name w:val="Default"/>
    <w:qFormat/>
    <w:pPr>
      <w:widowControl/>
      <w:suppressAutoHyphens w:val="true"/>
      <w:bidi w:val="0"/>
      <w:spacing w:before="0" w:after="0"/>
      <w:jc w:val="left"/>
    </w:pPr>
    <w:rPr>
      <w:rFonts w:ascii="Calibri" w:hAnsi="Calibri" w:eastAsia="Times New Roman" w:cs="Calibri"/>
      <w:color w:val="000000"/>
      <w:kern w:val="0"/>
      <w:sz w:val="24"/>
      <w:szCs w:val="24"/>
      <w:lang w:val="sk-SK" w:eastAsia="sk-SK" w:bidi="ar-SA"/>
    </w:rPr>
  </w:style>
  <w:style w:type="paragraph" w:styleId="Predformtovantext" w:customStyle="1">
    <w:name w:val="Predformátovaný text"/>
    <w:basedOn w:val="Normal"/>
    <w:qFormat/>
    <w:pPr/>
    <w:rPr>
      <w:rFonts w:ascii="Liberation Mono" w:hAnsi="Liberation Mono" w:eastAsia="Liberation Mono" w:cs="Liberation Mono"/>
      <w:sz w:val="20"/>
      <w:szCs w:val="20"/>
    </w:rPr>
  </w:style>
  <w:style w:type="paragraph" w:styleId="Zhlavietabuky" w:customStyle="1">
    <w:name w:val="Záhlavie tabuľky"/>
    <w:basedOn w:val="Obsahtabuky"/>
    <w:qFormat/>
    <w:pPr>
      <w:jc w:val="center"/>
    </w:pPr>
    <w:rPr>
      <w:b/>
      <w:bCs/>
    </w:rPr>
  </w:style>
  <w:style w:type="paragraph" w:styleId="Annotationtext">
    <w:name w:val="annotation text"/>
    <w:basedOn w:val="Normal"/>
    <w:link w:val="TextkomentraChar"/>
    <w:uiPriority w:val="99"/>
    <w:semiHidden/>
    <w:unhideWhenUsed/>
    <w:qFormat/>
    <w:pPr/>
    <w:rPr>
      <w:sz w:val="20"/>
      <w:szCs w:val="20"/>
    </w:rPr>
  </w:style>
  <w:style w:type="numbering" w:styleId="NoList" w:default="1">
    <w:name w:val="No List"/>
    <w:uiPriority w:val="99"/>
    <w:semiHidden/>
    <w:unhideWhenUsed/>
    <w:qFormat/>
  </w:style>
  <w:style w:type="numbering" w:styleId="WW8Num3" w:customStyle="1">
    <w:name w:val="WW8Num3"/>
    <w:qFormat/>
  </w:style>
  <w:style w:type="numbering" w:styleId="WW8Num2" w:customStyle="1">
    <w:name w:val="WW8Num2"/>
    <w:qFormat/>
  </w:style>
  <w:style w:type="numbering" w:styleId="WW8Num9" w:customStyle="1">
    <w:name w:val="WW8Num9"/>
    <w:qFormat/>
  </w:style>
  <w:style w:type="numbering" w:styleId="WW8Num5" w:customStyle="1">
    <w:name w:val="WW8Num5"/>
    <w:qFormat/>
  </w:style>
  <w:style w:type="numbering" w:styleId="WW8Num8" w:customStyle="1">
    <w:name w:val="WW8Num8"/>
    <w:qFormat/>
  </w:style>
  <w:style w:type="numbering" w:styleId="WW8Num7" w:customStyle="1">
    <w:name w:val="WW8Num7"/>
    <w:qFormat/>
  </w:style>
  <w:style w:type="numbering" w:styleId="WW8Num4" w:customStyle="1">
    <w:name w:val="WW8Num4"/>
    <w:qFormat/>
  </w:style>
  <w:style w:type="numbering" w:styleId="WW8Num6" w:customStyle="1">
    <w:name w:val="WW8Num6"/>
    <w:qFormat/>
  </w:style>
  <w:style w:type="numbering" w:styleId="WW8Num10" w:customStyle="1">
    <w:name w:val="WW8Num10"/>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s://www.lubela.sk/" TargetMode="Externa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156</TotalTime>
  <Application>LibreOffice/7.6.3.2$Windows_X86_64 LibreOffice_project/29d686fea9f6705b262d369fede658f824154cc0</Application>
  <AppVersion>15.0000</AppVersion>
  <Pages>24</Pages>
  <Words>7512</Words>
  <Characters>44152</Characters>
  <CharactersWithSpaces>51863</CharactersWithSpaces>
  <Paragraphs>1636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2024-09-25T06:33:00Z</dcterms:created>
  <dc:creator>OcU</dc:creator>
  <dc:description/>
  <dc:language>sk-SK</dc:language>
  <cp:lastModifiedBy/>
  <cp:lastPrinted>2025-09-09T11:20:30Z</cp:lastPrinted>
  <dcterms:modified xsi:type="dcterms:W3CDTF">2025-09-09T11:22:03Z</dcterms:modified>
  <cp:revision>20</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