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png" ContentType="image/png"/>
  <Override PartName="/word/media/image8.jpeg" ContentType="image/jpeg"/>
  <Override PartName="/word/media/image2.jpeg" ContentType="image/jpeg"/>
  <Override PartName="/word/media/image3.jpeg" ContentType="image/jpeg"/>
  <Override PartName="/word/media/image4.jpeg" ContentType="image/jpeg"/>
  <Override PartName="/word/media/image10.jpeg" ContentType="image/jpeg"/>
  <Override PartName="/word/media/image5.jpeg" ContentType="image/jpeg"/>
  <Override PartName="/word/media/image6.jpeg" ContentType="image/jpeg"/>
  <Override PartName="/word/media/image11.jpeg" ContentType="image/jpeg"/>
  <Override PartName="/word/media/image7.jpeg" ContentType="image/jpeg"/>
  <Override PartName="/word/media/image12.jpeg" ContentType="image/jpeg"/>
  <Override PartName="/word/media/image9.jpeg" ContentType="image/jpeg"/>
  <Override PartName="/word/settings.xml" ContentType="application/vnd.openxmlformats-officedocument.wordprocessingml.settings+xml"/>
  <Override PartName="/word/styles.xml" ContentType="application/vnd.openxmlformats-officedocument.wordprocessingml.styles+xml"/>
  <Override PartName="/word/footer1.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before="0" w:after="0"/>
        <w:jc w:val="center"/>
        <w:rPr>
          <w:rFonts w:ascii="Arial" w:hAnsi="Arial"/>
          <w:b/>
          <w:bCs/>
        </w:rPr>
      </w:pPr>
      <w:r>
        <w:rPr>
          <w:rFonts w:cs="Times New Roman" w:ascii="Arial" w:hAnsi="Arial"/>
          <w:b/>
          <w:bCs/>
          <w:outline/>
          <w:color w:val="000000"/>
          <w:sz w:val="96"/>
          <w:szCs w:val="96"/>
        </w:rPr>
        <w:t>Konsolidovaná výro</w:t>
      </w:r>
      <w:r>
        <w:rPr>
          <w:rFonts w:cs="Cambria" w:ascii="Arial" w:hAnsi="Arial"/>
          <w:b/>
          <w:bCs/>
          <w:outline/>
          <w:color w:val="000000"/>
          <w:sz w:val="96"/>
          <w:szCs w:val="96"/>
        </w:rPr>
        <w:t>č</w:t>
      </w:r>
      <w:r>
        <w:rPr>
          <w:rFonts w:cs="Times New Roman" w:ascii="Arial" w:hAnsi="Arial"/>
          <w:b/>
          <w:bCs/>
          <w:outline/>
          <w:color w:val="000000"/>
          <w:sz w:val="96"/>
          <w:szCs w:val="96"/>
        </w:rPr>
        <w:t>n</w:t>
      </w:r>
      <w:r>
        <w:rPr>
          <w:rFonts w:cs="Cooper Black" w:ascii="Arial" w:hAnsi="Arial"/>
          <w:b/>
          <w:bCs/>
          <w:outline/>
          <w:color w:val="000000"/>
          <w:sz w:val="96"/>
          <w:szCs w:val="96"/>
        </w:rPr>
        <w:t>á</w:t>
      </w:r>
      <w:r>
        <w:rPr>
          <w:rFonts w:cs="Times New Roman" w:ascii="Arial" w:hAnsi="Arial"/>
          <w:b/>
          <w:bCs/>
          <w:outline/>
          <w:color w:val="000000"/>
          <w:sz w:val="96"/>
          <w:szCs w:val="96"/>
        </w:rPr>
        <w:t xml:space="preserve"> spr</w:t>
      </w:r>
      <w:r>
        <w:rPr>
          <w:rFonts w:cs="Cooper Black" w:ascii="Arial" w:hAnsi="Arial"/>
          <w:b/>
          <w:bCs/>
          <w:outline/>
          <w:color w:val="000000"/>
          <w:sz w:val="96"/>
          <w:szCs w:val="96"/>
        </w:rPr>
        <w:t>á</w:t>
      </w:r>
      <w:r>
        <w:rPr>
          <w:rFonts w:cs="Times New Roman" w:ascii="Arial" w:hAnsi="Arial"/>
          <w:b/>
          <w:bCs/>
          <w:outline/>
          <w:color w:val="000000"/>
          <w:sz w:val="96"/>
          <w:szCs w:val="96"/>
        </w:rPr>
        <w:t xml:space="preserve">va </w:t>
      </w:r>
    </w:p>
    <w:p>
      <w:pPr>
        <w:pStyle w:val="Normal"/>
        <w:spacing w:before="0" w:after="0"/>
        <w:jc w:val="center"/>
        <w:rPr>
          <w:rFonts w:ascii="Arial" w:hAnsi="Arial"/>
          <w:b/>
          <w:bCs/>
        </w:rPr>
      </w:pPr>
      <w:r>
        <w:rPr>
          <w:rFonts w:cs="Times New Roman" w:ascii="Arial" w:hAnsi="Arial"/>
          <w:b/>
          <w:bCs/>
          <w:outline/>
          <w:color w:val="000000"/>
          <w:sz w:val="96"/>
          <w:szCs w:val="96"/>
        </w:rPr>
        <w:t>Obce Selce</w:t>
      </w:r>
    </w:p>
    <w:p>
      <w:pPr>
        <w:pStyle w:val="Normal"/>
        <w:spacing w:before="0" w:after="0"/>
        <w:jc w:val="center"/>
        <w:rPr>
          <w:rFonts w:ascii="Arial" w:hAnsi="Arial"/>
          <w:b/>
          <w:bCs/>
        </w:rPr>
      </w:pPr>
      <w:r>
        <w:rPr>
          <w:rFonts w:cs="Times New Roman" w:ascii="Arial" w:hAnsi="Arial"/>
          <w:b/>
          <w:bCs/>
          <w:outline/>
          <w:color w:val="000000"/>
          <w:sz w:val="96"/>
          <w:szCs w:val="96"/>
        </w:rPr>
        <w:t>za rok 2024</w:t>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drawing>
          <wp:anchor behindDoc="0" distT="0" distB="0" distL="0" distR="0" simplePos="0" locked="0" layoutInCell="1" allowOverlap="1" relativeHeight="70">
            <wp:simplePos x="0" y="0"/>
            <wp:positionH relativeFrom="column">
              <wp:posOffset>1592580</wp:posOffset>
            </wp:positionH>
            <wp:positionV relativeFrom="paragraph">
              <wp:posOffset>67310</wp:posOffset>
            </wp:positionV>
            <wp:extent cx="2587625" cy="2550160"/>
            <wp:effectExtent l="0" t="0" r="0" b="0"/>
            <wp:wrapNone/>
            <wp:docPr id="1" name="Obrázok 4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40" descr=""/>
                    <pic:cNvPicPr>
                      <a:picLocks noChangeAspect="1" noChangeArrowheads="1"/>
                    </pic:cNvPicPr>
                  </pic:nvPicPr>
                  <pic:blipFill>
                    <a:blip r:embed="rId2"/>
                    <a:stretch>
                      <a:fillRect/>
                    </a:stretch>
                  </pic:blipFill>
                  <pic:spPr bwMode="auto">
                    <a:xfrm>
                      <a:off x="0" y="0"/>
                      <a:ext cx="2587625" cy="2550160"/>
                    </a:xfrm>
                    <a:prstGeom prst="rect">
                      <a:avLst/>
                    </a:prstGeom>
                  </pic:spPr>
                </pic:pic>
              </a:graphicData>
            </a:graphic>
          </wp:anchor>
        </w:drawing>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color w:val="FF0000"/>
        </w:rPr>
      </w:pPr>
      <w:r>
        <w:rPr>
          <w:color w:val="FF0000"/>
        </w:rPr>
      </w:r>
    </w:p>
    <w:p>
      <w:pPr>
        <w:pStyle w:val="Normal"/>
        <w:spacing w:before="0" w:after="0"/>
        <w:rPr/>
      </w:pPr>
      <w:r>
        <w:rPr>
          <w:rFonts w:cs="Times New Roman" w:ascii="Times New Roman" w:hAnsi="Times New Roman"/>
          <w:b/>
          <w:outline/>
          <w:sz w:val="32"/>
          <w:szCs w:val="32"/>
        </w:rPr>
        <w:t>OBSAH:</w:t>
      </w:r>
    </w:p>
    <w:p>
      <w:pPr>
        <w:pStyle w:val="Normal"/>
        <w:spacing w:before="0" w:after="0"/>
        <w:rPr/>
      </w:pPr>
      <w:r>
        <w:rPr/>
      </w:r>
    </w:p>
    <w:p>
      <w:pPr>
        <w:pStyle w:val="Normal"/>
        <w:spacing w:before="0" w:after="0"/>
        <w:rPr/>
      </w:pPr>
      <w:r>
        <w:rPr>
          <w:rFonts w:cs="Times New Roman" w:ascii="Times New Roman" w:hAnsi="Times New Roman"/>
          <w:b/>
          <w:outline/>
          <w:sz w:val="28"/>
          <w:szCs w:val="28"/>
        </w:rPr>
        <w:t>1. ÚVODNÉ SLOVO ŠTATUTÁRA</w:t>
      </w:r>
    </w:p>
    <w:p>
      <w:pPr>
        <w:pStyle w:val="Normal"/>
        <w:spacing w:before="0" w:after="0"/>
        <w:rPr/>
      </w:pPr>
      <w:r>
        <w:rPr>
          <w:rFonts w:cs="Times New Roman" w:ascii="Times New Roman" w:hAnsi="Times New Roman"/>
          <w:b/>
        </w:rPr>
        <w:tab/>
        <w:tab/>
      </w:r>
    </w:p>
    <w:p>
      <w:pPr>
        <w:pStyle w:val="Normal"/>
        <w:spacing w:before="0" w:after="0"/>
        <w:rPr/>
      </w:pPr>
      <w:r>
        <w:rPr>
          <w:rFonts w:cs="Times New Roman" w:ascii="Times New Roman" w:hAnsi="Times New Roman"/>
          <w:b/>
          <w:outline/>
          <w:sz w:val="28"/>
          <w:szCs w:val="28"/>
        </w:rPr>
        <w:t xml:space="preserve">2. IDENTIFIKAČNÉ ÚDAJE </w:t>
      </w:r>
    </w:p>
    <w:p>
      <w:pPr>
        <w:pStyle w:val="Normal"/>
        <w:spacing w:before="0" w:after="0"/>
        <w:rPr/>
      </w:pPr>
      <w:r>
        <w:rPr>
          <w:rFonts w:cs="Times New Roman" w:ascii="Times New Roman" w:hAnsi="Times New Roman"/>
        </w:rPr>
        <w:tab/>
      </w:r>
      <w:r>
        <w:rPr>
          <w:rFonts w:cs="Times New Roman" w:ascii="Times New Roman" w:hAnsi="Times New Roman"/>
          <w:b/>
          <w:sz w:val="20"/>
          <w:szCs w:val="20"/>
        </w:rPr>
        <w:t>2.1 IDENTIFIKAČNÉ ÚDAJE OBCE</w:t>
      </w:r>
    </w:p>
    <w:p>
      <w:pPr>
        <w:pStyle w:val="Normal"/>
        <w:spacing w:before="0" w:after="0"/>
        <w:rPr/>
      </w:pPr>
      <w:r>
        <w:rPr>
          <w:rFonts w:cs="Times New Roman" w:ascii="Times New Roman" w:hAnsi="Times New Roman"/>
          <w:b/>
          <w:sz w:val="20"/>
          <w:szCs w:val="20"/>
        </w:rPr>
        <w:tab/>
        <w:t>2.2 IDENTIFIKAČNÉ ÚDAJE ORGANIZÁCIÍ KONSOLIDOVANÉHO CELKU</w:t>
      </w:r>
    </w:p>
    <w:p>
      <w:pPr>
        <w:pStyle w:val="Normal"/>
        <w:spacing w:before="0" w:after="0"/>
        <w:rPr/>
      </w:pPr>
      <w:r>
        <w:rPr>
          <w:rFonts w:cs="Times New Roman" w:ascii="Times New Roman" w:hAnsi="Times New Roman"/>
        </w:rPr>
        <w:tab/>
        <w:tab/>
      </w:r>
      <w:r>
        <w:rPr>
          <w:rFonts w:cs="Times New Roman" w:ascii="Times New Roman" w:hAnsi="Times New Roman"/>
          <w:b/>
          <w:sz w:val="20"/>
          <w:szCs w:val="20"/>
        </w:rPr>
        <w:t>2.2.1 ZÁKLADNÁ ŠKOLA</w:t>
      </w:r>
    </w:p>
    <w:p>
      <w:pPr>
        <w:pStyle w:val="Normal"/>
        <w:spacing w:before="0" w:after="0"/>
        <w:rPr/>
      </w:pPr>
      <w:r>
        <w:rPr>
          <w:rFonts w:cs="Times New Roman" w:ascii="Times New Roman" w:hAnsi="Times New Roman"/>
          <w:b/>
          <w:sz w:val="20"/>
          <w:szCs w:val="20"/>
        </w:rPr>
        <w:tab/>
        <w:tab/>
        <w:t>2.2.2 MATERSKÁ ŠKOLA</w:t>
      </w:r>
    </w:p>
    <w:p>
      <w:pPr>
        <w:pStyle w:val="Normal"/>
        <w:spacing w:before="0" w:after="0"/>
        <w:rPr>
          <w:rFonts w:ascii="Times New Roman" w:hAnsi="Times New Roman" w:cs="Times New Roman"/>
          <w:b/>
        </w:rPr>
      </w:pPr>
      <w:r>
        <w:rPr>
          <w:rFonts w:cs="Times New Roman" w:ascii="Times New Roman" w:hAnsi="Times New Roman"/>
          <w:b/>
        </w:rPr>
      </w:r>
    </w:p>
    <w:p>
      <w:pPr>
        <w:pStyle w:val="Normal"/>
        <w:spacing w:before="0" w:after="0"/>
        <w:rPr/>
      </w:pPr>
      <w:r>
        <w:rPr>
          <w:rFonts w:cs="Times New Roman" w:ascii="Times New Roman" w:hAnsi="Times New Roman"/>
          <w:b/>
          <w:outline/>
          <w:sz w:val="28"/>
          <w:szCs w:val="28"/>
        </w:rPr>
        <w:t xml:space="preserve">3. ORGANIZAČNÁ ŠTRUKTÚRA </w:t>
      </w:r>
    </w:p>
    <w:p>
      <w:pPr>
        <w:pStyle w:val="Normal"/>
        <w:spacing w:lineRule="auto" w:line="240" w:before="0" w:after="0"/>
        <w:rPr/>
      </w:pPr>
      <w:r>
        <w:rPr>
          <w:rFonts w:cs="Times New Roman" w:ascii="Times New Roman" w:hAnsi="Times New Roman"/>
          <w:b/>
        </w:rPr>
        <w:tab/>
      </w:r>
      <w:r>
        <w:rPr>
          <w:rFonts w:cs="Times New Roman" w:ascii="Times New Roman" w:hAnsi="Times New Roman"/>
          <w:b/>
          <w:sz w:val="20"/>
          <w:szCs w:val="20"/>
        </w:rPr>
        <w:t>3.1 ORGANIZAČNÁ ŠTRUKTÚRA OBCE</w:t>
      </w:r>
    </w:p>
    <w:p>
      <w:pPr>
        <w:pStyle w:val="Normal"/>
        <w:spacing w:lineRule="auto" w:line="240" w:before="0" w:after="0"/>
        <w:rPr/>
      </w:pPr>
      <w:r>
        <w:rPr>
          <w:rFonts w:cs="Times New Roman" w:ascii="Times New Roman" w:hAnsi="Times New Roman"/>
          <w:b/>
          <w:outline/>
          <w:color w:val="FFFFFF"/>
          <w:sz w:val="20"/>
          <w:szCs w:val="20"/>
        </w:rPr>
        <w:tab/>
        <w:tab/>
      </w:r>
      <w:r>
        <w:rPr>
          <w:rFonts w:cs="Times New Roman" w:ascii="Times New Roman" w:hAnsi="Times New Roman"/>
          <w:b/>
          <w:sz w:val="20"/>
          <w:szCs w:val="20"/>
        </w:rPr>
        <w:t>3.1.1 ORGANIZAČNÁ ŠTRUKTÚRA OBECNÉHO ÚRADU OBCE SELCE</w:t>
      </w:r>
    </w:p>
    <w:p>
      <w:pPr>
        <w:pStyle w:val="Normal"/>
        <w:spacing w:lineRule="auto" w:line="240" w:before="0" w:after="0"/>
        <w:rPr/>
      </w:pPr>
      <w:r>
        <w:rPr>
          <w:rFonts w:cs="Times New Roman" w:ascii="Times New Roman" w:hAnsi="Times New Roman"/>
          <w:b/>
          <w:outline/>
          <w:color w:val="FFFFFF"/>
          <w:sz w:val="20"/>
          <w:szCs w:val="20"/>
        </w:rPr>
        <w:tab/>
      </w:r>
      <w:r>
        <w:rPr>
          <w:rFonts w:cs="Times New Roman" w:ascii="Times New Roman" w:hAnsi="Times New Roman"/>
          <w:b/>
          <w:sz w:val="20"/>
          <w:szCs w:val="20"/>
        </w:rPr>
        <w:t>3.2 ORGANIZAČNÁ ŠTRUKTÚRA ORGANIZÁCIÍ KONSOLIDOVANÉHO CELKU</w:t>
      </w:r>
    </w:p>
    <w:p>
      <w:pPr>
        <w:pStyle w:val="Normal"/>
        <w:spacing w:lineRule="auto" w:line="240" w:before="0" w:after="0"/>
        <w:rPr/>
      </w:pPr>
      <w:r>
        <w:rPr>
          <w:rFonts w:cs="Times New Roman" w:ascii="Times New Roman" w:hAnsi="Times New Roman"/>
          <w:b/>
          <w:outline/>
          <w:color w:val="FFFFFF"/>
          <w:sz w:val="20"/>
          <w:szCs w:val="20"/>
        </w:rPr>
        <w:tab/>
        <w:tab/>
      </w:r>
      <w:r>
        <w:rPr>
          <w:rFonts w:cs="Times New Roman" w:ascii="Times New Roman" w:hAnsi="Times New Roman"/>
          <w:b/>
          <w:sz w:val="20"/>
          <w:szCs w:val="20"/>
        </w:rPr>
        <w:t>3.2.1 ZÁKLADNÁ ŠKOLA</w:t>
      </w:r>
    </w:p>
    <w:p>
      <w:pPr>
        <w:pStyle w:val="Normal"/>
        <w:spacing w:lineRule="auto" w:line="240" w:before="0" w:after="0"/>
        <w:rPr/>
      </w:pPr>
      <w:r>
        <w:rPr>
          <w:rFonts w:cs="Times New Roman" w:ascii="Times New Roman" w:hAnsi="Times New Roman"/>
          <w:b/>
          <w:sz w:val="20"/>
          <w:szCs w:val="20"/>
        </w:rPr>
        <w:tab/>
        <w:tab/>
        <w:t>3.2.2 MATERSKÁ ŠKOLA</w:t>
      </w:r>
    </w:p>
    <w:p>
      <w:pPr>
        <w:pStyle w:val="Normal"/>
        <w:spacing w:before="0" w:after="0"/>
        <w:rPr>
          <w:rFonts w:ascii="Times New Roman" w:hAnsi="Times New Roman" w:cs="Times New Roman"/>
          <w:b/>
          <w:outline/>
          <w:color w:val="FFFFFF"/>
        </w:rPr>
      </w:pPr>
      <w:r>
        <w:rPr>
          <w:rFonts w:cs="Times New Roman" w:ascii="Times New Roman" w:hAnsi="Times New Roman"/>
          <w:b/>
          <w:outline/>
          <w:color w:val="FFFFFF"/>
        </w:rPr>
      </w:r>
    </w:p>
    <w:p>
      <w:pPr>
        <w:pStyle w:val="Normal"/>
        <w:spacing w:before="0" w:after="0"/>
        <w:rPr/>
      </w:pPr>
      <w:r>
        <w:rPr>
          <w:rFonts w:cs="Times New Roman" w:ascii="Times New Roman" w:hAnsi="Times New Roman"/>
          <w:b/>
          <w:outline/>
          <w:sz w:val="28"/>
          <w:szCs w:val="28"/>
        </w:rPr>
        <w:t>4. ZÁKLADNÁ CHARAKTERISTIKA</w:t>
      </w:r>
    </w:p>
    <w:p>
      <w:pPr>
        <w:pStyle w:val="Normal"/>
        <w:spacing w:lineRule="auto" w:line="240" w:before="0" w:after="0"/>
        <w:rPr/>
      </w:pPr>
      <w:r>
        <w:rPr>
          <w:rFonts w:cs="Times New Roman" w:ascii="Times New Roman" w:hAnsi="Times New Roman"/>
          <w:b/>
          <w:outline/>
          <w:color w:val="FFFFFF"/>
        </w:rPr>
        <w:tab/>
      </w:r>
      <w:r>
        <w:rPr>
          <w:rFonts w:cs="Times New Roman" w:ascii="Times New Roman" w:hAnsi="Times New Roman"/>
          <w:b/>
          <w:sz w:val="20"/>
          <w:szCs w:val="20"/>
        </w:rPr>
        <w:t>4.1 ZÁKLADNÁ CHARAKTERISTIKA OBCE</w:t>
      </w:r>
    </w:p>
    <w:p>
      <w:pPr>
        <w:pStyle w:val="Normal"/>
        <w:spacing w:lineRule="auto" w:line="240" w:before="0" w:after="0"/>
        <w:rPr/>
      </w:pPr>
      <w:r>
        <w:rPr>
          <w:rFonts w:cs="Times New Roman" w:ascii="Times New Roman" w:hAnsi="Times New Roman"/>
          <w:b/>
          <w:sz w:val="20"/>
          <w:szCs w:val="20"/>
        </w:rPr>
        <w:tab/>
        <w:t>4.2 ZÁKLADNÁ CHARAKTERISTIKA ZÁKLADNEJ ŠKOLY</w:t>
      </w:r>
    </w:p>
    <w:p>
      <w:pPr>
        <w:pStyle w:val="Normal"/>
        <w:spacing w:lineRule="auto" w:line="240" w:before="0" w:after="0"/>
        <w:rPr/>
      </w:pPr>
      <w:r>
        <w:rPr>
          <w:rFonts w:cs="Times New Roman" w:ascii="Times New Roman" w:hAnsi="Times New Roman"/>
          <w:b/>
          <w:sz w:val="20"/>
          <w:szCs w:val="20"/>
        </w:rPr>
        <w:tab/>
        <w:t>4.3 ZÁKLADNÁ CHARAKTERISTIKA MATERSKEJ ŠKOLY</w:t>
      </w:r>
    </w:p>
    <w:p>
      <w:pPr>
        <w:pStyle w:val="Normal"/>
        <w:spacing w:before="0" w:after="0"/>
        <w:rPr>
          <w:rFonts w:ascii="Times New Roman" w:hAnsi="Times New Roman" w:cs="Times New Roman"/>
          <w:b/>
          <w:outline/>
          <w:color w:val="FFFFFF"/>
        </w:rPr>
      </w:pPr>
      <w:r>
        <w:rPr>
          <w:rFonts w:cs="Times New Roman" w:ascii="Times New Roman" w:hAnsi="Times New Roman"/>
          <w:b/>
          <w:outline/>
          <w:color w:val="FFFFFF"/>
        </w:rPr>
      </w:r>
    </w:p>
    <w:p>
      <w:pPr>
        <w:pStyle w:val="Normal"/>
        <w:spacing w:before="0" w:after="0"/>
        <w:rPr/>
      </w:pPr>
      <w:r>
        <w:rPr>
          <w:rFonts w:cs="Times New Roman" w:ascii="Times New Roman" w:hAnsi="Times New Roman"/>
          <w:b/>
          <w:outline/>
          <w:sz w:val="28"/>
          <w:szCs w:val="28"/>
        </w:rPr>
        <w:t>5. GEOGRAFICKÉ ÚDAJE</w:t>
      </w:r>
    </w:p>
    <w:p>
      <w:pPr>
        <w:pStyle w:val="Normal"/>
        <w:spacing w:lineRule="auto" w:line="240" w:before="0" w:after="0"/>
        <w:rPr/>
      </w:pPr>
      <w:r>
        <w:rPr>
          <w:rFonts w:cs="Times New Roman" w:ascii="Times New Roman" w:hAnsi="Times New Roman"/>
          <w:b/>
          <w:outline/>
          <w:color w:val="FFFFFF"/>
        </w:rPr>
        <w:tab/>
      </w:r>
      <w:r>
        <w:rPr>
          <w:rFonts w:cs="Times New Roman" w:ascii="Times New Roman" w:hAnsi="Times New Roman"/>
          <w:b/>
          <w:sz w:val="20"/>
          <w:szCs w:val="20"/>
        </w:rPr>
        <w:t>5.1 GEOGRAFICKÉ ÚDAJE</w:t>
      </w:r>
    </w:p>
    <w:p>
      <w:pPr>
        <w:pStyle w:val="Normal"/>
        <w:spacing w:lineRule="auto" w:line="240" w:before="0" w:after="0"/>
        <w:rPr/>
      </w:pPr>
      <w:r>
        <w:rPr>
          <w:rFonts w:cs="Times New Roman" w:ascii="Times New Roman" w:hAnsi="Times New Roman"/>
          <w:b/>
          <w:sz w:val="20"/>
          <w:szCs w:val="20"/>
        </w:rPr>
        <w:tab/>
        <w:t>5.2 DEMOGRAFICKÉ ÚDAJE</w:t>
      </w:r>
    </w:p>
    <w:p>
      <w:pPr>
        <w:pStyle w:val="Normal"/>
        <w:spacing w:lineRule="auto" w:line="240" w:before="0" w:after="0"/>
        <w:rPr/>
      </w:pPr>
      <w:r>
        <w:rPr>
          <w:rFonts w:cs="Times New Roman" w:ascii="Times New Roman" w:hAnsi="Times New Roman"/>
          <w:b/>
          <w:sz w:val="20"/>
          <w:szCs w:val="20"/>
        </w:rPr>
        <w:tab/>
        <w:t xml:space="preserve">5.3 PAMIATKY </w:t>
      </w:r>
    </w:p>
    <w:p>
      <w:pPr>
        <w:pStyle w:val="Normal"/>
        <w:spacing w:lineRule="auto" w:line="240" w:before="0" w:after="0"/>
        <w:rPr/>
      </w:pPr>
      <w:r>
        <w:rPr>
          <w:rFonts w:cs="Times New Roman" w:ascii="Times New Roman" w:hAnsi="Times New Roman"/>
          <w:b/>
          <w:sz w:val="20"/>
          <w:szCs w:val="20"/>
        </w:rPr>
        <w:tab/>
        <w:t>5.4 VÝZNAMNÉ OSOBNOSTI</w:t>
      </w:r>
    </w:p>
    <w:p>
      <w:pPr>
        <w:pStyle w:val="Normal"/>
        <w:spacing w:lineRule="auto" w:line="240" w:before="0" w:after="0"/>
        <w:rPr/>
      </w:pPr>
      <w:r>
        <w:rPr>
          <w:rFonts w:cs="Times New Roman" w:ascii="Times New Roman" w:hAnsi="Times New Roman"/>
          <w:b/>
          <w:sz w:val="20"/>
          <w:szCs w:val="20"/>
        </w:rPr>
        <w:tab/>
        <w:t>5.5 SYMBOLY</w:t>
      </w:r>
    </w:p>
    <w:p>
      <w:pPr>
        <w:pStyle w:val="Normal"/>
        <w:spacing w:before="0" w:after="0"/>
        <w:rPr>
          <w:rFonts w:ascii="Times New Roman" w:hAnsi="Times New Roman" w:cs="Times New Roman"/>
          <w:b/>
          <w:outline/>
          <w:color w:val="FFFFFF"/>
        </w:rPr>
      </w:pPr>
      <w:r>
        <w:rPr>
          <w:rFonts w:cs="Times New Roman" w:ascii="Times New Roman" w:hAnsi="Times New Roman"/>
          <w:b/>
          <w:outline/>
          <w:color w:val="FFFFFF"/>
        </w:rPr>
      </w:r>
    </w:p>
    <w:p>
      <w:pPr>
        <w:pStyle w:val="Normal"/>
        <w:spacing w:before="0" w:after="0"/>
        <w:rPr/>
      </w:pPr>
      <w:r>
        <w:rPr>
          <w:rFonts w:cs="Times New Roman" w:ascii="Times New Roman" w:hAnsi="Times New Roman"/>
          <w:b/>
          <w:outline/>
          <w:sz w:val="28"/>
          <w:szCs w:val="28"/>
        </w:rPr>
        <w:t>6. PLNENIE FUNKCIÍ OBCE</w:t>
      </w:r>
    </w:p>
    <w:p>
      <w:pPr>
        <w:pStyle w:val="Normal"/>
        <w:spacing w:lineRule="auto" w:line="240" w:before="0" w:after="0"/>
        <w:rPr/>
      </w:pPr>
      <w:r>
        <w:rPr>
          <w:rFonts w:cs="Times New Roman" w:ascii="Times New Roman" w:hAnsi="Times New Roman"/>
          <w:b/>
          <w:outline/>
          <w:color w:val="FFFFFF"/>
        </w:rPr>
        <w:tab/>
      </w:r>
      <w:r>
        <w:rPr>
          <w:rFonts w:cs="Times New Roman" w:ascii="Times New Roman" w:hAnsi="Times New Roman"/>
          <w:b/>
          <w:sz w:val="20"/>
          <w:szCs w:val="20"/>
        </w:rPr>
        <w:t>6.1 PRENESENÉ KOMPETENCIE</w:t>
      </w:r>
    </w:p>
    <w:p>
      <w:pPr>
        <w:pStyle w:val="Normal"/>
        <w:spacing w:lineRule="auto" w:line="240" w:before="0" w:after="0"/>
        <w:rPr/>
      </w:pPr>
      <w:r>
        <w:rPr>
          <w:rFonts w:cs="Times New Roman" w:ascii="Times New Roman" w:hAnsi="Times New Roman"/>
          <w:b/>
          <w:sz w:val="20"/>
          <w:szCs w:val="20"/>
        </w:rPr>
        <w:tab/>
        <w:t>6.2 ORIGINÁLNE KOMPETENCIE</w:t>
      </w:r>
    </w:p>
    <w:p>
      <w:pPr>
        <w:pStyle w:val="Normal"/>
        <w:spacing w:before="0" w:after="0"/>
        <w:rPr/>
      </w:pPr>
      <w:r>
        <w:rPr>
          <w:rFonts w:cs="Times New Roman" w:ascii="Times New Roman" w:hAnsi="Times New Roman"/>
          <w:b/>
        </w:rPr>
        <w:tab/>
      </w:r>
    </w:p>
    <w:p>
      <w:pPr>
        <w:pStyle w:val="Normal"/>
        <w:spacing w:before="0" w:after="0"/>
        <w:rPr/>
      </w:pPr>
      <w:r>
        <w:rPr>
          <w:rFonts w:cs="Times New Roman" w:ascii="Times New Roman" w:hAnsi="Times New Roman"/>
          <w:b/>
          <w:outline/>
          <w:sz w:val="28"/>
          <w:szCs w:val="28"/>
        </w:rPr>
        <w:t>7.INFORMÁCIE O VÝVOJI KONSOLIDOVANÉHO CELKU</w:t>
      </w:r>
    </w:p>
    <w:p>
      <w:pPr>
        <w:pStyle w:val="Normal"/>
        <w:spacing w:lineRule="auto" w:line="240" w:before="0" w:after="0"/>
        <w:rPr/>
      </w:pPr>
      <w:r>
        <w:rPr>
          <w:rFonts w:cs="Times New Roman" w:ascii="Times New Roman" w:hAnsi="Times New Roman"/>
          <w:b/>
          <w:outline/>
          <w:color w:val="FFFFFF"/>
        </w:rPr>
        <w:tab/>
      </w:r>
      <w:r>
        <w:rPr>
          <w:rFonts w:cs="Times New Roman" w:ascii="Times New Roman" w:hAnsi="Times New Roman"/>
          <w:b/>
          <w:sz w:val="20"/>
          <w:szCs w:val="20"/>
        </w:rPr>
        <w:t>7.1 ROZPOČTOVÝ POHĽAD</w:t>
      </w:r>
    </w:p>
    <w:p>
      <w:pPr>
        <w:pStyle w:val="Normal"/>
        <w:spacing w:lineRule="auto" w:line="240" w:before="0" w:after="0"/>
        <w:ind w:firstLine="708"/>
        <w:rPr/>
      </w:pPr>
      <w:r>
        <w:rPr>
          <w:rFonts w:cs="Times New Roman" w:ascii="Times New Roman" w:hAnsi="Times New Roman"/>
          <w:b/>
          <w:sz w:val="20"/>
          <w:szCs w:val="20"/>
        </w:rPr>
        <w:t>7.2 ÚČTOVNÝ POHĽAD</w:t>
      </w:r>
    </w:p>
    <w:p>
      <w:pPr>
        <w:pStyle w:val="Normal"/>
        <w:spacing w:lineRule="auto" w:line="240" w:before="0" w:after="0"/>
        <w:ind w:firstLine="708"/>
        <w:rPr/>
      </w:pPr>
      <w:r>
        <w:rPr>
          <w:rFonts w:cs="Times New Roman" w:ascii="Times New Roman" w:hAnsi="Times New Roman"/>
          <w:b/>
          <w:outline/>
          <w:color w:val="FFFFFF"/>
          <w:sz w:val="20"/>
          <w:szCs w:val="20"/>
        </w:rPr>
        <w:tab/>
      </w:r>
      <w:r>
        <w:rPr>
          <w:rFonts w:cs="Times New Roman" w:ascii="Times New Roman" w:hAnsi="Times New Roman"/>
          <w:b/>
          <w:sz w:val="20"/>
          <w:szCs w:val="20"/>
        </w:rPr>
        <w:t>7.2.1 NÁKLADY KONSOLIDOVANÉHO CELKU</w:t>
      </w:r>
    </w:p>
    <w:p>
      <w:pPr>
        <w:pStyle w:val="Normal"/>
        <w:spacing w:lineRule="auto" w:line="240" w:before="0" w:after="0"/>
        <w:ind w:firstLine="708"/>
        <w:rPr/>
      </w:pPr>
      <w:r>
        <w:rPr>
          <w:rFonts w:cs="Times New Roman" w:ascii="Times New Roman" w:hAnsi="Times New Roman"/>
          <w:b/>
          <w:sz w:val="20"/>
          <w:szCs w:val="20"/>
        </w:rPr>
        <w:tab/>
        <w:t>7.2.2 VÝNOSY KONSOLIDOVANÉHO CELKU</w:t>
      </w:r>
    </w:p>
    <w:p>
      <w:pPr>
        <w:pStyle w:val="Normal"/>
        <w:spacing w:lineRule="auto" w:line="240"/>
        <w:jc w:val="both"/>
        <w:rPr/>
      </w:pPr>
      <w:r>
        <w:rPr>
          <w:rFonts w:cs="Times New Roman" w:ascii="Times New Roman" w:hAnsi="Times New Roman"/>
          <w:b/>
          <w:sz w:val="20"/>
          <w:szCs w:val="20"/>
        </w:rPr>
        <w:tab/>
        <w:tab/>
        <w:t xml:space="preserve">7.2.3 </w:t>
      </w:r>
      <w:r>
        <w:rPr>
          <w:rFonts w:cs="Times New Roman" w:ascii="Times New Roman" w:hAnsi="Times New Roman"/>
          <w:b/>
          <w:sz w:val="20"/>
          <w:szCs w:val="20"/>
          <w:lang w:eastAsia="sk-SK"/>
        </w:rPr>
        <w:t>PREHĽAD AKTÍV A PASÍV ZA KONSOLIDOVANÝ CELOK</w:t>
      </w:r>
    </w:p>
    <w:p>
      <w:pPr>
        <w:pStyle w:val="Normal"/>
        <w:spacing w:lineRule="auto" w:line="240"/>
        <w:jc w:val="both"/>
        <w:rPr/>
      </w:pPr>
      <w:r>
        <w:rPr>
          <w:rFonts w:cs="Times New Roman" w:ascii="Times New Roman" w:hAnsi="Times New Roman"/>
          <w:b/>
          <w:outline/>
          <w:sz w:val="28"/>
          <w:szCs w:val="28"/>
          <w:lang w:eastAsia="sk-SK"/>
        </w:rPr>
        <w:t>8.</w:t>
      </w:r>
      <w:r>
        <w:rPr>
          <w:rFonts w:cs="Times New Roman" w:ascii="Times New Roman" w:hAnsi="Times New Roman"/>
          <w:b/>
          <w:outline/>
          <w:sz w:val="28"/>
          <w:szCs w:val="28"/>
        </w:rPr>
        <w:t xml:space="preserve"> OSTATNÉ INFORMÁCIE O KONSOLIDOVANOM CELKU</w:t>
      </w:r>
    </w:p>
    <w:p>
      <w:pPr>
        <w:pStyle w:val="Normal"/>
        <w:spacing w:lineRule="auto" w:line="240" w:before="0" w:after="0"/>
        <w:ind w:firstLine="708"/>
        <w:rPr/>
      </w:pPr>
      <w:r>
        <w:rPr>
          <w:rFonts w:cs="Times New Roman" w:ascii="Times New Roman" w:hAnsi="Times New Roman"/>
          <w:b/>
          <w:sz w:val="20"/>
          <w:szCs w:val="20"/>
        </w:rPr>
        <w:t>8.1 INVESTIČNÉ AKCIE</w:t>
      </w:r>
    </w:p>
    <w:p>
      <w:pPr>
        <w:pStyle w:val="Normal"/>
        <w:spacing w:lineRule="auto" w:line="240" w:before="0" w:after="0"/>
        <w:ind w:firstLine="708"/>
        <w:rPr/>
      </w:pPr>
      <w:r>
        <w:rPr>
          <w:rFonts w:cs="Times New Roman" w:ascii="Times New Roman" w:hAnsi="Times New Roman"/>
          <w:b/>
          <w:sz w:val="20"/>
          <w:szCs w:val="20"/>
        </w:rPr>
        <w:t xml:space="preserve">8.2 PREDPOKLADANÝ BUDÚCI VÝVOJ   </w:t>
      </w:r>
    </w:p>
    <w:p>
      <w:pPr>
        <w:pStyle w:val="Normal"/>
        <w:spacing w:lineRule="auto" w:line="240"/>
        <w:ind w:firstLine="708"/>
        <w:rPr/>
      </w:pPr>
      <w:r>
        <w:rPr>
          <w:rFonts w:cs="Times New Roman" w:ascii="Times New Roman" w:hAnsi="Times New Roman"/>
          <w:b/>
          <w:sz w:val="20"/>
          <w:szCs w:val="20"/>
        </w:rPr>
        <w:t>8.3 UDALOSTI OSOBITNÉHO VÝZNAMU PO SKONČENÍ ÚČTOVNÉHO OBDOBIA</w:t>
      </w:r>
    </w:p>
    <w:p>
      <w:pPr>
        <w:pStyle w:val="Normal"/>
        <w:spacing w:before="0" w:after="0"/>
        <w:rPr>
          <w:rFonts w:ascii="Times New Roman" w:hAnsi="Times New Roman" w:cs="Times New Roman"/>
          <w:b/>
          <w:color w:val="FF0000"/>
          <w:sz w:val="24"/>
          <w:szCs w:val="24"/>
        </w:rPr>
      </w:pPr>
      <w:r>
        <w:rPr>
          <w:rFonts w:cs="Times New Roman" w:ascii="Times New Roman" w:hAnsi="Times New Roman"/>
          <w:b/>
          <w:color w:val="FF0000"/>
          <w:sz w:val="24"/>
          <w:szCs w:val="24"/>
        </w:rPr>
      </w:r>
    </w:p>
    <w:p>
      <w:pPr>
        <w:pStyle w:val="Normal"/>
        <w:spacing w:before="0" w:after="0"/>
        <w:rPr>
          <w:rFonts w:ascii="Times New Roman" w:hAnsi="Times New Roman" w:cs="Times New Roman"/>
          <w:b/>
          <w:color w:val="FF0000"/>
          <w:sz w:val="24"/>
          <w:szCs w:val="24"/>
        </w:rPr>
      </w:pPr>
      <w:r>
        <w:rPr>
          <w:rFonts w:cs="Times New Roman" w:ascii="Times New Roman" w:hAnsi="Times New Roman"/>
          <w:b/>
          <w:color w:val="FF0000"/>
          <w:sz w:val="24"/>
          <w:szCs w:val="24"/>
        </w:rPr>
      </w:r>
    </w:p>
    <w:p>
      <w:pPr>
        <w:pStyle w:val="Normal"/>
        <w:spacing w:before="0" w:after="0"/>
        <w:rPr>
          <w:rFonts w:ascii="Times New Roman" w:hAnsi="Times New Roman" w:cs="Times New Roman"/>
          <w:b/>
          <w:color w:val="FF0000"/>
          <w:sz w:val="24"/>
          <w:szCs w:val="24"/>
        </w:rPr>
      </w:pPr>
      <w:r>
        <w:rPr>
          <w:rFonts w:cs="Times New Roman" w:ascii="Times New Roman" w:hAnsi="Times New Roman"/>
          <w:b/>
          <w:color w:val="FF0000"/>
          <w:sz w:val="24"/>
          <w:szCs w:val="24"/>
        </w:rPr>
      </w:r>
    </w:p>
    <w:p>
      <w:pPr>
        <w:pStyle w:val="Normal"/>
        <w:spacing w:before="0" w:after="0"/>
        <w:rPr>
          <w:rFonts w:ascii="Times New Roman" w:hAnsi="Times New Roman" w:cs="Times New Roman"/>
          <w:b/>
          <w:color w:val="FF0000"/>
          <w:sz w:val="24"/>
          <w:szCs w:val="24"/>
        </w:rPr>
      </w:pPr>
      <w:r>
        <w:rPr>
          <w:rFonts w:cs="Times New Roman" w:ascii="Times New Roman" w:hAnsi="Times New Roman"/>
          <w:b/>
          <w:color w:val="FF0000"/>
          <w:sz w:val="24"/>
          <w:szCs w:val="24"/>
        </w:rPr>
      </w:r>
    </w:p>
    <w:p>
      <w:pPr>
        <w:pStyle w:val="Normal"/>
        <w:spacing w:before="0" w:after="0"/>
        <w:rPr>
          <w:rFonts w:ascii="Times New Roman" w:hAnsi="Times New Roman" w:cs="Times New Roman"/>
          <w:b/>
          <w:color w:val="FF0000"/>
          <w:sz w:val="24"/>
          <w:szCs w:val="24"/>
        </w:rPr>
      </w:pPr>
      <w:r>
        <w:rPr>
          <w:rFonts w:cs="Times New Roman" w:ascii="Times New Roman" w:hAnsi="Times New Roman"/>
          <w:b/>
          <w:color w:val="FF0000"/>
          <w:sz w:val="24"/>
          <w:szCs w:val="24"/>
        </w:rPr>
      </w:r>
    </w:p>
    <w:p>
      <w:pPr>
        <w:pStyle w:val="Normal"/>
        <w:spacing w:before="0" w:after="0"/>
        <w:rPr>
          <w:color w:val="auto"/>
        </w:rPr>
      </w:pPr>
      <w:r>
        <w:rPr>
          <w:rFonts w:cs="Times New Roman" w:ascii="Times New Roman" w:hAnsi="Times New Roman"/>
          <w:b/>
          <w:outline/>
          <w:color w:val="auto"/>
          <w:sz w:val="28"/>
          <w:szCs w:val="28"/>
        </w:rPr>
        <w:t>1. ÚVODNÉ SLOVO ŠTATUTÁRA</w:t>
      </w:r>
    </w:p>
    <w:p>
      <w:pPr>
        <w:pStyle w:val="Normal"/>
        <w:spacing w:before="0" w:after="0"/>
        <w:rPr>
          <w:rFonts w:ascii="Times New Roman" w:hAnsi="Times New Roman" w:eastAsia="Times New Roman" w:cs="Times New Roman"/>
          <w:color w:val="auto"/>
          <w:sz w:val="24"/>
          <w:szCs w:val="24"/>
          <w:lang w:eastAsia="sk-SK"/>
        </w:rPr>
      </w:pPr>
      <w:r>
        <w:rPr>
          <w:rFonts w:eastAsia="Times New Roman" w:cs="Times New Roman" w:ascii="Times New Roman" w:hAnsi="Times New Roman"/>
          <w:color w:val="auto"/>
          <w:sz w:val="24"/>
          <w:szCs w:val="24"/>
          <w:lang w:eastAsia="sk-SK"/>
        </w:rPr>
      </w:r>
    </w:p>
    <w:p>
      <w:pPr>
        <w:pStyle w:val="Normal"/>
        <w:rPr>
          <w:color w:val="auto"/>
        </w:rPr>
      </w:pPr>
      <w:r>
        <w:rPr/>
        <w:drawing>
          <wp:inline distT="0" distB="0" distL="0" distR="0">
            <wp:extent cx="812800" cy="850900"/>
            <wp:effectExtent l="0" t="0" r="0" b="0"/>
            <wp:docPr id="2" name="Obrázok 51" descr="C:\Users\marta\AppData\Local\Microsoft\Windows\INetCache\Content.Outlook\KY1JQIAE\dani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51" descr="C:\Users\marta\AppData\Local\Microsoft\Windows\INetCache\Content.Outlook\KY1JQIAE\daniel.jpg"/>
                    <pic:cNvPicPr>
                      <a:picLocks noChangeAspect="1" noChangeArrowheads="1"/>
                    </pic:cNvPicPr>
                  </pic:nvPicPr>
                  <pic:blipFill>
                    <a:blip r:embed="rId3"/>
                    <a:stretch>
                      <a:fillRect/>
                    </a:stretch>
                  </pic:blipFill>
                  <pic:spPr bwMode="auto">
                    <a:xfrm>
                      <a:off x="0" y="0"/>
                      <a:ext cx="812800" cy="850900"/>
                    </a:xfrm>
                    <a:prstGeom prst="rect">
                      <a:avLst/>
                    </a:prstGeom>
                  </pic:spPr>
                </pic:pic>
              </a:graphicData>
            </a:graphic>
          </wp:inline>
        </w:drawing>
      </w:r>
    </w:p>
    <w:p>
      <w:pPr>
        <w:pStyle w:val="Normal"/>
        <w:jc w:val="both"/>
        <w:rPr>
          <w:color w:val="auto"/>
        </w:rPr>
      </w:pPr>
      <w:r>
        <w:rPr>
          <w:rFonts w:cs="Times New Roman" w:ascii="Times New Roman" w:hAnsi="Times New Roman"/>
          <w:color w:val="auto"/>
        </w:rPr>
        <w:t>Vážení občania, poslanci, priatelia !</w:t>
      </w:r>
    </w:p>
    <w:p>
      <w:pPr>
        <w:pStyle w:val="Normal"/>
        <w:jc w:val="both"/>
        <w:rPr>
          <w:color w:val="auto"/>
        </w:rPr>
      </w:pPr>
      <w:r>
        <w:rPr>
          <w:rFonts w:cs="Times New Roman" w:ascii="Times New Roman" w:hAnsi="Times New Roman"/>
          <w:color w:val="auto"/>
        </w:rPr>
        <w:t>V roku 2024 sme sa snažili zabezpečovať chod samosprávy tak ak po iné roky pre najväčšiu spokojnosť našich občanov. V sledovanom roku sme sa snažili plniť všetky úlohy, ktoré nám vyplývajú z ustanovení zákona č. 369/1990 Zb. o obecnom zriadení v znení neskorších zmien a doplnkov, Ústavy Slovenskej republiky a ďalších zákonov a ustanovení. Ide o činnosti vykonávané v rámci samosprávnych kompetencií, originálnych kompetencií a kompetencií v rámci preneseného výkonu štátnej správy. Našou snahou bolo zabezpečenie potrieb v prospech občanov obce pri dodržiavaní rozpočtových pravidiel. Konsolidovaná výročná správa obce Selce za rok 2024 je dokument, ktorý nielen formou čísiel a tabuliek hodnotí ako obec, základná škola a materská škola  nakladala s finančnými prostriedkami v roku 2024, ale poskytuje aj základné informácie o majetkovej a finančnej situácii, súhrn za všetky súčasti konsolidovaného celku, prehľad o prijatých, ale aj poskytnutých zúčtovaných transferoch v rámci konsolidovaného celku a ostatné dôležité informácie o obci a jej organizáciách ako konsolidovanej účtovnej jednotky.</w:t>
      </w:r>
    </w:p>
    <w:p>
      <w:pPr>
        <w:pStyle w:val="Normal"/>
        <w:spacing w:lineRule="auto" w:line="240"/>
        <w:jc w:val="right"/>
        <w:rPr>
          <w:color w:val="auto"/>
        </w:rPr>
      </w:pPr>
      <w:r>
        <w:rPr>
          <w:rFonts w:cs="Times New Roman" w:ascii="Times New Roman" w:hAnsi="Times New Roman"/>
          <w:b/>
          <w:color w:val="auto"/>
          <w:sz w:val="24"/>
          <w:szCs w:val="24"/>
        </w:rPr>
        <w:tab/>
        <w:tab/>
        <w:tab/>
        <w:tab/>
        <w:tab/>
        <w:tab/>
        <w:tab/>
        <w:tab/>
        <w:tab/>
      </w:r>
      <w:r>
        <w:rPr>
          <w:rFonts w:eastAsia="Times New Roman" w:cs="Times New Roman" w:ascii="Times New Roman" w:hAnsi="Times New Roman"/>
          <w:color w:val="auto"/>
          <w:sz w:val="24"/>
          <w:szCs w:val="24"/>
          <w:lang w:eastAsia="sk-SK"/>
        </w:rPr>
        <w:t>Ing. Daniel Hlinka, starosta obce</w:t>
      </w:r>
    </w:p>
    <w:p>
      <w:pPr>
        <w:pStyle w:val="Normal"/>
        <w:spacing w:before="0" w:after="0"/>
        <w:rPr>
          <w:color w:val="auto"/>
        </w:rPr>
      </w:pPr>
      <w:r>
        <w:rPr>
          <w:rFonts w:cs="Times New Roman" w:ascii="Times New Roman" w:hAnsi="Times New Roman"/>
          <w:b/>
          <w:outline/>
          <w:color w:val="auto"/>
          <w:sz w:val="28"/>
          <w:szCs w:val="28"/>
        </w:rPr>
        <w:t xml:space="preserve">2. IDENTIFIKAČNÉ ÚDAJE </w:t>
      </w:r>
    </w:p>
    <w:p>
      <w:pPr>
        <w:pStyle w:val="Normal"/>
        <w:spacing w:before="0" w:after="0"/>
        <w:rPr>
          <w:color w:val="auto"/>
        </w:rPr>
      </w:pPr>
      <w:r>
        <w:rPr>
          <w:rFonts w:cs="Times New Roman" w:ascii="Times New Roman" w:hAnsi="Times New Roman"/>
          <w:b/>
          <w:color w:val="auto"/>
          <w:sz w:val="24"/>
          <w:szCs w:val="24"/>
        </w:rPr>
        <w:t>2.1 IDENTIFIKAČNÉ ÚDAJE OBCE</w:t>
      </w:r>
    </w:p>
    <w:tbl>
      <w:tblPr>
        <w:tblStyle w:val="Mriekatabuky"/>
        <w:tblW w:w="9212"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4606"/>
        <w:gridCol w:w="4605"/>
      </w:tblGrid>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Názov účtovnej jednotky</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Obec Selce</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Sídlo účtovnej jednotky</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Selčianska cesta 132, 976 11 Selce</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Právna forma</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Právnická osoba – obec, ktorá sa riadi zákonom č.369/1990 Zb. o obecnom zriadení v.z.n.p a Ústavou SR</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Dátum založenia/zriadenia</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24. november 1991</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Spôsob založenia/zriadenia</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zo zákona</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IČO</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00313807</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DIČ</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2021121410</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Hlavná činnosť účtovnej jednotky</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Starostlivosť o potreby obyvateľov a všestranný rozvoj územia obce</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Starosta obce</w:t>
            </w:r>
          </w:p>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Telefón</w:t>
            </w:r>
          </w:p>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e-mail</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 xml:space="preserve"> </w:t>
            </w:r>
            <w:r>
              <w:rPr>
                <w:rFonts w:eastAsia="Calibri" w:cs="Times New Roman" w:ascii="Times New Roman" w:hAnsi="Times New Roman"/>
                <w:color w:val="auto"/>
                <w:kern w:val="0"/>
                <w:sz w:val="24"/>
                <w:szCs w:val="24"/>
                <w:lang w:val="sk-SK" w:eastAsia="en-US" w:bidi="ar-SA"/>
              </w:rPr>
              <w:t>Ing. Daniel Hlinka</w:t>
            </w:r>
          </w:p>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048/4181223, 0911340723</w:t>
            </w:r>
          </w:p>
          <w:p>
            <w:pPr>
              <w:pStyle w:val="Normal"/>
              <w:widowControl/>
              <w:suppressAutoHyphens w:val="true"/>
              <w:spacing w:lineRule="auto" w:line="240" w:before="0" w:after="0"/>
              <w:jc w:val="left"/>
              <w:rPr>
                <w:rFonts w:ascii="Calibri" w:hAnsi="Calibri" w:eastAsia="Calibri" w:cs=""/>
                <w:kern w:val="0"/>
                <w:sz w:val="22"/>
                <w:szCs w:val="22"/>
                <w:lang w:val="sk-SK" w:eastAsia="en-US" w:bidi="ar-SA"/>
              </w:rPr>
            </w:pPr>
            <w:hyperlink r:id="rId4">
              <w:r>
                <w:rPr>
                  <w:rStyle w:val="Hyperlink"/>
                  <w:rFonts w:eastAsia="Calibri" w:cs="Times New Roman" w:ascii="Times New Roman" w:hAnsi="Times New Roman"/>
                  <w:color w:val="auto"/>
                  <w:kern w:val="0"/>
                  <w:sz w:val="24"/>
                  <w:szCs w:val="24"/>
                  <w:lang w:val="sk-SK" w:eastAsia="en-US" w:bidi="ar-SA"/>
                </w:rPr>
                <w:t>starosta@selce.sk</w:t>
              </w:r>
            </w:hyperlink>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Zástupca starostu obce</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Mgr. Jaroslava Lauková</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Hlavný kontrolór obce</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Ing. Miroslav Hýbl</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Obecné zastupiteľstvo</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Ján Kupec</w:t>
            </w:r>
          </w:p>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Mgr. Jaroslava Lauková</w:t>
            </w:r>
          </w:p>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Juraj Kamenský</w:t>
            </w:r>
          </w:p>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Lucia Rudnická</w:t>
            </w:r>
          </w:p>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Mgr. Peter Sivčák</w:t>
            </w:r>
          </w:p>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Ing. Marta Strečková</w:t>
            </w:r>
          </w:p>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Marta Klačanová</w:t>
            </w:r>
          </w:p>
        </w:tc>
      </w:tr>
    </w:tbl>
    <w:p>
      <w:pPr>
        <w:pStyle w:val="Normal"/>
        <w:spacing w:before="0" w:after="0"/>
        <w:rPr>
          <w:color w:val="auto"/>
        </w:rPr>
      </w:pPr>
      <w:r>
        <w:rPr>
          <w:rFonts w:cs="Times New Roman" w:ascii="Times New Roman" w:hAnsi="Times New Roman"/>
          <w:b/>
          <w:color w:val="auto"/>
          <w:sz w:val="24"/>
          <w:szCs w:val="24"/>
        </w:rPr>
        <w:t>2.2 IDENTIFIKAČNÉ ÚDAJE ORGANIZÁCIÍ KONSOLIDOVANÉHO CELKU</w:t>
      </w:r>
    </w:p>
    <w:p>
      <w:pPr>
        <w:pStyle w:val="Normal"/>
        <w:spacing w:before="0" w:after="0"/>
        <w:rPr>
          <w:rFonts w:ascii="Times New Roman" w:hAnsi="Times New Roman" w:cs="Times New Roman"/>
          <w:b/>
          <w:color w:val="auto"/>
          <w:sz w:val="24"/>
          <w:szCs w:val="24"/>
        </w:rPr>
      </w:pPr>
      <w:r>
        <w:rPr>
          <w:rFonts w:cs="Times New Roman" w:ascii="Times New Roman" w:hAnsi="Times New Roman"/>
          <w:b/>
          <w:color w:val="auto"/>
          <w:sz w:val="24"/>
          <w:szCs w:val="24"/>
        </w:rPr>
      </w:r>
    </w:p>
    <w:p>
      <w:pPr>
        <w:pStyle w:val="Normal"/>
        <w:spacing w:before="0" w:after="0"/>
        <w:rPr>
          <w:color w:val="auto"/>
        </w:rPr>
      </w:pPr>
      <w:r>
        <w:rPr>
          <w:rFonts w:cs="Times New Roman" w:ascii="Times New Roman" w:hAnsi="Times New Roman"/>
          <w:b/>
          <w:color w:val="auto"/>
          <w:sz w:val="24"/>
          <w:szCs w:val="24"/>
        </w:rPr>
        <w:t>2.2.1 ZÁKLADNÁ ŠKOLA</w:t>
      </w:r>
    </w:p>
    <w:tbl>
      <w:tblPr>
        <w:tblStyle w:val="Mriekatabuky"/>
        <w:tblW w:w="9212"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4606"/>
        <w:gridCol w:w="4605"/>
      </w:tblGrid>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ab/>
              <w:tab/>
              <w:t>Názov účtovnej jednotky</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Základná škola Selce</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Sídlo účtovnej jednotky</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Školská ulica č.4, 976 11 Selce</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Právna forma</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rozpočtová organizácia</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Dátum založenia/zriadenia</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01.09.1993</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Spôsob založenia/zriadenia</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zriaďovacia listina</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IČO</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17067405</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DIČ</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2021086056</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Hlavná činnosť účtovnej jednotky</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Základným predmetom činnosti školy je zabezpečenie výchovno-vzdelávacej práce s mládežou na úseku základného školstva.</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Riaditeľ ZŠ</w:t>
            </w:r>
          </w:p>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Telefón</w:t>
            </w:r>
          </w:p>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e-mail</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Mgr. Peter Kráčik</w:t>
            </w:r>
          </w:p>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048/4181227</w:t>
            </w:r>
          </w:p>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riaditel.zsselce@gmail.com</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Zástupca riaditeľa ZŠ</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Ivana Medveďová</w:t>
            </w:r>
          </w:p>
        </w:tc>
      </w:tr>
    </w:tbl>
    <w:p>
      <w:pPr>
        <w:pStyle w:val="Normal"/>
        <w:spacing w:before="0" w:after="0"/>
        <w:rPr>
          <w:rFonts w:ascii="Times New Roman" w:hAnsi="Times New Roman" w:cs="Times New Roman"/>
          <w:b/>
          <w:color w:val="FF0000"/>
          <w:sz w:val="24"/>
          <w:szCs w:val="24"/>
        </w:rPr>
      </w:pPr>
      <w:r>
        <w:rPr>
          <w:rFonts w:cs="Times New Roman" w:ascii="Times New Roman" w:hAnsi="Times New Roman"/>
          <w:b/>
          <w:color w:val="FF0000"/>
          <w:sz w:val="24"/>
          <w:szCs w:val="24"/>
        </w:rPr>
      </w:r>
    </w:p>
    <w:p>
      <w:pPr>
        <w:pStyle w:val="Normal"/>
        <w:spacing w:before="0" w:after="0"/>
        <w:rPr>
          <w:color w:val="auto"/>
        </w:rPr>
      </w:pPr>
      <w:r>
        <w:rPr>
          <w:rFonts w:cs="Times New Roman" w:ascii="Times New Roman" w:hAnsi="Times New Roman"/>
          <w:b/>
          <w:color w:val="auto"/>
          <w:sz w:val="24"/>
          <w:szCs w:val="24"/>
        </w:rPr>
        <w:t>2.2.2 MATERSKÁ ŠKOLA</w:t>
      </w:r>
    </w:p>
    <w:tbl>
      <w:tblPr>
        <w:tblStyle w:val="Mriekatabuky"/>
        <w:tblW w:w="9212"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4606"/>
        <w:gridCol w:w="4605"/>
      </w:tblGrid>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Názov účtovnej jednotky</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Materská škola Selce</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Sídlo účtovnej jednotky</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Selčianska cesta 114, 976 11 Selce</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Právna forma</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rozpočtová organizácia</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Dátum založenia/zriadenia</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08.01.1997</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Spôsob založenia/zriadenia</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zriaďovacia listina</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IČO</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37889206</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DIČ</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2021681981</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Hlavná činnosť účtovnej jednotky</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Základným predmetom činnosti školy je zabezpečenie výchovno-vzdelávacej práce s deťmi na úseku predprimárneho vzdelávania.</w:t>
            </w:r>
          </w:p>
        </w:tc>
      </w:tr>
      <w:tr>
        <w:trPr/>
        <w:tc>
          <w:tcPr>
            <w:tcW w:w="4606"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Riaditeľka MŠ</w:t>
            </w:r>
          </w:p>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Telefón</w:t>
            </w:r>
          </w:p>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b/>
                <w:color w:val="auto"/>
                <w:kern w:val="0"/>
                <w:sz w:val="24"/>
                <w:szCs w:val="24"/>
                <w:lang w:val="sk-SK" w:eastAsia="en-US" w:bidi="ar-SA"/>
              </w:rPr>
              <w:t>e-mail</w:t>
            </w:r>
          </w:p>
        </w:tc>
        <w:tc>
          <w:tcPr>
            <w:tcW w:w="4605" w:type="dxa"/>
            <w:tcBorders/>
          </w:tcPr>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Mgr. Miroslava Olšiaková</w:t>
            </w:r>
          </w:p>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048/4181221</w:t>
            </w:r>
          </w:p>
          <w:p>
            <w:pPr>
              <w:pStyle w:val="Normal"/>
              <w:widowControl/>
              <w:suppressAutoHyphens w:val="true"/>
              <w:spacing w:lineRule="auto" w:line="240" w:before="0" w:after="0"/>
              <w:jc w:val="left"/>
              <w:rPr>
                <w:rFonts w:ascii="Calibri" w:hAnsi="Calibri" w:eastAsia="Calibri" w:cs=""/>
                <w:color w:val="auto"/>
                <w:kern w:val="0"/>
                <w:sz w:val="22"/>
                <w:szCs w:val="22"/>
                <w:lang w:val="sk-SK" w:eastAsia="en-US" w:bidi="ar-SA"/>
              </w:rPr>
            </w:pPr>
            <w:r>
              <w:rPr>
                <w:rFonts w:eastAsia="Calibri" w:cs="Times New Roman" w:ascii="Times New Roman" w:hAnsi="Times New Roman"/>
                <w:color w:val="auto"/>
                <w:kern w:val="0"/>
                <w:sz w:val="24"/>
                <w:szCs w:val="24"/>
                <w:lang w:val="sk-SK" w:eastAsia="en-US" w:bidi="ar-SA"/>
              </w:rPr>
              <w:t>skolka@selce.sk</w:t>
            </w:r>
          </w:p>
        </w:tc>
      </w:tr>
    </w:tbl>
    <w:p>
      <w:pPr>
        <w:pStyle w:val="Normal"/>
        <w:spacing w:before="0" w:after="0"/>
        <w:rPr>
          <w:rFonts w:ascii="Times New Roman" w:hAnsi="Times New Roman" w:cs="Times New Roman"/>
          <w:color w:val="auto"/>
          <w:sz w:val="24"/>
          <w:szCs w:val="24"/>
        </w:rPr>
      </w:pPr>
      <w:r>
        <w:rPr>
          <w:rFonts w:cs="Times New Roman" w:ascii="Times New Roman" w:hAnsi="Times New Roman"/>
          <w:color w:val="auto"/>
          <w:sz w:val="24"/>
          <w:szCs w:val="24"/>
        </w:rPr>
      </w:r>
    </w:p>
    <w:p>
      <w:pPr>
        <w:pStyle w:val="Normal"/>
        <w:spacing w:before="0" w:after="0"/>
        <w:rPr>
          <w:rFonts w:ascii="Times New Roman" w:hAnsi="Times New Roman" w:cs="Times New Roman"/>
          <w:color w:val="FF0000"/>
          <w:sz w:val="24"/>
          <w:szCs w:val="24"/>
        </w:rPr>
      </w:pPr>
      <w:r>
        <w:rPr>
          <w:rFonts w:cs="Times New Roman" w:ascii="Times New Roman" w:hAnsi="Times New Roman"/>
          <w:color w:val="FF0000"/>
          <w:sz w:val="24"/>
          <w:szCs w:val="24"/>
        </w:rPr>
      </w:r>
    </w:p>
    <w:p>
      <w:pPr>
        <w:pStyle w:val="Normal"/>
        <w:spacing w:before="0" w:after="0"/>
        <w:rPr>
          <w:color w:val="auto"/>
        </w:rPr>
      </w:pPr>
      <w:r>
        <w:rPr>
          <w:rFonts w:cs="Times New Roman" w:ascii="Times New Roman" w:hAnsi="Times New Roman"/>
          <w:b/>
          <w:outline/>
          <w:color w:val="auto"/>
          <w:sz w:val="28"/>
          <w:szCs w:val="28"/>
        </w:rPr>
        <w:t xml:space="preserve">3. ORGANIZAČNÁ ŠTRUKTÚRA </w:t>
      </w:r>
    </w:p>
    <w:p>
      <w:pPr>
        <w:pStyle w:val="Normal"/>
        <w:spacing w:before="0" w:after="0"/>
        <w:rPr>
          <w:color w:val="auto"/>
        </w:rPr>
      </w:pPr>
      <w:r>
        <w:rPr>
          <w:rFonts w:cs="Times New Roman" w:ascii="Times New Roman" w:hAnsi="Times New Roman"/>
          <w:b/>
          <w:color w:val="auto"/>
          <w:sz w:val="24"/>
          <w:szCs w:val="24"/>
        </w:rPr>
        <w:t>3.1 ORGANIZAČNÁ ŠTRUKTÚRA OBCE</w:t>
      </w:r>
    </w:p>
    <w:p>
      <w:pPr>
        <w:pStyle w:val="Normal"/>
        <w:spacing w:before="0" w:after="0"/>
        <w:rPr>
          <w:b/>
          <w:color w:val="auto"/>
          <w:sz w:val="24"/>
          <w:szCs w:val="24"/>
        </w:rPr>
      </w:pPr>
      <w:r>
        <w:rPr>
          <w:b/>
          <w:color w:val="auto"/>
          <w:sz w:val="24"/>
          <w:szCs w:val="24"/>
        </w:rPr>
      </w:r>
    </w:p>
    <w:p>
      <w:pPr>
        <w:pStyle w:val="Normal"/>
        <w:spacing w:before="0" w:after="0"/>
        <w:rPr>
          <w:b/>
          <w:color w:val="auto"/>
          <w:sz w:val="24"/>
          <w:szCs w:val="24"/>
        </w:rPr>
      </w:pPr>
      <w:r>
        <w:rPr>
          <w:b/>
          <w:color w:val="auto"/>
          <w:sz w:val="24"/>
          <w:szCs w:val="24"/>
        </w:rPr>
        <mc:AlternateContent>
          <mc:Choice Requires="wps">
            <w:drawing>
              <wp:anchor behindDoc="0" distT="14605" distB="14605" distL="14605" distR="14605" simplePos="0" locked="0" layoutInCell="1" allowOverlap="1" relativeHeight="48">
                <wp:simplePos x="0" y="0"/>
                <wp:positionH relativeFrom="column">
                  <wp:posOffset>1644015</wp:posOffset>
                </wp:positionH>
                <wp:positionV relativeFrom="paragraph">
                  <wp:posOffset>36830</wp:posOffset>
                </wp:positionV>
                <wp:extent cx="2411730" cy="288290"/>
                <wp:effectExtent l="14605" t="14605" r="14605" b="14605"/>
                <wp:wrapNone/>
                <wp:docPr id="3" name="Rámec1"/>
                <a:graphic xmlns:a="http://schemas.openxmlformats.org/drawingml/2006/main">
                  <a:graphicData uri="http://schemas.microsoft.com/office/word/2010/wordprocessingShape">
                    <wps:wsp>
                      <wps:cNvSpPr/>
                      <wps:spPr>
                        <a:xfrm>
                          <a:off x="0" y="0"/>
                          <a:ext cx="2411640" cy="288360"/>
                        </a:xfrm>
                        <a:prstGeom prst="rect">
                          <a:avLst/>
                        </a:prstGeom>
                        <a:solidFill>
                          <a:srgbClr val="ffffff"/>
                        </a:solidFill>
                        <a:ln w="28575">
                          <a:solidFill>
                            <a:srgbClr val="000000"/>
                          </a:solidFill>
                          <a:round/>
                        </a:ln>
                      </wps:spPr>
                      <wps:style>
                        <a:lnRef idx="0"/>
                        <a:fillRef idx="0"/>
                        <a:effectRef idx="0"/>
                        <a:fontRef idx="minor"/>
                      </wps:style>
                      <wps:txbx>
                        <w:txbxContent>
                          <w:p>
                            <w:pPr>
                              <w:pStyle w:val="Obsahrmca"/>
                              <w:spacing w:before="0" w:after="200"/>
                              <w:jc w:val="center"/>
                              <w:rPr>
                                <w:color w:val="000000"/>
                              </w:rPr>
                            </w:pPr>
                            <w:r>
                              <w:rPr>
                                <w:color w:val="000000"/>
                              </w:rPr>
                              <w:t>Obecné zastupiteľstvo</w:t>
                            </w:r>
                          </w:p>
                        </w:txbxContent>
                      </wps:txbx>
                      <wps:bodyPr anchor="t">
                        <a:noAutofit/>
                      </wps:bodyPr>
                    </wps:wsp>
                  </a:graphicData>
                </a:graphic>
              </wp:anchor>
            </w:drawing>
          </mc:Choice>
          <mc:Fallback>
            <w:pict>
              <v:rect id="shape_0" ID="Rámec1" path="m0,0l-2147483645,0l-2147483645,-2147483646l0,-2147483646xe" fillcolor="white" stroked="t" o:allowincell="f" style="position:absolute;margin-left:129.45pt;margin-top:2.9pt;width:189.85pt;height:22.65pt;mso-wrap-style:square;v-text-anchor:top">
                <v:fill o:detectmouseclick="t" type="solid" color2="black"/>
                <v:stroke color="black" weight="28440" joinstyle="round" endcap="flat"/>
                <v:textbox>
                  <w:txbxContent>
                    <w:p>
                      <w:pPr>
                        <w:pStyle w:val="Obsahrmca"/>
                        <w:spacing w:before="0" w:after="200"/>
                        <w:jc w:val="center"/>
                        <w:rPr>
                          <w:color w:val="000000"/>
                        </w:rPr>
                      </w:pPr>
                      <w:r>
                        <w:rPr>
                          <w:color w:val="000000"/>
                        </w:rPr>
                        <w:t>Obecné zastupiteľstvo</w:t>
                      </w:r>
                    </w:p>
                  </w:txbxContent>
                </v:textbox>
                <w10:wrap type="none"/>
              </v:rect>
            </w:pict>
          </mc:Fallback>
        </mc:AlternateContent>
      </w:r>
    </w:p>
    <w:p>
      <w:pPr>
        <w:pStyle w:val="Normal"/>
        <w:spacing w:before="0" w:after="0"/>
        <w:rPr>
          <w:b/>
          <w:color w:val="auto"/>
          <w:sz w:val="24"/>
          <w:szCs w:val="24"/>
        </w:rPr>
      </w:pPr>
      <w:r>
        <w:rPr>
          <w:b/>
          <w:color w:val="auto"/>
          <w:sz w:val="24"/>
          <w:szCs w:val="24"/>
        </w:rPr>
        <mc:AlternateContent>
          <mc:Choice Requires="wps">
            <w:drawing>
              <wp:anchor behindDoc="0" distT="14605" distB="14605" distL="14605" distR="14605" simplePos="0" locked="0" layoutInCell="1" allowOverlap="1" relativeHeight="64">
                <wp:simplePos x="0" y="0"/>
                <wp:positionH relativeFrom="column">
                  <wp:posOffset>2598420</wp:posOffset>
                </wp:positionH>
                <wp:positionV relativeFrom="paragraph">
                  <wp:posOffset>234950</wp:posOffset>
                </wp:positionV>
                <wp:extent cx="250190" cy="1270"/>
                <wp:effectExtent l="14605" t="14605" r="14605" b="14605"/>
                <wp:wrapNone/>
                <wp:docPr id="4" name="Rovná spojnica 41"/>
                <a:graphic xmlns:a="http://schemas.openxmlformats.org/drawingml/2006/main">
                  <a:graphicData uri="http://schemas.microsoft.com/office/word/2010/wordprocessingShape">
                    <wps:wsp>
                      <wps:cNvSpPr/>
                      <wps:spPr>
                        <a:xfrm flipH="1">
                          <a:off x="0" y="0"/>
                          <a:ext cx="250200" cy="1440"/>
                        </a:xfrm>
                        <a:prstGeom prst="line">
                          <a:avLst/>
                        </a:prstGeom>
                        <a:ln w="28440">
                          <a:solidFill>
                            <a:srgbClr val="000000"/>
                          </a:solidFill>
                          <a:round/>
                        </a:ln>
                      </wps:spPr>
                      <wps:style>
                        <a:lnRef idx="0"/>
                        <a:fillRef idx="0"/>
                        <a:effectRef idx="0"/>
                        <a:fontRef idx="minor"/>
                      </wps:style>
                      <wps:bodyPr/>
                    </wps:wsp>
                  </a:graphicData>
                </a:graphic>
              </wp:anchor>
            </w:drawing>
          </mc:Choice>
          <mc:Fallback>
            <w:pict>
              <v:line id="shape_0" from="204.6pt,18.5pt" to="224.25pt,18.55pt" ID="Rovná spojnica 41" stroked="t" o:allowincell="f" style="position:absolute;flip:x">
                <v:stroke color="black" weight="28440" joinstyle="round" endcap="flat"/>
                <v:fill o:detectmouseclick="t" on="false"/>
                <w10:wrap type="none"/>
              </v:line>
            </w:pict>
          </mc:Fallback>
        </mc:AlternateContent>
      </w:r>
    </w:p>
    <w:p>
      <w:pPr>
        <w:pStyle w:val="Normal"/>
        <w:spacing w:before="0" w:after="0"/>
        <w:rPr>
          <w:b/>
          <w:color w:val="auto"/>
          <w:sz w:val="24"/>
          <w:szCs w:val="24"/>
        </w:rPr>
      </w:pPr>
      <w:r>
        <w:rPr>
          <w:b/>
          <w:color w:val="auto"/>
          <w:sz w:val="24"/>
          <w:szCs w:val="24"/>
        </w:rPr>
        <mc:AlternateContent>
          <mc:Choice Requires="wps">
            <w:drawing>
              <wp:anchor behindDoc="0" distT="14605" distB="14605" distL="14605" distR="14605" simplePos="0" locked="0" layoutInCell="1" allowOverlap="1" relativeHeight="50">
                <wp:simplePos x="0" y="0"/>
                <wp:positionH relativeFrom="column">
                  <wp:posOffset>1600200</wp:posOffset>
                </wp:positionH>
                <wp:positionV relativeFrom="paragraph">
                  <wp:posOffset>146050</wp:posOffset>
                </wp:positionV>
                <wp:extent cx="2411730" cy="288290"/>
                <wp:effectExtent l="14605" t="14605" r="14605" b="14605"/>
                <wp:wrapNone/>
                <wp:docPr id="5" name="Rámec2"/>
                <a:graphic xmlns:a="http://schemas.openxmlformats.org/drawingml/2006/main">
                  <a:graphicData uri="http://schemas.microsoft.com/office/word/2010/wordprocessingShape">
                    <wps:wsp>
                      <wps:cNvSpPr/>
                      <wps:spPr>
                        <a:xfrm>
                          <a:off x="0" y="0"/>
                          <a:ext cx="2411640" cy="288360"/>
                        </a:xfrm>
                        <a:prstGeom prst="rect">
                          <a:avLst/>
                        </a:prstGeom>
                        <a:solidFill>
                          <a:srgbClr val="ffffff"/>
                        </a:solidFill>
                        <a:ln w="28575">
                          <a:solidFill>
                            <a:srgbClr val="000000"/>
                          </a:solidFill>
                          <a:round/>
                        </a:ln>
                      </wps:spPr>
                      <wps:style>
                        <a:lnRef idx="0"/>
                        <a:fillRef idx="0"/>
                        <a:effectRef idx="0"/>
                        <a:fontRef idx="minor"/>
                      </wps:style>
                      <wps:txbx>
                        <w:txbxContent>
                          <w:p>
                            <w:pPr>
                              <w:pStyle w:val="Obsahrmca"/>
                              <w:spacing w:before="0" w:after="200"/>
                              <w:jc w:val="center"/>
                              <w:rPr>
                                <w:color w:val="000000"/>
                              </w:rPr>
                            </w:pPr>
                            <w:r>
                              <w:rPr>
                                <w:color w:val="000000"/>
                              </w:rPr>
                              <w:t>Hlavný kontrolór</w:t>
                            </w:r>
                          </w:p>
                        </w:txbxContent>
                      </wps:txbx>
                      <wps:bodyPr anchor="t">
                        <a:noAutofit/>
                      </wps:bodyPr>
                    </wps:wsp>
                  </a:graphicData>
                </a:graphic>
              </wp:anchor>
            </w:drawing>
          </mc:Choice>
          <mc:Fallback>
            <w:pict>
              <v:rect id="shape_0" ID="Rámec2" path="m0,0l-2147483645,0l-2147483645,-2147483646l0,-2147483646xe" fillcolor="white" stroked="t" o:allowincell="f" style="position:absolute;margin-left:126pt;margin-top:11.5pt;width:189.85pt;height:22.65pt;mso-wrap-style:square;v-text-anchor:top">
                <v:fill o:detectmouseclick="t" type="solid" color2="black"/>
                <v:stroke color="black" weight="28440" joinstyle="round" endcap="flat"/>
                <v:textbox>
                  <w:txbxContent>
                    <w:p>
                      <w:pPr>
                        <w:pStyle w:val="Obsahrmca"/>
                        <w:spacing w:before="0" w:after="200"/>
                        <w:jc w:val="center"/>
                        <w:rPr>
                          <w:color w:val="000000"/>
                        </w:rPr>
                      </w:pPr>
                      <w:r>
                        <w:rPr>
                          <w:color w:val="000000"/>
                        </w:rPr>
                        <w:t>Hlavný kontrolór</w:t>
                      </w:r>
                    </w:p>
                  </w:txbxContent>
                </v:textbox>
                <w10:wrap type="none"/>
              </v:rect>
            </w:pict>
          </mc:Fallback>
        </mc:AlternateContent>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color w:val="auto"/>
        </w:rPr>
      </w:pPr>
      <w:r>
        <w:rPr>
          <w:rFonts w:cs="Times New Roman" w:ascii="Times New Roman" w:hAnsi="Times New Roman"/>
          <w:b/>
          <w:color w:val="auto"/>
          <w:sz w:val="24"/>
          <w:szCs w:val="24"/>
        </w:rPr>
        <w:t>3.1.1 ORGANIZAČNÁ ŠTRUKTÚRA OBECNÉHO ÚRADU OBCE SELCE</w:t>
      </w:r>
    </w:p>
    <w:p>
      <w:pPr>
        <w:pStyle w:val="Normal"/>
        <w:spacing w:before="0" w:after="0"/>
        <w:rPr>
          <w:b/>
          <w:color w:val="auto"/>
          <w:sz w:val="24"/>
          <w:szCs w:val="24"/>
        </w:rPr>
      </w:pPr>
      <w:r>
        <w:rPr>
          <w:b/>
          <w:color w:val="auto"/>
          <w:sz w:val="24"/>
          <w:szCs w:val="24"/>
        </w:rPr>
      </w:r>
    </w:p>
    <w:p>
      <w:pPr>
        <w:pStyle w:val="Normal"/>
        <w:spacing w:before="0" w:after="0"/>
        <w:rPr>
          <w:b/>
          <w:color w:val="auto"/>
          <w:sz w:val="24"/>
          <w:szCs w:val="24"/>
        </w:rPr>
      </w:pPr>
      <w:r>
        <w:rPr>
          <w:b/>
          <w:color w:val="auto"/>
          <w:sz w:val="24"/>
          <w:szCs w:val="24"/>
        </w:rPr>
        <mc:AlternateContent>
          <mc:Choice Requires="wps">
            <w:drawing>
              <wp:anchor behindDoc="0" distT="14605" distB="14605" distL="14605" distR="14605" simplePos="0" locked="0" layoutInCell="1" allowOverlap="1" relativeHeight="52">
                <wp:simplePos x="0" y="0"/>
                <wp:positionH relativeFrom="column">
                  <wp:posOffset>1644015</wp:posOffset>
                </wp:positionH>
                <wp:positionV relativeFrom="paragraph">
                  <wp:posOffset>58420</wp:posOffset>
                </wp:positionV>
                <wp:extent cx="2411730" cy="288290"/>
                <wp:effectExtent l="14605" t="14605" r="14605" b="14605"/>
                <wp:wrapNone/>
                <wp:docPr id="6" name="Rámec3"/>
                <a:graphic xmlns:a="http://schemas.openxmlformats.org/drawingml/2006/main">
                  <a:graphicData uri="http://schemas.microsoft.com/office/word/2010/wordprocessingShape">
                    <wps:wsp>
                      <wps:cNvSpPr/>
                      <wps:spPr>
                        <a:xfrm>
                          <a:off x="0" y="0"/>
                          <a:ext cx="2411640" cy="288360"/>
                        </a:xfrm>
                        <a:prstGeom prst="rect">
                          <a:avLst/>
                        </a:prstGeom>
                        <a:solidFill>
                          <a:srgbClr val="ffffff"/>
                        </a:solidFill>
                        <a:ln w="28575">
                          <a:solidFill>
                            <a:srgbClr val="000000"/>
                          </a:solidFill>
                          <a:round/>
                        </a:ln>
                      </wps:spPr>
                      <wps:style>
                        <a:lnRef idx="0"/>
                        <a:fillRef idx="0"/>
                        <a:effectRef idx="0"/>
                        <a:fontRef idx="minor"/>
                      </wps:style>
                      <wps:txbx>
                        <w:txbxContent>
                          <w:p>
                            <w:pPr>
                              <w:pStyle w:val="Obsahrmca"/>
                              <w:spacing w:before="0" w:after="200"/>
                              <w:jc w:val="center"/>
                              <w:rPr>
                                <w:color w:val="000000"/>
                              </w:rPr>
                            </w:pPr>
                            <w:r>
                              <w:rPr>
                                <w:color w:val="000000"/>
                              </w:rPr>
                              <w:t>Obecný úrad</w:t>
                            </w:r>
                          </w:p>
                        </w:txbxContent>
                      </wps:txbx>
                      <wps:bodyPr anchor="t">
                        <a:noAutofit/>
                      </wps:bodyPr>
                    </wps:wsp>
                  </a:graphicData>
                </a:graphic>
              </wp:anchor>
            </w:drawing>
          </mc:Choice>
          <mc:Fallback>
            <w:pict>
              <v:rect id="shape_0" ID="Rámec3" path="m0,0l-2147483645,0l-2147483645,-2147483646l0,-2147483646xe" fillcolor="white" stroked="t" o:allowincell="f" style="position:absolute;margin-left:129.45pt;margin-top:4.6pt;width:189.85pt;height:22.65pt;mso-wrap-style:square;v-text-anchor:top">
                <v:fill o:detectmouseclick="t" type="solid" color2="black"/>
                <v:stroke color="black" weight="28440" joinstyle="round" endcap="flat"/>
                <v:textbox>
                  <w:txbxContent>
                    <w:p>
                      <w:pPr>
                        <w:pStyle w:val="Obsahrmca"/>
                        <w:spacing w:before="0" w:after="200"/>
                        <w:jc w:val="center"/>
                        <w:rPr>
                          <w:color w:val="000000"/>
                        </w:rPr>
                      </w:pPr>
                      <w:r>
                        <w:rPr>
                          <w:color w:val="000000"/>
                        </w:rPr>
                        <w:t>Obecný úrad</w:t>
                      </w:r>
                    </w:p>
                  </w:txbxContent>
                </v:textbox>
                <w10:wrap type="none"/>
              </v:rect>
            </w:pict>
          </mc:Fallback>
        </mc:AlternateContent>
      </w:r>
    </w:p>
    <w:p>
      <w:pPr>
        <w:pStyle w:val="Normal"/>
        <w:spacing w:before="0" w:after="0"/>
        <w:rPr>
          <w:b/>
          <w:color w:val="auto"/>
          <w:sz w:val="24"/>
          <w:szCs w:val="24"/>
        </w:rPr>
      </w:pPr>
      <w:r>
        <w:rPr>
          <w:b/>
          <w:color w:val="auto"/>
          <w:sz w:val="24"/>
          <w:szCs w:val="24"/>
        </w:rPr>
        <mc:AlternateContent>
          <mc:Choice Requires="wps">
            <w:drawing>
              <wp:anchor behindDoc="0" distT="14605" distB="14605" distL="14605" distR="14605" simplePos="0" locked="0" layoutInCell="1" allowOverlap="1" relativeHeight="65">
                <wp:simplePos x="0" y="0"/>
                <wp:positionH relativeFrom="column">
                  <wp:posOffset>2598420</wp:posOffset>
                </wp:positionH>
                <wp:positionV relativeFrom="paragraph">
                  <wp:posOffset>257810</wp:posOffset>
                </wp:positionV>
                <wp:extent cx="248285" cy="1270"/>
                <wp:effectExtent l="14605" t="14605" r="14605" b="14605"/>
                <wp:wrapNone/>
                <wp:docPr id="7" name="Rovná spojnica 42"/>
                <a:graphic xmlns:a="http://schemas.openxmlformats.org/drawingml/2006/main">
                  <a:graphicData uri="http://schemas.microsoft.com/office/word/2010/wordprocessingShape">
                    <wps:wsp>
                      <wps:cNvSpPr/>
                      <wps:spPr>
                        <a:xfrm flipH="1">
                          <a:off x="0" y="0"/>
                          <a:ext cx="248400" cy="1440"/>
                        </a:xfrm>
                        <a:prstGeom prst="line">
                          <a:avLst/>
                        </a:prstGeom>
                        <a:ln w="28440">
                          <a:solidFill>
                            <a:srgbClr val="000000"/>
                          </a:solidFill>
                          <a:round/>
                        </a:ln>
                      </wps:spPr>
                      <wps:style>
                        <a:lnRef idx="0"/>
                        <a:fillRef idx="0"/>
                        <a:effectRef idx="0"/>
                        <a:fontRef idx="minor"/>
                      </wps:style>
                      <wps:bodyPr/>
                    </wps:wsp>
                  </a:graphicData>
                </a:graphic>
              </wp:anchor>
            </w:drawing>
          </mc:Choice>
          <mc:Fallback>
            <w:pict>
              <v:line id="shape_0" from="204.6pt,20.3pt" to="224.1pt,20.35pt" ID="Rovná spojnica 42" stroked="t" o:allowincell="f" style="position:absolute;flip:x">
                <v:stroke color="black" weight="28440" joinstyle="round" endcap="flat"/>
                <v:fill o:detectmouseclick="t" on="false"/>
                <w10:wrap type="none"/>
              </v:line>
            </w:pict>
          </mc:Fallback>
        </mc:AlternateContent>
      </w:r>
    </w:p>
    <w:p>
      <w:pPr>
        <w:pStyle w:val="Normal"/>
        <w:spacing w:before="0" w:after="0"/>
        <w:rPr>
          <w:b/>
          <w:color w:val="auto"/>
          <w:sz w:val="24"/>
          <w:szCs w:val="24"/>
        </w:rPr>
      </w:pPr>
      <w:r>
        <w:rPr>
          <w:b/>
          <w:color w:val="auto"/>
          <w:sz w:val="24"/>
          <w:szCs w:val="24"/>
        </w:rPr>
        <mc:AlternateContent>
          <mc:Choice Requires="wps">
            <w:drawing>
              <wp:anchor behindDoc="0" distT="14605" distB="14605" distL="14605" distR="14605" simplePos="0" locked="0" layoutInCell="1" allowOverlap="1" relativeHeight="54">
                <wp:simplePos x="0" y="0"/>
                <wp:positionH relativeFrom="column">
                  <wp:posOffset>1644015</wp:posOffset>
                </wp:positionH>
                <wp:positionV relativeFrom="paragraph">
                  <wp:posOffset>168275</wp:posOffset>
                </wp:positionV>
                <wp:extent cx="2411730" cy="288290"/>
                <wp:effectExtent l="14605" t="14605" r="14605" b="14605"/>
                <wp:wrapNone/>
                <wp:docPr id="8" name="Rámec4"/>
                <a:graphic xmlns:a="http://schemas.openxmlformats.org/drawingml/2006/main">
                  <a:graphicData uri="http://schemas.microsoft.com/office/word/2010/wordprocessingShape">
                    <wps:wsp>
                      <wps:cNvSpPr/>
                      <wps:spPr>
                        <a:xfrm>
                          <a:off x="0" y="0"/>
                          <a:ext cx="2411640" cy="288360"/>
                        </a:xfrm>
                        <a:prstGeom prst="rect">
                          <a:avLst/>
                        </a:prstGeom>
                        <a:solidFill>
                          <a:srgbClr val="ffffff"/>
                        </a:solidFill>
                        <a:ln w="28575">
                          <a:solidFill>
                            <a:srgbClr val="000000"/>
                          </a:solidFill>
                          <a:round/>
                        </a:ln>
                      </wps:spPr>
                      <wps:style>
                        <a:lnRef idx="0"/>
                        <a:fillRef idx="0"/>
                        <a:effectRef idx="0"/>
                        <a:fontRef idx="minor"/>
                      </wps:style>
                      <wps:txbx>
                        <w:txbxContent>
                          <w:p>
                            <w:pPr>
                              <w:pStyle w:val="Obsahrmca"/>
                              <w:spacing w:before="0" w:after="200"/>
                              <w:jc w:val="center"/>
                              <w:rPr>
                                <w:color w:val="000000"/>
                              </w:rPr>
                            </w:pPr>
                            <w:r>
                              <w:rPr>
                                <w:color w:val="000000"/>
                              </w:rPr>
                              <w:t>Starosta obce</w:t>
                            </w:r>
                          </w:p>
                        </w:txbxContent>
                      </wps:txbx>
                      <wps:bodyPr anchor="t">
                        <a:noAutofit/>
                      </wps:bodyPr>
                    </wps:wsp>
                  </a:graphicData>
                </a:graphic>
              </wp:anchor>
            </w:drawing>
          </mc:Choice>
          <mc:Fallback>
            <w:pict>
              <v:rect id="shape_0" ID="Rámec4" path="m0,0l-2147483645,0l-2147483645,-2147483646l0,-2147483646xe" fillcolor="white" stroked="t" o:allowincell="f" style="position:absolute;margin-left:129.45pt;margin-top:13.25pt;width:189.85pt;height:22.65pt;mso-wrap-style:square;v-text-anchor:top">
                <v:fill o:detectmouseclick="t" type="solid" color2="black"/>
                <v:stroke color="black" weight="28440" joinstyle="round" endcap="flat"/>
                <v:textbox>
                  <w:txbxContent>
                    <w:p>
                      <w:pPr>
                        <w:pStyle w:val="Obsahrmca"/>
                        <w:spacing w:before="0" w:after="200"/>
                        <w:jc w:val="center"/>
                        <w:rPr>
                          <w:color w:val="000000"/>
                        </w:rPr>
                      </w:pPr>
                      <w:r>
                        <w:rPr>
                          <w:color w:val="000000"/>
                        </w:rPr>
                        <w:t>Starosta obce</w:t>
                      </w:r>
                    </w:p>
                  </w:txbxContent>
                </v:textbox>
                <w10:wrap type="none"/>
              </v:rect>
            </w:pict>
          </mc:Fallback>
        </mc:AlternateContent>
      </w:r>
    </w:p>
    <w:p>
      <w:pPr>
        <w:pStyle w:val="Normal"/>
        <w:spacing w:before="0" w:after="0"/>
        <w:rPr>
          <w:b/>
          <w:color w:val="auto"/>
          <w:sz w:val="24"/>
          <w:szCs w:val="24"/>
        </w:rPr>
      </w:pPr>
      <w:r>
        <w:rPr>
          <w:b/>
          <w:color w:val="auto"/>
          <w:sz w:val="24"/>
          <w:szCs w:val="24"/>
        </w:rPr>
      </w:r>
    </w:p>
    <w:p>
      <w:pPr>
        <w:pStyle w:val="Normal"/>
        <w:spacing w:before="0" w:after="0"/>
        <w:rPr>
          <w:b/>
          <w:color w:val="auto"/>
          <w:sz w:val="24"/>
          <w:szCs w:val="24"/>
        </w:rPr>
      </w:pPr>
      <w:r>
        <w:rPr>
          <w:b/>
          <w:color w:val="auto"/>
          <w:sz w:val="24"/>
          <w:szCs w:val="24"/>
        </w:rPr>
        <mc:AlternateContent>
          <mc:Choice Requires="wps">
            <w:drawing>
              <wp:anchor behindDoc="0" distT="14605" distB="14605" distL="14605" distR="14605" simplePos="0" locked="0" layoutInCell="1" allowOverlap="1" relativeHeight="66">
                <wp:simplePos x="0" y="0"/>
                <wp:positionH relativeFrom="column">
                  <wp:posOffset>2731135</wp:posOffset>
                </wp:positionH>
                <wp:positionV relativeFrom="paragraph">
                  <wp:posOffset>28575</wp:posOffset>
                </wp:positionV>
                <wp:extent cx="0" cy="198120"/>
                <wp:effectExtent l="14605" t="14605" r="14605" b="14605"/>
                <wp:wrapNone/>
                <wp:docPr id="9" name="Rovná spojnica 43"/>
                <a:graphic xmlns:a="http://schemas.openxmlformats.org/drawingml/2006/main">
                  <a:graphicData uri="http://schemas.microsoft.com/office/word/2010/wordprocessingShape">
                    <wps:wsp>
                      <wps:cNvSpPr/>
                      <wps:spPr>
                        <a:xfrm>
                          <a:off x="0" y="0"/>
                          <a:ext cx="0" cy="198000"/>
                        </a:xfrm>
                        <a:prstGeom prst="line">
                          <a:avLst/>
                        </a:prstGeom>
                        <a:ln w="28440">
                          <a:solidFill>
                            <a:srgbClr val="000000"/>
                          </a:solidFill>
                          <a:round/>
                        </a:ln>
                      </wps:spPr>
                      <wps:style>
                        <a:lnRef idx="0"/>
                        <a:fillRef idx="0"/>
                        <a:effectRef idx="0"/>
                        <a:fontRef idx="minor"/>
                      </wps:style>
                      <wps:bodyPr/>
                    </wps:wsp>
                  </a:graphicData>
                </a:graphic>
              </wp:anchor>
            </w:drawing>
          </mc:Choice>
          <mc:Fallback>
            <w:pict>
              <v:line id="shape_0" from="215.05pt,2.25pt" to="215.05pt,17.8pt" ID="Rovná spojnica 43" stroked="t" o:allowincell="f" style="position:absolute">
                <v:stroke color="black" weight="28440" joinstyle="round" endcap="flat"/>
                <v:fill o:detectmouseclick="t" on="false"/>
                <w10:wrap type="none"/>
              </v:line>
            </w:pict>
          </mc:Fallback>
        </mc:AlternateContent>
      </w:r>
    </w:p>
    <w:p>
      <w:pPr>
        <w:pStyle w:val="Normal"/>
        <w:spacing w:before="0" w:after="0"/>
        <w:rPr>
          <w:b/>
          <w:color w:val="auto"/>
          <w:sz w:val="24"/>
          <w:szCs w:val="24"/>
        </w:rPr>
      </w:pPr>
      <w:r>
        <w:rPr>
          <w:b/>
          <w:color w:val="auto"/>
          <w:sz w:val="24"/>
          <w:szCs w:val="24"/>
        </w:rPr>
        <mc:AlternateContent>
          <mc:Choice Requires="wps">
            <w:drawing>
              <wp:anchor behindDoc="0" distT="15240" distB="13970" distL="14605" distR="14605" simplePos="0" locked="0" layoutInCell="1" allowOverlap="1" relativeHeight="56">
                <wp:simplePos x="0" y="0"/>
                <wp:positionH relativeFrom="column">
                  <wp:posOffset>1644015</wp:posOffset>
                </wp:positionH>
                <wp:positionV relativeFrom="paragraph">
                  <wp:posOffset>17780</wp:posOffset>
                </wp:positionV>
                <wp:extent cx="2411730" cy="287655"/>
                <wp:effectExtent l="14605" t="15240" r="14605" b="13970"/>
                <wp:wrapNone/>
                <wp:docPr id="10" name="Rámec5"/>
                <a:graphic xmlns:a="http://schemas.openxmlformats.org/drawingml/2006/main">
                  <a:graphicData uri="http://schemas.microsoft.com/office/word/2010/wordprocessingShape">
                    <wps:wsp>
                      <wps:cNvSpPr/>
                      <wps:spPr>
                        <a:xfrm>
                          <a:off x="0" y="0"/>
                          <a:ext cx="2411640" cy="287640"/>
                        </a:xfrm>
                        <a:prstGeom prst="rect">
                          <a:avLst/>
                        </a:prstGeom>
                        <a:solidFill>
                          <a:srgbClr val="ffffff"/>
                        </a:solidFill>
                        <a:ln w="28575">
                          <a:solidFill>
                            <a:srgbClr val="000000"/>
                          </a:solidFill>
                          <a:round/>
                        </a:ln>
                      </wps:spPr>
                      <wps:style>
                        <a:lnRef idx="0"/>
                        <a:fillRef idx="0"/>
                        <a:effectRef idx="0"/>
                        <a:fontRef idx="minor"/>
                      </wps:style>
                      <wps:txbx>
                        <w:txbxContent>
                          <w:p>
                            <w:pPr>
                              <w:pStyle w:val="Obsahrmca"/>
                              <w:spacing w:before="0" w:after="200"/>
                              <w:jc w:val="center"/>
                              <w:rPr>
                                <w:color w:val="000000"/>
                              </w:rPr>
                            </w:pPr>
                            <w:r>
                              <w:rPr>
                                <w:color w:val="000000"/>
                              </w:rPr>
                              <w:t>Odbor hospodársko-správny</w:t>
                            </w:r>
                          </w:p>
                        </w:txbxContent>
                      </wps:txbx>
                      <wps:bodyPr anchor="t">
                        <a:noAutofit/>
                      </wps:bodyPr>
                    </wps:wsp>
                  </a:graphicData>
                </a:graphic>
              </wp:anchor>
            </w:drawing>
          </mc:Choice>
          <mc:Fallback>
            <w:pict>
              <v:rect id="shape_0" ID="Rámec5" path="m0,0l-2147483645,0l-2147483645,-2147483646l0,-2147483646xe" fillcolor="white" stroked="t" o:allowincell="f" style="position:absolute;margin-left:129.45pt;margin-top:1.4pt;width:189.85pt;height:22.6pt;mso-wrap-style:square;v-text-anchor:top">
                <v:fill o:detectmouseclick="t" type="solid" color2="black"/>
                <v:stroke color="black" weight="28440" joinstyle="round" endcap="flat"/>
                <v:textbox>
                  <w:txbxContent>
                    <w:p>
                      <w:pPr>
                        <w:pStyle w:val="Obsahrmca"/>
                        <w:spacing w:before="0" w:after="200"/>
                        <w:jc w:val="center"/>
                        <w:rPr>
                          <w:color w:val="000000"/>
                        </w:rPr>
                      </w:pPr>
                      <w:r>
                        <w:rPr>
                          <w:color w:val="000000"/>
                        </w:rPr>
                        <w:t>Odbor hospodársko-správny</w:t>
                      </w:r>
                    </w:p>
                  </w:txbxContent>
                </v:textbox>
                <w10:wrap type="none"/>
              </v:rect>
            </w:pict>
          </mc:Fallback>
        </mc:AlternateContent>
      </w:r>
    </w:p>
    <w:p>
      <w:pPr>
        <w:pStyle w:val="Normal"/>
        <w:spacing w:before="0" w:after="0"/>
        <w:rPr>
          <w:b/>
          <w:color w:val="auto"/>
          <w:sz w:val="24"/>
          <w:szCs w:val="24"/>
        </w:rPr>
      </w:pPr>
      <w:r>
        <w:rPr>
          <w:b/>
          <w:color w:val="auto"/>
          <w:sz w:val="24"/>
          <w:szCs w:val="24"/>
        </w:rPr>
        <mc:AlternateContent>
          <mc:Choice Requires="wps">
            <w:drawing>
              <wp:anchor behindDoc="0" distT="14605" distB="14605" distL="14605" distR="14605" simplePos="0" locked="0" layoutInCell="1" allowOverlap="1" relativeHeight="67">
                <wp:simplePos x="0" y="0"/>
                <wp:positionH relativeFrom="column">
                  <wp:posOffset>2739390</wp:posOffset>
                </wp:positionH>
                <wp:positionV relativeFrom="paragraph">
                  <wp:posOffset>95885</wp:posOffset>
                </wp:positionV>
                <wp:extent cx="635" cy="232410"/>
                <wp:effectExtent l="14605" t="14605" r="14605" b="14605"/>
                <wp:wrapNone/>
                <wp:docPr id="11" name="Rovná spojnica 44"/>
                <a:graphic xmlns:a="http://schemas.openxmlformats.org/drawingml/2006/main">
                  <a:graphicData uri="http://schemas.microsoft.com/office/word/2010/wordprocessingShape">
                    <wps:wsp>
                      <wps:cNvSpPr/>
                      <wps:spPr>
                        <a:xfrm>
                          <a:off x="0" y="0"/>
                          <a:ext cx="720" cy="232560"/>
                        </a:xfrm>
                        <a:prstGeom prst="line">
                          <a:avLst/>
                        </a:prstGeom>
                        <a:ln w="28440">
                          <a:solidFill>
                            <a:srgbClr val="000000"/>
                          </a:solidFill>
                          <a:round/>
                        </a:ln>
                      </wps:spPr>
                      <wps:style>
                        <a:lnRef idx="0"/>
                        <a:fillRef idx="0"/>
                        <a:effectRef idx="0"/>
                        <a:fontRef idx="minor"/>
                      </wps:style>
                      <wps:bodyPr/>
                    </wps:wsp>
                  </a:graphicData>
                </a:graphic>
              </wp:anchor>
            </w:drawing>
          </mc:Choice>
          <mc:Fallback>
            <w:pict>
              <v:line id="shape_0" from="215.7pt,7.55pt" to="215.7pt,25.8pt" ID="Rovná spojnica 44" stroked="t" o:allowincell="f" style="position:absolute">
                <v:stroke color="black" weight="28440" joinstyle="round" endcap="flat"/>
                <v:fill o:detectmouseclick="t" on="false"/>
                <w10:wrap type="none"/>
              </v:line>
            </w:pict>
          </mc:Fallback>
        </mc:AlternateContent>
        <mc:AlternateContent>
          <mc:Choice Requires="wps">
            <w:drawing>
              <wp:anchor behindDoc="0" distT="14605" distB="14605" distL="14605" distR="14605" simplePos="0" locked="0" layoutInCell="1" allowOverlap="1" relativeHeight="68">
                <wp:simplePos x="0" y="0"/>
                <wp:positionH relativeFrom="column">
                  <wp:posOffset>1256030</wp:posOffset>
                </wp:positionH>
                <wp:positionV relativeFrom="paragraph">
                  <wp:posOffset>95250</wp:posOffset>
                </wp:positionV>
                <wp:extent cx="387985" cy="232410"/>
                <wp:effectExtent l="14605" t="14605" r="14605" b="14605"/>
                <wp:wrapNone/>
                <wp:docPr id="12" name="Rovná spojnica 45"/>
                <a:graphic xmlns:a="http://schemas.openxmlformats.org/drawingml/2006/main">
                  <a:graphicData uri="http://schemas.microsoft.com/office/word/2010/wordprocessingShape">
                    <wps:wsp>
                      <wps:cNvSpPr/>
                      <wps:spPr>
                        <a:xfrm flipH="1">
                          <a:off x="0" y="0"/>
                          <a:ext cx="388080" cy="232560"/>
                        </a:xfrm>
                        <a:prstGeom prst="line">
                          <a:avLst/>
                        </a:prstGeom>
                        <a:ln w="28440">
                          <a:solidFill>
                            <a:srgbClr val="000000"/>
                          </a:solidFill>
                          <a:round/>
                        </a:ln>
                      </wps:spPr>
                      <wps:style>
                        <a:lnRef idx="0"/>
                        <a:fillRef idx="0"/>
                        <a:effectRef idx="0"/>
                        <a:fontRef idx="minor"/>
                      </wps:style>
                      <wps:bodyPr/>
                    </wps:wsp>
                  </a:graphicData>
                </a:graphic>
              </wp:anchor>
            </w:drawing>
          </mc:Choice>
          <mc:Fallback>
            <w:pict>
              <v:line id="shape_0" from="98.9pt,7.5pt" to="129.4pt,25.75pt" ID="Rovná spojnica 45" stroked="t" o:allowincell="f" style="position:absolute;flip:x">
                <v:stroke color="black" weight="28440" joinstyle="round" endcap="flat"/>
                <v:fill o:detectmouseclick="t" on="false"/>
                <w10:wrap type="none"/>
              </v:line>
            </w:pict>
          </mc:Fallback>
        </mc:AlternateContent>
        <mc:AlternateContent>
          <mc:Choice Requires="wps">
            <w:drawing>
              <wp:anchor behindDoc="0" distT="14605" distB="14605" distL="14605" distR="14605" simplePos="0" locked="0" layoutInCell="1" allowOverlap="1" relativeHeight="69">
                <wp:simplePos x="0" y="0"/>
                <wp:positionH relativeFrom="column">
                  <wp:posOffset>4056380</wp:posOffset>
                </wp:positionH>
                <wp:positionV relativeFrom="paragraph">
                  <wp:posOffset>101600</wp:posOffset>
                </wp:positionV>
                <wp:extent cx="542925" cy="232410"/>
                <wp:effectExtent l="14605" t="14605" r="14605" b="14605"/>
                <wp:wrapNone/>
                <wp:docPr id="13" name="Rovná spojnica 46"/>
                <a:graphic xmlns:a="http://schemas.openxmlformats.org/drawingml/2006/main">
                  <a:graphicData uri="http://schemas.microsoft.com/office/word/2010/wordprocessingShape">
                    <wps:wsp>
                      <wps:cNvSpPr/>
                      <wps:spPr>
                        <a:xfrm>
                          <a:off x="0" y="0"/>
                          <a:ext cx="542880" cy="232560"/>
                        </a:xfrm>
                        <a:prstGeom prst="line">
                          <a:avLst/>
                        </a:prstGeom>
                        <a:ln w="28440">
                          <a:solidFill>
                            <a:srgbClr val="000000"/>
                          </a:solidFill>
                          <a:round/>
                        </a:ln>
                      </wps:spPr>
                      <wps:style>
                        <a:lnRef idx="0"/>
                        <a:fillRef idx="0"/>
                        <a:effectRef idx="0"/>
                        <a:fontRef idx="minor"/>
                      </wps:style>
                      <wps:bodyPr/>
                    </wps:wsp>
                  </a:graphicData>
                </a:graphic>
              </wp:anchor>
            </w:drawing>
          </mc:Choice>
          <mc:Fallback>
            <w:pict>
              <v:line id="shape_0" from="319.4pt,8pt" to="362.1pt,26.25pt" ID="Rovná spojnica 46" stroked="t" o:allowincell="f" style="position:absolute">
                <v:stroke color="black" weight="28440" joinstyle="round" endcap="flat"/>
                <v:fill o:detectmouseclick="t" on="false"/>
                <w10:wrap type="none"/>
              </v:line>
            </w:pict>
          </mc:Fallback>
        </mc:AlternateContent>
      </w:r>
    </w:p>
    <w:p>
      <w:pPr>
        <w:pStyle w:val="Normal"/>
        <w:spacing w:before="0" w:after="0"/>
        <w:rPr>
          <w:b/>
          <w:color w:val="auto"/>
          <w:sz w:val="24"/>
          <w:szCs w:val="24"/>
        </w:rPr>
      </w:pPr>
      <w:r>
        <w:rPr>
          <w:b/>
          <w:color w:val="auto"/>
          <w:sz w:val="24"/>
          <w:szCs w:val="24"/>
        </w:rPr>
        <mc:AlternateContent>
          <mc:Choice Requires="wps">
            <w:drawing>
              <wp:anchor behindDoc="0" distT="14605" distB="14605" distL="15240" distR="13970" simplePos="0" locked="0" layoutInCell="1" allowOverlap="1" relativeHeight="58">
                <wp:simplePos x="0" y="0"/>
                <wp:positionH relativeFrom="column">
                  <wp:posOffset>2239645</wp:posOffset>
                </wp:positionH>
                <wp:positionV relativeFrom="paragraph">
                  <wp:posOffset>115570</wp:posOffset>
                </wp:positionV>
                <wp:extent cx="1115695" cy="288290"/>
                <wp:effectExtent l="15240" t="14605" r="13970" b="14605"/>
                <wp:wrapNone/>
                <wp:docPr id="14" name="Rámec6"/>
                <a:graphic xmlns:a="http://schemas.openxmlformats.org/drawingml/2006/main">
                  <a:graphicData uri="http://schemas.microsoft.com/office/word/2010/wordprocessingShape">
                    <wps:wsp>
                      <wps:cNvSpPr/>
                      <wps:spPr>
                        <a:xfrm>
                          <a:off x="0" y="0"/>
                          <a:ext cx="1115640" cy="288360"/>
                        </a:xfrm>
                        <a:prstGeom prst="rect">
                          <a:avLst/>
                        </a:prstGeom>
                        <a:solidFill>
                          <a:srgbClr val="ffffff"/>
                        </a:solidFill>
                        <a:ln w="28575">
                          <a:solidFill>
                            <a:srgbClr val="000000"/>
                          </a:solidFill>
                          <a:round/>
                        </a:ln>
                      </wps:spPr>
                      <wps:style>
                        <a:lnRef idx="0"/>
                        <a:fillRef idx="0"/>
                        <a:effectRef idx="0"/>
                        <a:fontRef idx="minor"/>
                      </wps:style>
                      <wps:txbx>
                        <w:txbxContent>
                          <w:p>
                            <w:pPr>
                              <w:pStyle w:val="Obsahrmca"/>
                              <w:spacing w:before="0" w:after="200"/>
                              <w:jc w:val="center"/>
                              <w:rPr>
                                <w:color w:val="000000"/>
                              </w:rPr>
                            </w:pPr>
                            <w:r>
                              <w:rPr>
                                <w:color w:val="000000"/>
                              </w:rPr>
                              <w:t>Referát správny</w:t>
                            </w:r>
                          </w:p>
                        </w:txbxContent>
                      </wps:txbx>
                      <wps:bodyPr anchor="t">
                        <a:noAutofit/>
                      </wps:bodyPr>
                    </wps:wsp>
                  </a:graphicData>
                </a:graphic>
              </wp:anchor>
            </w:drawing>
          </mc:Choice>
          <mc:Fallback>
            <w:pict>
              <v:rect id="shape_0" ID="Rámec6" path="m0,0l-2147483645,0l-2147483645,-2147483646l0,-2147483646xe" fillcolor="white" stroked="t" o:allowincell="f" style="position:absolute;margin-left:176.35pt;margin-top:9.1pt;width:87.8pt;height:22.65pt;mso-wrap-style:square;v-text-anchor:top">
                <v:fill o:detectmouseclick="t" type="solid" color2="black"/>
                <v:stroke color="black" weight="28440" joinstyle="round" endcap="flat"/>
                <v:textbox>
                  <w:txbxContent>
                    <w:p>
                      <w:pPr>
                        <w:pStyle w:val="Obsahrmca"/>
                        <w:spacing w:before="0" w:after="200"/>
                        <w:jc w:val="center"/>
                        <w:rPr>
                          <w:color w:val="000000"/>
                        </w:rPr>
                      </w:pPr>
                      <w:r>
                        <w:rPr>
                          <w:color w:val="000000"/>
                        </w:rPr>
                        <w:t>Referát správny</w:t>
                      </w:r>
                    </w:p>
                  </w:txbxContent>
                </v:textbox>
                <w10:wrap type="none"/>
              </v:rect>
            </w:pict>
          </mc:Fallback>
        </mc:AlternateContent>
        <mc:AlternateContent>
          <mc:Choice Requires="wps">
            <w:drawing>
              <wp:anchor behindDoc="0" distT="15240" distB="13970" distL="15240" distR="13970" simplePos="0" locked="0" layoutInCell="1" allowOverlap="1" relativeHeight="60">
                <wp:simplePos x="0" y="0"/>
                <wp:positionH relativeFrom="column">
                  <wp:posOffset>655320</wp:posOffset>
                </wp:positionH>
                <wp:positionV relativeFrom="paragraph">
                  <wp:posOffset>116205</wp:posOffset>
                </wp:positionV>
                <wp:extent cx="1331595" cy="287655"/>
                <wp:effectExtent l="15240" t="15240" r="13970" b="13970"/>
                <wp:wrapNone/>
                <wp:docPr id="15" name="Rámec7"/>
                <a:graphic xmlns:a="http://schemas.openxmlformats.org/drawingml/2006/main">
                  <a:graphicData uri="http://schemas.microsoft.com/office/word/2010/wordprocessingShape">
                    <wps:wsp>
                      <wps:cNvSpPr/>
                      <wps:spPr>
                        <a:xfrm>
                          <a:off x="0" y="0"/>
                          <a:ext cx="1331640" cy="287640"/>
                        </a:xfrm>
                        <a:prstGeom prst="rect">
                          <a:avLst/>
                        </a:prstGeom>
                        <a:solidFill>
                          <a:srgbClr val="ffffff"/>
                        </a:solidFill>
                        <a:ln w="28575">
                          <a:solidFill>
                            <a:srgbClr val="000000"/>
                          </a:solidFill>
                          <a:round/>
                        </a:ln>
                      </wps:spPr>
                      <wps:style>
                        <a:lnRef idx="0"/>
                        <a:fillRef idx="0"/>
                        <a:effectRef idx="0"/>
                        <a:fontRef idx="minor"/>
                      </wps:style>
                      <wps:txbx>
                        <w:txbxContent>
                          <w:p>
                            <w:pPr>
                              <w:pStyle w:val="Obsahrmca"/>
                              <w:spacing w:before="0" w:after="200"/>
                              <w:jc w:val="center"/>
                              <w:rPr>
                                <w:color w:val="000000"/>
                              </w:rPr>
                            </w:pPr>
                            <w:r>
                              <w:rPr>
                                <w:color w:val="000000"/>
                              </w:rPr>
                              <w:t>Referát ekonomický</w:t>
                            </w:r>
                          </w:p>
                        </w:txbxContent>
                      </wps:txbx>
                      <wps:bodyPr anchor="t">
                        <a:noAutofit/>
                      </wps:bodyPr>
                    </wps:wsp>
                  </a:graphicData>
                </a:graphic>
              </wp:anchor>
            </w:drawing>
          </mc:Choice>
          <mc:Fallback>
            <w:pict>
              <v:rect id="shape_0" ID="Rámec7" path="m0,0l-2147483645,0l-2147483645,-2147483646l0,-2147483646xe" fillcolor="white" stroked="t" o:allowincell="f" style="position:absolute;margin-left:51.6pt;margin-top:9.15pt;width:104.8pt;height:22.6pt;mso-wrap-style:square;v-text-anchor:top">
                <v:fill o:detectmouseclick="t" type="solid" color2="black"/>
                <v:stroke color="black" weight="28440" joinstyle="round" endcap="flat"/>
                <v:textbox>
                  <w:txbxContent>
                    <w:p>
                      <w:pPr>
                        <w:pStyle w:val="Obsahrmca"/>
                        <w:spacing w:before="0" w:after="200"/>
                        <w:jc w:val="center"/>
                        <w:rPr>
                          <w:color w:val="000000"/>
                        </w:rPr>
                      </w:pPr>
                      <w:r>
                        <w:rPr>
                          <w:color w:val="000000"/>
                        </w:rPr>
                        <w:t>Referát ekonomický</w:t>
                      </w:r>
                    </w:p>
                  </w:txbxContent>
                </v:textbox>
                <w10:wrap type="none"/>
              </v:rect>
            </w:pict>
          </mc:Fallback>
        </mc:AlternateContent>
        <mc:AlternateContent>
          <mc:Choice Requires="wps">
            <w:drawing>
              <wp:anchor behindDoc="0" distT="15240" distB="13970" distL="15240" distR="13970" simplePos="0" locked="0" layoutInCell="1" allowOverlap="1" relativeHeight="62">
                <wp:simplePos x="0" y="0"/>
                <wp:positionH relativeFrom="column">
                  <wp:posOffset>3742055</wp:posOffset>
                </wp:positionH>
                <wp:positionV relativeFrom="paragraph">
                  <wp:posOffset>116840</wp:posOffset>
                </wp:positionV>
                <wp:extent cx="1547495" cy="287655"/>
                <wp:effectExtent l="15240" t="15240" r="13970" b="13970"/>
                <wp:wrapNone/>
                <wp:docPr id="16" name="Rámec8"/>
                <a:graphic xmlns:a="http://schemas.openxmlformats.org/drawingml/2006/main">
                  <a:graphicData uri="http://schemas.microsoft.com/office/word/2010/wordprocessingShape">
                    <wps:wsp>
                      <wps:cNvSpPr/>
                      <wps:spPr>
                        <a:xfrm>
                          <a:off x="0" y="0"/>
                          <a:ext cx="1547640" cy="287640"/>
                        </a:xfrm>
                        <a:prstGeom prst="rect">
                          <a:avLst/>
                        </a:prstGeom>
                        <a:solidFill>
                          <a:srgbClr val="ffffff"/>
                        </a:solidFill>
                        <a:ln w="28575">
                          <a:solidFill>
                            <a:srgbClr val="000000"/>
                          </a:solidFill>
                          <a:round/>
                        </a:ln>
                      </wps:spPr>
                      <wps:style>
                        <a:lnRef idx="0"/>
                        <a:fillRef idx="0"/>
                        <a:effectRef idx="0"/>
                        <a:fontRef idx="minor"/>
                      </wps:style>
                      <wps:txbx>
                        <w:txbxContent>
                          <w:p>
                            <w:pPr>
                              <w:pStyle w:val="Obsahrmca"/>
                              <w:spacing w:before="0" w:after="200"/>
                              <w:jc w:val="center"/>
                              <w:rPr>
                                <w:color w:val="000000"/>
                              </w:rPr>
                            </w:pPr>
                            <w:r>
                              <w:rPr>
                                <w:color w:val="000000"/>
                              </w:rPr>
                              <w:t>Referát kultúry, športu</w:t>
                            </w:r>
                          </w:p>
                        </w:txbxContent>
                      </wps:txbx>
                      <wps:bodyPr anchor="t">
                        <a:noAutofit/>
                      </wps:bodyPr>
                    </wps:wsp>
                  </a:graphicData>
                </a:graphic>
              </wp:anchor>
            </w:drawing>
          </mc:Choice>
          <mc:Fallback>
            <w:pict>
              <v:rect id="shape_0" ID="Rámec8" path="m0,0l-2147483645,0l-2147483645,-2147483646l0,-2147483646xe" fillcolor="white" stroked="t" o:allowincell="f" style="position:absolute;margin-left:294.65pt;margin-top:9.2pt;width:121.8pt;height:22.6pt;mso-wrap-style:square;v-text-anchor:top">
                <v:fill o:detectmouseclick="t" type="solid" color2="black"/>
                <v:stroke color="black" weight="28440" joinstyle="round" endcap="flat"/>
                <v:textbox>
                  <w:txbxContent>
                    <w:p>
                      <w:pPr>
                        <w:pStyle w:val="Obsahrmca"/>
                        <w:spacing w:before="0" w:after="200"/>
                        <w:jc w:val="center"/>
                        <w:rPr>
                          <w:color w:val="000000"/>
                        </w:rPr>
                      </w:pPr>
                      <w:r>
                        <w:rPr>
                          <w:color w:val="000000"/>
                        </w:rPr>
                        <w:t>Referát kultúry, športu</w:t>
                      </w:r>
                    </w:p>
                  </w:txbxContent>
                </v:textbox>
                <w10:wrap type="none"/>
              </v:rect>
            </w:pict>
          </mc:Fallback>
        </mc:AlternateContent>
      </w:r>
    </w:p>
    <w:p>
      <w:pPr>
        <w:pStyle w:val="Normal"/>
        <w:spacing w:before="0" w:after="0"/>
        <w:rPr>
          <w:b/>
          <w:color w:val="auto"/>
          <w:sz w:val="24"/>
          <w:szCs w:val="24"/>
        </w:rPr>
      </w:pPr>
      <w:r>
        <w:rPr>
          <w:b/>
          <w:color w:val="auto"/>
          <w:sz w:val="24"/>
          <w:szCs w:val="24"/>
        </w:rPr>
      </w:r>
    </w:p>
    <w:p>
      <w:pPr>
        <w:pStyle w:val="Normal"/>
        <w:spacing w:before="0" w:after="0"/>
        <w:rPr>
          <w:b/>
          <w:color w:val="auto"/>
          <w:sz w:val="24"/>
          <w:szCs w:val="24"/>
        </w:rPr>
      </w:pPr>
      <w:r>
        <w:rPr>
          <w:b/>
          <w:color w:val="auto"/>
          <w:sz w:val="24"/>
          <w:szCs w:val="24"/>
        </w:rPr>
      </w:r>
    </w:p>
    <w:p>
      <w:pPr>
        <w:pStyle w:val="Normal"/>
        <w:spacing w:before="0" w:after="0"/>
        <w:rPr>
          <w:rFonts w:ascii="Times New Roman" w:hAnsi="Times New Roman" w:cs="Times New Roman"/>
          <w:b/>
          <w:caps/>
          <w:color w:val="auto"/>
          <w:sz w:val="24"/>
          <w:szCs w:val="24"/>
        </w:rPr>
      </w:pPr>
      <w:r>
        <w:rPr>
          <w:rFonts w:cs="Times New Roman" w:ascii="Times New Roman" w:hAnsi="Times New Roman"/>
          <w:b/>
          <w:caps/>
          <w:color w:val="auto"/>
          <w:sz w:val="24"/>
          <w:szCs w:val="24"/>
        </w:rPr>
      </w:r>
    </w:p>
    <w:p>
      <w:pPr>
        <w:pStyle w:val="Normal"/>
        <w:spacing w:before="0" w:after="0"/>
        <w:rPr>
          <w:rFonts w:ascii="Times New Roman" w:hAnsi="Times New Roman" w:cs="Times New Roman"/>
          <w:b/>
          <w:caps/>
          <w:color w:val="auto"/>
          <w:sz w:val="24"/>
          <w:szCs w:val="24"/>
        </w:rPr>
      </w:pPr>
      <w:r>
        <w:rPr>
          <w:rFonts w:cs="Times New Roman" w:ascii="Times New Roman" w:hAnsi="Times New Roman"/>
          <w:b/>
          <w:caps/>
          <w:color w:val="auto"/>
          <w:sz w:val="24"/>
          <w:szCs w:val="24"/>
        </w:rPr>
      </w:r>
    </w:p>
    <w:p>
      <w:pPr>
        <w:pStyle w:val="Normal"/>
        <w:spacing w:before="0" w:after="0"/>
        <w:rPr>
          <w:rFonts w:ascii="Times New Roman" w:hAnsi="Times New Roman" w:cs="Times New Roman"/>
          <w:b/>
          <w:caps/>
          <w:color w:val="auto"/>
          <w:sz w:val="24"/>
          <w:szCs w:val="24"/>
        </w:rPr>
      </w:pPr>
      <w:r>
        <w:rPr>
          <w:rFonts w:cs="Times New Roman" w:ascii="Times New Roman" w:hAnsi="Times New Roman"/>
          <w:b/>
          <w:caps/>
          <w:color w:val="auto"/>
          <w:sz w:val="24"/>
          <w:szCs w:val="24"/>
        </w:rPr>
      </w:r>
    </w:p>
    <w:p>
      <w:pPr>
        <w:pStyle w:val="Normal"/>
        <w:spacing w:before="0" w:after="0"/>
        <w:rPr>
          <w:color w:val="auto"/>
        </w:rPr>
      </w:pPr>
      <w:r>
        <w:rPr>
          <w:rFonts w:cs="Times New Roman" w:ascii="Times New Roman" w:hAnsi="Times New Roman"/>
          <w:b/>
          <w:color w:val="auto"/>
          <w:sz w:val="24"/>
          <w:szCs w:val="24"/>
        </w:rPr>
        <w:t>3.2 ORGANIZAČNÁ ŠTRUKTÚRA ORGANIZÁCIÍ KONSOLIDOVANÉHO CELKU</w:t>
      </w:r>
    </w:p>
    <w:p>
      <w:pPr>
        <w:pStyle w:val="Normal"/>
        <w:spacing w:before="0" w:after="0"/>
        <w:rPr>
          <w:color w:val="auto"/>
        </w:rPr>
      </w:pPr>
      <w:r>
        <w:rPr>
          <w:rFonts w:cs="Times New Roman" w:ascii="Times New Roman" w:hAnsi="Times New Roman"/>
          <w:b/>
          <w:color w:val="auto"/>
          <w:sz w:val="24"/>
          <w:szCs w:val="24"/>
        </w:rPr>
        <w:t>3.2.1 ZÁKLADNÁ ŠKOLA</w:t>
      </w:r>
    </w:p>
    <w:p>
      <w:pPr>
        <w:pStyle w:val="Normal"/>
        <w:spacing w:before="0" w:after="0"/>
        <w:rPr>
          <w:color w:val="auto"/>
        </w:rPr>
      </w:pPr>
      <w:r>
        <w:rPr>
          <w:rFonts w:cs="Times New Roman" w:ascii="Times New Roman" w:hAnsi="Times New Roman"/>
          <w:b/>
          <w:outline/>
          <w:color w:val="auto"/>
          <w:sz w:val="24"/>
          <w:szCs w:val="24"/>
        </w:rPr>
        <w:tab/>
        <w:tab/>
      </w:r>
    </w:p>
    <w:p>
      <w:pPr>
        <w:pStyle w:val="Normal"/>
        <w:spacing w:before="0" w:after="0"/>
        <w:rPr>
          <w:b/>
          <w:color w:val="auto"/>
          <w:sz w:val="24"/>
          <w:szCs w:val="24"/>
        </w:rPr>
      </w:pPr>
      <w:r>
        <w:rPr>
          <w:b/>
          <w:color w:val="auto"/>
          <w:sz w:val="24"/>
          <w:szCs w:val="24"/>
        </w:rPr>
      </w:r>
    </w:p>
    <w:p>
      <w:pPr>
        <w:pStyle w:val="Normal"/>
        <w:spacing w:before="0" w:after="0"/>
        <w:rPr>
          <w:b/>
          <w:color w:val="auto"/>
          <w:sz w:val="24"/>
          <w:szCs w:val="24"/>
        </w:rPr>
      </w:pPr>
      <w:r>
        <w:rPr>
          <w:b/>
          <w:color w:val="auto"/>
          <w:sz w:val="24"/>
          <w:szCs w:val="24"/>
        </w:rPr>
      </w:r>
    </w:p>
    <w:p>
      <w:pPr>
        <w:pStyle w:val="Normal"/>
        <w:spacing w:before="0" w:after="0"/>
        <w:rPr>
          <w:b/>
          <w:color w:val="auto"/>
          <w:sz w:val="24"/>
          <w:szCs w:val="24"/>
        </w:rPr>
      </w:pPr>
      <w:r>
        <w:rPr>
          <w:b/>
          <w:color w:val="auto"/>
          <w:sz w:val="24"/>
          <w:szCs w:val="24"/>
        </w:rPr>
      </w:r>
    </w:p>
    <w:p>
      <w:pPr>
        <w:pStyle w:val="Normal"/>
        <w:rPr>
          <w:rFonts w:ascii="Times New Roman" w:hAnsi="Times New Roman"/>
          <w:color w:val="FF0000"/>
          <w:sz w:val="28"/>
          <w:szCs w:val="28"/>
        </w:rPr>
      </w:pPr>
      <w:r>
        <w:rPr>
          <w:rFonts w:ascii="Times New Roman" w:hAnsi="Times New Roman"/>
          <w:color w:val="FF0000"/>
          <w:sz w:val="28"/>
          <w:szCs w:val="28"/>
        </w:rPr>
        <mc:AlternateContent>
          <mc:Choice Requires="wps">
            <w:drawing>
              <wp:anchor behindDoc="0" distT="455295" distB="13335" distL="78740" distR="13335" simplePos="0" locked="0" layoutInCell="1" allowOverlap="1" relativeHeight="15">
                <wp:simplePos x="0" y="0"/>
                <wp:positionH relativeFrom="column">
                  <wp:posOffset>2482850</wp:posOffset>
                </wp:positionH>
                <wp:positionV relativeFrom="paragraph">
                  <wp:posOffset>120015</wp:posOffset>
                </wp:positionV>
                <wp:extent cx="828040" cy="720090"/>
                <wp:effectExtent l="78740" t="455295" r="13335" b="13335"/>
                <wp:wrapNone/>
                <wp:docPr id="17" name="Čiarová bublina 1 22"/>
                <a:graphic xmlns:a="http://schemas.openxmlformats.org/drawingml/2006/main">
                  <a:graphicData uri="http://schemas.microsoft.com/office/word/2010/wordprocessingShape">
                    <wps:wsp>
                      <wps:cNvSpPr/>
                      <wps:spPr>
                        <a:xfrm>
                          <a:off x="0" y="0"/>
                          <a:ext cx="828000" cy="720000"/>
                        </a:xfrm>
                        <a:prstGeom prst="borderCallout1">
                          <a:avLst>
                            <a:gd name="adj1" fmla="val 18750"/>
                            <a:gd name="adj2" fmla="val -8333"/>
                            <a:gd name="adj3" fmla="val -62101"/>
                            <a:gd name="adj4" fmla="val 48569"/>
                          </a:avLst>
                        </a:prstGeom>
                        <a:solidFill>
                          <a:srgbClr val="ffffff"/>
                        </a:solidFill>
                        <a:ln w="25560">
                          <a:solidFill>
                            <a:srgbClr val="000000"/>
                          </a:solidFill>
                          <a:miter/>
                        </a:ln>
                      </wps:spPr>
                      <wps:style>
                        <a:lnRef idx="0"/>
                        <a:fillRef idx="0"/>
                        <a:effectRef idx="0"/>
                        <a:fontRef idx="minor"/>
                      </wps:style>
                      <wps:txbx>
                        <w:txbxContent>
                          <w:p>
                            <w:pPr>
                              <w:pStyle w:val="Obsahrmca"/>
                              <w:jc w:val="center"/>
                              <w:rPr>
                                <w:rFonts w:ascii="Times New Roman" w:hAnsi="Times New Roman"/>
                                <w:sz w:val="24"/>
                                <w:szCs w:val="24"/>
                              </w:rPr>
                            </w:pPr>
                            <w:r>
                              <w:rPr>
                                <w:rFonts w:ascii="Times New Roman" w:hAnsi="Times New Roman"/>
                                <w:color w:val="000000"/>
                                <w:sz w:val="24"/>
                                <w:szCs w:val="24"/>
                              </w:rPr>
                              <w:t xml:space="preserve">Zástupca riaditeľa školy </w:t>
                            </w:r>
                          </w:p>
                          <w:p>
                            <w:pPr>
                              <w:pStyle w:val="Obsahrmca"/>
                              <w:spacing w:before="0" w:after="200"/>
                              <w:jc w:val="center"/>
                              <w:rPr>
                                <w:rFonts w:ascii="Times New Roman" w:hAnsi="Times New Roman"/>
                                <w:sz w:val="20"/>
                                <w:szCs w:val="20"/>
                              </w:rPr>
                            </w:pPr>
                            <w:r>
                              <w:rPr>
                                <w:color w:val="000000"/>
                              </w:rPr>
                            </w:r>
                          </w:p>
                        </w:txbxContent>
                      </wps:txbx>
                      <wps:bodyPr anchor="ctr">
                        <a:noAutofit/>
                      </wps:bodyPr>
                    </wps:wsp>
                  </a:graphicData>
                </a:graphic>
              </wp:anchor>
            </w:drawing>
          </mc:Choice>
          <mc:Fallback>
            <w:pict>
              <v:shapetype id="_x0000_t47" coordsize="21600,21600" o:spt="47" adj="-8280,24300,-1800,4050" path="m,l21600,l21600,21600l,21600xem@1@0l@3@2nfe">
                <v:stroke joinstyle="miter"/>
                <v:formulas>
                  <v:f eqn="val #3"/>
                  <v:f eqn="val #2"/>
                  <v:f eqn="val #1"/>
                  <v:f eqn="val #0"/>
                </v:formulas>
                <v:path gradientshapeok="t" o:connecttype="rect" textboxrect="0,0,21600,21600"/>
                <v:handles>
                  <v:h position="@1,@0"/>
                  <v:h position="@3,@2"/>
                </v:handles>
              </v:shapetype>
              <v:shape id="shape_0" ID="Čiarová bublina 1 22" path="m0,0l-2147483640,0l-2147483640,-2147483637l0,-2147483637xel-2147483641,-2147483643e" fillcolor="white" stroked="t" o:allowincell="f" style="position:absolute;margin-left:195.5pt;margin-top:9.45pt;width:65.15pt;height:56.65pt;mso-wrap-style:square;v-text-anchor:middle" type="_x0000_t47">
                <v:fill o:detectmouseclick="t" type="solid" color2="black"/>
                <v:stroke color="black" weight="25560" joinstyle="miter" endcap="flat"/>
                <v:textbox>
                  <w:txbxContent>
                    <w:p>
                      <w:pPr>
                        <w:pStyle w:val="Obsahrmca"/>
                        <w:jc w:val="center"/>
                        <w:rPr>
                          <w:rFonts w:ascii="Times New Roman" w:hAnsi="Times New Roman"/>
                          <w:sz w:val="24"/>
                          <w:szCs w:val="24"/>
                        </w:rPr>
                      </w:pPr>
                      <w:r>
                        <w:rPr>
                          <w:rFonts w:ascii="Times New Roman" w:hAnsi="Times New Roman"/>
                          <w:color w:val="000000"/>
                          <w:sz w:val="24"/>
                          <w:szCs w:val="24"/>
                        </w:rPr>
                        <w:t xml:space="preserve">Zástupca riaditeľa školy </w:t>
                      </w:r>
                    </w:p>
                    <w:p>
                      <w:pPr>
                        <w:pStyle w:val="Obsahrmca"/>
                        <w:spacing w:before="0" w:after="200"/>
                        <w:jc w:val="center"/>
                        <w:rPr>
                          <w:rFonts w:ascii="Times New Roman" w:hAnsi="Times New Roman"/>
                          <w:sz w:val="20"/>
                          <w:szCs w:val="20"/>
                        </w:rPr>
                      </w:pPr>
                      <w:r>
                        <w:rPr>
                          <w:color w:val="000000"/>
                        </w:rPr>
                      </w:r>
                    </w:p>
                  </w:txbxContent>
                </v:textbox>
                <w10:wrap type="none"/>
              </v:shape>
            </w:pict>
          </mc:Fallback>
        </mc:AlternateContent>
        <mc:AlternateContent>
          <mc:Choice Requires="wps">
            <w:drawing>
              <wp:anchor behindDoc="0" distT="14605" distB="14605" distL="15240" distR="13970" simplePos="0" locked="0" layoutInCell="1" allowOverlap="1" relativeHeight="17">
                <wp:simplePos x="0" y="0"/>
                <wp:positionH relativeFrom="column">
                  <wp:posOffset>2232025</wp:posOffset>
                </wp:positionH>
                <wp:positionV relativeFrom="paragraph">
                  <wp:posOffset>-615950</wp:posOffset>
                </wp:positionV>
                <wp:extent cx="1296035" cy="323850"/>
                <wp:effectExtent l="15240" t="14605" r="13970" b="14605"/>
                <wp:wrapNone/>
                <wp:docPr id="18" name="Rámec10"/>
                <a:graphic xmlns:a="http://schemas.openxmlformats.org/drawingml/2006/main">
                  <a:graphicData uri="http://schemas.microsoft.com/office/word/2010/wordprocessingShape">
                    <wps:wsp>
                      <wps:cNvSpPr/>
                      <wps:spPr>
                        <a:xfrm>
                          <a:off x="0" y="0"/>
                          <a:ext cx="1296000" cy="324000"/>
                        </a:xfrm>
                        <a:prstGeom prst="rect">
                          <a:avLst/>
                        </a:prstGeom>
                        <a:solidFill>
                          <a:srgbClr val="ffffff"/>
                        </a:solidFill>
                        <a:ln w="28575">
                          <a:solidFill>
                            <a:srgbClr val="000000"/>
                          </a:solidFill>
                          <a:round/>
                        </a:ln>
                      </wps:spPr>
                      <wps:style>
                        <a:lnRef idx="0"/>
                        <a:fillRef idx="0"/>
                        <a:effectRef idx="0"/>
                        <a:fontRef idx="minor"/>
                      </wps:style>
                      <wps:txbx>
                        <w:txbxContent>
                          <w:p>
                            <w:pPr>
                              <w:pStyle w:val="Obsahrmca"/>
                              <w:jc w:val="center"/>
                              <w:rPr>
                                <w:sz w:val="24"/>
                                <w:szCs w:val="24"/>
                              </w:rPr>
                            </w:pPr>
                            <w:r>
                              <w:rPr>
                                <w:color w:val="000000"/>
                                <w:sz w:val="24"/>
                                <w:szCs w:val="24"/>
                              </w:rPr>
                              <w:t>Riaditeľ školy</w:t>
                            </w:r>
                          </w:p>
                          <w:p>
                            <w:pPr>
                              <w:pStyle w:val="Obsahrmca"/>
                              <w:rPr>
                                <w:sz w:val="24"/>
                                <w:szCs w:val="24"/>
                              </w:rPr>
                            </w:pPr>
                            <w:r>
                              <w:rPr>
                                <w:color w:val="000000"/>
                                <w:sz w:val="24"/>
                                <w:szCs w:val="24"/>
                              </w:rPr>
                            </w:r>
                          </w:p>
                          <w:p>
                            <w:pPr>
                              <w:pStyle w:val="Obsahrmca"/>
                              <w:rPr>
                                <w:color w:val="000000"/>
                              </w:rPr>
                            </w:pPr>
                            <w:r>
                              <w:rPr>
                                <w:color w:val="000000"/>
                              </w:rPr>
                            </w:r>
                          </w:p>
                          <w:p>
                            <w:pPr>
                              <w:pStyle w:val="Obsahrmca"/>
                              <w:spacing w:before="0" w:after="200"/>
                              <w:rPr>
                                <w:color w:val="000000"/>
                              </w:rPr>
                            </w:pPr>
                            <w:r>
                              <w:rPr>
                                <w:color w:val="000000"/>
                              </w:rPr>
                            </w:r>
                          </w:p>
                        </w:txbxContent>
                      </wps:txbx>
                      <wps:bodyPr anchor="t">
                        <a:noAutofit/>
                      </wps:bodyPr>
                    </wps:wsp>
                  </a:graphicData>
                </a:graphic>
              </wp:anchor>
            </w:drawing>
          </mc:Choice>
          <mc:Fallback>
            <w:pict>
              <v:rect id="shape_0" ID="Rámec10" path="m0,0l-2147483645,0l-2147483645,-2147483646l0,-2147483646xe" fillcolor="white" stroked="t" o:allowincell="f" style="position:absolute;margin-left:175.75pt;margin-top:-48.5pt;width:102pt;height:25.45pt;mso-wrap-style:square;v-text-anchor:top">
                <v:fill o:detectmouseclick="t" type="solid" color2="black"/>
                <v:stroke color="black" weight="28440" joinstyle="round" endcap="flat"/>
                <v:textbox>
                  <w:txbxContent>
                    <w:p>
                      <w:pPr>
                        <w:pStyle w:val="Obsahrmca"/>
                        <w:jc w:val="center"/>
                        <w:rPr>
                          <w:sz w:val="24"/>
                          <w:szCs w:val="24"/>
                        </w:rPr>
                      </w:pPr>
                      <w:r>
                        <w:rPr>
                          <w:color w:val="000000"/>
                          <w:sz w:val="24"/>
                          <w:szCs w:val="24"/>
                        </w:rPr>
                        <w:t>Riaditeľ školy</w:t>
                      </w:r>
                    </w:p>
                    <w:p>
                      <w:pPr>
                        <w:pStyle w:val="Obsahrmca"/>
                        <w:rPr>
                          <w:sz w:val="24"/>
                          <w:szCs w:val="24"/>
                        </w:rPr>
                      </w:pPr>
                      <w:r>
                        <w:rPr>
                          <w:color w:val="000000"/>
                          <w:sz w:val="24"/>
                          <w:szCs w:val="24"/>
                        </w:rPr>
                      </w:r>
                    </w:p>
                    <w:p>
                      <w:pPr>
                        <w:pStyle w:val="Obsahrmca"/>
                        <w:rPr>
                          <w:color w:val="000000"/>
                        </w:rPr>
                      </w:pPr>
                      <w:r>
                        <w:rPr>
                          <w:color w:val="000000"/>
                        </w:rPr>
                      </w:r>
                    </w:p>
                    <w:p>
                      <w:pPr>
                        <w:pStyle w:val="Obsahrmca"/>
                        <w:spacing w:before="0" w:after="200"/>
                        <w:rPr>
                          <w:color w:val="000000"/>
                        </w:rPr>
                      </w:pPr>
                      <w:r>
                        <w:rPr>
                          <w:color w:val="000000"/>
                        </w:rPr>
                      </w:r>
                    </w:p>
                  </w:txbxContent>
                </v:textbox>
                <w10:wrap type="none"/>
              </v:rect>
            </w:pict>
          </mc:Fallback>
        </mc:AlternateContent>
      </w:r>
    </w:p>
    <w:p>
      <w:pPr>
        <w:pStyle w:val="Normal"/>
        <w:rPr>
          <w:rFonts w:ascii="Times New Roman" w:hAnsi="Times New Roman"/>
          <w:color w:val="FF0000"/>
          <w:sz w:val="28"/>
          <w:szCs w:val="28"/>
        </w:rPr>
      </w:pPr>
      <w:r>
        <w:rPr>
          <w:rFonts w:ascii="Times New Roman" w:hAnsi="Times New Roman"/>
          <w:color w:val="FF0000"/>
          <w:sz w:val="28"/>
          <w:szCs w:val="28"/>
        </w:rPr>
        <mc:AlternateContent>
          <mc:Choice Requires="wps">
            <w:drawing>
              <wp:anchor behindDoc="0" distT="672465" distB="13335" distL="147955" distR="12700" simplePos="0" locked="0" layoutInCell="1" allowOverlap="1" relativeHeight="13">
                <wp:simplePos x="0" y="0"/>
                <wp:positionH relativeFrom="column">
                  <wp:posOffset>3642995</wp:posOffset>
                </wp:positionH>
                <wp:positionV relativeFrom="paragraph">
                  <wp:posOffset>10160</wp:posOffset>
                </wp:positionV>
                <wp:extent cx="899795" cy="323850"/>
                <wp:effectExtent l="147955" t="672465" r="12700" b="13335"/>
                <wp:wrapNone/>
                <wp:docPr id="19" name="Čiarová bublina 1 19"/>
                <a:graphic xmlns:a="http://schemas.openxmlformats.org/drawingml/2006/main">
                  <a:graphicData uri="http://schemas.microsoft.com/office/word/2010/wordprocessingShape">
                    <wps:wsp>
                      <wps:cNvSpPr/>
                      <wps:spPr>
                        <a:xfrm>
                          <a:off x="0" y="0"/>
                          <a:ext cx="899640" cy="324000"/>
                        </a:xfrm>
                        <a:prstGeom prst="borderCallout1">
                          <a:avLst>
                            <a:gd name="adj1" fmla="val 18750"/>
                            <a:gd name="adj2" fmla="val -8333"/>
                            <a:gd name="adj3" fmla="val -203393"/>
                            <a:gd name="adj4" fmla="val -15000"/>
                          </a:avLst>
                        </a:prstGeom>
                        <a:solidFill>
                          <a:srgbClr val="ffffff"/>
                        </a:solidFill>
                        <a:ln w="25560">
                          <a:solidFill>
                            <a:srgbClr val="000000"/>
                          </a:solidFill>
                          <a:round/>
                        </a:ln>
                      </wps:spPr>
                      <wps:style>
                        <a:lnRef idx="0"/>
                        <a:fillRef idx="0"/>
                        <a:effectRef idx="0"/>
                        <a:fontRef idx="minor"/>
                      </wps:style>
                      <wps:txbx>
                        <w:txbxContent>
                          <w:p>
                            <w:pPr>
                              <w:pStyle w:val="Obsahrmca"/>
                              <w:spacing w:before="0" w:after="200"/>
                              <w:jc w:val="center"/>
                              <w:rPr>
                                <w:rFonts w:ascii="Times New Roman" w:hAnsi="Times New Roman"/>
                                <w:sz w:val="24"/>
                                <w:szCs w:val="24"/>
                              </w:rPr>
                            </w:pPr>
                            <w:r>
                              <w:rPr>
                                <w:rFonts w:ascii="Times New Roman" w:hAnsi="Times New Roman"/>
                                <w:color w:val="000000"/>
                                <w:sz w:val="24"/>
                                <w:szCs w:val="24"/>
                              </w:rPr>
                              <w:t>Ekonómka</w:t>
                            </w:r>
                          </w:p>
                        </w:txbxContent>
                      </wps:txbx>
                      <wps:bodyPr anchor="ctr">
                        <a:noAutofit/>
                      </wps:bodyPr>
                    </wps:wsp>
                  </a:graphicData>
                </a:graphic>
              </wp:anchor>
            </w:drawing>
          </mc:Choice>
          <mc:Fallback>
            <w:pict>
              <v:shape id="shape_0" ID="Čiarová bublina 1 19" path="m0,0l-2147483640,0l-2147483640,-2147483637l0,-2147483637xel-2147483641,-2147483643e" fillcolor="white" stroked="t" o:allowincell="f" style="position:absolute;margin-left:286.85pt;margin-top:0.8pt;width:70.8pt;height:25.45pt;mso-wrap-style:square;v-text-anchor:middle" type="_x0000_t47">
                <v:fill o:detectmouseclick="t" type="solid" color2="black"/>
                <v:stroke color="black" weight="25560" joinstyle="round" endcap="flat"/>
                <v:textbox>
                  <w:txbxContent>
                    <w:p>
                      <w:pPr>
                        <w:pStyle w:val="Obsahrmca"/>
                        <w:spacing w:before="0" w:after="200"/>
                        <w:jc w:val="center"/>
                        <w:rPr>
                          <w:rFonts w:ascii="Times New Roman" w:hAnsi="Times New Roman"/>
                          <w:sz w:val="24"/>
                          <w:szCs w:val="24"/>
                        </w:rPr>
                      </w:pPr>
                      <w:r>
                        <w:rPr>
                          <w:rFonts w:ascii="Times New Roman" w:hAnsi="Times New Roman"/>
                          <w:color w:val="000000"/>
                          <w:sz w:val="24"/>
                          <w:szCs w:val="24"/>
                        </w:rPr>
                        <w:t>Ekonómka</w:t>
                      </w:r>
                    </w:p>
                  </w:txbxContent>
                </v:textbox>
                <w10:wrap type="none"/>
              </v:shape>
            </w:pict>
          </mc:Fallback>
        </mc:AlternateContent>
      </w:r>
    </w:p>
    <w:p>
      <w:pPr>
        <w:pStyle w:val="Normal"/>
        <w:rPr>
          <w:rFonts w:ascii="Times New Roman" w:hAnsi="Times New Roman"/>
          <w:color w:val="FF0000"/>
          <w:sz w:val="28"/>
          <w:szCs w:val="28"/>
        </w:rPr>
      </w:pPr>
      <w:r>
        <w:rPr>
          <w:rFonts w:ascii="Times New Roman" w:hAnsi="Times New Roman"/>
          <w:color w:val="FF0000"/>
          <w:sz w:val="28"/>
          <w:szCs w:val="28"/>
        </w:rPr>
      </w:r>
    </w:p>
    <w:p>
      <w:pPr>
        <w:pStyle w:val="Normal"/>
        <w:rPr>
          <w:rFonts w:ascii="Times New Roman" w:hAnsi="Times New Roman"/>
          <w:color w:val="FF0000"/>
          <w:sz w:val="28"/>
          <w:szCs w:val="28"/>
        </w:rPr>
      </w:pPr>
      <w:r>
        <w:rPr>
          <w:rFonts w:ascii="Times New Roman" w:hAnsi="Times New Roman"/>
          <w:color w:val="FF0000"/>
          <w:sz w:val="28"/>
          <w:szCs w:val="28"/>
        </w:rPr>
        <mc:AlternateContent>
          <mc:Choice Requires="wps">
            <w:drawing>
              <wp:anchor behindDoc="0" distT="527685" distB="12700" distL="128905" distR="13335" simplePos="0" locked="0" layoutInCell="1" allowOverlap="1" relativeHeight="19">
                <wp:simplePos x="0" y="0"/>
                <wp:positionH relativeFrom="column">
                  <wp:posOffset>2191385</wp:posOffset>
                </wp:positionH>
                <wp:positionV relativeFrom="paragraph">
                  <wp:posOffset>269875</wp:posOffset>
                </wp:positionV>
                <wp:extent cx="1399540" cy="467995"/>
                <wp:effectExtent l="128905" t="527685" r="13335" b="12700"/>
                <wp:wrapNone/>
                <wp:docPr id="20" name="Čiarová bublina 1 17"/>
                <a:graphic xmlns:a="http://schemas.openxmlformats.org/drawingml/2006/main">
                  <a:graphicData uri="http://schemas.microsoft.com/office/word/2010/wordprocessingShape">
                    <wps:wsp>
                      <wps:cNvSpPr/>
                      <wps:spPr>
                        <a:xfrm>
                          <a:off x="0" y="0"/>
                          <a:ext cx="1399680" cy="468000"/>
                        </a:xfrm>
                        <a:prstGeom prst="borderCallout1">
                          <a:avLst>
                            <a:gd name="adj1" fmla="val 18750"/>
                            <a:gd name="adj2" fmla="val -8333"/>
                            <a:gd name="adj3" fmla="val -109842"/>
                            <a:gd name="adj4" fmla="val 48972"/>
                          </a:avLst>
                        </a:prstGeom>
                        <a:solidFill>
                          <a:srgbClr val="ffffff"/>
                        </a:solidFill>
                        <a:ln w="25560">
                          <a:solidFill>
                            <a:srgbClr val="000000"/>
                          </a:solidFill>
                          <a:round/>
                        </a:ln>
                      </wps:spPr>
                      <wps:style>
                        <a:lnRef idx="0"/>
                        <a:fillRef idx="0"/>
                        <a:effectRef idx="0"/>
                        <a:fontRef idx="minor"/>
                      </wps:style>
                      <wps:txbx>
                        <w:txbxContent>
                          <w:p>
                            <w:pPr>
                              <w:pStyle w:val="Obsahrmca"/>
                              <w:spacing w:before="0" w:after="200"/>
                              <w:jc w:val="center"/>
                              <w:rPr>
                                <w:rFonts w:ascii="Times New Roman" w:hAnsi="Times New Roman"/>
                                <w:sz w:val="24"/>
                                <w:szCs w:val="24"/>
                              </w:rPr>
                            </w:pPr>
                            <w:r>
                              <w:rPr>
                                <w:rFonts w:ascii="Times New Roman" w:hAnsi="Times New Roman"/>
                                <w:color w:val="000000"/>
                                <w:sz w:val="24"/>
                                <w:szCs w:val="24"/>
                              </w:rPr>
                              <w:t>Pedagogickí pracovníci</w:t>
                            </w:r>
                          </w:p>
                        </w:txbxContent>
                      </wps:txbx>
                      <wps:bodyPr anchor="ctr">
                        <a:noAutofit/>
                      </wps:bodyPr>
                    </wps:wsp>
                  </a:graphicData>
                </a:graphic>
              </wp:anchor>
            </w:drawing>
          </mc:Choice>
          <mc:Fallback>
            <w:pict>
              <v:shape id="shape_0" ID="Čiarová bublina 1 17" path="m0,0l-2147483640,0l-2147483640,-2147483637l0,-2147483637xel-2147483641,-2147483643e" fillcolor="white" stroked="t" o:allowincell="f" style="position:absolute;margin-left:172.55pt;margin-top:21.25pt;width:110.15pt;height:36.8pt;mso-wrap-style:square;v-text-anchor:middle" type="_x0000_t47">
                <v:fill o:detectmouseclick="t" type="solid" color2="black"/>
                <v:stroke color="black" weight="25560" joinstyle="round" endcap="flat"/>
                <v:textbox>
                  <w:txbxContent>
                    <w:p>
                      <w:pPr>
                        <w:pStyle w:val="Obsahrmca"/>
                        <w:spacing w:before="0" w:after="200"/>
                        <w:jc w:val="center"/>
                        <w:rPr>
                          <w:rFonts w:ascii="Times New Roman" w:hAnsi="Times New Roman"/>
                          <w:sz w:val="24"/>
                          <w:szCs w:val="24"/>
                        </w:rPr>
                      </w:pPr>
                      <w:r>
                        <w:rPr>
                          <w:rFonts w:ascii="Times New Roman" w:hAnsi="Times New Roman"/>
                          <w:color w:val="000000"/>
                          <w:sz w:val="24"/>
                          <w:szCs w:val="24"/>
                        </w:rPr>
                        <w:t>Pedagogickí pracovníci</w:t>
                      </w:r>
                    </w:p>
                  </w:txbxContent>
                </v:textbox>
                <w10:wrap type="none"/>
              </v:shape>
            </w:pict>
          </mc:Fallback>
        </mc:AlternateContent>
      </w:r>
    </w:p>
    <w:p>
      <w:pPr>
        <w:pStyle w:val="Normal"/>
        <w:rPr>
          <w:rFonts w:ascii="Times New Roman" w:hAnsi="Times New Roman"/>
          <w:color w:val="FF0000"/>
          <w:sz w:val="28"/>
          <w:szCs w:val="28"/>
        </w:rPr>
      </w:pPr>
      <w:r>
        <w:rPr>
          <w:rFonts w:ascii="Times New Roman" w:hAnsi="Times New Roman"/>
          <w:color w:val="FF0000"/>
          <w:sz w:val="28"/>
          <w:szCs w:val="28"/>
        </w:rPr>
        <mc:AlternateContent>
          <mc:Choice Requires="wps">
            <w:drawing>
              <wp:anchor behindDoc="0" distT="1817370" distB="13335" distL="136525" distR="365760" simplePos="0" locked="0" layoutInCell="1" allowOverlap="1" relativeHeight="23">
                <wp:simplePos x="0" y="0"/>
                <wp:positionH relativeFrom="column">
                  <wp:posOffset>403225</wp:posOffset>
                </wp:positionH>
                <wp:positionV relativeFrom="paragraph">
                  <wp:posOffset>53975</wp:posOffset>
                </wp:positionV>
                <wp:extent cx="1488440" cy="323850"/>
                <wp:effectExtent l="136525" t="1817370" r="365760" b="13335"/>
                <wp:wrapNone/>
                <wp:docPr id="21" name="Čiarová bublina 1 20"/>
                <a:graphic xmlns:a="http://schemas.openxmlformats.org/drawingml/2006/main">
                  <a:graphicData uri="http://schemas.microsoft.com/office/word/2010/wordprocessingShape">
                    <wps:wsp>
                      <wps:cNvSpPr/>
                      <wps:spPr>
                        <a:xfrm>
                          <a:off x="0" y="0"/>
                          <a:ext cx="1488600" cy="324000"/>
                        </a:xfrm>
                        <a:prstGeom prst="borderCallout1">
                          <a:avLst>
                            <a:gd name="adj1" fmla="val 18750"/>
                            <a:gd name="adj2" fmla="val -8333"/>
                            <a:gd name="adj3" fmla="val -556328"/>
                            <a:gd name="adj4" fmla="val 123675"/>
                          </a:avLst>
                        </a:prstGeom>
                        <a:solidFill>
                          <a:srgbClr val="ffffff"/>
                        </a:solidFill>
                        <a:ln w="25560">
                          <a:solidFill>
                            <a:srgbClr val="000000"/>
                          </a:solidFill>
                          <a:round/>
                        </a:ln>
                      </wps:spPr>
                      <wps:style>
                        <a:lnRef idx="0"/>
                        <a:fillRef idx="0"/>
                        <a:effectRef idx="0"/>
                        <a:fontRef idx="minor"/>
                      </wps:style>
                      <wps:txbx>
                        <w:txbxContent>
                          <w:p>
                            <w:pPr>
                              <w:pStyle w:val="Obsahrmca"/>
                              <w:spacing w:before="0" w:after="200"/>
                              <w:jc w:val="center"/>
                              <w:rPr>
                                <w:rFonts w:ascii="Times New Roman" w:hAnsi="Times New Roman"/>
                                <w:sz w:val="24"/>
                                <w:szCs w:val="24"/>
                              </w:rPr>
                            </w:pPr>
                            <w:r>
                              <w:rPr>
                                <w:rFonts w:ascii="Times New Roman" w:hAnsi="Times New Roman"/>
                                <w:color w:val="000000"/>
                                <w:sz w:val="24"/>
                                <w:szCs w:val="24"/>
                              </w:rPr>
                              <w:t>Školník</w:t>
                            </w:r>
                          </w:p>
                        </w:txbxContent>
                      </wps:txbx>
                      <wps:bodyPr anchor="ctr">
                        <a:noAutofit/>
                      </wps:bodyPr>
                    </wps:wsp>
                  </a:graphicData>
                </a:graphic>
              </wp:anchor>
            </w:drawing>
          </mc:Choice>
          <mc:Fallback>
            <w:pict>
              <v:shape id="shape_0" ID="Čiarová bublina 1 20" path="m0,0l-2147483640,0l-2147483640,-2147483637l0,-2147483637xel-2147483641,-2147483643e" fillcolor="white" stroked="t" o:allowincell="f" style="position:absolute;margin-left:31.75pt;margin-top:4.25pt;width:117.15pt;height:25.45pt;mso-wrap-style:square;v-text-anchor:middle" type="_x0000_t47">
                <v:fill o:detectmouseclick="t" type="solid" color2="black"/>
                <v:stroke color="black" weight="25560" joinstyle="round" endcap="flat"/>
                <v:textbox>
                  <w:txbxContent>
                    <w:p>
                      <w:pPr>
                        <w:pStyle w:val="Obsahrmca"/>
                        <w:spacing w:before="0" w:after="200"/>
                        <w:jc w:val="center"/>
                        <w:rPr>
                          <w:rFonts w:ascii="Times New Roman" w:hAnsi="Times New Roman"/>
                          <w:sz w:val="24"/>
                          <w:szCs w:val="24"/>
                        </w:rPr>
                      </w:pPr>
                      <w:r>
                        <w:rPr>
                          <w:rFonts w:ascii="Times New Roman" w:hAnsi="Times New Roman"/>
                          <w:color w:val="000000"/>
                          <w:sz w:val="24"/>
                          <w:szCs w:val="24"/>
                        </w:rPr>
                        <w:t>Školník</w:t>
                      </w:r>
                    </w:p>
                  </w:txbxContent>
                </v:textbox>
                <w10:wrap type="none"/>
              </v:shape>
            </w:pict>
          </mc:Fallback>
        </mc:AlternateContent>
      </w:r>
    </w:p>
    <w:p>
      <w:pPr>
        <w:pStyle w:val="Normal"/>
        <w:rPr>
          <w:rFonts w:ascii="Times New Roman" w:hAnsi="Times New Roman"/>
          <w:color w:val="FF0000"/>
          <w:sz w:val="28"/>
          <w:szCs w:val="28"/>
        </w:rPr>
      </w:pPr>
      <w:r>
        <w:rPr>
          <w:rFonts w:ascii="Times New Roman" w:hAnsi="Times New Roman"/>
          <w:color w:val="FF0000"/>
          <w:sz w:val="28"/>
          <w:szCs w:val="28"/>
        </w:rPr>
        <mc:AlternateContent>
          <mc:Choice Requires="wps">
            <w:drawing>
              <wp:anchor behindDoc="0" distT="163830" distB="13335" distL="136525" distR="13335" simplePos="0" locked="0" layoutInCell="1" allowOverlap="1" relativeHeight="21">
                <wp:simplePos x="0" y="0"/>
                <wp:positionH relativeFrom="column">
                  <wp:posOffset>403860</wp:posOffset>
                </wp:positionH>
                <wp:positionV relativeFrom="paragraph">
                  <wp:posOffset>135890</wp:posOffset>
                </wp:positionV>
                <wp:extent cx="1488440" cy="323850"/>
                <wp:effectExtent l="136525" t="163830" r="13335" b="13335"/>
                <wp:wrapNone/>
                <wp:docPr id="22" name="Čiarová bublina 1 21"/>
                <a:graphic xmlns:a="http://schemas.openxmlformats.org/drawingml/2006/main">
                  <a:graphicData uri="http://schemas.microsoft.com/office/word/2010/wordprocessingShape">
                    <wps:wsp>
                      <wps:cNvSpPr/>
                      <wps:spPr>
                        <a:xfrm>
                          <a:off x="0" y="0"/>
                          <a:ext cx="1488600" cy="324000"/>
                        </a:xfrm>
                        <a:prstGeom prst="borderCallout1">
                          <a:avLst>
                            <a:gd name="adj1" fmla="val 18750"/>
                            <a:gd name="adj2" fmla="val -8333"/>
                            <a:gd name="adj3" fmla="val -46597"/>
                            <a:gd name="adj4" fmla="val 49194"/>
                          </a:avLst>
                        </a:prstGeom>
                        <a:solidFill>
                          <a:srgbClr val="ffffff"/>
                        </a:solidFill>
                        <a:ln w="25560">
                          <a:solidFill>
                            <a:srgbClr val="000000"/>
                          </a:solidFill>
                          <a:round/>
                        </a:ln>
                      </wps:spPr>
                      <wps:style>
                        <a:lnRef idx="0"/>
                        <a:fillRef idx="0"/>
                        <a:effectRef idx="0"/>
                        <a:fontRef idx="minor"/>
                      </wps:style>
                      <wps:txbx>
                        <w:txbxContent>
                          <w:p>
                            <w:pPr>
                              <w:pStyle w:val="Obsahrmca"/>
                              <w:spacing w:before="0" w:after="200"/>
                              <w:jc w:val="center"/>
                              <w:rPr>
                                <w:rFonts w:ascii="Times New Roman" w:hAnsi="Times New Roman"/>
                                <w:sz w:val="24"/>
                                <w:szCs w:val="24"/>
                              </w:rPr>
                            </w:pPr>
                            <w:r>
                              <w:rPr>
                                <w:rFonts w:ascii="Times New Roman" w:hAnsi="Times New Roman"/>
                                <w:color w:val="000000"/>
                                <w:sz w:val="24"/>
                                <w:szCs w:val="24"/>
                              </w:rPr>
                              <w:t xml:space="preserve">Upratovačky </w:t>
                            </w:r>
                          </w:p>
                        </w:txbxContent>
                      </wps:txbx>
                      <wps:bodyPr anchor="ctr">
                        <a:noAutofit/>
                      </wps:bodyPr>
                    </wps:wsp>
                  </a:graphicData>
                </a:graphic>
              </wp:anchor>
            </w:drawing>
          </mc:Choice>
          <mc:Fallback>
            <w:pict>
              <v:shape id="shape_0" ID="Čiarová bublina 1 21" path="m0,0l-2147483640,0l-2147483640,-2147483637l0,-2147483637xel-2147483641,-2147483643e" fillcolor="white" stroked="t" o:allowincell="f" style="position:absolute;margin-left:31.8pt;margin-top:10.7pt;width:117.15pt;height:25.45pt;mso-wrap-style:square;v-text-anchor:middle" type="_x0000_t47">
                <v:fill o:detectmouseclick="t" type="solid" color2="black"/>
                <v:stroke color="black" weight="25560" joinstyle="round" endcap="flat"/>
                <v:textbox>
                  <w:txbxContent>
                    <w:p>
                      <w:pPr>
                        <w:pStyle w:val="Obsahrmca"/>
                        <w:spacing w:before="0" w:after="200"/>
                        <w:jc w:val="center"/>
                        <w:rPr>
                          <w:rFonts w:ascii="Times New Roman" w:hAnsi="Times New Roman"/>
                          <w:sz w:val="24"/>
                          <w:szCs w:val="24"/>
                        </w:rPr>
                      </w:pPr>
                      <w:r>
                        <w:rPr>
                          <w:rFonts w:ascii="Times New Roman" w:hAnsi="Times New Roman"/>
                          <w:color w:val="000000"/>
                          <w:sz w:val="24"/>
                          <w:szCs w:val="24"/>
                        </w:rPr>
                        <w:t xml:space="preserve">Upratovačky </w:t>
                      </w:r>
                    </w:p>
                  </w:txbxContent>
                </v:textbox>
                <w10:wrap type="none"/>
              </v:shape>
            </w:pict>
          </mc:Fallback>
        </mc:AlternateContent>
      </w:r>
    </w:p>
    <w:p>
      <w:pPr>
        <w:pStyle w:val="Normal"/>
        <w:rPr>
          <w:rFonts w:ascii="Times New Roman" w:hAnsi="Times New Roman"/>
          <w:color w:val="FF0000"/>
          <w:sz w:val="28"/>
          <w:szCs w:val="28"/>
        </w:rPr>
      </w:pPr>
      <w:r>
        <w:rPr>
          <w:rFonts w:ascii="Times New Roman" w:hAnsi="Times New Roman"/>
          <w:color w:val="FF0000"/>
          <w:sz w:val="28"/>
          <w:szCs w:val="28"/>
        </w:rPr>
      </w:r>
    </w:p>
    <w:p>
      <w:pPr>
        <w:pStyle w:val="Normal"/>
        <w:rPr>
          <w:color w:val="auto"/>
        </w:rPr>
      </w:pPr>
      <w:r>
        <w:rPr>
          <w:rFonts w:ascii="Times New Roman" w:hAnsi="Times New Roman"/>
          <w:b/>
          <w:color w:val="auto"/>
          <w:sz w:val="24"/>
          <w:szCs w:val="24"/>
        </w:rPr>
        <w:t>Pomocné a poradné orgány školy:</w:t>
      </w:r>
    </w:p>
    <w:p>
      <w:pPr>
        <w:pStyle w:val="Normal"/>
        <w:spacing w:lineRule="auto" w:line="240" w:before="0" w:after="0"/>
        <w:rPr>
          <w:color w:val="auto"/>
        </w:rPr>
      </w:pPr>
      <w:r>
        <w:rPr>
          <w:rFonts w:ascii="Times New Roman" w:hAnsi="Times New Roman"/>
          <w:color w:val="auto"/>
          <w:sz w:val="24"/>
          <w:szCs w:val="24"/>
        </w:rPr>
        <w:t>Pedagogická rada školy – všetci pedagogickí pracovníci</w:t>
      </w:r>
    </w:p>
    <w:p>
      <w:pPr>
        <w:pStyle w:val="Normal"/>
        <w:spacing w:lineRule="auto" w:line="240" w:before="0" w:after="0"/>
        <w:rPr>
          <w:color w:val="auto"/>
        </w:rPr>
      </w:pPr>
      <w:r>
        <w:rPr>
          <w:rFonts w:ascii="Times New Roman" w:hAnsi="Times New Roman"/>
          <w:color w:val="auto"/>
          <w:sz w:val="24"/>
          <w:szCs w:val="24"/>
        </w:rPr>
        <w:t>1. stupeň – Metodické združenie (MZ 1. - 4. ročník)</w:t>
      </w:r>
    </w:p>
    <w:p>
      <w:pPr>
        <w:pStyle w:val="Normal"/>
        <w:spacing w:before="0" w:after="0"/>
        <w:rPr>
          <w:color w:val="auto"/>
        </w:rPr>
      </w:pPr>
      <w:r>
        <w:rPr>
          <w:rFonts w:ascii="Times New Roman" w:hAnsi="Times New Roman"/>
          <w:color w:val="auto"/>
          <w:sz w:val="24"/>
          <w:szCs w:val="24"/>
        </w:rPr>
        <w:t>2. stupeň – Predmetové komisie (PK)</w:t>
      </w:r>
    </w:p>
    <w:p>
      <w:pPr>
        <w:pStyle w:val="Normal"/>
        <w:spacing w:lineRule="auto" w:line="240" w:before="0" w:after="0"/>
        <w:ind w:firstLine="708"/>
        <w:rPr>
          <w:color w:val="auto"/>
        </w:rPr>
      </w:pPr>
      <w:r>
        <w:rPr>
          <w:rFonts w:ascii="Times New Roman" w:hAnsi="Times New Roman"/>
          <w:color w:val="auto"/>
          <w:sz w:val="24"/>
          <w:szCs w:val="24"/>
        </w:rPr>
        <w:t>PK – Jazyky a spoločenskovedné predmety</w:t>
      </w:r>
    </w:p>
    <w:p>
      <w:pPr>
        <w:pStyle w:val="Normal"/>
        <w:spacing w:lineRule="auto" w:line="240" w:before="0" w:after="0"/>
        <w:ind w:firstLine="708"/>
        <w:rPr>
          <w:color w:val="auto"/>
        </w:rPr>
      </w:pPr>
      <w:r>
        <w:rPr>
          <w:rFonts w:ascii="Times New Roman" w:hAnsi="Times New Roman"/>
          <w:color w:val="auto"/>
          <w:sz w:val="24"/>
          <w:szCs w:val="24"/>
        </w:rPr>
        <w:t>PK – Matematika a prírodovedné predmety</w:t>
      </w:r>
    </w:p>
    <w:p>
      <w:pPr>
        <w:pStyle w:val="Normal"/>
        <w:spacing w:lineRule="auto" w:line="240" w:before="0" w:after="0"/>
        <w:ind w:firstLine="708"/>
        <w:rPr>
          <w:color w:val="auto"/>
        </w:rPr>
      </w:pPr>
      <w:r>
        <w:rPr>
          <w:rFonts w:ascii="Times New Roman" w:hAnsi="Times New Roman"/>
          <w:color w:val="auto"/>
          <w:sz w:val="24"/>
          <w:szCs w:val="24"/>
        </w:rPr>
        <w:t>PK – Veda a výchova</w:t>
      </w:r>
    </w:p>
    <w:p>
      <w:pPr>
        <w:pStyle w:val="Normal"/>
        <w:spacing w:lineRule="auto" w:line="240" w:before="0" w:after="0"/>
        <w:rPr>
          <w:color w:val="auto"/>
        </w:rPr>
      </w:pPr>
      <w:r>
        <w:rPr>
          <w:rFonts w:ascii="Times New Roman" w:hAnsi="Times New Roman"/>
          <w:color w:val="auto"/>
          <w:sz w:val="24"/>
          <w:szCs w:val="24"/>
        </w:rPr>
        <w:t>výchovný poradca</w:t>
      </w:r>
    </w:p>
    <w:p>
      <w:pPr>
        <w:pStyle w:val="Normal"/>
        <w:spacing w:before="0" w:after="0"/>
        <w:rPr>
          <w:rFonts w:ascii="Times New Roman" w:hAnsi="Times New Roman"/>
          <w:color w:val="auto"/>
          <w:sz w:val="28"/>
          <w:szCs w:val="28"/>
        </w:rPr>
      </w:pPr>
      <w:r>
        <w:rPr>
          <w:rFonts w:ascii="Times New Roman" w:hAnsi="Times New Roman"/>
          <w:color w:val="auto"/>
          <w:sz w:val="28"/>
          <w:szCs w:val="28"/>
        </w:rPr>
      </w:r>
    </w:p>
    <w:p>
      <w:pPr>
        <w:pStyle w:val="Normal"/>
        <w:spacing w:before="0" w:after="0"/>
        <w:rPr>
          <w:color w:val="auto"/>
        </w:rPr>
      </w:pPr>
      <w:r>
        <w:rPr>
          <w:rFonts w:ascii="Times New Roman" w:hAnsi="Times New Roman"/>
          <w:b/>
          <w:color w:val="auto"/>
          <w:sz w:val="24"/>
          <w:szCs w:val="24"/>
        </w:rPr>
        <w:t xml:space="preserve">  </w:t>
      </w:r>
      <w:r>
        <w:rPr>
          <w:rFonts w:cs="Times New Roman" w:ascii="Times New Roman" w:hAnsi="Times New Roman"/>
          <w:b/>
          <w:color w:val="auto"/>
          <w:sz w:val="24"/>
          <w:szCs w:val="24"/>
        </w:rPr>
        <w:t>3.2.2 MATERSKÁ ŠKOLA</w:t>
      </w:r>
    </w:p>
    <w:p>
      <w:pPr>
        <w:pStyle w:val="Normal"/>
        <w:spacing w:before="0" w:after="0"/>
        <w:rPr>
          <w:b/>
          <w:color w:val="auto"/>
          <w:sz w:val="24"/>
          <w:szCs w:val="24"/>
        </w:rPr>
      </w:pPr>
      <w:r>
        <w:rPr>
          <w:b/>
          <w:color w:val="auto"/>
          <w:sz w:val="24"/>
          <w:szCs w:val="24"/>
        </w:rPr>
      </w:r>
    </w:p>
    <w:p>
      <w:pPr>
        <w:pStyle w:val="Normal"/>
        <w:spacing w:before="0" w:after="0"/>
        <w:rPr>
          <w:b/>
          <w:color w:val="FF0000"/>
          <w:sz w:val="24"/>
          <w:szCs w:val="24"/>
        </w:rPr>
      </w:pPr>
      <w:r>
        <w:rPr>
          <w:b/>
          <w:color w:val="FF0000"/>
          <w:sz w:val="24"/>
          <w:szCs w:val="24"/>
        </w:rPr>
        <mc:AlternateContent>
          <mc:Choice Requires="wps">
            <w:drawing>
              <wp:anchor behindDoc="0" distT="14605" distB="14605" distL="14605" distR="14605" simplePos="0" locked="0" layoutInCell="1" allowOverlap="1" relativeHeight="25">
                <wp:simplePos x="0" y="0"/>
                <wp:positionH relativeFrom="column">
                  <wp:posOffset>2292350</wp:posOffset>
                </wp:positionH>
                <wp:positionV relativeFrom="paragraph">
                  <wp:posOffset>97155</wp:posOffset>
                </wp:positionV>
                <wp:extent cx="1310640" cy="361950"/>
                <wp:effectExtent l="14605" t="14605" r="14605" b="14605"/>
                <wp:wrapNone/>
                <wp:docPr id="23" name="Rámec15"/>
                <a:graphic xmlns:a="http://schemas.openxmlformats.org/drawingml/2006/main">
                  <a:graphicData uri="http://schemas.microsoft.com/office/word/2010/wordprocessingShape">
                    <wps:wsp>
                      <wps:cNvSpPr/>
                      <wps:spPr>
                        <a:xfrm>
                          <a:off x="0" y="0"/>
                          <a:ext cx="1310760" cy="361800"/>
                        </a:xfrm>
                        <a:prstGeom prst="rect">
                          <a:avLst/>
                        </a:prstGeom>
                        <a:solidFill>
                          <a:srgbClr val="ffffff"/>
                        </a:solidFill>
                        <a:ln w="28575">
                          <a:solidFill>
                            <a:srgbClr val="000000"/>
                          </a:solidFill>
                          <a:round/>
                        </a:ln>
                      </wps:spPr>
                      <wps:style>
                        <a:lnRef idx="0"/>
                        <a:fillRef idx="0"/>
                        <a:effectRef idx="0"/>
                        <a:fontRef idx="minor"/>
                      </wps:style>
                      <wps:txbx>
                        <w:txbxContent>
                          <w:p>
                            <w:pPr>
                              <w:pStyle w:val="Obsahrmca"/>
                              <w:spacing w:before="0" w:after="200"/>
                              <w:rPr>
                                <w:sz w:val="24"/>
                                <w:szCs w:val="24"/>
                              </w:rPr>
                            </w:pPr>
                            <w:r>
                              <w:rPr>
                                <w:color w:val="000000"/>
                                <w:sz w:val="24"/>
                                <w:szCs w:val="24"/>
                              </w:rPr>
                              <w:t>Riaditeľka školy</w:t>
                            </w:r>
                          </w:p>
                        </w:txbxContent>
                      </wps:txbx>
                      <wps:bodyPr anchor="t">
                        <a:noAutofit/>
                      </wps:bodyPr>
                    </wps:wsp>
                  </a:graphicData>
                </a:graphic>
              </wp:anchor>
            </w:drawing>
          </mc:Choice>
          <mc:Fallback>
            <w:pict>
              <v:rect id="shape_0" ID="Rámec15" path="m0,0l-2147483645,0l-2147483645,-2147483646l0,-2147483646xe" fillcolor="white" stroked="t" o:allowincell="f" style="position:absolute;margin-left:180.5pt;margin-top:7.65pt;width:103.15pt;height:28.45pt;mso-wrap-style:square;v-text-anchor:top">
                <v:fill o:detectmouseclick="t" type="solid" color2="black"/>
                <v:stroke color="black" weight="28440" joinstyle="round" endcap="flat"/>
                <v:textbox>
                  <w:txbxContent>
                    <w:p>
                      <w:pPr>
                        <w:pStyle w:val="Obsahrmca"/>
                        <w:spacing w:before="0" w:after="200"/>
                        <w:rPr>
                          <w:sz w:val="24"/>
                          <w:szCs w:val="24"/>
                        </w:rPr>
                      </w:pPr>
                      <w:r>
                        <w:rPr>
                          <w:color w:val="000000"/>
                          <w:sz w:val="24"/>
                          <w:szCs w:val="24"/>
                        </w:rPr>
                        <w:t>Riaditeľka školy</w:t>
                      </w:r>
                    </w:p>
                  </w:txbxContent>
                </v:textbox>
                <w10:wrap type="none"/>
              </v:rect>
            </w:pict>
          </mc:Fallback>
        </mc:AlternateContent>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mc:AlternateContent>
          <mc:Choice Requires="wps">
            <w:drawing>
              <wp:anchor behindDoc="0" distT="14605" distB="14605" distL="14605" distR="14605" simplePos="0" locked="0" layoutInCell="1" allowOverlap="1" relativeHeight="39">
                <wp:simplePos x="0" y="0"/>
                <wp:positionH relativeFrom="column">
                  <wp:posOffset>2159000</wp:posOffset>
                </wp:positionH>
                <wp:positionV relativeFrom="paragraph">
                  <wp:posOffset>32385</wp:posOffset>
                </wp:positionV>
                <wp:extent cx="132715" cy="302260"/>
                <wp:effectExtent l="14605" t="14605" r="14605" b="14605"/>
                <wp:wrapNone/>
                <wp:docPr id="24" name="Rovná spojnica 28"/>
                <a:graphic xmlns:a="http://schemas.openxmlformats.org/drawingml/2006/main">
                  <a:graphicData uri="http://schemas.microsoft.com/office/word/2010/wordprocessingShape">
                    <wps:wsp>
                      <wps:cNvSpPr/>
                      <wps:spPr>
                        <a:xfrm flipV="1">
                          <a:off x="0" y="0"/>
                          <a:ext cx="132840" cy="302400"/>
                        </a:xfrm>
                        <a:prstGeom prst="line">
                          <a:avLst/>
                        </a:prstGeom>
                        <a:ln w="28440">
                          <a:solidFill>
                            <a:srgbClr val="000000"/>
                          </a:solidFill>
                          <a:round/>
                        </a:ln>
                      </wps:spPr>
                      <wps:style>
                        <a:lnRef idx="0"/>
                        <a:fillRef idx="0"/>
                        <a:effectRef idx="0"/>
                        <a:fontRef idx="minor"/>
                      </wps:style>
                      <wps:bodyPr/>
                    </wps:wsp>
                  </a:graphicData>
                </a:graphic>
              </wp:anchor>
            </w:drawing>
          </mc:Choice>
          <mc:Fallback>
            <w:pict>
              <v:line id="shape_0" from="170pt,2.55pt" to="180.4pt,26.3pt" ID="Rovná spojnica 28" stroked="t" o:allowincell="f" style="position:absolute;flip:y">
                <v:stroke color="black" weight="28440" joinstyle="round" endcap="flat"/>
                <v:fill o:detectmouseclick="t" on="false"/>
                <w10:wrap type="none"/>
              </v:line>
            </w:pict>
          </mc:Fallback>
        </mc:AlternateContent>
        <mc:AlternateContent>
          <mc:Choice Requires="wps">
            <w:drawing>
              <wp:anchor behindDoc="0" distT="14605" distB="14605" distL="14605" distR="14605" simplePos="0" locked="0" layoutInCell="1" allowOverlap="1" relativeHeight="40">
                <wp:simplePos x="0" y="0"/>
                <wp:positionH relativeFrom="column">
                  <wp:posOffset>3602355</wp:posOffset>
                </wp:positionH>
                <wp:positionV relativeFrom="paragraph">
                  <wp:posOffset>33020</wp:posOffset>
                </wp:positionV>
                <wp:extent cx="354330" cy="301625"/>
                <wp:effectExtent l="14605" t="14605" r="14605" b="14605"/>
                <wp:wrapNone/>
                <wp:docPr id="25" name="Rovná spojnica 29"/>
                <a:graphic xmlns:a="http://schemas.openxmlformats.org/drawingml/2006/main">
                  <a:graphicData uri="http://schemas.microsoft.com/office/word/2010/wordprocessingShape">
                    <wps:wsp>
                      <wps:cNvSpPr/>
                      <wps:spPr>
                        <a:xfrm>
                          <a:off x="0" y="0"/>
                          <a:ext cx="354240" cy="301680"/>
                        </a:xfrm>
                        <a:prstGeom prst="line">
                          <a:avLst/>
                        </a:prstGeom>
                        <a:ln w="28440">
                          <a:solidFill>
                            <a:srgbClr val="000000"/>
                          </a:solidFill>
                          <a:round/>
                        </a:ln>
                      </wps:spPr>
                      <wps:style>
                        <a:lnRef idx="0"/>
                        <a:fillRef idx="0"/>
                        <a:effectRef idx="0"/>
                        <a:fontRef idx="minor"/>
                      </wps:style>
                      <wps:bodyPr/>
                    </wps:wsp>
                  </a:graphicData>
                </a:graphic>
              </wp:anchor>
            </w:drawing>
          </mc:Choice>
          <mc:Fallback>
            <w:pict>
              <v:line id="shape_0" from="283.65pt,2.6pt" to="311.5pt,26.3pt" ID="Rovná spojnica 29" stroked="t" o:allowincell="f" style="position:absolute">
                <v:stroke color="black" weight="28440" joinstyle="round" endcap="flat"/>
                <v:fill o:detectmouseclick="t" on="false"/>
                <w10:wrap type="none"/>
              </v:line>
            </w:pict>
          </mc:Fallback>
        </mc:AlternateContent>
        <mc:AlternateContent>
          <mc:Choice Requires="wps">
            <w:drawing>
              <wp:anchor behindDoc="0" distT="14605" distB="14605" distL="14605" distR="14605" simplePos="0" locked="0" layoutInCell="1" allowOverlap="1" relativeHeight="41">
                <wp:simplePos x="0" y="0"/>
                <wp:positionH relativeFrom="column">
                  <wp:posOffset>2938780</wp:posOffset>
                </wp:positionH>
                <wp:positionV relativeFrom="paragraph">
                  <wp:posOffset>33020</wp:posOffset>
                </wp:positionV>
                <wp:extent cx="635" cy="302260"/>
                <wp:effectExtent l="14605" t="14605" r="14605" b="14605"/>
                <wp:wrapNone/>
                <wp:docPr id="26" name="Rovná spojnica 30"/>
                <a:graphic xmlns:a="http://schemas.openxmlformats.org/drawingml/2006/main">
                  <a:graphicData uri="http://schemas.microsoft.com/office/word/2010/wordprocessingShape">
                    <wps:wsp>
                      <wps:cNvSpPr/>
                      <wps:spPr>
                        <a:xfrm>
                          <a:off x="0" y="0"/>
                          <a:ext cx="720" cy="302400"/>
                        </a:xfrm>
                        <a:prstGeom prst="line">
                          <a:avLst/>
                        </a:prstGeom>
                        <a:ln w="28440">
                          <a:solidFill>
                            <a:srgbClr val="000000"/>
                          </a:solidFill>
                          <a:round/>
                        </a:ln>
                      </wps:spPr>
                      <wps:style>
                        <a:lnRef idx="0"/>
                        <a:fillRef idx="0"/>
                        <a:effectRef idx="0"/>
                        <a:fontRef idx="minor"/>
                      </wps:style>
                      <wps:bodyPr/>
                    </wps:wsp>
                  </a:graphicData>
                </a:graphic>
              </wp:anchor>
            </w:drawing>
          </mc:Choice>
          <mc:Fallback>
            <w:pict>
              <v:line id="shape_0" from="231.4pt,2.6pt" to="231.4pt,26.35pt" ID="Rovná spojnica 30" stroked="t" o:allowincell="f" style="position:absolute">
                <v:stroke color="black" weight="28440" joinstyle="round" endcap="flat"/>
                <v:fill o:detectmouseclick="t" on="false"/>
                <w10:wrap type="none"/>
              </v:line>
            </w:pict>
          </mc:Fallback>
        </mc:AlternateContent>
        <mc:AlternateContent>
          <mc:Choice Requires="wps">
            <w:drawing>
              <wp:anchor behindDoc="0" distT="14605" distB="14605" distL="14605" distR="14605" simplePos="0" locked="0" layoutInCell="1" allowOverlap="1" relativeHeight="46">
                <wp:simplePos x="0" y="0"/>
                <wp:positionH relativeFrom="column">
                  <wp:posOffset>1825625</wp:posOffset>
                </wp:positionH>
                <wp:positionV relativeFrom="paragraph">
                  <wp:posOffset>497840</wp:posOffset>
                </wp:positionV>
                <wp:extent cx="931545" cy="1270"/>
                <wp:effectExtent l="14605" t="14605" r="14605" b="14605"/>
                <wp:wrapNone/>
                <wp:docPr id="27" name="Rovná spojnica 35"/>
                <a:graphic xmlns:a="http://schemas.openxmlformats.org/drawingml/2006/main">
                  <a:graphicData uri="http://schemas.microsoft.com/office/word/2010/wordprocessingShape">
                    <wps:wsp>
                      <wps:cNvSpPr/>
                      <wps:spPr>
                        <a:xfrm flipH="1">
                          <a:off x="0" y="0"/>
                          <a:ext cx="931680" cy="1440"/>
                        </a:xfrm>
                        <a:prstGeom prst="line">
                          <a:avLst/>
                        </a:prstGeom>
                        <a:ln w="28440">
                          <a:solidFill>
                            <a:srgbClr val="000000"/>
                          </a:solidFill>
                          <a:round/>
                        </a:ln>
                      </wps:spPr>
                      <wps:style>
                        <a:lnRef idx="0"/>
                        <a:fillRef idx="0"/>
                        <a:effectRef idx="0"/>
                        <a:fontRef idx="minor"/>
                      </wps:style>
                      <wps:bodyPr/>
                    </wps:wsp>
                  </a:graphicData>
                </a:graphic>
              </wp:anchor>
            </w:drawing>
          </mc:Choice>
          <mc:Fallback>
            <w:pict>
              <v:line id="shape_0" from="143.75pt,39.2pt" to="217.05pt,39.25pt" ID="Rovná spojnica 35" stroked="t" o:allowincell="f" style="position:absolute;flip:x">
                <v:stroke color="black" weight="28440" joinstyle="round" endcap="flat"/>
                <v:fill o:detectmouseclick="t" on="false"/>
                <w10:wrap type="none"/>
              </v:line>
            </w:pict>
          </mc:Fallback>
        </mc:AlternateContent>
      </w:r>
    </w:p>
    <w:p>
      <w:pPr>
        <w:pStyle w:val="Normal"/>
        <w:spacing w:before="0" w:after="0"/>
        <w:rPr>
          <w:b/>
          <w:color w:val="FF0000"/>
          <w:sz w:val="24"/>
          <w:szCs w:val="24"/>
        </w:rPr>
      </w:pPr>
      <w:r>
        <w:rPr>
          <w:b/>
          <w:color w:val="FF0000"/>
          <w:sz w:val="24"/>
          <w:szCs w:val="24"/>
        </w:rPr>
        <mc:AlternateContent>
          <mc:Choice Requires="wps">
            <w:drawing>
              <wp:anchor behindDoc="0" distT="14605" distB="14605" distL="15240" distR="13970" simplePos="0" locked="0" layoutInCell="1" allowOverlap="1" relativeHeight="27">
                <wp:simplePos x="0" y="0"/>
                <wp:positionH relativeFrom="column">
                  <wp:posOffset>360045</wp:posOffset>
                </wp:positionH>
                <wp:positionV relativeFrom="paragraph">
                  <wp:posOffset>119380</wp:posOffset>
                </wp:positionV>
                <wp:extent cx="1800225" cy="323850"/>
                <wp:effectExtent l="15240" t="14605" r="13970" b="14605"/>
                <wp:wrapNone/>
                <wp:docPr id="28" name="Rámec16"/>
                <a:graphic xmlns:a="http://schemas.openxmlformats.org/drawingml/2006/main">
                  <a:graphicData uri="http://schemas.microsoft.com/office/word/2010/wordprocessingShape">
                    <wps:wsp>
                      <wps:cNvSpPr/>
                      <wps:spPr>
                        <a:xfrm>
                          <a:off x="0" y="0"/>
                          <a:ext cx="1800360" cy="324000"/>
                        </a:xfrm>
                        <a:prstGeom prst="rect">
                          <a:avLst/>
                        </a:prstGeom>
                        <a:solidFill>
                          <a:srgbClr val="ffffff"/>
                        </a:solidFill>
                        <a:ln w="28575">
                          <a:solidFill>
                            <a:srgbClr val="000000"/>
                          </a:solidFill>
                          <a:round/>
                        </a:ln>
                      </wps:spPr>
                      <wps:style>
                        <a:lnRef idx="0"/>
                        <a:fillRef idx="0"/>
                        <a:effectRef idx="0"/>
                        <a:fontRef idx="minor"/>
                      </wps:style>
                      <wps:txbx>
                        <w:txbxContent>
                          <w:p>
                            <w:pPr>
                              <w:pStyle w:val="Obsahrmca"/>
                              <w:spacing w:before="0" w:after="200"/>
                              <w:rPr/>
                            </w:pPr>
                            <w:r>
                              <w:rPr>
                                <w:color w:val="000000"/>
                                <w:sz w:val="24"/>
                                <w:szCs w:val="24"/>
                              </w:rPr>
                              <w:t>Pedagogickí zamestnanci</w:t>
                            </w:r>
                            <w:r>
                              <w:rPr>
                                <w:color w:val="000000"/>
                              </w:rPr>
                              <w:t xml:space="preserve"> zazazzamestnanci</w:t>
                            </w:r>
                          </w:p>
                        </w:txbxContent>
                      </wps:txbx>
                      <wps:bodyPr anchor="t">
                        <a:noAutofit/>
                      </wps:bodyPr>
                    </wps:wsp>
                  </a:graphicData>
                </a:graphic>
              </wp:anchor>
            </w:drawing>
          </mc:Choice>
          <mc:Fallback>
            <w:pict>
              <v:rect id="shape_0" ID="Rámec16" path="m0,0l-2147483645,0l-2147483645,-2147483646l0,-2147483646xe" fillcolor="white" stroked="t" o:allowincell="f" style="position:absolute;margin-left:28.35pt;margin-top:9.4pt;width:141.7pt;height:25.45pt;mso-wrap-style:square;v-text-anchor:top">
                <v:fill o:detectmouseclick="t" type="solid" color2="black"/>
                <v:stroke color="black" weight="28440" joinstyle="round" endcap="flat"/>
                <v:textbox>
                  <w:txbxContent>
                    <w:p>
                      <w:pPr>
                        <w:pStyle w:val="Obsahrmca"/>
                        <w:spacing w:before="0" w:after="200"/>
                        <w:rPr/>
                      </w:pPr>
                      <w:r>
                        <w:rPr>
                          <w:color w:val="000000"/>
                          <w:sz w:val="24"/>
                          <w:szCs w:val="24"/>
                        </w:rPr>
                        <w:t>Pedagogickí zamestnanci</w:t>
                      </w:r>
                      <w:r>
                        <w:rPr>
                          <w:color w:val="000000"/>
                        </w:rPr>
                        <w:t xml:space="preserve"> zazazzamestnanci</w:t>
                      </w:r>
                    </w:p>
                  </w:txbxContent>
                </v:textbox>
                <w10:wrap type="none"/>
              </v:rect>
            </w:pict>
          </mc:Fallback>
        </mc:AlternateContent>
        <mc:AlternateContent>
          <mc:Choice Requires="wps">
            <w:drawing>
              <wp:anchor behindDoc="0" distT="14605" distB="14605" distL="15240" distR="13970" simplePos="0" locked="0" layoutInCell="1" allowOverlap="1" relativeHeight="29">
                <wp:simplePos x="0" y="0"/>
                <wp:positionH relativeFrom="column">
                  <wp:posOffset>2576195</wp:posOffset>
                </wp:positionH>
                <wp:positionV relativeFrom="paragraph">
                  <wp:posOffset>119380</wp:posOffset>
                </wp:positionV>
                <wp:extent cx="864235" cy="323850"/>
                <wp:effectExtent l="15240" t="14605" r="13970" b="14605"/>
                <wp:wrapNone/>
                <wp:docPr id="29" name="Rámec17"/>
                <a:graphic xmlns:a="http://schemas.openxmlformats.org/drawingml/2006/main">
                  <a:graphicData uri="http://schemas.microsoft.com/office/word/2010/wordprocessingShape">
                    <wps:wsp>
                      <wps:cNvSpPr/>
                      <wps:spPr>
                        <a:xfrm>
                          <a:off x="0" y="0"/>
                          <a:ext cx="864360" cy="324000"/>
                        </a:xfrm>
                        <a:prstGeom prst="rect">
                          <a:avLst/>
                        </a:prstGeom>
                        <a:solidFill>
                          <a:srgbClr val="ffffff"/>
                        </a:solidFill>
                        <a:ln w="28575">
                          <a:solidFill>
                            <a:srgbClr val="000000"/>
                          </a:solidFill>
                          <a:round/>
                        </a:ln>
                      </wps:spPr>
                      <wps:style>
                        <a:lnRef idx="0"/>
                        <a:fillRef idx="0"/>
                        <a:effectRef idx="0"/>
                        <a:fontRef idx="minor"/>
                      </wps:style>
                      <wps:txbx>
                        <w:txbxContent>
                          <w:p>
                            <w:pPr>
                              <w:pStyle w:val="Obsahrmca"/>
                              <w:spacing w:before="0" w:after="200"/>
                              <w:rPr>
                                <w:sz w:val="24"/>
                                <w:szCs w:val="24"/>
                              </w:rPr>
                            </w:pPr>
                            <w:r>
                              <w:rPr>
                                <w:color w:val="000000"/>
                                <w:sz w:val="24"/>
                                <w:szCs w:val="24"/>
                              </w:rPr>
                              <w:t>Ekonómka</w:t>
                            </w:r>
                          </w:p>
                        </w:txbxContent>
                      </wps:txbx>
                      <wps:bodyPr anchor="t">
                        <a:noAutofit/>
                      </wps:bodyPr>
                    </wps:wsp>
                  </a:graphicData>
                </a:graphic>
              </wp:anchor>
            </w:drawing>
          </mc:Choice>
          <mc:Fallback>
            <w:pict>
              <v:rect id="shape_0" ID="Rámec17" path="m0,0l-2147483645,0l-2147483645,-2147483646l0,-2147483646xe" fillcolor="white" stroked="t" o:allowincell="f" style="position:absolute;margin-left:202.85pt;margin-top:9.4pt;width:68pt;height:25.45pt;mso-wrap-style:square;v-text-anchor:top">
                <v:fill o:detectmouseclick="t" type="solid" color2="black"/>
                <v:stroke color="black" weight="28440" joinstyle="round" endcap="flat"/>
                <v:textbox>
                  <w:txbxContent>
                    <w:p>
                      <w:pPr>
                        <w:pStyle w:val="Obsahrmca"/>
                        <w:spacing w:before="0" w:after="200"/>
                        <w:rPr>
                          <w:sz w:val="24"/>
                          <w:szCs w:val="24"/>
                        </w:rPr>
                      </w:pPr>
                      <w:r>
                        <w:rPr>
                          <w:color w:val="000000"/>
                          <w:sz w:val="24"/>
                          <w:szCs w:val="24"/>
                        </w:rPr>
                        <w:t>Ekonómka</w:t>
                      </w:r>
                    </w:p>
                  </w:txbxContent>
                </v:textbox>
                <w10:wrap type="none"/>
              </v:rect>
            </w:pict>
          </mc:Fallback>
        </mc:AlternateContent>
        <mc:AlternateContent>
          <mc:Choice Requires="wps">
            <w:drawing>
              <wp:anchor behindDoc="0" distT="14605" distB="14605" distL="14605" distR="14605" simplePos="0" locked="0" layoutInCell="1" allowOverlap="1" relativeHeight="31">
                <wp:simplePos x="0" y="0"/>
                <wp:positionH relativeFrom="column">
                  <wp:posOffset>3956685</wp:posOffset>
                </wp:positionH>
                <wp:positionV relativeFrom="paragraph">
                  <wp:posOffset>119380</wp:posOffset>
                </wp:positionV>
                <wp:extent cx="1656080" cy="323850"/>
                <wp:effectExtent l="14605" t="14605" r="14605" b="14605"/>
                <wp:wrapNone/>
                <wp:docPr id="30" name="Rámec18"/>
                <a:graphic xmlns:a="http://schemas.openxmlformats.org/drawingml/2006/main">
                  <a:graphicData uri="http://schemas.microsoft.com/office/word/2010/wordprocessingShape">
                    <wps:wsp>
                      <wps:cNvSpPr/>
                      <wps:spPr>
                        <a:xfrm>
                          <a:off x="0" y="0"/>
                          <a:ext cx="1656000" cy="324000"/>
                        </a:xfrm>
                        <a:prstGeom prst="rect">
                          <a:avLst/>
                        </a:prstGeom>
                        <a:solidFill>
                          <a:srgbClr val="ffffff"/>
                        </a:solidFill>
                        <a:ln w="28575">
                          <a:solidFill>
                            <a:srgbClr val="000000"/>
                          </a:solidFill>
                          <a:round/>
                        </a:ln>
                      </wps:spPr>
                      <wps:style>
                        <a:lnRef idx="0"/>
                        <a:fillRef idx="0"/>
                        <a:effectRef idx="0"/>
                        <a:fontRef idx="minor"/>
                      </wps:style>
                      <wps:txbx>
                        <w:txbxContent>
                          <w:p>
                            <w:pPr>
                              <w:pStyle w:val="Obsahrmca"/>
                              <w:spacing w:before="0" w:after="200"/>
                              <w:rPr/>
                            </w:pPr>
                            <w:r>
                              <w:rPr>
                                <w:color w:val="000000"/>
                                <w:sz w:val="24"/>
                                <w:szCs w:val="24"/>
                              </w:rPr>
                              <w:t>Vedúca školskej</w:t>
                            </w:r>
                            <w:r>
                              <w:rPr>
                                <w:color w:val="000000"/>
                              </w:rPr>
                              <w:t xml:space="preserve"> jedálne</w:t>
                            </w:r>
                          </w:p>
                        </w:txbxContent>
                      </wps:txbx>
                      <wps:bodyPr anchor="t">
                        <a:noAutofit/>
                      </wps:bodyPr>
                    </wps:wsp>
                  </a:graphicData>
                </a:graphic>
              </wp:anchor>
            </w:drawing>
          </mc:Choice>
          <mc:Fallback>
            <w:pict>
              <v:rect id="shape_0" ID="Rámec18" path="m0,0l-2147483645,0l-2147483645,-2147483646l0,-2147483646xe" fillcolor="white" stroked="t" o:allowincell="f" style="position:absolute;margin-left:311.55pt;margin-top:9.4pt;width:130.35pt;height:25.45pt;mso-wrap-style:square;v-text-anchor:top">
                <v:fill o:detectmouseclick="t" type="solid" color2="black"/>
                <v:stroke color="black" weight="28440" joinstyle="round" endcap="flat"/>
                <v:textbox>
                  <w:txbxContent>
                    <w:p>
                      <w:pPr>
                        <w:pStyle w:val="Obsahrmca"/>
                        <w:spacing w:before="0" w:after="200"/>
                        <w:rPr/>
                      </w:pPr>
                      <w:r>
                        <w:rPr>
                          <w:color w:val="000000"/>
                          <w:sz w:val="24"/>
                          <w:szCs w:val="24"/>
                        </w:rPr>
                        <w:t>Vedúca školskej</w:t>
                      </w:r>
                      <w:r>
                        <w:rPr>
                          <w:color w:val="000000"/>
                        </w:rPr>
                        <w:t xml:space="preserve"> jedálne</w:t>
                      </w:r>
                    </w:p>
                  </w:txbxContent>
                </v:textbox>
                <w10:wrap type="none"/>
              </v:rect>
            </w:pict>
          </mc:Fallback>
        </mc:AlternateContent>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mc:AlternateContent>
          <mc:Choice Requires="wps">
            <w:drawing>
              <wp:anchor behindDoc="0" distT="14605" distB="14605" distL="14605" distR="14605" simplePos="0" locked="0" layoutInCell="1" allowOverlap="1" relativeHeight="42">
                <wp:simplePos x="0" y="0"/>
                <wp:positionH relativeFrom="column">
                  <wp:posOffset>4288790</wp:posOffset>
                </wp:positionH>
                <wp:positionV relativeFrom="paragraph">
                  <wp:posOffset>17780</wp:posOffset>
                </wp:positionV>
                <wp:extent cx="17145" cy="305435"/>
                <wp:effectExtent l="14605" t="14605" r="14605" b="14605"/>
                <wp:wrapNone/>
                <wp:docPr id="31" name="Rovná spojnica 31"/>
                <a:graphic xmlns:a="http://schemas.openxmlformats.org/drawingml/2006/main">
                  <a:graphicData uri="http://schemas.microsoft.com/office/word/2010/wordprocessingShape">
                    <wps:wsp>
                      <wps:cNvSpPr/>
                      <wps:spPr>
                        <a:xfrm>
                          <a:off x="0" y="0"/>
                          <a:ext cx="17280" cy="305280"/>
                        </a:xfrm>
                        <a:prstGeom prst="line">
                          <a:avLst/>
                        </a:prstGeom>
                        <a:ln w="28440">
                          <a:solidFill>
                            <a:srgbClr val="000000"/>
                          </a:solidFill>
                          <a:round/>
                        </a:ln>
                      </wps:spPr>
                      <wps:style>
                        <a:lnRef idx="0"/>
                        <a:fillRef idx="0"/>
                        <a:effectRef idx="0"/>
                        <a:fontRef idx="minor"/>
                      </wps:style>
                      <wps:bodyPr/>
                    </wps:wsp>
                  </a:graphicData>
                </a:graphic>
              </wp:anchor>
            </w:drawing>
          </mc:Choice>
          <mc:Fallback>
            <w:pict>
              <v:line id="shape_0" from="337.7pt,1.4pt" to="339pt,25.4pt" ID="Rovná spojnica 31" stroked="t" o:allowincell="f" style="position:absolute">
                <v:stroke color="black" weight="28440" joinstyle="round" endcap="flat"/>
                <v:fill o:detectmouseclick="t" on="false"/>
                <w10:wrap type="none"/>
              </v:line>
            </w:pict>
          </mc:Fallback>
        </mc:AlternateContent>
      </w:r>
    </w:p>
    <w:p>
      <w:pPr>
        <w:pStyle w:val="Normal"/>
        <w:spacing w:before="0" w:after="0"/>
        <w:rPr>
          <w:b/>
          <w:color w:val="FF0000"/>
          <w:sz w:val="24"/>
          <w:szCs w:val="24"/>
        </w:rPr>
      </w:pPr>
      <w:r>
        <w:rPr>
          <w:b/>
          <w:color w:val="FF0000"/>
          <w:sz w:val="24"/>
          <w:szCs w:val="24"/>
        </w:rPr>
        <mc:AlternateContent>
          <mc:Choice Requires="wps">
            <w:drawing>
              <wp:anchor behindDoc="0" distT="14605" distB="14605" distL="15240" distR="13970" simplePos="0" locked="0" layoutInCell="1" allowOverlap="1" relativeHeight="33">
                <wp:simplePos x="0" y="0"/>
                <wp:positionH relativeFrom="column">
                  <wp:posOffset>3930650</wp:posOffset>
                </wp:positionH>
                <wp:positionV relativeFrom="paragraph">
                  <wp:posOffset>107315</wp:posOffset>
                </wp:positionV>
                <wp:extent cx="791845" cy="323850"/>
                <wp:effectExtent l="15240" t="14605" r="13970" b="14605"/>
                <wp:wrapNone/>
                <wp:docPr id="32" name="Rámec19"/>
                <a:graphic xmlns:a="http://schemas.openxmlformats.org/drawingml/2006/main">
                  <a:graphicData uri="http://schemas.microsoft.com/office/word/2010/wordprocessingShape">
                    <wps:wsp>
                      <wps:cNvSpPr/>
                      <wps:spPr>
                        <a:xfrm>
                          <a:off x="0" y="0"/>
                          <a:ext cx="792000" cy="324000"/>
                        </a:xfrm>
                        <a:prstGeom prst="rect">
                          <a:avLst/>
                        </a:prstGeom>
                        <a:solidFill>
                          <a:srgbClr val="ffffff"/>
                        </a:solidFill>
                        <a:ln w="28575">
                          <a:solidFill>
                            <a:srgbClr val="000000"/>
                          </a:solidFill>
                          <a:round/>
                        </a:ln>
                      </wps:spPr>
                      <wps:style>
                        <a:lnRef idx="0"/>
                        <a:fillRef idx="0"/>
                        <a:effectRef idx="0"/>
                        <a:fontRef idx="minor"/>
                      </wps:style>
                      <wps:txbx>
                        <w:txbxContent>
                          <w:p>
                            <w:pPr>
                              <w:pStyle w:val="Obsahrmca"/>
                              <w:spacing w:before="0" w:after="200"/>
                              <w:rPr>
                                <w:sz w:val="24"/>
                                <w:szCs w:val="24"/>
                              </w:rPr>
                            </w:pPr>
                            <w:r>
                              <w:rPr>
                                <w:color w:val="000000"/>
                                <w:sz w:val="24"/>
                                <w:szCs w:val="24"/>
                              </w:rPr>
                              <w:t>Kuchárky</w:t>
                            </w:r>
                          </w:p>
                        </w:txbxContent>
                      </wps:txbx>
                      <wps:bodyPr anchor="t">
                        <a:noAutofit/>
                      </wps:bodyPr>
                    </wps:wsp>
                  </a:graphicData>
                </a:graphic>
              </wp:anchor>
            </w:drawing>
          </mc:Choice>
          <mc:Fallback>
            <w:pict>
              <v:rect id="shape_0" ID="Rámec19" path="m0,0l-2147483645,0l-2147483645,-2147483646l0,-2147483646xe" fillcolor="white" stroked="t" o:allowincell="f" style="position:absolute;margin-left:309.5pt;margin-top:8.45pt;width:62.3pt;height:25.45pt;mso-wrap-style:square;v-text-anchor:top">
                <v:fill o:detectmouseclick="t" type="solid" color2="black"/>
                <v:stroke color="black" weight="28440" joinstyle="round" endcap="flat"/>
                <v:textbox>
                  <w:txbxContent>
                    <w:p>
                      <w:pPr>
                        <w:pStyle w:val="Obsahrmca"/>
                        <w:spacing w:before="0" w:after="200"/>
                        <w:rPr>
                          <w:sz w:val="24"/>
                          <w:szCs w:val="24"/>
                        </w:rPr>
                      </w:pPr>
                      <w:r>
                        <w:rPr>
                          <w:color w:val="000000"/>
                          <w:sz w:val="24"/>
                          <w:szCs w:val="24"/>
                        </w:rPr>
                        <w:t>Kuchárky</w:t>
                      </w:r>
                    </w:p>
                  </w:txbxContent>
                </v:textbox>
                <w10:wrap type="none"/>
              </v:rect>
            </w:pict>
          </mc:Fallback>
        </mc:AlternateContent>
        <mc:AlternateContent>
          <mc:Choice Requires="wps">
            <w:drawing>
              <wp:anchor behindDoc="0" distT="14605" distB="14605" distL="15240" distR="13970" simplePos="0" locked="0" layoutInCell="1" allowOverlap="1" relativeHeight="37">
                <wp:simplePos x="0" y="0"/>
                <wp:positionH relativeFrom="column">
                  <wp:posOffset>2040890</wp:posOffset>
                </wp:positionH>
                <wp:positionV relativeFrom="paragraph">
                  <wp:posOffset>106680</wp:posOffset>
                </wp:positionV>
                <wp:extent cx="791845" cy="323850"/>
                <wp:effectExtent l="15240" t="14605" r="13970" b="14605"/>
                <wp:wrapNone/>
                <wp:docPr id="33" name="Rámec20"/>
                <a:graphic xmlns:a="http://schemas.openxmlformats.org/drawingml/2006/main">
                  <a:graphicData uri="http://schemas.microsoft.com/office/word/2010/wordprocessingShape">
                    <wps:wsp>
                      <wps:cNvSpPr/>
                      <wps:spPr>
                        <a:xfrm>
                          <a:off x="0" y="0"/>
                          <a:ext cx="792000" cy="324000"/>
                        </a:xfrm>
                        <a:prstGeom prst="rect">
                          <a:avLst/>
                        </a:prstGeom>
                        <a:solidFill>
                          <a:srgbClr val="ffffff"/>
                        </a:solidFill>
                        <a:ln w="28575">
                          <a:solidFill>
                            <a:srgbClr val="000000"/>
                          </a:solidFill>
                          <a:round/>
                        </a:ln>
                      </wps:spPr>
                      <wps:style>
                        <a:lnRef idx="0"/>
                        <a:fillRef idx="0"/>
                        <a:effectRef idx="0"/>
                        <a:fontRef idx="minor"/>
                      </wps:style>
                      <wps:txbx>
                        <w:txbxContent>
                          <w:p>
                            <w:pPr>
                              <w:pStyle w:val="Obsahrmca"/>
                              <w:spacing w:before="0" w:after="200"/>
                              <w:rPr>
                                <w:sz w:val="24"/>
                                <w:szCs w:val="24"/>
                              </w:rPr>
                            </w:pPr>
                            <w:r>
                              <w:rPr>
                                <w:color w:val="000000"/>
                                <w:sz w:val="24"/>
                                <w:szCs w:val="24"/>
                              </w:rPr>
                              <w:t>Školníčka</w:t>
                            </w:r>
                          </w:p>
                        </w:txbxContent>
                      </wps:txbx>
                      <wps:bodyPr anchor="t">
                        <a:noAutofit/>
                      </wps:bodyPr>
                    </wps:wsp>
                  </a:graphicData>
                </a:graphic>
              </wp:anchor>
            </w:drawing>
          </mc:Choice>
          <mc:Fallback>
            <w:pict>
              <v:rect id="shape_0" ID="Rámec20" path="m0,0l-2147483645,0l-2147483645,-2147483646l0,-2147483646xe" fillcolor="white" stroked="t" o:allowincell="f" style="position:absolute;margin-left:160.7pt;margin-top:8.4pt;width:62.3pt;height:25.45pt;mso-wrap-style:square;v-text-anchor:top">
                <v:fill o:detectmouseclick="t" type="solid" color2="black"/>
                <v:stroke color="black" weight="28440" joinstyle="round" endcap="flat"/>
                <v:textbox>
                  <w:txbxContent>
                    <w:p>
                      <w:pPr>
                        <w:pStyle w:val="Obsahrmca"/>
                        <w:spacing w:before="0" w:after="200"/>
                        <w:rPr>
                          <w:sz w:val="24"/>
                          <w:szCs w:val="24"/>
                        </w:rPr>
                      </w:pPr>
                      <w:r>
                        <w:rPr>
                          <w:color w:val="000000"/>
                          <w:sz w:val="24"/>
                          <w:szCs w:val="24"/>
                        </w:rPr>
                        <w:t>Školníčka</w:t>
                      </w:r>
                    </w:p>
                  </w:txbxContent>
                </v:textbox>
                <w10:wrap type="none"/>
              </v:rect>
            </w:pict>
          </mc:Fallback>
        </mc:AlternateContent>
        <mc:AlternateContent>
          <mc:Choice Requires="wps">
            <w:drawing>
              <wp:anchor behindDoc="0" distT="14605" distB="14605" distL="14605" distR="14605" simplePos="0" locked="0" layoutInCell="1" allowOverlap="1" relativeHeight="44">
                <wp:simplePos x="0" y="0"/>
                <wp:positionH relativeFrom="column">
                  <wp:posOffset>1124585</wp:posOffset>
                </wp:positionH>
                <wp:positionV relativeFrom="paragraph">
                  <wp:posOffset>111760</wp:posOffset>
                </wp:positionV>
                <wp:extent cx="539750" cy="323850"/>
                <wp:effectExtent l="14605" t="14605" r="14605" b="14605"/>
                <wp:wrapNone/>
                <wp:docPr id="34" name="Rámec21"/>
                <a:graphic xmlns:a="http://schemas.openxmlformats.org/drawingml/2006/main">
                  <a:graphicData uri="http://schemas.microsoft.com/office/word/2010/wordprocessingShape">
                    <wps:wsp>
                      <wps:cNvSpPr/>
                      <wps:spPr>
                        <a:xfrm>
                          <a:off x="0" y="0"/>
                          <a:ext cx="539640" cy="324000"/>
                        </a:xfrm>
                        <a:prstGeom prst="rect">
                          <a:avLst/>
                        </a:prstGeom>
                        <a:solidFill>
                          <a:srgbClr val="ffffff"/>
                        </a:solidFill>
                        <a:ln w="28575">
                          <a:solidFill>
                            <a:srgbClr val="000000"/>
                          </a:solidFill>
                          <a:round/>
                        </a:ln>
                      </wps:spPr>
                      <wps:style>
                        <a:lnRef idx="0"/>
                        <a:fillRef idx="0"/>
                        <a:effectRef idx="0"/>
                        <a:fontRef idx="minor"/>
                      </wps:style>
                      <wps:txbx>
                        <w:txbxContent>
                          <w:p>
                            <w:pPr>
                              <w:pStyle w:val="Obsahrmca"/>
                              <w:spacing w:before="0" w:after="200"/>
                              <w:rPr>
                                <w:sz w:val="24"/>
                                <w:szCs w:val="24"/>
                              </w:rPr>
                            </w:pPr>
                            <w:r>
                              <w:rPr>
                                <w:color w:val="000000"/>
                                <w:sz w:val="24"/>
                                <w:szCs w:val="24"/>
                              </w:rPr>
                              <w:t>Kurič</w:t>
                            </w:r>
                          </w:p>
                        </w:txbxContent>
                      </wps:txbx>
                      <wps:bodyPr anchor="t">
                        <a:noAutofit/>
                      </wps:bodyPr>
                    </wps:wsp>
                  </a:graphicData>
                </a:graphic>
              </wp:anchor>
            </w:drawing>
          </mc:Choice>
          <mc:Fallback>
            <w:pict>
              <v:rect id="shape_0" ID="Rámec21" path="m0,0l-2147483645,0l-2147483645,-2147483646l0,-2147483646xe" fillcolor="white" stroked="t" o:allowincell="f" style="position:absolute;margin-left:88.55pt;margin-top:8.8pt;width:42.45pt;height:25.45pt;mso-wrap-style:square;v-text-anchor:top">
                <v:fill o:detectmouseclick="t" type="solid" color2="black"/>
                <v:stroke color="black" weight="28440" joinstyle="round" endcap="flat"/>
                <v:textbox>
                  <w:txbxContent>
                    <w:p>
                      <w:pPr>
                        <w:pStyle w:val="Obsahrmca"/>
                        <w:spacing w:before="0" w:after="200"/>
                        <w:rPr>
                          <w:sz w:val="24"/>
                          <w:szCs w:val="24"/>
                        </w:rPr>
                      </w:pPr>
                      <w:r>
                        <w:rPr>
                          <w:color w:val="000000"/>
                          <w:sz w:val="24"/>
                          <w:szCs w:val="24"/>
                        </w:rPr>
                        <w:t>Kurič</w:t>
                      </w:r>
                    </w:p>
                  </w:txbxContent>
                </v:textbox>
                <w10:wrap type="none"/>
              </v:rect>
            </w:pict>
          </mc:Fallback>
        </mc:AlternateContent>
      </w:r>
    </w:p>
    <w:p>
      <w:pPr>
        <w:pStyle w:val="Normal"/>
        <w:spacing w:before="0" w:after="0"/>
        <w:rPr>
          <w:b/>
          <w:color w:val="FF0000"/>
          <w:sz w:val="24"/>
          <w:szCs w:val="24"/>
        </w:rPr>
      </w:pPr>
      <w:r>
        <w:rPr>
          <w:b/>
          <w:color w:val="FF0000"/>
          <w:sz w:val="24"/>
          <w:szCs w:val="24"/>
        </w:rPr>
        <mc:AlternateContent>
          <mc:Choice Requires="wps">
            <w:drawing>
              <wp:anchor behindDoc="0" distT="14605" distB="14605" distL="14605" distR="14605" simplePos="0" locked="0" layoutInCell="1" allowOverlap="1" relativeHeight="47">
                <wp:simplePos x="0" y="0"/>
                <wp:positionH relativeFrom="column">
                  <wp:posOffset>1658620</wp:posOffset>
                </wp:positionH>
                <wp:positionV relativeFrom="paragraph">
                  <wp:posOffset>85090</wp:posOffset>
                </wp:positionV>
                <wp:extent cx="383540" cy="0"/>
                <wp:effectExtent l="14605" t="14605" r="14605" b="14605"/>
                <wp:wrapNone/>
                <wp:docPr id="35" name="Rovná spojnica 37"/>
                <a:graphic xmlns:a="http://schemas.openxmlformats.org/drawingml/2006/main">
                  <a:graphicData uri="http://schemas.microsoft.com/office/word/2010/wordprocessingShape">
                    <wps:wsp>
                      <wps:cNvSpPr/>
                      <wps:spPr>
                        <a:xfrm>
                          <a:off x="0" y="0"/>
                          <a:ext cx="383400" cy="0"/>
                        </a:xfrm>
                        <a:prstGeom prst="line">
                          <a:avLst/>
                        </a:prstGeom>
                        <a:ln w="28440">
                          <a:solidFill>
                            <a:srgbClr val="000000"/>
                          </a:solidFill>
                          <a:round/>
                        </a:ln>
                      </wps:spPr>
                      <wps:style>
                        <a:lnRef idx="0"/>
                        <a:fillRef idx="0"/>
                        <a:effectRef idx="0"/>
                        <a:fontRef idx="minor"/>
                      </wps:style>
                      <wps:bodyPr/>
                    </wps:wsp>
                  </a:graphicData>
                </a:graphic>
              </wp:anchor>
            </w:drawing>
          </mc:Choice>
          <mc:Fallback>
            <w:pict>
              <v:line id="shape_0" from="130.6pt,6.7pt" to="160.75pt,6.7pt" ID="Rovná spojnica 37" stroked="t" o:allowincell="f" style="position:absolute">
                <v:stroke color="black" weight="28440" joinstyle="round" endcap="flat"/>
                <v:fill o:detectmouseclick="t" on="false"/>
                <w10:wrap type="none"/>
              </v:line>
            </w:pict>
          </mc:Fallback>
        </mc:AlternateContent>
      </w:r>
    </w:p>
    <w:p>
      <w:pPr>
        <w:pStyle w:val="Normal"/>
        <w:spacing w:before="0" w:after="0"/>
        <w:rPr>
          <w:b/>
          <w:color w:val="FF0000"/>
          <w:sz w:val="24"/>
          <w:szCs w:val="24"/>
        </w:rPr>
      </w:pPr>
      <w:r>
        <w:rPr>
          <w:b/>
          <w:color w:val="FF0000"/>
          <w:sz w:val="24"/>
          <w:szCs w:val="24"/>
        </w:rPr>
        <mc:AlternateContent>
          <mc:Choice Requires="wps">
            <w:drawing>
              <wp:anchor behindDoc="0" distT="14605" distB="14605" distL="14605" distR="14605" simplePos="0" locked="0" layoutInCell="1" allowOverlap="1" relativeHeight="43">
                <wp:simplePos x="0" y="0"/>
                <wp:positionH relativeFrom="column">
                  <wp:posOffset>4289425</wp:posOffset>
                </wp:positionH>
                <wp:positionV relativeFrom="paragraph">
                  <wp:posOffset>635</wp:posOffset>
                </wp:positionV>
                <wp:extent cx="15875" cy="276225"/>
                <wp:effectExtent l="14605" t="14605" r="14605" b="14605"/>
                <wp:wrapNone/>
                <wp:docPr id="36" name="Rovná spojnica 32"/>
                <a:graphic xmlns:a="http://schemas.openxmlformats.org/drawingml/2006/main">
                  <a:graphicData uri="http://schemas.microsoft.com/office/word/2010/wordprocessingShape">
                    <wps:wsp>
                      <wps:cNvSpPr/>
                      <wps:spPr>
                        <a:xfrm>
                          <a:off x="0" y="0"/>
                          <a:ext cx="15840" cy="276120"/>
                        </a:xfrm>
                        <a:prstGeom prst="line">
                          <a:avLst/>
                        </a:prstGeom>
                        <a:ln w="28440">
                          <a:solidFill>
                            <a:srgbClr val="000000"/>
                          </a:solidFill>
                          <a:round/>
                        </a:ln>
                      </wps:spPr>
                      <wps:style>
                        <a:lnRef idx="0"/>
                        <a:fillRef idx="0"/>
                        <a:effectRef idx="0"/>
                        <a:fontRef idx="minor"/>
                      </wps:style>
                      <wps:bodyPr/>
                    </wps:wsp>
                  </a:graphicData>
                </a:graphic>
              </wp:anchor>
            </w:drawing>
          </mc:Choice>
          <mc:Fallback>
            <w:pict>
              <v:line id="shape_0" from="337.75pt,0.05pt" to="338.95pt,21.75pt" ID="Rovná spojnica 32" stroked="t" o:allowincell="f" style="position:absolute">
                <v:stroke color="black" weight="28440" joinstyle="round" endcap="flat"/>
                <v:fill o:detectmouseclick="t" on="false"/>
                <w10:wrap type="none"/>
              </v:line>
            </w:pict>
          </mc:Fallback>
        </mc:AlternateContent>
      </w:r>
    </w:p>
    <w:p>
      <w:pPr>
        <w:pStyle w:val="Normal"/>
        <w:spacing w:before="0" w:after="0"/>
        <w:rPr>
          <w:b/>
          <w:color w:val="FF0000"/>
          <w:sz w:val="24"/>
          <w:szCs w:val="24"/>
        </w:rPr>
      </w:pPr>
      <w:r>
        <w:rPr>
          <w:b/>
          <w:color w:val="FF0000"/>
          <w:sz w:val="24"/>
          <w:szCs w:val="24"/>
        </w:rPr>
        <mc:AlternateContent>
          <mc:Choice Requires="wps">
            <w:drawing>
              <wp:anchor behindDoc="0" distT="14605" distB="14605" distL="15240" distR="13970" simplePos="0" locked="0" layoutInCell="1" allowOverlap="1" relativeHeight="35">
                <wp:simplePos x="0" y="0"/>
                <wp:positionH relativeFrom="column">
                  <wp:posOffset>3924300</wp:posOffset>
                </wp:positionH>
                <wp:positionV relativeFrom="paragraph">
                  <wp:posOffset>64770</wp:posOffset>
                </wp:positionV>
                <wp:extent cx="1727835" cy="323850"/>
                <wp:effectExtent l="15240" t="14605" r="13970" b="14605"/>
                <wp:wrapNone/>
                <wp:docPr id="37" name="Rámec22"/>
                <a:graphic xmlns:a="http://schemas.openxmlformats.org/drawingml/2006/main">
                  <a:graphicData uri="http://schemas.microsoft.com/office/word/2010/wordprocessingShape">
                    <wps:wsp>
                      <wps:cNvSpPr/>
                      <wps:spPr>
                        <a:xfrm>
                          <a:off x="0" y="0"/>
                          <a:ext cx="1728000" cy="324000"/>
                        </a:xfrm>
                        <a:prstGeom prst="rect">
                          <a:avLst/>
                        </a:prstGeom>
                        <a:solidFill>
                          <a:srgbClr val="ffffff"/>
                        </a:solidFill>
                        <a:ln w="28575">
                          <a:solidFill>
                            <a:srgbClr val="000000"/>
                          </a:solidFill>
                          <a:round/>
                        </a:ln>
                      </wps:spPr>
                      <wps:style>
                        <a:lnRef idx="0"/>
                        <a:fillRef idx="0"/>
                        <a:effectRef idx="0"/>
                        <a:fontRef idx="minor"/>
                      </wps:style>
                      <wps:txbx>
                        <w:txbxContent>
                          <w:p>
                            <w:pPr>
                              <w:pStyle w:val="Obsahrmca"/>
                              <w:spacing w:before="0" w:after="200"/>
                              <w:rPr>
                                <w:sz w:val="24"/>
                                <w:szCs w:val="24"/>
                              </w:rPr>
                            </w:pPr>
                            <w:r>
                              <w:rPr>
                                <w:color w:val="000000"/>
                                <w:sz w:val="24"/>
                                <w:szCs w:val="24"/>
                              </w:rPr>
                              <w:t>Pracovníčky v prevádzke</w:t>
                            </w:r>
                          </w:p>
                        </w:txbxContent>
                      </wps:txbx>
                      <wps:bodyPr anchor="t">
                        <a:noAutofit/>
                      </wps:bodyPr>
                    </wps:wsp>
                  </a:graphicData>
                </a:graphic>
              </wp:anchor>
            </w:drawing>
          </mc:Choice>
          <mc:Fallback>
            <w:pict>
              <v:rect id="shape_0" ID="Rámec22" path="m0,0l-2147483645,0l-2147483645,-2147483646l0,-2147483646xe" fillcolor="white" stroked="t" o:allowincell="f" style="position:absolute;margin-left:309pt;margin-top:5.1pt;width:136pt;height:25.45pt;mso-wrap-style:square;v-text-anchor:top">
                <v:fill o:detectmouseclick="t" type="solid" color2="black"/>
                <v:stroke color="black" weight="28440" joinstyle="round" endcap="flat"/>
                <v:textbox>
                  <w:txbxContent>
                    <w:p>
                      <w:pPr>
                        <w:pStyle w:val="Obsahrmca"/>
                        <w:spacing w:before="0" w:after="200"/>
                        <w:rPr>
                          <w:sz w:val="24"/>
                          <w:szCs w:val="24"/>
                        </w:rPr>
                      </w:pPr>
                      <w:r>
                        <w:rPr>
                          <w:color w:val="000000"/>
                          <w:sz w:val="24"/>
                          <w:szCs w:val="24"/>
                        </w:rPr>
                        <w:t>Pracovníčky v prevádzke</w:t>
                      </w:r>
                    </w:p>
                  </w:txbxContent>
                </v:textbox>
                <w10:wrap type="none"/>
              </v:rect>
            </w:pict>
          </mc:Fallback>
        </mc:AlternateContent>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b/>
          <w:color w:val="FF0000"/>
          <w:sz w:val="24"/>
          <w:szCs w:val="24"/>
        </w:rPr>
      </w:pPr>
      <w:r>
        <w:rPr>
          <w:b/>
          <w:color w:val="FF0000"/>
          <w:sz w:val="24"/>
          <w:szCs w:val="24"/>
        </w:rPr>
      </w:r>
    </w:p>
    <w:p>
      <w:pPr>
        <w:pStyle w:val="Normal"/>
        <w:spacing w:before="0" w:after="0"/>
        <w:rPr>
          <w:color w:val="auto"/>
        </w:rPr>
      </w:pPr>
      <w:r>
        <w:rPr>
          <w:rFonts w:cs="Times New Roman" w:ascii="Times New Roman" w:hAnsi="Times New Roman"/>
          <w:b/>
          <w:outline/>
          <w:color w:val="auto"/>
          <w:sz w:val="28"/>
          <w:szCs w:val="28"/>
        </w:rPr>
        <w:t>4. ZÁKLADNÁ CHARAKTERISTIKA</w:t>
      </w:r>
    </w:p>
    <w:p>
      <w:pPr>
        <w:pStyle w:val="Normal"/>
        <w:spacing w:before="0" w:after="0"/>
        <w:rPr>
          <w:color w:val="auto"/>
        </w:rPr>
      </w:pPr>
      <w:r>
        <w:rPr>
          <w:rFonts w:cs="Times New Roman" w:ascii="Times New Roman" w:hAnsi="Times New Roman"/>
          <w:b/>
          <w:color w:val="auto"/>
          <w:sz w:val="24"/>
          <w:szCs w:val="24"/>
        </w:rPr>
        <w:t>4.1 ZÁKLADNÁ CHARAKTERISTIKA OBCE</w:t>
      </w:r>
    </w:p>
    <w:p>
      <w:pPr>
        <w:pStyle w:val="Normal"/>
        <w:spacing w:before="0" w:after="0"/>
        <w:rPr>
          <w:color w:val="auto"/>
        </w:rPr>
      </w:pPr>
      <w:r>
        <w:rPr>
          <w:rFonts w:cs="Times New Roman" w:ascii="Times New Roman" w:hAnsi="Times New Roman"/>
          <w:b/>
          <w:caps/>
          <w:color w:val="auto"/>
          <w:sz w:val="20"/>
          <w:szCs w:val="20"/>
        </w:rPr>
        <w:tab/>
      </w:r>
      <w:r>
        <w:rPr>
          <w:rFonts w:eastAsia="Times New Roman" w:cs="Times New Roman" w:ascii="Times New Roman" w:hAnsi="Times New Roman"/>
          <w:color w:val="auto"/>
          <w:sz w:val="24"/>
          <w:szCs w:val="24"/>
          <w:lang w:eastAsia="sk-SK"/>
        </w:rPr>
        <w:t>Obec Selce je samostatný  územný  celok SR, ktorý združuje osoby s trvalým pobytom na jej území. Je právnickou osobou, ktorá za podmienok ustanovených zákonom samostatne hospodári so zvereným a vlastným majetkom a so zverenými a vlastnými finančnými príjmami. Najdôležitejšou úlohou obce pri výkone samosprávy je starostlivosť o všestranný rozvoj svojho územia a potrieb obyvateľov. Obec má zriadené dve rozpočtové organizácie  –  základnú školu a materskú školu.</w:t>
      </w:r>
    </w:p>
    <w:p>
      <w:pPr>
        <w:pStyle w:val="Normal"/>
        <w:spacing w:lineRule="auto" w:line="240" w:before="0" w:after="0"/>
        <w:ind w:firstLine="708"/>
        <w:jc w:val="both"/>
        <w:rPr>
          <w:color w:val="auto"/>
        </w:rPr>
      </w:pPr>
      <w:r>
        <w:rPr>
          <w:rFonts w:eastAsia="Times New Roman" w:cs="Times New Roman" w:ascii="Times New Roman" w:hAnsi="Times New Roman"/>
          <w:color w:val="auto"/>
          <w:sz w:val="24"/>
          <w:szCs w:val="24"/>
          <w:lang w:eastAsia="sk-SK"/>
        </w:rPr>
        <w:t xml:space="preserve">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a fyzickým osobám – podnikateľom pôsobiacim na území obce, ako aj k obyvateľom žijúcim na území obce. Obsahuje tiež zámery a ciele, ktoré obec realizuje z výdavkov svojho rozpočtu. Súčasťou rozpočtového hospodárenia obce je aj rozpočtová organizácia ZŠ a MŠ Selce. </w:t>
      </w:r>
    </w:p>
    <w:p>
      <w:pPr>
        <w:pStyle w:val="Normal"/>
        <w:spacing w:lineRule="auto" w:line="240" w:before="0" w:after="0"/>
        <w:ind w:firstLine="708"/>
        <w:jc w:val="both"/>
        <w:rPr>
          <w:color w:val="auto"/>
        </w:rPr>
      </w:pPr>
      <w:r>
        <w:rPr>
          <w:rFonts w:eastAsia="Times New Roman" w:cs="Times New Roman" w:ascii="Times New Roman" w:hAnsi="Times New Roman"/>
          <w:color w:val="auto"/>
          <w:sz w:val="24"/>
          <w:szCs w:val="24"/>
          <w:lang w:eastAsia="sk-SK"/>
        </w:rPr>
        <w:t>Účtovníctvo obce sa vedie podľa zákona č. 431/2002 Z. z. o účtovníctve v znení neskorších predpisov. Predkladaná výročná správa sa vyhotovuje v zmysle § 20 uvedeného zákona. Postupy účtovania pre obce upravuje Opatrenie MF SR č. MF/16786/2007 - 31 a č.F/25189/2008 - 311.</w:t>
      </w:r>
    </w:p>
    <w:p>
      <w:pPr>
        <w:pStyle w:val="Normal"/>
        <w:spacing w:before="0" w:after="0"/>
        <w:rPr>
          <w:rFonts w:ascii="Times New Roman" w:hAnsi="Times New Roman" w:cs="Times New Roman"/>
          <w:b/>
          <w:caps/>
          <w:color w:val="auto"/>
          <w:sz w:val="24"/>
          <w:szCs w:val="24"/>
        </w:rPr>
      </w:pPr>
      <w:r>
        <w:rPr>
          <w:rFonts w:cs="Times New Roman" w:ascii="Times New Roman" w:hAnsi="Times New Roman"/>
          <w:b/>
          <w:caps/>
          <w:color w:val="auto"/>
          <w:sz w:val="24"/>
          <w:szCs w:val="24"/>
        </w:rPr>
      </w:r>
    </w:p>
    <w:p>
      <w:pPr>
        <w:pStyle w:val="Normal"/>
        <w:spacing w:before="0" w:after="0"/>
        <w:rPr>
          <w:color w:val="auto"/>
        </w:rPr>
      </w:pPr>
      <w:r>
        <w:rPr>
          <w:rFonts w:cs="Times New Roman" w:ascii="Times New Roman" w:hAnsi="Times New Roman"/>
          <w:b/>
          <w:color w:val="auto"/>
          <w:sz w:val="24"/>
          <w:szCs w:val="24"/>
        </w:rPr>
        <w:t>4.2 ZÁKLADNÁ CHARAKTERISTIKA ZÁKLADNEJ ŠKOLY</w:t>
      </w:r>
    </w:p>
    <w:p>
      <w:pPr>
        <w:pStyle w:val="Normal"/>
        <w:spacing w:lineRule="auto" w:line="240" w:before="0" w:after="0"/>
        <w:ind w:firstLine="708"/>
        <w:jc w:val="both"/>
        <w:rPr>
          <w:color w:val="auto"/>
        </w:rPr>
      </w:pPr>
      <w:r>
        <w:rPr>
          <w:rFonts w:cs="Times New Roman" w:ascii="Times New Roman" w:hAnsi="Times New Roman"/>
          <w:color w:val="auto"/>
          <w:sz w:val="24"/>
          <w:szCs w:val="24"/>
        </w:rPr>
        <w:t>Zriaďovateľom Základnej školy, Školská 4, Selce je Obec Selce. Škola je úplná, plnoorganizovaná s 1. až 9. postupovým ročníkom. Vzdeláva sa v nej 246 žiakov v 9 triedach. Priemerná naplnenosť tried je 24,66 žiakov. Škola je umiestnená v obci Selce. Spádovou oblasťou školy sú obce Selce, Priechod a Baláže, ale navštevujú ju aj žiaci z Banskej Bystrice a iných priľahlých obcí. Je jedinou školou v obci a svojou prácou musí uspokojiť potreby a záujmy všetkých žiakov. Z toho dôvodu sa špecificky neprofiluje, má teda všeobecné zameranie. V bežných triedach vzdelávame aj žiakov so špeciálnymi výchovno-vzdelávacími potrebami.</w:t>
      </w:r>
    </w:p>
    <w:p>
      <w:pPr>
        <w:pStyle w:val="Normal"/>
        <w:spacing w:lineRule="auto" w:line="240" w:before="0" w:after="0"/>
        <w:jc w:val="both"/>
        <w:rPr>
          <w:color w:val="auto"/>
        </w:rPr>
      </w:pPr>
      <w:r>
        <w:rPr>
          <w:rFonts w:cs="Times New Roman" w:ascii="Times New Roman" w:hAnsi="Times New Roman"/>
          <w:color w:val="auto"/>
          <w:sz w:val="24"/>
          <w:szCs w:val="24"/>
        </w:rPr>
        <w:tab/>
        <w:t>V škole pôsobí stabilizovaný pedagogický zbor v počte 20 učiteľov a 4 nepedagogickí zamestnanci. Všetci učitelia majú vysokoškolské vzdelanie druhého stupňa a spĺňajú odborný kvalifikačný predpoklad. Riaditeľ školy, jeho zástupkyňa a výchovná poradkyňa majú okrem toho aj vzdelanie v oblasti školského manažmentu a výchovného poradenstva. Odborné pokrytie vyučovania je 90,00 %.</w:t>
      </w:r>
    </w:p>
    <w:p>
      <w:pPr>
        <w:pStyle w:val="Normal"/>
        <w:spacing w:lineRule="auto" w:line="240" w:before="0" w:after="0"/>
        <w:jc w:val="both"/>
        <w:rPr>
          <w:color w:val="auto"/>
        </w:rPr>
      </w:pPr>
      <w:r>
        <w:rPr>
          <w:rFonts w:cs="Times New Roman" w:ascii="Times New Roman" w:hAnsi="Times New Roman"/>
          <w:color w:val="auto"/>
          <w:sz w:val="24"/>
          <w:szCs w:val="24"/>
        </w:rPr>
        <w:tab/>
        <w:t>Škola v roku 2010 prešla kompletnou rekonštrukciou v rámci Európskeho fondu regionálneho rozvoja „Investícia do vašej budúcnosti“ – názov projektu „Rekonštrukcia a modernizácia ZŠ Selce“.</w:t>
      </w:r>
    </w:p>
    <w:p>
      <w:pPr>
        <w:pStyle w:val="Normal"/>
        <w:spacing w:lineRule="auto" w:line="240" w:before="0" w:after="0"/>
        <w:ind w:firstLine="708"/>
        <w:jc w:val="both"/>
        <w:rPr>
          <w:color w:val="auto"/>
        </w:rPr>
      </w:pPr>
      <w:r>
        <w:rPr>
          <w:rFonts w:cs="Times New Roman" w:ascii="Times New Roman" w:hAnsi="Times New Roman"/>
          <w:color w:val="auto"/>
          <w:sz w:val="24"/>
          <w:szCs w:val="24"/>
        </w:rPr>
        <w:t xml:space="preserve">Škola má zriadených 11 učební, z toho jedna je multimediálna a jedna je učebňa informatiky. V samostatnej budove máme priestrannú a dobre vybavenú telocvičňu so špeciálnym povrchom na športové hry, ktorý bol položený v roku 2006, v roku 2022 bola uskutočnená rekonštrukcia kotolne v  telocvični. </w:t>
      </w:r>
    </w:p>
    <w:p>
      <w:pPr>
        <w:pStyle w:val="Normal"/>
        <w:spacing w:before="0" w:after="0"/>
        <w:rPr>
          <w:rFonts w:ascii="Times New Roman" w:hAnsi="Times New Roman" w:cs="Times New Roman"/>
          <w:b/>
          <w:caps/>
          <w:color w:val="FF0000"/>
          <w:sz w:val="24"/>
          <w:szCs w:val="24"/>
        </w:rPr>
      </w:pPr>
      <w:r>
        <w:rPr>
          <w:rFonts w:cs="Times New Roman" w:ascii="Times New Roman" w:hAnsi="Times New Roman"/>
          <w:b/>
          <w:caps/>
          <w:color w:val="FF0000"/>
          <w:sz w:val="24"/>
          <w:szCs w:val="24"/>
        </w:rPr>
      </w:r>
    </w:p>
    <w:p>
      <w:pPr>
        <w:pStyle w:val="Normal"/>
        <w:spacing w:before="0" w:after="0"/>
        <w:rPr>
          <w:color w:val="auto"/>
        </w:rPr>
      </w:pPr>
      <w:r>
        <w:rPr>
          <w:rFonts w:cs="Times New Roman" w:ascii="Times New Roman" w:hAnsi="Times New Roman"/>
          <w:b/>
          <w:color w:val="auto"/>
          <w:sz w:val="24"/>
          <w:szCs w:val="24"/>
        </w:rPr>
        <w:t>4.3 ZÁKLADNÁ CHARAKTERISTIKA MATERSKEJ ŠKOLY</w:t>
      </w:r>
    </w:p>
    <w:p>
      <w:pPr>
        <w:pStyle w:val="Standard"/>
        <w:jc w:val="both"/>
        <w:rPr>
          <w:color w:val="auto"/>
        </w:rPr>
      </w:pPr>
      <w:r>
        <w:rPr>
          <w:b/>
          <w:bCs/>
          <w:color w:val="auto"/>
        </w:rPr>
        <w:t xml:space="preserve">  </w:t>
      </w:r>
      <w:r>
        <w:rPr>
          <w:b/>
          <w:bCs/>
          <w:color w:val="auto"/>
        </w:rPr>
        <w:tab/>
      </w:r>
      <w:r>
        <w:rPr>
          <w:bCs/>
          <w:color w:val="auto"/>
        </w:rPr>
        <w:t>Materská škola Selce</w:t>
      </w:r>
      <w:r>
        <w:rPr>
          <w:b/>
          <w:bCs/>
          <w:color w:val="auto"/>
        </w:rPr>
        <w:t xml:space="preserve"> </w:t>
      </w:r>
      <w:r>
        <w:rPr>
          <w:color w:val="auto"/>
        </w:rPr>
        <w:t>sa nachádza v prekrásnom prostredí zelene a prírody. Je to prízemná drevená budova, v ktorej sa nachádzajú 2 triedy, t.j. oranžová trieda 2,5 - 3 ročných detí s počtom 17 detí , zelená trieda 3 - 4 ročných detí s počtom 20 detí. V roku  2018 bola pristavená modulová MŠ v ktorej je umiestnená žltá trieda 4 – 6 ročných detí s počtom 23. Spolu 60 detí.</w:t>
      </w:r>
    </w:p>
    <w:p>
      <w:pPr>
        <w:pStyle w:val="Standard"/>
        <w:ind w:firstLine="708"/>
        <w:jc w:val="both"/>
        <w:rPr>
          <w:color w:val="auto"/>
        </w:rPr>
      </w:pPr>
      <w:r>
        <w:rPr>
          <w:color w:val="auto"/>
        </w:rPr>
        <w:t>MŠ poskytuje celodenné ale aj poldenné predprimárne vzdelávanie detí predškolského veku. Výchovno-vzdelávaciu činnosť realizujeme podľa nového štátneho vzdelávacieho programu platného od 01.09.2016 a vypracovaného ŠkVP ,,Kutliarik“ so zameraním na zdravie, pohyb a regionálnu výchovu. Využívame interaktívne a inovatívne metódy a formy práce v jednotlivých edukačných aktivitách.  Zameraním MŠ je „Cesta za poznávaním obce,“ kde plníme regionálne kultúrno-historické tradície obce, vštepujeme deťom úctu k národným a regionálnym tradíciám, k zdravému životnému štýlu a zodpovednosti za svoje zdravie, zdravý telesný vývoj vplyvom pohybových aktivít, prezentujeme zručnosti, návyky a skúsenosti  v rôznych plánovaných aktivitách ako je: príprava ovocného dňa, privítanie Mikuláša, karneval detí, lyžiarsky výcvik, plavecký výcvik, besiedka ku dnu Matiek, návšteva ZŠ, rôzne ukážky polície a psovodov, výlet detí na Deň detí, športový deň - olympiáda a rôzne iné aktivity.</w:t>
      </w:r>
    </w:p>
    <w:p>
      <w:pPr>
        <w:pStyle w:val="Standard"/>
        <w:ind w:firstLine="708"/>
        <w:jc w:val="both"/>
        <w:rPr>
          <w:color w:val="auto"/>
        </w:rPr>
      </w:pPr>
      <w:r>
        <w:rPr>
          <w:color w:val="auto"/>
        </w:rPr>
        <w:t>Snažíme sa byť škôlkou reagujúcou na potreby detí, rodičov a spoločnosti. Každé dieťa má vytvorené podmienky pre zmysluplnú hru,  rozmanitosť hravých aktivít, činností a aktívneho  získavania poznatkov, postojov a skúseností.</w:t>
      </w:r>
    </w:p>
    <w:p>
      <w:pPr>
        <w:pStyle w:val="Normal"/>
        <w:spacing w:before="0" w:after="0"/>
        <w:rPr>
          <w:rFonts w:ascii="Times New Roman" w:hAnsi="Times New Roman" w:cs="Times New Roman"/>
          <w:b/>
          <w:caps/>
          <w:color w:val="auto"/>
        </w:rPr>
      </w:pPr>
      <w:r>
        <w:rPr>
          <w:rFonts w:cs="Times New Roman" w:ascii="Times New Roman" w:hAnsi="Times New Roman"/>
          <w:b/>
          <w:caps/>
          <w:color w:val="auto"/>
        </w:rPr>
      </w:r>
    </w:p>
    <w:p>
      <w:pPr>
        <w:pStyle w:val="Normal"/>
        <w:spacing w:before="0" w:after="0"/>
        <w:rPr>
          <w:rFonts w:ascii="Times New Roman" w:hAnsi="Times New Roman" w:cs="Times New Roman"/>
          <w:b/>
          <w:caps/>
          <w:color w:val="auto"/>
        </w:rPr>
      </w:pPr>
      <w:r>
        <w:rPr>
          <w:rFonts w:cs="Times New Roman" w:ascii="Times New Roman" w:hAnsi="Times New Roman"/>
          <w:b/>
          <w:caps/>
          <w:color w:val="auto"/>
        </w:rPr>
      </w:r>
    </w:p>
    <w:p>
      <w:pPr>
        <w:pStyle w:val="Normal"/>
        <w:spacing w:before="0" w:after="0"/>
        <w:rPr>
          <w:color w:val="auto"/>
        </w:rPr>
      </w:pPr>
      <w:r>
        <w:rPr>
          <w:rFonts w:cs="Times New Roman" w:ascii="Times New Roman" w:hAnsi="Times New Roman"/>
          <w:b/>
          <w:outline/>
          <w:color w:val="auto"/>
          <w:sz w:val="28"/>
          <w:szCs w:val="28"/>
        </w:rPr>
        <w:t>5. GEOGRAFICKÉ ÚDAJE</w:t>
      </w:r>
    </w:p>
    <w:p>
      <w:pPr>
        <w:pStyle w:val="Normal"/>
        <w:spacing w:before="0" w:after="0"/>
        <w:rPr>
          <w:color w:val="auto"/>
        </w:rPr>
      </w:pPr>
      <w:r>
        <w:rPr>
          <w:rFonts w:cs="Times New Roman" w:ascii="Times New Roman" w:hAnsi="Times New Roman"/>
          <w:b/>
          <w:color w:val="auto"/>
          <w:sz w:val="24"/>
          <w:szCs w:val="24"/>
        </w:rPr>
        <w:t>5.1 GEOGRAFICKÉ ÚDAJE</w:t>
      </w:r>
    </w:p>
    <w:p>
      <w:pPr>
        <w:pStyle w:val="Normal"/>
        <w:spacing w:before="0" w:after="0"/>
        <w:jc w:val="both"/>
        <w:rPr>
          <w:color w:val="auto"/>
        </w:rPr>
      </w:pPr>
      <w:r>
        <w:rPr>
          <w:rFonts w:cs="Times New Roman" w:ascii="Times New Roman" w:hAnsi="Times New Roman"/>
          <w:b/>
          <w:caps/>
          <w:color w:val="auto"/>
          <w:sz w:val="20"/>
          <w:szCs w:val="20"/>
        </w:rPr>
        <w:tab/>
      </w:r>
      <w:r>
        <w:rPr>
          <w:rFonts w:cs="Times New Roman" w:ascii="Times New Roman" w:hAnsi="Times New Roman"/>
          <w:color w:val="auto"/>
          <w:sz w:val="24"/>
          <w:szCs w:val="24"/>
        </w:rPr>
        <w:t>Obec Selce je jednou z obcí Mikroregiónu pod Pánskym dielom nachádzajúca sa v okrese Banská Bystrica v Banskobystrickom kraji. Členitý horský chotár Seliec, ktorý je akoby predurčený na prevádzkovanie zimných športov a turistiky, sa rozkladá severovýchodne od Banskej Bystrice v nadmorskej výške od 388 do 1044 mnm. Obec susedí nielen s okresným s krajským mestom a jeho časťami Senica a Šalková, ale aj s obcami Nemce, Špania Dolina, Baláže, Priechod, Slovenská Ľupča, Kynceľová. Kataster obce má 1999 ha.</w:t>
      </w:r>
    </w:p>
    <w:p>
      <w:pPr>
        <w:pStyle w:val="Normal"/>
        <w:spacing w:before="0" w:after="0"/>
        <w:rPr>
          <w:rFonts w:ascii="Times New Roman" w:hAnsi="Times New Roman" w:cs="Times New Roman"/>
          <w:b/>
          <w:color w:val="FF0000"/>
          <w:sz w:val="24"/>
          <w:szCs w:val="24"/>
        </w:rPr>
      </w:pPr>
      <w:r>
        <w:rPr>
          <w:rFonts w:cs="Times New Roman" w:ascii="Times New Roman" w:hAnsi="Times New Roman"/>
          <w:b/>
          <w:color w:val="FF0000"/>
          <w:sz w:val="24"/>
          <w:szCs w:val="24"/>
        </w:rPr>
      </w:r>
    </w:p>
    <w:p>
      <w:pPr>
        <w:pStyle w:val="Normal"/>
        <w:spacing w:before="0" w:after="0"/>
        <w:rPr>
          <w:color w:val="auto"/>
        </w:rPr>
      </w:pPr>
      <w:r>
        <w:rPr>
          <w:rFonts w:cs="Times New Roman" w:ascii="Times New Roman" w:hAnsi="Times New Roman"/>
          <w:b/>
          <w:color w:val="auto"/>
          <w:sz w:val="24"/>
          <w:szCs w:val="24"/>
        </w:rPr>
        <w:t>5.2 DEMOGRAFICKÉ ÚDAJE</w:t>
      </w:r>
    </w:p>
    <w:p>
      <w:pPr>
        <w:pStyle w:val="Normal"/>
        <w:rPr>
          <w:rFonts w:ascii="Times New Roman" w:hAnsi="Times New Roman"/>
          <w:color w:val="auto"/>
        </w:rPr>
      </w:pPr>
      <w:r>
        <w:rPr>
          <w:rFonts w:ascii="Times New Roman" w:hAnsi="Times New Roman"/>
          <w:bCs/>
          <w:color w:val="auto"/>
        </w:rPr>
        <w:t>Národnostná štruktúra: Prevažujúca národnosť slovenská</w:t>
      </w:r>
    </w:p>
    <w:p>
      <w:pPr>
        <w:pStyle w:val="Normal"/>
        <w:rPr>
          <w:rFonts w:ascii="Times New Roman" w:hAnsi="Times New Roman"/>
          <w:color w:val="auto"/>
        </w:rPr>
      </w:pPr>
      <w:r>
        <w:rPr>
          <w:rFonts w:ascii="Times New Roman" w:hAnsi="Times New Roman"/>
          <w:b/>
          <w:color w:val="auto"/>
        </w:rPr>
        <w:t>Počet obyvateľov obce Selce  k 31.12.2024:  2</w:t>
      </w:r>
      <w:r>
        <w:rPr>
          <w:rFonts w:ascii="Times New Roman" w:hAnsi="Times New Roman"/>
          <w:b/>
          <w:color w:val="auto"/>
        </w:rPr>
        <w:t>094</w:t>
      </w:r>
      <w:r>
        <w:rPr>
          <w:rFonts w:ascii="Times New Roman" w:hAnsi="Times New Roman"/>
          <w:color w:val="auto"/>
        </w:rPr>
        <w:t xml:space="preserve"> obyvateľov (105,05 obyvateľa/km²)</w:t>
      </w:r>
    </w:p>
    <w:p>
      <w:pPr>
        <w:pStyle w:val="Normal"/>
        <w:spacing w:before="0" w:after="0"/>
        <w:rPr>
          <w:rFonts w:ascii="Times New Roman" w:hAnsi="Times New Roman" w:cs="Times New Roman"/>
          <w:color w:val="FF0000"/>
          <w:sz w:val="24"/>
          <w:szCs w:val="24"/>
        </w:rPr>
      </w:pPr>
      <w:r>
        <w:rPr>
          <w:rFonts w:cs="Times New Roman" w:ascii="Times New Roman" w:hAnsi="Times New Roman"/>
          <w:color w:val="FF0000"/>
          <w:sz w:val="24"/>
          <w:szCs w:val="24"/>
        </w:rPr>
      </w:r>
    </w:p>
    <w:p>
      <w:pPr>
        <w:pStyle w:val="Normal"/>
        <w:spacing w:lineRule="auto" w:line="240" w:before="0" w:after="0"/>
        <w:rPr/>
      </w:pPr>
      <w:r>
        <w:rPr>
          <w:rFonts w:cs="Times New Roman" w:ascii="Times New Roman" w:hAnsi="Times New Roman"/>
          <w:b/>
          <w:sz w:val="24"/>
          <w:szCs w:val="24"/>
        </w:rPr>
        <w:t xml:space="preserve">5.3 HISTÓRIA OBCE </w:t>
      </w:r>
    </w:p>
    <w:p>
      <w:pPr>
        <w:pStyle w:val="Normal"/>
        <w:spacing w:lineRule="auto" w:line="240" w:before="0" w:after="0"/>
        <w:ind w:firstLine="709"/>
        <w:jc w:val="both"/>
        <w:rPr/>
      </w:pPr>
      <w:r>
        <w:rPr>
          <w:rFonts w:cs="Times New Roman" w:ascii="Times New Roman" w:hAnsi="Times New Roman"/>
          <w:sz w:val="24"/>
          <w:szCs w:val="24"/>
        </w:rPr>
        <w:t xml:space="preserve">Prvá písomná zmienka o obci Selce je doložená z roku </w:t>
      </w:r>
      <w:r>
        <w:rPr>
          <w:rStyle w:val="Strong"/>
          <w:rFonts w:cs="Times New Roman" w:ascii="Times New Roman" w:hAnsi="Times New Roman"/>
          <w:b w:val="false"/>
          <w:sz w:val="24"/>
          <w:szCs w:val="24"/>
        </w:rPr>
        <w:t>1332</w:t>
      </w:r>
      <w:r>
        <w:rPr>
          <w:rFonts w:cs="Times New Roman" w:ascii="Times New Roman" w:hAnsi="Times New Roman"/>
          <w:sz w:val="24"/>
          <w:szCs w:val="24"/>
        </w:rPr>
        <w:t xml:space="preserve"> s názvom Omnes Sancti de Zolio (Všetci svätí). V tom čase tu už bola fara i kostol postavený zásluhou zvolenského </w:t>
      </w:r>
      <w:r>
        <w:rPr>
          <w:rStyle w:val="Strong"/>
          <w:rFonts w:cs="Times New Roman" w:ascii="Times New Roman" w:hAnsi="Times New Roman"/>
          <w:b w:val="false"/>
          <w:sz w:val="24"/>
          <w:szCs w:val="24"/>
        </w:rPr>
        <w:t>župana Dônča</w:t>
      </w:r>
      <w:r>
        <w:rPr>
          <w:rFonts w:cs="Times New Roman" w:ascii="Times New Roman" w:hAnsi="Times New Roman"/>
          <w:sz w:val="24"/>
          <w:szCs w:val="24"/>
        </w:rPr>
        <w:t>. Ďalšia správa o názve obce sa nachádza v prílohe" Výsadnej listiny", ktorú vydal kráľ Karol Róbert na Ľupčianskom hrade dňa 11. novembra 1340, no aj v ďalších - rok 1406, 1786 či z roku 1808, kde sa uvádza už dnešný názov Selce.</w:t>
      </w:r>
    </w:p>
    <w:p>
      <w:pPr>
        <w:pStyle w:val="Normal"/>
        <w:spacing w:lineRule="auto" w:line="240" w:before="0" w:after="0"/>
        <w:ind w:firstLine="709"/>
        <w:jc w:val="both"/>
        <w:rPr/>
      </w:pPr>
      <w:r>
        <w:rPr>
          <w:rFonts w:cs="Times New Roman" w:ascii="Times New Roman" w:hAnsi="Times New Roman"/>
          <w:sz w:val="24"/>
          <w:szCs w:val="24"/>
        </w:rPr>
        <w:t xml:space="preserve">V chotári obce na nachádza významná chránená archeologická lokalita Hrádok, ktorá je známa z odbornej literatúry tridsiatych rokov 20. storočia ako nálezisko rímskych mincí a šperkov. </w:t>
      </w:r>
      <w:r>
        <w:rPr>
          <w:rStyle w:val="Strong"/>
          <w:rFonts w:cs="Times New Roman" w:ascii="Times New Roman" w:hAnsi="Times New Roman"/>
          <w:b w:val="false"/>
          <w:sz w:val="24"/>
          <w:szCs w:val="24"/>
        </w:rPr>
        <w:t>Hrádok</w:t>
      </w:r>
      <w:r>
        <w:rPr>
          <w:rStyle w:val="Strong"/>
          <w:rFonts w:cs="Times New Roman" w:ascii="Times New Roman" w:hAnsi="Times New Roman"/>
          <w:sz w:val="24"/>
          <w:szCs w:val="24"/>
        </w:rPr>
        <w:t xml:space="preserve"> </w:t>
      </w:r>
      <w:r>
        <w:rPr>
          <w:rFonts w:cs="Times New Roman" w:ascii="Times New Roman" w:hAnsi="Times New Roman"/>
          <w:sz w:val="24"/>
          <w:szCs w:val="24"/>
        </w:rPr>
        <w:t>leží v nadmorskej výške 780 m a je súčasťou horského hrebeňa, vybiehajúceho v juhovýchodnom smere z juhozápadného konca Nízkych Tatier. Je to hrebeňová antiklinála utvorená z vápencovej skaly, ktorej steny sú 2 až 7 m vysoké. Podložie, vápencové bralo, je pokryté tenkou hlinitou pokrývkou. Lokalita Hrádok je chránenou kultúrnou pamiatkou, evidovaná je v Ústrednom zozname kultúrnych pamiatok Slovenskou republikou pod číslom Ss/2192, s vytýčeným ochranným pásmom. Druhý chotárny názov Staré Selce poukazuje na existenciu ďalšej možnej lokality, ktorá doposiaľ nebola skúmaná.</w:t>
      </w:r>
    </w:p>
    <w:p>
      <w:pPr>
        <w:pStyle w:val="Normal"/>
        <w:spacing w:lineRule="auto" w:line="240" w:before="0" w:after="0"/>
        <w:ind w:firstLine="708"/>
        <w:jc w:val="both"/>
        <w:rPr/>
      </w:pPr>
      <w:r>
        <w:rPr>
          <w:rFonts w:eastAsia="Times New Roman" w:cs="Times New Roman" w:ascii="Times New Roman" w:hAnsi="Times New Roman"/>
          <w:bCs/>
          <w:sz w:val="24"/>
          <w:szCs w:val="24"/>
          <w:lang w:eastAsia="sk-SK"/>
        </w:rPr>
        <w:t>Medzi najvýznamnejšie dominanty obce</w:t>
      </w:r>
      <w:r>
        <w:rPr>
          <w:rFonts w:eastAsia="Times New Roman" w:cs="Times New Roman" w:ascii="Times New Roman" w:hAnsi="Times New Roman"/>
          <w:b/>
          <w:bCs/>
          <w:sz w:val="24"/>
          <w:szCs w:val="24"/>
          <w:lang w:eastAsia="sk-SK"/>
        </w:rPr>
        <w:t xml:space="preserve"> </w:t>
      </w:r>
      <w:r>
        <w:rPr>
          <w:rFonts w:eastAsia="Times New Roman" w:cs="Times New Roman" w:ascii="Times New Roman" w:hAnsi="Times New Roman"/>
          <w:bCs/>
          <w:sz w:val="24"/>
          <w:szCs w:val="24"/>
          <w:lang w:eastAsia="sk-SK"/>
        </w:rPr>
        <w:t>patrí  k</w:t>
      </w:r>
      <w:r>
        <w:rPr>
          <w:rFonts w:eastAsia="Times New Roman" w:cs="Times New Roman" w:ascii="Times New Roman" w:hAnsi="Times New Roman"/>
          <w:sz w:val="24"/>
          <w:szCs w:val="24"/>
          <w:lang w:eastAsia="sk-SK"/>
        </w:rPr>
        <w:t xml:space="preserve">ostol sv. Cyrila a Metoda, najstarší kostol zasvätený solúnskym bratom. Gotický kostol z roku 1222, pôvodne zasvätený </w:t>
      </w:r>
      <w:r>
        <w:rPr>
          <w:rFonts w:cs="Times New Roman" w:ascii="Times New Roman" w:hAnsi="Times New Roman"/>
          <w:sz w:val="24"/>
          <w:szCs w:val="24"/>
        </w:rPr>
        <w:t>všetkým svätým,</w:t>
      </w:r>
      <w:r>
        <w:rPr>
          <w:rFonts w:eastAsia="Times New Roman" w:cs="Times New Roman" w:ascii="Times New Roman" w:hAnsi="Times New Roman"/>
          <w:sz w:val="24"/>
          <w:szCs w:val="24"/>
          <w:lang w:eastAsia="sk-SK"/>
        </w:rPr>
        <w:t xml:space="preserve"> patrí medzi najstaršie sakrálne objekty v okolí Banskej Bystrice. Bol rozšírený začiatkom 16. storočia a nachádzajú sa v ňom vzácne pamiatky z 15. – 19. storočia. Pri kostole sa nachádza morový stĺp a tiež vzácna vyše 150 - ročná lipa, zasadená pri príležitosti 1000. výročia príchodu vierozvestcov na územie Veľkej Moravy.</w:t>
      </w:r>
    </w:p>
    <w:p>
      <w:pPr>
        <w:pStyle w:val="NormalWeb"/>
        <w:spacing w:beforeAutospacing="0" w:before="0" w:afterAutospacing="0" w:after="0"/>
        <w:jc w:val="both"/>
        <w:rPr/>
      </w:pPr>
      <w:r>
        <w:rPr/>
        <w:t>Od roku 1850 na miestnej fare pôsobil kňaz a národovec Július Plošic, ktorý využil priaznivé podmienky, keď diecézu spravoval biskup Štefan Moyzes. Keďže sa blížilo 1000. výročie príchodu sv. Cyrila a Metoda na Veľkú Moravu, rozhodol sa, že namiesto obrazu všetkých svätých dá namaľovať nový oltárny obraz  a kostol zasvätí solúnskym bratom.</w:t>
      </w:r>
    </w:p>
    <w:p>
      <w:pPr>
        <w:pStyle w:val="NormalWeb"/>
        <w:spacing w:beforeAutospacing="0" w:before="0" w:afterAutospacing="0" w:after="0"/>
        <w:jc w:val="both"/>
        <w:rPr/>
      </w:pPr>
      <w:r>
        <w:rPr/>
        <w:t>Obraz sv. Cyrila a Metoda maľoval od jesene 1862 do jari 1863 banskobystrický maliar Július Jonáš. Na sviatok Najsvätejšej Trojice 31. mája v roku 1863 sa v Selciach za účasti mnohých veriacich, kňazov i národovcov konala veľká cirkevno - národná slávnosť, pri ktorej biskup Štefan Moyzes posvätil oltárny obraz. Selčiansky farský chrám sa tak stal prvým kostolom v Hornom Uhorsku, vtedy na Slovensku, ktorý bol zasvätený solúnskym bratom.</w:t>
      </w:r>
    </w:p>
    <w:p>
      <w:pPr>
        <w:pStyle w:val="NormalWeb"/>
        <w:spacing w:beforeAutospacing="0" w:before="0" w:afterAutospacing="0" w:after="0"/>
        <w:jc w:val="both"/>
        <w:rPr/>
      </w:pPr>
      <w:r>
        <w:rPr/>
        <w:t>V nepriaznivých podmienkach 19. storočia, kedy bol národnostný útlak a nemohlo sa pripomínať cyrilo-metodské jubileum, bolo práve posvätenie obrazu a národná slávnosť na sviatok Najsvätejšej Trojice najmasovejšou a najväčšou oslavou milénia príchodu solúnskych bratov na Veľkú Moravu. Oltárny obraz je namaľovaný na plátne a znázorňuje solúnskych bratov v tradičných farbách. Metoda ako arcibiskupa s obrazom posledného súdu a Cyrila v mníšskom rúchu s knihou - keďže bol vzdelanec, filozof - a s krížom.</w:t>
      </w:r>
    </w:p>
    <w:p>
      <w:pPr>
        <w:pStyle w:val="Normal"/>
        <w:spacing w:lineRule="auto" w:line="240" w:before="0" w:after="0"/>
        <w:rPr>
          <w:rFonts w:ascii="Times New Roman" w:hAnsi="Times New Roman" w:cs="Times New Roman"/>
          <w:b/>
          <w:caps/>
          <w:color w:val="FF0000"/>
          <w:sz w:val="24"/>
          <w:szCs w:val="24"/>
        </w:rPr>
      </w:pPr>
      <w:r>
        <w:rPr>
          <w:rFonts w:cs="Times New Roman" w:ascii="Times New Roman" w:hAnsi="Times New Roman"/>
          <w:b/>
          <w:caps/>
          <w:color w:val="FF0000"/>
          <w:sz w:val="24"/>
          <w:szCs w:val="24"/>
        </w:rPr>
      </w:r>
    </w:p>
    <w:p>
      <w:pPr>
        <w:pStyle w:val="Normal"/>
        <w:spacing w:lineRule="auto" w:line="240" w:before="0" w:after="0"/>
        <w:rPr/>
      </w:pPr>
      <w:r>
        <w:rPr>
          <w:rFonts w:cs="Times New Roman" w:ascii="Times New Roman" w:hAnsi="Times New Roman"/>
          <w:b/>
          <w:sz w:val="24"/>
          <w:szCs w:val="24"/>
        </w:rPr>
        <w:t>5.4 VÝZNAMNÉ OSOBNOSTI</w:t>
      </w:r>
    </w:p>
    <w:p>
      <w:pPr>
        <w:pStyle w:val="Normal"/>
        <w:spacing w:lineRule="auto" w:line="240" w:before="0" w:after="0"/>
        <w:rPr/>
      </w:pPr>
      <w:r>
        <w:rPr>
          <w:rFonts w:eastAsia="Times New Roman" w:cs="Times New Roman" w:ascii="Times New Roman" w:hAnsi="Times New Roman"/>
          <w:b/>
          <w:sz w:val="24"/>
          <w:szCs w:val="24"/>
          <w:lang w:eastAsia="sk-SK"/>
        </w:rPr>
        <w:t>Andrej Caban</w:t>
      </w:r>
      <w:r>
        <w:rPr>
          <w:rFonts w:eastAsia="Times New Roman" w:cs="Times New Roman" w:ascii="Times New Roman" w:hAnsi="Times New Roman"/>
          <w:sz w:val="24"/>
          <w:szCs w:val="24"/>
          <w:lang w:eastAsia="sk-SK"/>
        </w:rPr>
        <w:t xml:space="preserve">, katolícky kňaz, národovec </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jc w:val="both"/>
        <w:rPr/>
      </w:pPr>
      <w:r>
        <w:drawing>
          <wp:anchor behindDoc="0" distT="95250" distB="95250" distL="0" distR="95250" simplePos="0" locked="0" layoutInCell="0" allowOverlap="0" relativeHeight="11">
            <wp:simplePos x="0" y="0"/>
            <wp:positionH relativeFrom="column">
              <wp:align>left</wp:align>
            </wp:positionH>
            <wp:positionV relativeFrom="line">
              <wp:posOffset>635</wp:posOffset>
            </wp:positionV>
            <wp:extent cx="933450" cy="1428750"/>
            <wp:effectExtent l="0" t="0" r="0" b="0"/>
            <wp:wrapSquare wrapText="bothSides"/>
            <wp:docPr id="38" name="Obrázok 8" descr="http://www.selce.sk/admin/img_osobnost/3_12330478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Obrázok 8" descr="http://www.selce.sk/admin/img_osobnost/3_1233047883.jpg"/>
                    <pic:cNvPicPr>
                      <a:picLocks noChangeAspect="1" noChangeArrowheads="1"/>
                    </pic:cNvPicPr>
                  </pic:nvPicPr>
                  <pic:blipFill>
                    <a:blip r:embed="rId5"/>
                    <a:stretch>
                      <a:fillRect/>
                    </a:stretch>
                  </pic:blipFill>
                  <pic:spPr bwMode="auto">
                    <a:xfrm>
                      <a:off x="0" y="0"/>
                      <a:ext cx="933450" cy="1428750"/>
                    </a:xfrm>
                    <a:prstGeom prst="rect">
                      <a:avLst/>
                    </a:prstGeom>
                  </pic:spPr>
                </pic:pic>
              </a:graphicData>
            </a:graphic>
          </wp:anchor>
        </w:drawing>
      </w:r>
      <w:r>
        <w:rPr>
          <w:rFonts w:eastAsia="Times New Roman" w:cs="Times New Roman" w:ascii="Times New Roman" w:hAnsi="Times New Roman"/>
          <w:sz w:val="24"/>
          <w:szCs w:val="24"/>
          <w:lang w:eastAsia="sk-SK"/>
        </w:rPr>
        <w:t xml:space="preserve">Narodil sa </w:t>
      </w:r>
      <w:r>
        <w:rPr>
          <w:rFonts w:eastAsia="Times New Roman" w:cs="Times New Roman" w:ascii="Times New Roman" w:hAnsi="Times New Roman"/>
          <w:bCs/>
          <w:sz w:val="24"/>
          <w:szCs w:val="24"/>
          <w:lang w:eastAsia="sk-SK"/>
        </w:rPr>
        <w:t>7. 12. 1813 v Selciach</w:t>
      </w:r>
      <w:r>
        <w:rPr>
          <w:rFonts w:eastAsia="Times New Roman" w:cs="Times New Roman" w:ascii="Times New Roman" w:hAnsi="Times New Roman"/>
          <w:sz w:val="24"/>
          <w:szCs w:val="24"/>
          <w:lang w:eastAsia="sk-SK"/>
        </w:rPr>
        <w:t xml:space="preserve">. Študoval v Banskej Bystrici, Leviciach, Ostrihome, Trnave, v roku 1837 bol vysvätený za kňaza. Pôsobil ako kaplán a farár v Komjaticiach. Bol prívržencom štúrovského hnutia a členom výboru Tatrína. Podporoval slovenské národné inštitúcie, zúčastnil sa príprav založenia Matice slovenskej i gymnázia v Banskej Bystrici, ktorému venoval 600 zlatých. Prispieval do časopisu "Cyril a Method" a prispieval aj do zbierky ľudových rozprávok Pavla Dobšinského. Veľké úsilie venoval otázke vzdelávania slovenskej mládeže. Jeho pričinením všetky komjatické deti navštevovali školu, ktorú zriadil vlastným nákladom. Bol vzorom kňazom a učiteľom tamojšieho okolia. Zomrel predčasne    </w:t>
      </w:r>
      <w:r>
        <w:rPr>
          <w:rFonts w:eastAsia="Times New Roman" w:cs="Times New Roman" w:ascii="Times New Roman" w:hAnsi="Times New Roman"/>
          <w:bCs/>
          <w:sz w:val="24"/>
          <w:szCs w:val="24"/>
          <w:lang w:eastAsia="sk-SK"/>
        </w:rPr>
        <w:t>2.    mája 1860</w:t>
      </w:r>
      <w:r>
        <w:rPr>
          <w:rFonts w:eastAsia="Times New Roman" w:cs="Times New Roman" w:ascii="Times New Roman" w:hAnsi="Times New Roman"/>
          <w:sz w:val="24"/>
          <w:szCs w:val="24"/>
          <w:lang w:eastAsia="sk-SK"/>
        </w:rPr>
        <w:t xml:space="preserve"> a pochovaný je </w:t>
      </w:r>
      <w:r>
        <w:rPr>
          <w:rFonts w:eastAsia="Times New Roman" w:cs="Times New Roman" w:ascii="Times New Roman" w:hAnsi="Times New Roman"/>
          <w:bCs/>
          <w:sz w:val="24"/>
          <w:szCs w:val="24"/>
          <w:lang w:eastAsia="sk-SK"/>
        </w:rPr>
        <w:t>v Komjaticiach.</w:t>
      </w:r>
      <w:r>
        <w:rPr>
          <w:rFonts w:eastAsia="Times New Roman" w:cs="Times New Roman" w:ascii="Times New Roman" w:hAnsi="Times New Roman"/>
          <w:sz w:val="24"/>
          <w:szCs w:val="24"/>
          <w:lang w:eastAsia="sk-SK"/>
        </w:rPr>
        <w:t xml:space="preserve"> </w:t>
      </w:r>
    </w:p>
    <w:p>
      <w:pPr>
        <w:pStyle w:val="Normal"/>
        <w:spacing w:lineRule="auto" w:line="240" w:before="0" w:after="0"/>
        <w:rPr>
          <w:rFonts w:ascii="Times New Roman" w:hAnsi="Times New Roman" w:eastAsia="Times New Roman" w:cs="Times New Roman"/>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pPr>
      <w:r>
        <w:rPr>
          <w:rFonts w:eastAsia="Times New Roman" w:cs="Times New Roman" w:ascii="Times New Roman" w:hAnsi="Times New Roman"/>
          <w:b/>
          <w:sz w:val="24"/>
          <w:szCs w:val="24"/>
          <w:lang w:eastAsia="sk-SK"/>
        </w:rPr>
        <w:t>Anton Emanuel Timko</w:t>
      </w:r>
      <w:r>
        <w:rPr>
          <w:rFonts w:eastAsia="Times New Roman" w:cs="Times New Roman" w:ascii="Times New Roman" w:hAnsi="Times New Roman"/>
          <w:sz w:val="24"/>
          <w:szCs w:val="24"/>
          <w:lang w:eastAsia="sk-SK"/>
        </w:rPr>
        <w:t>, spisovateľ, národovec</w:t>
      </w:r>
    </w:p>
    <w:p>
      <w:pPr>
        <w:pStyle w:val="Normal"/>
        <w:spacing w:lineRule="auto" w:line="240" w:before="0" w:after="0"/>
        <w:rPr>
          <w:rFonts w:ascii="Times New Roman" w:hAnsi="Times New Roman" w:eastAsia="Times New Roman" w:cs="Times New Roman"/>
          <w:sz w:val="17"/>
          <w:szCs w:val="17"/>
          <w:lang w:eastAsia="sk-SK"/>
        </w:rPr>
      </w:pPr>
      <w:r>
        <w:rPr>
          <w:rFonts w:eastAsia="Times New Roman" w:cs="Times New Roman" w:ascii="Times New Roman" w:hAnsi="Times New Roman"/>
          <w:sz w:val="17"/>
          <w:szCs w:val="17"/>
          <w:lang w:eastAsia="sk-SK"/>
        </w:rPr>
      </w:r>
    </w:p>
    <w:p>
      <w:pPr>
        <w:pStyle w:val="Normal"/>
        <w:spacing w:lineRule="auto" w:line="240" w:before="0" w:after="0"/>
        <w:jc w:val="both"/>
        <w:rPr/>
      </w:pPr>
      <w:r>
        <w:drawing>
          <wp:anchor behindDoc="0" distT="95250" distB="95250" distL="0" distR="95250" simplePos="0" locked="0" layoutInCell="0" allowOverlap="0" relativeHeight="7">
            <wp:simplePos x="0" y="0"/>
            <wp:positionH relativeFrom="column">
              <wp:align>left</wp:align>
            </wp:positionH>
            <wp:positionV relativeFrom="line">
              <wp:posOffset>635</wp:posOffset>
            </wp:positionV>
            <wp:extent cx="1133475" cy="1428750"/>
            <wp:effectExtent l="0" t="0" r="0" b="0"/>
            <wp:wrapSquare wrapText="bothSides"/>
            <wp:docPr id="39" name="Obrázok 5" descr="http://www.selce.sk/admin/img_osobnost/4_12330486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Obrázok 5" descr="http://www.selce.sk/admin/img_osobnost/4_1233048614.jpg"/>
                    <pic:cNvPicPr>
                      <a:picLocks noChangeAspect="1" noChangeArrowheads="1"/>
                    </pic:cNvPicPr>
                  </pic:nvPicPr>
                  <pic:blipFill>
                    <a:blip r:embed="rId6"/>
                    <a:stretch>
                      <a:fillRect/>
                    </a:stretch>
                  </pic:blipFill>
                  <pic:spPr bwMode="auto">
                    <a:xfrm>
                      <a:off x="0" y="0"/>
                      <a:ext cx="1133475" cy="1428750"/>
                    </a:xfrm>
                    <a:prstGeom prst="rect">
                      <a:avLst/>
                    </a:prstGeom>
                  </pic:spPr>
                </pic:pic>
              </a:graphicData>
            </a:graphic>
          </wp:anchor>
        </w:drawing>
      </w:r>
      <w:r>
        <w:rPr>
          <w:rFonts w:eastAsia="Times New Roman" w:cs="Times New Roman" w:ascii="Times New Roman" w:hAnsi="Times New Roman"/>
          <w:sz w:val="24"/>
          <w:szCs w:val="24"/>
          <w:lang w:eastAsia="sk-SK"/>
        </w:rPr>
        <w:t xml:space="preserve">Narodil sa </w:t>
      </w:r>
      <w:r>
        <w:rPr>
          <w:rFonts w:eastAsia="Times New Roman" w:cs="Times New Roman" w:ascii="Times New Roman" w:hAnsi="Times New Roman"/>
          <w:bCs/>
          <w:sz w:val="24"/>
          <w:szCs w:val="24"/>
          <w:lang w:eastAsia="sk-SK"/>
        </w:rPr>
        <w:t>27. 6. 1843 v Selciach</w:t>
      </w:r>
      <w:r>
        <w:rPr>
          <w:rFonts w:eastAsia="Times New Roman" w:cs="Times New Roman" w:ascii="Times New Roman" w:hAnsi="Times New Roman"/>
          <w:sz w:val="24"/>
          <w:szCs w:val="24"/>
          <w:lang w:eastAsia="sk-SK"/>
        </w:rPr>
        <w:t xml:space="preserve"> v rodine učiteľa katolíckej ľudovej školy. Študoval na gymnáziu a učiteľskom ústave v Banskej Bystrici. Ako učiteľ pôsobil v Radvani, v Haliči a Podkriváni. Venoval sa literatúre pre ľud a mládež. V rokoch 1876 - 77 redigoval Grosovu knižnicu. Bol spoluredaktorom časopisu "Včelka" v Martine. Písal beletriu, poviedky s historickou tematikou z boja južných Slovanov o slobodu. Jeho prínosom boli fantastické cestopisy "Výprava na severnú točňu", "Výlet do Ázie", za vlasteneckým účelom "Prechádzku po pekle a iné". Iróniu a groteskný tón využíval proti národnostnému útlaku. Zomrel </w:t>
      </w:r>
      <w:r>
        <w:rPr>
          <w:rFonts w:eastAsia="Times New Roman" w:cs="Times New Roman" w:ascii="Times New Roman" w:hAnsi="Times New Roman"/>
          <w:bCs/>
          <w:sz w:val="24"/>
          <w:szCs w:val="24"/>
          <w:lang w:eastAsia="sk-SK"/>
        </w:rPr>
        <w:t>10. 3. 1903 v Podkriváni</w:t>
      </w:r>
      <w:r>
        <w:rPr>
          <w:rFonts w:eastAsia="Times New Roman" w:cs="Times New Roman" w:ascii="Times New Roman" w:hAnsi="Times New Roman"/>
          <w:sz w:val="24"/>
          <w:szCs w:val="24"/>
          <w:lang w:eastAsia="sk-SK"/>
        </w:rPr>
        <w:t>, kde je aj pochovaný.</w:t>
      </w:r>
    </w:p>
    <w:p>
      <w:pPr>
        <w:pStyle w:val="Normal"/>
        <w:spacing w:before="0" w:after="0"/>
        <w:rPr>
          <w:b/>
          <w:sz w:val="24"/>
          <w:szCs w:val="24"/>
        </w:rPr>
      </w:pPr>
      <w:r>
        <w:rPr>
          <w:b/>
          <w:sz w:val="24"/>
          <w:szCs w:val="24"/>
        </w:rPr>
      </w:r>
    </w:p>
    <w:p>
      <w:pPr>
        <w:pStyle w:val="Normal"/>
        <w:spacing w:lineRule="auto" w:line="240" w:before="0" w:after="0"/>
        <w:rPr/>
      </w:pPr>
      <w:r>
        <w:rPr>
          <w:rFonts w:eastAsia="Times New Roman" w:cs="Times New Roman" w:ascii="Times New Roman" w:hAnsi="Times New Roman"/>
          <w:b/>
          <w:sz w:val="24"/>
          <w:szCs w:val="24"/>
          <w:lang w:eastAsia="sk-SK"/>
        </w:rPr>
        <w:t>František Šujanský</w:t>
      </w:r>
      <w:r>
        <w:rPr>
          <w:rFonts w:eastAsia="Times New Roman" w:cs="Times New Roman" w:ascii="Times New Roman" w:hAnsi="Times New Roman"/>
          <w:sz w:val="24"/>
          <w:szCs w:val="24"/>
          <w:lang w:eastAsia="sk-SK"/>
        </w:rPr>
        <w:t>, kňaz, jazykovedec, etnograf, národný a ľudový pracovník</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jc w:val="both"/>
        <w:rPr/>
      </w:pPr>
      <w:r>
        <w:drawing>
          <wp:anchor behindDoc="0" distT="95250" distB="95250" distL="0" distR="95250" simplePos="0" locked="0" layoutInCell="0" allowOverlap="0" relativeHeight="8">
            <wp:simplePos x="0" y="0"/>
            <wp:positionH relativeFrom="column">
              <wp:align>left</wp:align>
            </wp:positionH>
            <wp:positionV relativeFrom="line">
              <wp:posOffset>635</wp:posOffset>
            </wp:positionV>
            <wp:extent cx="857250" cy="857250"/>
            <wp:effectExtent l="0" t="0" r="0" b="0"/>
            <wp:wrapSquare wrapText="bothSides"/>
            <wp:docPr id="40" name="Obrázok 6" descr="f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Obrázok 6" descr="foto"/>
                    <pic:cNvPicPr>
                      <a:picLocks noChangeAspect="1" noChangeArrowheads="1"/>
                    </pic:cNvPicPr>
                  </pic:nvPicPr>
                  <pic:blipFill>
                    <a:blip r:embed="rId7"/>
                    <a:stretch>
                      <a:fillRect/>
                    </a:stretch>
                  </pic:blipFill>
                  <pic:spPr bwMode="auto">
                    <a:xfrm>
                      <a:off x="0" y="0"/>
                      <a:ext cx="857250" cy="857250"/>
                    </a:xfrm>
                    <a:prstGeom prst="rect">
                      <a:avLst/>
                    </a:prstGeom>
                  </pic:spPr>
                </pic:pic>
              </a:graphicData>
            </a:graphic>
          </wp:anchor>
        </w:drawing>
      </w:r>
      <w:r>
        <w:rPr>
          <w:rFonts w:eastAsia="Times New Roman" w:cs="Times New Roman" w:ascii="Times New Roman" w:hAnsi="Times New Roman"/>
          <w:sz w:val="24"/>
          <w:szCs w:val="24"/>
          <w:lang w:eastAsia="sk-SK"/>
        </w:rPr>
        <w:t xml:space="preserve">Narodil sa </w:t>
      </w:r>
      <w:r>
        <w:rPr>
          <w:rFonts w:eastAsia="Times New Roman" w:cs="Times New Roman" w:ascii="Times New Roman" w:hAnsi="Times New Roman"/>
          <w:bCs/>
          <w:sz w:val="24"/>
          <w:szCs w:val="24"/>
          <w:lang w:eastAsia="sk-SK"/>
        </w:rPr>
        <w:t>1. 4. 1832 v Rajci</w:t>
      </w:r>
      <w:r>
        <w:rPr>
          <w:rFonts w:eastAsia="Times New Roman" w:cs="Times New Roman" w:ascii="Times New Roman" w:hAnsi="Times New Roman"/>
          <w:sz w:val="24"/>
          <w:szCs w:val="24"/>
          <w:lang w:eastAsia="sk-SK"/>
        </w:rPr>
        <w:t xml:space="preserve">. Študoval na gymnáziu v Banskej Bystrici, Vacove a v Nitre, teológiu v Pešti a v roku 1856 bol vysvätený za kňaza banskobystrickej diecézy. Pôsobil ako kaplán, v rokoch 1864-80 bol farárom v Radvani a od roku 1881 farárom v Selciach až do svojej smrti. </w:t>
      </w:r>
    </w:p>
    <w:p>
      <w:pPr>
        <w:pStyle w:val="Normal"/>
        <w:spacing w:lineRule="auto" w:line="240" w:before="0" w:after="0"/>
        <w:jc w:val="both"/>
        <w:rPr/>
      </w:pPr>
      <w:r>
        <w:rPr>
          <w:rFonts w:eastAsia="Times New Roman" w:cs="Times New Roman" w:ascii="Times New Roman" w:hAnsi="Times New Roman"/>
          <w:sz w:val="24"/>
          <w:szCs w:val="24"/>
          <w:lang w:eastAsia="sk-SK"/>
        </w:rPr>
        <w:t xml:space="preserve">Šujanský bol poprednou osobnosťou slovenského národného, kultúrneho i politického života v 2. polovici 19. a začiatku 20. storočia. Vyrastal a formoval sa v národne uvedomelom prostredí biskupského gymnázia v Banskej Bystrici pod vplyvom katolíckych dejateľov, sústredených okolo biskupa Moysesa. V roku 1860 sa zúčastnil národného zhromaždenie v Turčianskom sv. Martine, kde bolo  skoncipované Memorandum slovenského národa. Bol zakladajúcim členom Matice Slovenskej, Katolíckeho gymnázia v Kláštore pod Znievom, na ktoré prispel značnou finančnou sumou. Podporil takmer každú národnú inštitúciu, podporoval väznených slovenských národovcov a prispel na pomníky Ľudovíta Štúra, Jána Bottu, Juraja Fándlyho a ďalších. Zorganizoval prestavbu kostola v Radvani, v roku 1894 dôkladne prestaval kostol v Selciach a v roku 1897 postavil filiálny kostol v Šalkovej. V Selciach zorganizoval výstavbu hydraulického vodovodu, jedného z prvých v Uhorsku. Bol zakladajúcim členom Spolku sv. Vojtecha. Hlavnou oblasťou jeho vedeckého záujmu bola jazykoveda, prekladal poéziu zo srbochorvátčiny. Poznal latinčinu, gréčtinu, nemčinu, maďarčinu, poľštinu, srbochorvátčinu a češtinu, dostal sa k výskumu slovenskej nárečovej slovnej zásoby. Ako prvý v slovenskej literatúre sa pokúsil opísať dialekt jednej obce v práci - Hjadlovské nárečie. Zbieral slovenské ľudové piesne, rozprávky, príslovia a porekadlá. Asi 5500 prísloví a porekadiel poskytol do zbierky Slovenské príslovia, porekadlá a úslovia A.P. Zátureckého. Jeho životným cieľom bolo zostaviť slovenský etymologický slovník, ktorý však pre chorobu nedokončil. Šujanský zomrel </w:t>
      </w:r>
      <w:r>
        <w:rPr>
          <w:rFonts w:eastAsia="Times New Roman" w:cs="Times New Roman" w:ascii="Times New Roman" w:hAnsi="Times New Roman"/>
          <w:bCs/>
          <w:sz w:val="24"/>
          <w:szCs w:val="24"/>
          <w:lang w:eastAsia="sk-SK"/>
        </w:rPr>
        <w:t>20. 5. 1907 v Českom Tešíne</w:t>
      </w:r>
      <w:r>
        <w:rPr>
          <w:rFonts w:eastAsia="Times New Roman" w:cs="Times New Roman" w:ascii="Times New Roman" w:hAnsi="Times New Roman"/>
          <w:sz w:val="24"/>
          <w:szCs w:val="24"/>
          <w:lang w:eastAsia="sk-SK"/>
        </w:rPr>
        <w:t>, kde sa liečil. Pochovaný je v Selciach, kde má okrem náhrobku aj pamätnú tabuľu na kostole.</w:t>
      </w:r>
    </w:p>
    <w:p>
      <w:pPr>
        <w:pStyle w:val="Normal"/>
        <w:spacing w:before="0" w:after="0"/>
        <w:rPr>
          <w:b/>
          <w:sz w:val="24"/>
          <w:szCs w:val="24"/>
        </w:rPr>
      </w:pPr>
      <w:r>
        <w:rPr>
          <w:b/>
          <w:sz w:val="24"/>
          <w:szCs w:val="24"/>
        </w:rPr>
      </w:r>
    </w:p>
    <w:p>
      <w:pPr>
        <w:pStyle w:val="Normal"/>
        <w:spacing w:lineRule="auto" w:line="240" w:before="0" w:after="0"/>
        <w:rPr/>
      </w:pPr>
      <w:r>
        <w:rPr>
          <w:rFonts w:eastAsia="Times New Roman" w:cs="Times New Roman" w:ascii="Times New Roman" w:hAnsi="Times New Roman"/>
          <w:b/>
          <w:sz w:val="24"/>
          <w:szCs w:val="24"/>
          <w:lang w:eastAsia="sk-SK"/>
        </w:rPr>
        <w:t xml:space="preserve">Július Plošic, </w:t>
      </w:r>
      <w:r>
        <w:rPr>
          <w:rFonts w:eastAsia="Times New Roman" w:cs="Times New Roman" w:ascii="Times New Roman" w:hAnsi="Times New Roman"/>
          <w:sz w:val="24"/>
          <w:szCs w:val="24"/>
          <w:lang w:eastAsia="sk-SK"/>
        </w:rPr>
        <w:t xml:space="preserve">kňaz, národovec, publicista </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jc w:val="both"/>
        <w:rPr/>
      </w:pPr>
      <w:r>
        <w:drawing>
          <wp:anchor behindDoc="0" distT="0" distB="0" distL="0" distR="0" simplePos="0" locked="0" layoutInCell="0" allowOverlap="0" relativeHeight="9">
            <wp:simplePos x="0" y="0"/>
            <wp:positionH relativeFrom="column">
              <wp:align>left</wp:align>
            </wp:positionH>
            <wp:positionV relativeFrom="line">
              <wp:posOffset>635</wp:posOffset>
            </wp:positionV>
            <wp:extent cx="857250" cy="857250"/>
            <wp:effectExtent l="0" t="0" r="0" b="0"/>
            <wp:wrapSquare wrapText="bothSides"/>
            <wp:docPr id="41" name="Obrázok 7" descr="f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Obrázok 7" descr="foto"/>
                    <pic:cNvPicPr>
                      <a:picLocks noChangeAspect="1" noChangeArrowheads="1"/>
                    </pic:cNvPicPr>
                  </pic:nvPicPr>
                  <pic:blipFill>
                    <a:blip r:embed="rId8"/>
                    <a:stretch>
                      <a:fillRect/>
                    </a:stretch>
                  </pic:blipFill>
                  <pic:spPr bwMode="auto">
                    <a:xfrm>
                      <a:off x="0" y="0"/>
                      <a:ext cx="857250" cy="857250"/>
                    </a:xfrm>
                    <a:prstGeom prst="rect">
                      <a:avLst/>
                    </a:prstGeom>
                  </pic:spPr>
                </pic:pic>
              </a:graphicData>
            </a:graphic>
          </wp:anchor>
        </w:drawing>
      </w:r>
      <w:r>
        <w:rPr>
          <w:rFonts w:eastAsia="Times New Roman" w:cs="Times New Roman" w:ascii="Times New Roman" w:hAnsi="Times New Roman"/>
          <w:sz w:val="24"/>
          <w:szCs w:val="24"/>
          <w:lang w:eastAsia="sk-SK"/>
        </w:rPr>
        <w:t xml:space="preserve">Narodil sa </w:t>
      </w:r>
      <w:r>
        <w:rPr>
          <w:rFonts w:eastAsia="Times New Roman" w:cs="Times New Roman" w:ascii="Times New Roman" w:hAnsi="Times New Roman"/>
          <w:bCs/>
          <w:sz w:val="24"/>
          <w:szCs w:val="24"/>
          <w:lang w:eastAsia="sk-SK"/>
        </w:rPr>
        <w:t>23. 5. 1819 v Budči</w:t>
      </w:r>
      <w:r>
        <w:rPr>
          <w:rFonts w:eastAsia="Times New Roman" w:cs="Times New Roman" w:ascii="Times New Roman" w:hAnsi="Times New Roman"/>
          <w:sz w:val="24"/>
          <w:szCs w:val="24"/>
          <w:lang w:eastAsia="sk-SK"/>
        </w:rPr>
        <w:t xml:space="preserve"> (okres Zvolen), kde bol jeho otec cestný inšpektor. Po teologických štúdiách bol v roku 1844 vysvätený za kňaza banskobystrickej diecézy. Ako kaplán pôsobil v Beňuši, Kunešove, Kremnici, Novej Bani a v Banskej Bystrici. V rokoch 1854 - 1864 bol farárom v Selciach, neskôr farár vo Vieske pri Žiari nad Hronom a v Horných Opatovciach. Od roku 1897 žil na odpočinku </w:t>
      </w:r>
      <w:r>
        <w:rPr>
          <w:rFonts w:eastAsia="Times New Roman" w:cs="Times New Roman" w:ascii="Times New Roman" w:hAnsi="Times New Roman"/>
          <w:bCs/>
          <w:sz w:val="24"/>
          <w:szCs w:val="24"/>
          <w:lang w:eastAsia="sk-SK"/>
        </w:rPr>
        <w:t>v Kremnici</w:t>
      </w:r>
      <w:r>
        <w:rPr>
          <w:rFonts w:eastAsia="Times New Roman" w:cs="Times New Roman" w:ascii="Times New Roman" w:hAnsi="Times New Roman"/>
          <w:sz w:val="24"/>
          <w:szCs w:val="24"/>
          <w:lang w:eastAsia="sk-SK"/>
        </w:rPr>
        <w:t xml:space="preserve">, kde zomrel </w:t>
      </w:r>
      <w:r>
        <w:rPr>
          <w:rFonts w:eastAsia="Times New Roman" w:cs="Times New Roman" w:ascii="Times New Roman" w:hAnsi="Times New Roman"/>
          <w:bCs/>
          <w:sz w:val="24"/>
          <w:szCs w:val="24"/>
          <w:lang w:eastAsia="sk-SK"/>
        </w:rPr>
        <w:t>19. 5. 1899</w:t>
      </w:r>
      <w:r>
        <w:rPr>
          <w:rFonts w:eastAsia="Times New Roman" w:cs="Times New Roman" w:ascii="Times New Roman" w:hAnsi="Times New Roman"/>
          <w:sz w:val="24"/>
          <w:szCs w:val="24"/>
          <w:lang w:eastAsia="sk-SK"/>
        </w:rPr>
        <w:t xml:space="preserve">. Plošic bol neúnavný osvetový a národno - kultúrny pracovník. Bol iniciátorom Pohronského čitateľského spolku, spoluzakladateľom Ústredného spolku miernosti vo Veselom, aktívnym účastníkom memorandového zhromaždenia v Martine, spoluzakladateľom Matice Slovenskej a katolíckeho gymnázia v Kláštore pod Znievom. Publikoval kázne a národno - buditeľské články v štúrovských Slovenských národných novinách, v Orle tatranskom, v Kazateľni a v Národných novinách. Jeho najúspešnejším národno-náboženským činom bola národná slávnosť na 1000. výročie príchodu sv. Cyrila a Metoda v Selciach, kde sa zachovali cenné dobové zápisy v tunajšej farskej kronike. </w:t>
      </w:r>
    </w:p>
    <w:p>
      <w:pPr>
        <w:pStyle w:val="Normal"/>
        <w:spacing w:before="0" w:after="0"/>
        <w:rPr>
          <w:b/>
          <w:sz w:val="24"/>
          <w:szCs w:val="24"/>
        </w:rPr>
      </w:pPr>
      <w:r>
        <w:rPr>
          <w:b/>
          <w:sz w:val="24"/>
          <w:szCs w:val="24"/>
        </w:rPr>
      </w:r>
    </w:p>
    <w:p>
      <w:pPr>
        <w:pStyle w:val="Normal"/>
        <w:spacing w:lineRule="auto" w:line="240" w:before="0" w:after="0"/>
        <w:rPr/>
      </w:pPr>
      <w:r>
        <w:rPr>
          <w:rFonts w:eastAsia="Times New Roman" w:cs="Times New Roman" w:ascii="Times New Roman" w:hAnsi="Times New Roman"/>
          <w:b/>
          <w:sz w:val="24"/>
          <w:szCs w:val="24"/>
          <w:lang w:eastAsia="sk-SK"/>
        </w:rPr>
        <w:t>František Mesík – Vajda</w:t>
      </w:r>
      <w:r>
        <w:rPr>
          <w:rFonts w:eastAsia="Times New Roman" w:cs="Times New Roman" w:ascii="Times New Roman" w:hAnsi="Times New Roman"/>
          <w:sz w:val="24"/>
          <w:szCs w:val="24"/>
          <w:lang w:eastAsia="sk-SK"/>
        </w:rPr>
        <w:t xml:space="preserve">, rektor seminára, generálny vikár </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jc w:val="both"/>
        <w:rPr/>
      </w:pPr>
      <w:r>
        <w:drawing>
          <wp:anchor behindDoc="0" distT="0" distB="0" distL="0" distR="0" simplePos="0" locked="0" layoutInCell="0" allowOverlap="0" relativeHeight="12">
            <wp:simplePos x="0" y="0"/>
            <wp:positionH relativeFrom="column">
              <wp:align>left</wp:align>
            </wp:positionH>
            <wp:positionV relativeFrom="line">
              <wp:posOffset>635</wp:posOffset>
            </wp:positionV>
            <wp:extent cx="857250" cy="857250"/>
            <wp:effectExtent l="0" t="0" r="0" b="0"/>
            <wp:wrapSquare wrapText="bothSides"/>
            <wp:docPr id="42" name="Obrázok 10" descr="f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Obrázok 10" descr="foto"/>
                    <pic:cNvPicPr>
                      <a:picLocks noChangeAspect="1" noChangeArrowheads="1"/>
                    </pic:cNvPicPr>
                  </pic:nvPicPr>
                  <pic:blipFill>
                    <a:blip r:embed="rId9"/>
                    <a:stretch>
                      <a:fillRect/>
                    </a:stretch>
                  </pic:blipFill>
                  <pic:spPr bwMode="auto">
                    <a:xfrm>
                      <a:off x="0" y="0"/>
                      <a:ext cx="857250" cy="857250"/>
                    </a:xfrm>
                    <a:prstGeom prst="rect">
                      <a:avLst/>
                    </a:prstGeom>
                  </pic:spPr>
                </pic:pic>
              </a:graphicData>
            </a:graphic>
          </wp:anchor>
        </w:drawing>
      </w:r>
      <w:r>
        <w:rPr>
          <w:rFonts w:eastAsia="Times New Roman" w:cs="Times New Roman" w:ascii="Times New Roman" w:hAnsi="Times New Roman"/>
          <w:sz w:val="24"/>
          <w:szCs w:val="24"/>
          <w:lang w:eastAsia="sk-SK"/>
        </w:rPr>
        <w:t xml:space="preserve">Narodil sa </w:t>
      </w:r>
      <w:r>
        <w:rPr>
          <w:rFonts w:eastAsia="Times New Roman" w:cs="Times New Roman" w:ascii="Times New Roman" w:hAnsi="Times New Roman"/>
          <w:bCs/>
          <w:sz w:val="24"/>
          <w:szCs w:val="24"/>
          <w:lang w:eastAsia="sk-SK"/>
        </w:rPr>
        <w:t>24. 10. 1880 v Selciach.</w:t>
      </w:r>
      <w:r>
        <w:rPr>
          <w:rFonts w:eastAsia="Times New Roman" w:cs="Times New Roman" w:ascii="Times New Roman" w:hAnsi="Times New Roman"/>
          <w:sz w:val="24"/>
          <w:szCs w:val="24"/>
          <w:lang w:eastAsia="sk-SK"/>
        </w:rPr>
        <w:t xml:space="preserve"> Študoval na gymnáziu v Banskej Bystrici a teológiu vo Viedni na Pazmaneu. V roku 1904 bol vysvätený za kňaza. Pôsobil ako kaplán v Žarnovici, na Starých Horách, v Horných Opatovciach, v Novej Bani a v Kremnici. Od roku 1911 pôsobil ako prefekt seminára, od roku 1919 rektor seminára a od roku 1933 ako generálny vikár banskobystrického biskupa Mariana Blahu, bol aj starostom Banskej Bystrice. Bol publicistom, národovcom, veľkým propagátorom športu a turistiky. Bol veľký ľudomil a človek vysokej morálnej autority. Zomrel </w:t>
      </w:r>
      <w:r>
        <w:rPr>
          <w:rFonts w:eastAsia="Times New Roman" w:cs="Times New Roman" w:ascii="Times New Roman" w:hAnsi="Times New Roman"/>
          <w:bCs/>
          <w:sz w:val="24"/>
          <w:szCs w:val="24"/>
          <w:lang w:eastAsia="sk-SK"/>
        </w:rPr>
        <w:t>22. 2. 1941</w:t>
      </w:r>
      <w:r>
        <w:rPr>
          <w:rFonts w:eastAsia="Times New Roman" w:cs="Times New Roman" w:ascii="Times New Roman" w:hAnsi="Times New Roman"/>
          <w:sz w:val="24"/>
          <w:szCs w:val="24"/>
          <w:lang w:eastAsia="sk-SK"/>
        </w:rPr>
        <w:t xml:space="preserve">, bol pochovaný </w:t>
      </w:r>
      <w:r>
        <w:rPr>
          <w:rFonts w:eastAsia="Times New Roman" w:cs="Times New Roman" w:ascii="Times New Roman" w:hAnsi="Times New Roman"/>
          <w:bCs/>
          <w:sz w:val="24"/>
          <w:szCs w:val="24"/>
          <w:lang w:eastAsia="sk-SK"/>
        </w:rPr>
        <w:t>v Selciach</w:t>
      </w:r>
      <w:r>
        <w:rPr>
          <w:rFonts w:eastAsia="Times New Roman" w:cs="Times New Roman" w:ascii="Times New Roman" w:hAnsi="Times New Roman"/>
          <w:sz w:val="24"/>
          <w:szCs w:val="24"/>
          <w:lang w:eastAsia="sk-SK"/>
        </w:rPr>
        <w:t xml:space="preserve"> v areáli kostola.</w:t>
      </w:r>
    </w:p>
    <w:p>
      <w:pPr>
        <w:pStyle w:val="Normal"/>
        <w:spacing w:before="0" w:after="0"/>
        <w:rPr>
          <w:b/>
          <w:sz w:val="24"/>
          <w:szCs w:val="24"/>
        </w:rPr>
      </w:pPr>
      <w:r>
        <w:rPr>
          <w:b/>
          <w:sz w:val="24"/>
          <w:szCs w:val="24"/>
        </w:rPr>
      </w:r>
    </w:p>
    <w:p>
      <w:pPr>
        <w:pStyle w:val="Normal"/>
        <w:spacing w:lineRule="auto" w:line="240" w:before="0" w:after="0"/>
        <w:rPr/>
      </w:pPr>
      <w:r>
        <w:rPr>
          <w:rFonts w:eastAsia="Times New Roman" w:cs="Times New Roman" w:ascii="Times New Roman" w:hAnsi="Times New Roman"/>
          <w:b/>
          <w:sz w:val="24"/>
          <w:szCs w:val="24"/>
          <w:lang w:eastAsia="sk-SK"/>
        </w:rPr>
        <w:t xml:space="preserve">Andrej Očenáš, </w:t>
      </w:r>
      <w:r>
        <w:rPr>
          <w:rFonts w:eastAsia="Times New Roman" w:cs="Times New Roman" w:ascii="Times New Roman" w:hAnsi="Times New Roman"/>
          <w:sz w:val="24"/>
          <w:szCs w:val="24"/>
          <w:lang w:eastAsia="sk-SK"/>
        </w:rPr>
        <w:t>hudobný skladateľ, pedagóg</w:t>
      </w:r>
    </w:p>
    <w:p>
      <w:pPr>
        <w:pStyle w:val="Normal"/>
        <w:spacing w:lineRule="auto" w:line="240" w:before="0" w:after="0"/>
        <w:rPr>
          <w:rFonts w:ascii="Times New Roman" w:hAnsi="Times New Roman" w:eastAsia="Times New Roman" w:cs="Times New Roman"/>
          <w:sz w:val="17"/>
          <w:szCs w:val="17"/>
          <w:lang w:eastAsia="sk-SK"/>
        </w:rPr>
      </w:pPr>
      <w:r>
        <w:rPr>
          <w:rFonts w:eastAsia="Times New Roman" w:cs="Times New Roman" w:ascii="Times New Roman" w:hAnsi="Times New Roman"/>
          <w:sz w:val="17"/>
          <w:szCs w:val="17"/>
          <w:lang w:eastAsia="sk-SK"/>
        </w:rPr>
      </w:r>
    </w:p>
    <w:p>
      <w:pPr>
        <w:pStyle w:val="Normal"/>
        <w:spacing w:lineRule="auto" w:line="240" w:before="0" w:after="0"/>
        <w:jc w:val="both"/>
        <w:rPr/>
      </w:pPr>
      <w:r>
        <w:drawing>
          <wp:anchor behindDoc="0" distT="95250" distB="95250" distL="0" distR="95250" simplePos="0" locked="0" layoutInCell="0" allowOverlap="0" relativeHeight="10">
            <wp:simplePos x="0" y="0"/>
            <wp:positionH relativeFrom="column">
              <wp:align>left</wp:align>
            </wp:positionH>
            <wp:positionV relativeFrom="line">
              <wp:posOffset>635</wp:posOffset>
            </wp:positionV>
            <wp:extent cx="1066800" cy="1428750"/>
            <wp:effectExtent l="0" t="0" r="0" b="0"/>
            <wp:wrapSquare wrapText="bothSides"/>
            <wp:docPr id="43" name="Obrázok 9" descr="http://www.selce.sk/admin/img_osobnost/1_1232316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Obrázok 9" descr="http://www.selce.sk/admin/img_osobnost/1_1232316111.jpg"/>
                    <pic:cNvPicPr>
                      <a:picLocks noChangeAspect="1" noChangeArrowheads="1"/>
                    </pic:cNvPicPr>
                  </pic:nvPicPr>
                  <pic:blipFill>
                    <a:blip r:embed="rId10"/>
                    <a:stretch>
                      <a:fillRect/>
                    </a:stretch>
                  </pic:blipFill>
                  <pic:spPr bwMode="auto">
                    <a:xfrm>
                      <a:off x="0" y="0"/>
                      <a:ext cx="1066800" cy="1428750"/>
                    </a:xfrm>
                    <a:prstGeom prst="rect">
                      <a:avLst/>
                    </a:prstGeom>
                  </pic:spPr>
                </pic:pic>
              </a:graphicData>
            </a:graphic>
          </wp:anchor>
        </w:drawing>
      </w:r>
      <w:r>
        <w:rPr>
          <w:rFonts w:eastAsia="Times New Roman" w:cs="Times New Roman" w:ascii="Times New Roman" w:hAnsi="Times New Roman"/>
          <w:sz w:val="24"/>
          <w:szCs w:val="24"/>
          <w:lang w:eastAsia="sk-SK"/>
        </w:rPr>
        <w:t xml:space="preserve">Narodil sa 8. januára 1911 v Selciach. Prvýkrát prišiel do kontaktu s hudbou ako malý chlapec v rodinnom kruhu. Jeho otec viedol všetky deti od malička k hudbe. Andrej už ako sedemročný hrával na krídlovke a postupne sa naučil hrať aj na ostatných dychových nástrojoch. Keď jeho otec založil neskôr v Selciach dychovú hudbu Selčianski trubači, hrával v nej aj Andrej. Ako štrnásťročný nacvičoval tridsaťčlennú dychovku v Predajnej a súbor trubačov v Španej Doline. Dychovej hudbe sa venoval aj po maturite, pretože ho často volali hrávať a dirigovať. </w:t>
      </w:r>
    </w:p>
    <w:p>
      <w:pPr>
        <w:pStyle w:val="Normal"/>
        <w:spacing w:lineRule="auto" w:line="240" w:before="0" w:after="0"/>
        <w:jc w:val="both"/>
        <w:rPr/>
      </w:pPr>
      <w:r>
        <w:rPr>
          <w:rFonts w:eastAsia="Times New Roman" w:cs="Times New Roman" w:ascii="Times New Roman" w:hAnsi="Times New Roman"/>
          <w:sz w:val="24"/>
          <w:szCs w:val="24"/>
          <w:lang w:eastAsia="sk-SK"/>
        </w:rPr>
        <w:t>Skladateľ, pedagóg a organizátor hudobného života študoval na Gymnáziu Andreja Sládkoviča v Banskej Bystrici, na Štátnom učiteľskom ústave, kde ho ovplyvnil vynikajúci český pedagóg Karel Štika. Ešte ako študent sa po prvýkrát pustil do komponovania a zložil skladbu pre veľký symfonický orchester s názvom Štefánik osudom. Po maturite nastúpil na svoje prvé učiteľské miesto v Medzibrode, neskôr v Ivánke pri Dunaji. Zároveň študoval na Hudobnej a dramatickej akadémii kompozíciu u Alexandra Moyzesa, dirigovanie u Jozefa Vincourka a klavír u Eugena Suchoňa</w:t>
      </w:r>
      <w:r>
        <w:rPr>
          <w:rFonts w:eastAsia="Times New Roman" w:cs="Times New Roman" w:ascii="Times New Roman" w:hAnsi="Times New Roman"/>
          <w:bCs/>
          <w:sz w:val="24"/>
          <w:szCs w:val="24"/>
          <w:lang w:eastAsia="sk-SK"/>
        </w:rPr>
        <w:t>.</w:t>
      </w:r>
      <w:r>
        <w:rPr>
          <w:rFonts w:eastAsia="Times New Roman" w:cs="Times New Roman" w:ascii="Times New Roman" w:hAnsi="Times New Roman"/>
          <w:b/>
          <w:bCs/>
          <w:sz w:val="24"/>
          <w:szCs w:val="24"/>
          <w:lang w:eastAsia="sk-SK"/>
        </w:rPr>
        <w:t xml:space="preserve"> </w:t>
      </w:r>
      <w:r>
        <w:rPr>
          <w:rFonts w:eastAsia="Times New Roman" w:cs="Times New Roman" w:ascii="Times New Roman" w:hAnsi="Times New Roman"/>
          <w:sz w:val="24"/>
          <w:szCs w:val="24"/>
          <w:lang w:eastAsia="sk-SK"/>
        </w:rPr>
        <w:t xml:space="preserve">V Ivánke pri Dunaji sformoval detský spevokol a zbor dospelých, cez prázdniny chodieval pre Maticu slovenskú zbierať ľudové piesne po strednom Slovensku. </w:t>
      </w:r>
    </w:p>
    <w:p>
      <w:pPr>
        <w:pStyle w:val="Normal"/>
        <w:spacing w:lineRule="auto" w:line="240" w:before="0" w:after="0"/>
        <w:jc w:val="both"/>
        <w:rPr/>
      </w:pPr>
      <w:r>
        <w:rPr>
          <w:rFonts w:eastAsia="Times New Roman" w:cs="Times New Roman" w:ascii="Times New Roman" w:hAnsi="Times New Roman"/>
          <w:sz w:val="24"/>
          <w:szCs w:val="24"/>
          <w:lang w:eastAsia="sk-SK"/>
        </w:rPr>
        <w:t xml:space="preserve">Vďaka nadobudnutému hudobnému vzdelaniu učil na Štefánikovej meštianskej škole v Bratislave a spolupracoval s hudobno-školským oddelením bratislavského rozhlasu. Externá spolupráca sa čoskoro zmenila na trvalý zamestnanecký pomer. V roku 1950 sa stal riaditeľom Štátneho konzervatória v Bratislave, po štyroch rokoch nastupuje v rozhlase do funkcie námestníka riaditeľa a hlavného redaktora pre hudobné vysielanie. Popri práci sa venoval i dirigovaniu Spevokolu bratislavských učiteľov, bol zbormajstrom Akademického speváckeho združenia, viedol spevokol Mlaď. Hudobnými kritikami prispieval do dennej tlače i niektorých periodík. Pochodil celé Pohronie, severné Slovensko, Záhorie a južné Slovensko a zozbieraný notový materiál a texty sa stali základom pre hudobný archív rozhlasu. V šesťdesiatych rokoch bol prvým tajomníkom Zväzu slovenských skladateľov a prvým predsedom Zväz československých skladateľov a koncertných umelcov až do roku 1982, keď odišiel do dôchodku. Mimoriadne významná bola aj jeho dlhoročná pedagogická činnosť. Vyučoval kompozíciu na VŠMU, neskôr prednášal harmóniu a kompozíciu. </w:t>
      </w:r>
    </w:p>
    <w:p>
      <w:pPr>
        <w:pStyle w:val="Normal"/>
        <w:spacing w:lineRule="auto" w:line="240" w:before="0" w:after="0"/>
        <w:jc w:val="both"/>
        <w:rPr/>
      </w:pPr>
      <w:r>
        <w:rPr>
          <w:rFonts w:eastAsia="Times New Roman" w:cs="Times New Roman" w:ascii="Times New Roman" w:hAnsi="Times New Roman"/>
          <w:sz w:val="24"/>
          <w:szCs w:val="24"/>
          <w:lang w:eastAsia="sk-SK"/>
        </w:rPr>
        <w:t xml:space="preserve">Tvorba Andreja Očenáša má korene vo folklóre jeho rodného kraja, najmä v hudbe valašskej kultúry Seliec, Priechodu a Podkoníc. Vždy spontánne vo svojej tvorbe reagoval i na veľké spoločenské udalosti doby v ktorej žil. Celý rad závažných umeleckých diel venoval tematike Slovenského národného povstania, kde svoju hudobnú reč rozvinul na oslavu hrdinských činov národa (cykly Pamätníky slávy, Môjmu národu, Vzkriesenie, atď.). Pečať rodnej hrude vdýchol aj komornej hudbe napríklad Obrázky duše, Prvé lístky, Nová jar, Mladosť, Obrázky z bájí. Blízky vzťah k slovenskej prírode sa odráža v dielach Margita a Besná, Marína, Horám, Ruralia slovaca. </w:t>
      </w:r>
    </w:p>
    <w:p>
      <w:pPr>
        <w:pStyle w:val="Normal"/>
        <w:spacing w:lineRule="auto" w:line="240" w:before="0" w:after="0"/>
        <w:jc w:val="both"/>
        <w:rPr/>
      </w:pPr>
      <w:r>
        <w:rPr>
          <w:rFonts w:eastAsia="Times New Roman" w:cs="Times New Roman" w:ascii="Times New Roman" w:hAnsi="Times New Roman"/>
          <w:sz w:val="24"/>
          <w:szCs w:val="24"/>
          <w:lang w:eastAsia="sk-SK"/>
        </w:rPr>
        <w:t>Andrej Očenáš často vravieval: "Treba sa učiť od tých ľudí, ktorí národu vedeli povedať pravdu. Moje vedomie sa obrodzovalo myšlienkami, ktoré vyslovili slovenskí dejatelia a myslitelia akými boli Botto, Sládkovič, Hviezdoslav, Plávka, Kostra, Novomeský. Zanechali výraznú brázdu v mojom myšlienkovom i citovom svete. Odkaz ich umenia som spájal s vlastným umeleckým prejavom."</w:t>
      </w:r>
      <w:r>
        <w:rPr>
          <w:rFonts w:eastAsia="Times New Roman" w:cs="Times New Roman" w:ascii="Times New Roman" w:hAnsi="Times New Roman"/>
          <w:b/>
          <w:bCs/>
          <w:sz w:val="24"/>
          <w:szCs w:val="24"/>
          <w:lang w:eastAsia="sk-SK"/>
        </w:rPr>
        <w:t xml:space="preserve">  </w:t>
      </w:r>
      <w:r>
        <w:rPr>
          <w:rFonts w:eastAsia="Times New Roman" w:cs="Times New Roman" w:ascii="Times New Roman" w:hAnsi="Times New Roman"/>
          <w:bCs/>
          <w:sz w:val="24"/>
          <w:szCs w:val="24"/>
          <w:lang w:eastAsia="sk-SK"/>
        </w:rPr>
        <w:t>Zomrel 8. apríla 1995 v Bratislave.</w:t>
      </w:r>
    </w:p>
    <w:p>
      <w:pPr>
        <w:pStyle w:val="Normal"/>
        <w:spacing w:before="0" w:after="0"/>
        <w:rPr>
          <w:rFonts w:ascii="Times New Roman" w:hAnsi="Times New Roman" w:cs="Times New Roman"/>
          <w:b/>
          <w:caps/>
          <w:color w:val="FF0000"/>
          <w:sz w:val="20"/>
          <w:szCs w:val="20"/>
        </w:rPr>
      </w:pPr>
      <w:r>
        <w:rPr>
          <w:rFonts w:cs="Times New Roman" w:ascii="Times New Roman" w:hAnsi="Times New Roman"/>
          <w:b/>
          <w:caps/>
          <w:color w:val="FF0000"/>
          <w:sz w:val="20"/>
          <w:szCs w:val="20"/>
        </w:rPr>
      </w:r>
    </w:p>
    <w:p>
      <w:pPr>
        <w:pStyle w:val="Normal"/>
        <w:spacing w:before="0" w:after="0"/>
        <w:rPr/>
      </w:pPr>
      <w:r>
        <w:rPr>
          <w:rFonts w:cs="Times New Roman" w:ascii="Times New Roman" w:hAnsi="Times New Roman"/>
          <w:b/>
          <w:sz w:val="24"/>
          <w:szCs w:val="24"/>
        </w:rPr>
        <w:t>5.5 SYMBOLY</w:t>
      </w:r>
    </w:p>
    <w:p>
      <w:pPr>
        <w:pStyle w:val="Normal"/>
        <w:spacing w:lineRule="auto" w:line="240" w:before="0" w:after="0"/>
        <w:ind w:firstLine="708"/>
        <w:jc w:val="both"/>
        <w:rPr/>
      </w:pPr>
      <w:r>
        <w:rPr>
          <w:rFonts w:cs="Times New Roman" w:ascii="Times New Roman" w:hAnsi="Times New Roman"/>
          <w:sz w:val="24"/>
          <w:szCs w:val="24"/>
        </w:rPr>
        <w:t>Erb, pečať a vlajka predstavujú trojicu základných symbolov obce. Na tvorbu každého zo spomenutých symbolov sa vzťahujú osobitné heraldické (náuka o erboch), vexikologické (náuka o vlajkách) a sigilografické (náuka o pečatiach) pravidlá a zákonitosti, ktoré treba v každom prípade rešpektovať. Obec sama si v 18. storočí vytvorila nielen obyčajnú obecnú pečať, ale symbol v nej vložila už do štítu. Symboly obce boli po dlhšej prestávke znovu uvedené do života v roku 1997, pri príležitosti 775. výročia prvej písomnej zmienky o obci.</w:t>
      </w:r>
    </w:p>
    <w:p>
      <w:pPr>
        <w:pStyle w:val="Normal"/>
        <w:spacing w:lineRule="auto" w:line="240" w:before="0" w:after="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firstLine="708"/>
        <w:jc w:val="both"/>
        <w:rPr/>
      </w:pPr>
      <w:r>
        <w:rPr>
          <w:rFonts w:cs="Times New Roman" w:ascii="Times New Roman" w:hAnsi="Times New Roman"/>
          <w:b/>
          <w:i/>
          <w:sz w:val="24"/>
          <w:szCs w:val="24"/>
        </w:rPr>
        <w:t>Historická pečať</w:t>
      </w:r>
    </w:p>
    <w:p>
      <w:pPr>
        <w:pStyle w:val="ListParagraph"/>
        <w:tabs>
          <w:tab w:val="clear" w:pos="708"/>
          <w:tab w:val="left" w:pos="2460" w:leader="none"/>
        </w:tabs>
        <w:spacing w:lineRule="auto" w:line="240" w:before="0" w:after="0"/>
        <w:ind w:left="2880"/>
        <w:contextualSpacing/>
        <w:jc w:val="both"/>
        <w:rPr/>
      </w:pPr>
      <w:r>
        <w:drawing>
          <wp:anchor behindDoc="1" distT="0" distB="0" distL="0" distR="0" simplePos="0" locked="0" layoutInCell="1" allowOverlap="1" relativeHeight="3">
            <wp:simplePos x="0" y="0"/>
            <wp:positionH relativeFrom="column">
              <wp:posOffset>-33020</wp:posOffset>
            </wp:positionH>
            <wp:positionV relativeFrom="paragraph">
              <wp:posOffset>334010</wp:posOffset>
            </wp:positionV>
            <wp:extent cx="1409700" cy="1390650"/>
            <wp:effectExtent l="0" t="0" r="0" b="0"/>
            <wp:wrapNone/>
            <wp:docPr id="44" name="Obrázok 4" descr="scan0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Obrázok 4" descr="scan0017"/>
                    <pic:cNvPicPr>
                      <a:picLocks noChangeAspect="1" noChangeArrowheads="1"/>
                    </pic:cNvPicPr>
                  </pic:nvPicPr>
                  <pic:blipFill>
                    <a:blip r:embed="rId11"/>
                    <a:stretch>
                      <a:fillRect/>
                    </a:stretch>
                  </pic:blipFill>
                  <pic:spPr bwMode="auto">
                    <a:xfrm>
                      <a:off x="0" y="0"/>
                      <a:ext cx="1409700" cy="1390650"/>
                    </a:xfrm>
                    <a:prstGeom prst="rect">
                      <a:avLst/>
                    </a:prstGeom>
                  </pic:spPr>
                </pic:pic>
              </a:graphicData>
            </a:graphic>
          </wp:anchor>
        </w:drawing>
      </w:r>
      <w:r>
        <w:rPr>
          <w:rFonts w:cs="Times New Roman" w:ascii="Times New Roman" w:hAnsi="Times New Roman"/>
          <w:sz w:val="24"/>
          <w:szCs w:val="24"/>
        </w:rPr>
        <w:t xml:space="preserve">pochádza z roku 1778. V strede pečatného poľa vidno štít ovenčený dvoma ratolesťami. V ich strede, zo srdca položeného na podložke, vyrastajú tri kvety na dlhých stopkách. Pokiaľ ide o analýzu symboliky erbu obce Selce, možno jeho súčasti – teda srdce a kvety, vidieť takto: Srdce je predovšetkým symbolom lásky, a to tak vo svetskom, ako aj v náboženskom slova zmysle. Vždy symbolizovalo centrum, stred, vnútro človeka. </w:t>
      </w:r>
    </w:p>
    <w:p>
      <w:pPr>
        <w:pStyle w:val="Normal"/>
        <w:spacing w:lineRule="auto" w:line="240" w:before="0" w:after="0"/>
        <w:ind w:firstLine="9" w:left="2835"/>
        <w:jc w:val="both"/>
        <w:rPr/>
      </w:pPr>
      <w:r>
        <w:rPr>
          <w:rFonts w:cs="Times New Roman" w:ascii="Times New Roman" w:hAnsi="Times New Roman"/>
          <w:sz w:val="24"/>
          <w:szCs w:val="24"/>
        </w:rPr>
        <w:t>V heraldike patrí kvet, osobitne ruža s ľaliou, do dvojice najvýznamnejších heraldických rastlinných motívov. V zmysle heraldickej konvencie sa však ako ruža popisuje len tá, ktorá má päť lupeňov. V historickom erbe sú však ruže šesťlupeňové, preto ich treba heraldicky popisovať ako biele kvety.</w:t>
      </w:r>
    </w:p>
    <w:p>
      <w:pPr>
        <w:pStyle w:val="Normal"/>
        <w:spacing w:lineRule="auto" w:line="240" w:before="0" w:after="0"/>
        <w:jc w:val="both"/>
        <w:rPr/>
      </w:pPr>
      <w:r>
        <w:rPr>
          <w:rFonts w:cs="Times New Roman" w:ascii="Times New Roman" w:hAnsi="Times New Roman"/>
          <w:sz w:val="24"/>
          <w:szCs w:val="24"/>
        </w:rPr>
        <w:t xml:space="preserve">Spojenie symbolu srdca a z neho vyrastajúcich kvetov sa vysvetľuje ako vyjadrenie nového života, založeného na láske Ježiša Krista. V súčasnosti je motív vsadený do tzv. pozdnogotického, dolu zaobleného štítu. </w:t>
      </w:r>
    </w:p>
    <w:p>
      <w:pPr>
        <w:pStyle w:val="Normal"/>
        <w:spacing w:lineRule="auto" w:line="240" w:before="0" w:after="0"/>
        <w:ind w:firstLine="72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firstLine="720"/>
        <w:jc w:val="both"/>
        <w:rPr/>
      </w:pPr>
      <w:r>
        <w:rPr>
          <w:rFonts w:cs="Times New Roman" w:ascii="Times New Roman" w:hAnsi="Times New Roman"/>
          <w:b/>
          <w:i/>
          <w:sz w:val="24"/>
          <w:szCs w:val="24"/>
        </w:rPr>
        <w:t>Erb</w:t>
      </w:r>
    </w:p>
    <w:p>
      <w:pPr>
        <w:pStyle w:val="Normal"/>
        <w:spacing w:lineRule="auto" w:line="240" w:before="0" w:after="0"/>
        <w:ind w:firstLine="720"/>
        <w:jc w:val="both"/>
        <w:rPr>
          <w:rFonts w:ascii="Times New Roman" w:hAnsi="Times New Roman" w:cs="Times New Roman"/>
          <w:b/>
          <w:sz w:val="24"/>
          <w:szCs w:val="24"/>
        </w:rPr>
      </w:pPr>
      <w:r>
        <w:rPr>
          <w:rFonts w:cs="Times New Roman" w:ascii="Times New Roman" w:hAnsi="Times New Roman"/>
          <w:b/>
          <w:sz w:val="24"/>
          <w:szCs w:val="24"/>
        </w:rPr>
      </w:r>
    </w:p>
    <w:p>
      <w:pPr>
        <w:pStyle w:val="Normal"/>
        <w:spacing w:lineRule="auto" w:line="240" w:before="0" w:after="0"/>
        <w:ind w:firstLine="492" w:left="2340"/>
        <w:jc w:val="both"/>
        <w:rPr/>
      </w:pPr>
      <w:r>
        <w:drawing>
          <wp:anchor behindDoc="1" distT="0" distB="0" distL="0" distR="0" simplePos="0" locked="0" layoutInCell="1" allowOverlap="1" relativeHeight="4">
            <wp:simplePos x="0" y="0"/>
            <wp:positionH relativeFrom="column">
              <wp:posOffset>5715</wp:posOffset>
            </wp:positionH>
            <wp:positionV relativeFrom="paragraph">
              <wp:posOffset>101600</wp:posOffset>
            </wp:positionV>
            <wp:extent cx="1247775" cy="1409700"/>
            <wp:effectExtent l="0" t="0" r="0" b="0"/>
            <wp:wrapNone/>
            <wp:docPr id="45" name="Obrázok 3" descr="scan0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Obrázok 3" descr="scan0014"/>
                    <pic:cNvPicPr>
                      <a:picLocks noChangeAspect="1" noChangeArrowheads="1"/>
                    </pic:cNvPicPr>
                  </pic:nvPicPr>
                  <pic:blipFill>
                    <a:blip r:embed="rId12"/>
                    <a:stretch>
                      <a:fillRect/>
                    </a:stretch>
                  </pic:blipFill>
                  <pic:spPr bwMode="auto">
                    <a:xfrm>
                      <a:off x="0" y="0"/>
                      <a:ext cx="1247775" cy="1409700"/>
                    </a:xfrm>
                    <a:prstGeom prst="rect">
                      <a:avLst/>
                    </a:prstGeom>
                  </pic:spPr>
                </pic:pic>
              </a:graphicData>
            </a:graphic>
          </wp:anchor>
        </w:drawing>
      </w:r>
      <w:r>
        <w:rPr>
          <w:rFonts w:cs="Times New Roman" w:ascii="Times New Roman" w:hAnsi="Times New Roman"/>
          <w:sz w:val="24"/>
          <w:szCs w:val="24"/>
        </w:rPr>
        <w:t>Heraldicky správny erb obce Selce má túto podobu: v červenom štíte, na zlatom, zhora zahĺbenom pruhu, je strieborné srdce, z ktorého vyrastajú tri strieborné kvety so zlatými stopkami a dvoma zlatými listami.</w:t>
      </w:r>
    </w:p>
    <w:p>
      <w:pPr>
        <w:pStyle w:val="Normal"/>
        <w:spacing w:lineRule="auto" w:line="240" w:before="0" w:after="0"/>
        <w:ind w:left="2340"/>
        <w:jc w:val="both"/>
        <w:rPr/>
      </w:pPr>
      <w:r>
        <w:rPr>
          <w:rFonts w:cs="Times New Roman" w:ascii="Times New Roman" w:hAnsi="Times New Roman"/>
          <w:sz w:val="24"/>
          <w:szCs w:val="24"/>
        </w:rPr>
        <w:t>Heraldika pozná dva kovy – zlato a striebro a štyri farby – červenú, modrú, čiernu a zelenú. Vzhľadom na charakter znamenia je srdce v erbe obce Selce strieborné – čiže biele, čo má vyjadriť posolstvo znamenia – čisté srdce. Podobne kvety, ktoré z neho vyrastajú. Stopky, tradičné heraldické semenníky a listy, sú zlaté. Štítové pole je červené, čo je najvýznamnejšia heraldická farba. Navyše veľmi dobre korešponduje s motívom srdca v erbe obce Selce.</w:t>
      </w:r>
    </w:p>
    <w:p>
      <w:pPr>
        <w:pStyle w:val="Normal"/>
        <w:spacing w:lineRule="auto" w:line="240" w:before="0" w:after="0"/>
        <w:ind w:firstLine="492" w:left="2340"/>
        <w:jc w:val="both"/>
        <w:rPr>
          <w:rFonts w:ascii="Times New Roman" w:hAnsi="Times New Roman" w:cs="Times New Roman"/>
          <w:color w:val="FF0000"/>
          <w:sz w:val="24"/>
          <w:szCs w:val="24"/>
        </w:rPr>
      </w:pPr>
      <w:r>
        <w:rPr>
          <w:rFonts w:cs="Times New Roman" w:ascii="Times New Roman" w:hAnsi="Times New Roman"/>
          <w:color w:val="FF0000"/>
          <w:sz w:val="24"/>
          <w:szCs w:val="24"/>
        </w:rPr>
      </w:r>
    </w:p>
    <w:p>
      <w:pPr>
        <w:pStyle w:val="Normal"/>
        <w:spacing w:lineRule="auto" w:line="240" w:before="0" w:after="0"/>
        <w:ind w:firstLine="708"/>
        <w:jc w:val="both"/>
        <w:rPr>
          <w:rFonts w:ascii="Times New Roman" w:hAnsi="Times New Roman" w:cs="Times New Roman"/>
          <w:b/>
          <w:i/>
          <w:i/>
          <w:color w:val="FF0000"/>
          <w:sz w:val="24"/>
          <w:szCs w:val="24"/>
        </w:rPr>
      </w:pPr>
      <w:r>
        <w:rPr>
          <w:rFonts w:cs="Times New Roman" w:ascii="Times New Roman" w:hAnsi="Times New Roman"/>
          <w:b/>
          <w:i/>
          <w:color w:val="FF0000"/>
          <w:sz w:val="24"/>
          <w:szCs w:val="24"/>
        </w:rPr>
      </w:r>
    </w:p>
    <w:p>
      <w:pPr>
        <w:pStyle w:val="Normal"/>
        <w:spacing w:lineRule="auto" w:line="240" w:before="0" w:after="0"/>
        <w:ind w:firstLine="708"/>
        <w:jc w:val="both"/>
        <w:rPr>
          <w:rFonts w:ascii="Times New Roman" w:hAnsi="Times New Roman" w:cs="Times New Roman"/>
          <w:b/>
          <w:i/>
          <w:i/>
          <w:color w:val="FF0000"/>
          <w:sz w:val="24"/>
          <w:szCs w:val="24"/>
        </w:rPr>
      </w:pPr>
      <w:r>
        <w:rPr>
          <w:rFonts w:cs="Times New Roman" w:ascii="Times New Roman" w:hAnsi="Times New Roman"/>
          <w:b/>
          <w:i/>
          <w:color w:val="FF0000"/>
          <w:sz w:val="24"/>
          <w:szCs w:val="24"/>
        </w:rPr>
      </w:r>
    </w:p>
    <w:p>
      <w:pPr>
        <w:pStyle w:val="Normal"/>
        <w:spacing w:lineRule="auto" w:line="240" w:before="0" w:after="0"/>
        <w:ind w:firstLine="708"/>
        <w:jc w:val="both"/>
        <w:rPr>
          <w:rFonts w:ascii="Times New Roman" w:hAnsi="Times New Roman" w:cs="Times New Roman"/>
          <w:b/>
          <w:i/>
          <w:i/>
          <w:color w:val="FF0000"/>
          <w:sz w:val="24"/>
          <w:szCs w:val="24"/>
        </w:rPr>
      </w:pPr>
      <w:r>
        <w:rPr>
          <w:rFonts w:cs="Times New Roman" w:ascii="Times New Roman" w:hAnsi="Times New Roman"/>
          <w:b/>
          <w:i/>
          <w:color w:val="FF0000"/>
          <w:sz w:val="24"/>
          <w:szCs w:val="24"/>
        </w:rPr>
      </w:r>
    </w:p>
    <w:p>
      <w:pPr>
        <w:pStyle w:val="Normal"/>
        <w:spacing w:lineRule="auto" w:line="240" w:before="0" w:after="0"/>
        <w:ind w:firstLine="708"/>
        <w:jc w:val="both"/>
        <w:rPr>
          <w:rFonts w:ascii="Times New Roman" w:hAnsi="Times New Roman" w:cs="Times New Roman"/>
          <w:b/>
          <w:i/>
          <w:i/>
          <w:color w:val="FF0000"/>
          <w:sz w:val="24"/>
          <w:szCs w:val="24"/>
        </w:rPr>
      </w:pPr>
      <w:r>
        <w:rPr>
          <w:rFonts w:cs="Times New Roman" w:ascii="Times New Roman" w:hAnsi="Times New Roman"/>
          <w:b/>
          <w:i/>
          <w:color w:val="FF0000"/>
          <w:sz w:val="24"/>
          <w:szCs w:val="24"/>
        </w:rPr>
      </w:r>
    </w:p>
    <w:p>
      <w:pPr>
        <w:pStyle w:val="Normal"/>
        <w:spacing w:lineRule="auto" w:line="240" w:before="0" w:after="0"/>
        <w:ind w:firstLine="708"/>
        <w:jc w:val="both"/>
        <w:rPr/>
      </w:pPr>
      <w:r>
        <w:rPr>
          <w:rFonts w:cs="Times New Roman" w:ascii="Times New Roman" w:hAnsi="Times New Roman"/>
          <w:b/>
          <w:i/>
          <w:sz w:val="24"/>
          <w:szCs w:val="24"/>
        </w:rPr>
        <w:t>Vlajka</w:t>
      </w:r>
    </w:p>
    <w:p>
      <w:pPr>
        <w:pStyle w:val="Normal"/>
        <w:spacing w:lineRule="auto" w:line="240" w:before="0" w:after="0"/>
        <w:ind w:firstLine="708"/>
        <w:jc w:val="both"/>
        <w:rPr>
          <w:rFonts w:ascii="Times New Roman" w:hAnsi="Times New Roman" w:cs="Times New Roman"/>
          <w:b/>
          <w:sz w:val="24"/>
          <w:szCs w:val="24"/>
        </w:rPr>
      </w:pPr>
      <w:r>
        <w:rPr>
          <w:rFonts w:cs="Times New Roman" w:ascii="Times New Roman" w:hAnsi="Times New Roman"/>
          <w:b/>
          <w:sz w:val="24"/>
          <w:szCs w:val="24"/>
        </w:rPr>
      </w:r>
    </w:p>
    <w:p>
      <w:pPr>
        <w:pStyle w:val="Normal"/>
        <w:tabs>
          <w:tab w:val="clear" w:pos="708"/>
          <w:tab w:val="left" w:pos="2805" w:leader="none"/>
        </w:tabs>
        <w:spacing w:lineRule="auto" w:line="240" w:before="0" w:after="0"/>
        <w:ind w:firstLine="660" w:left="2880"/>
        <w:jc w:val="both"/>
        <w:rPr/>
      </w:pPr>
      <w:r>
        <w:drawing>
          <wp:anchor behindDoc="1" distT="0" distB="0" distL="0" distR="0" simplePos="0" locked="0" layoutInCell="1" allowOverlap="1" relativeHeight="5">
            <wp:simplePos x="0" y="0"/>
            <wp:positionH relativeFrom="column">
              <wp:posOffset>0</wp:posOffset>
            </wp:positionH>
            <wp:positionV relativeFrom="paragraph">
              <wp:posOffset>635</wp:posOffset>
            </wp:positionV>
            <wp:extent cx="1485900" cy="1047750"/>
            <wp:effectExtent l="0" t="0" r="0" b="0"/>
            <wp:wrapNone/>
            <wp:docPr id="46" name="Obrázok 2" descr="scan0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Obrázok 2" descr="scan0015"/>
                    <pic:cNvPicPr>
                      <a:picLocks noChangeAspect="1" noChangeArrowheads="1"/>
                    </pic:cNvPicPr>
                  </pic:nvPicPr>
                  <pic:blipFill>
                    <a:blip r:embed="rId13"/>
                    <a:stretch>
                      <a:fillRect/>
                    </a:stretch>
                  </pic:blipFill>
                  <pic:spPr bwMode="auto">
                    <a:xfrm>
                      <a:off x="0" y="0"/>
                      <a:ext cx="1485900" cy="1047750"/>
                    </a:xfrm>
                    <a:prstGeom prst="rect">
                      <a:avLst/>
                    </a:prstGeom>
                  </pic:spPr>
                </pic:pic>
              </a:graphicData>
            </a:graphic>
          </wp:anchor>
        </w:drawing>
      </w:r>
      <w:r>
        <w:rPr>
          <w:rFonts w:cs="Times New Roman" w:ascii="Times New Roman" w:hAnsi="Times New Roman"/>
          <w:sz w:val="24"/>
          <w:szCs w:val="24"/>
        </w:rPr>
        <w:t>Vlajka obce pozostáva z piatich pozdĺžnych pruhov vo farbách bielej, červenej, žltej. Vlajka má pomer strán 2:3 a ukončená je troma cípmi, t. j. dvoma zástrihmi siahajúcimi do tretiny jej listu.</w:t>
      </w:r>
    </w:p>
    <w:p>
      <w:pPr>
        <w:pStyle w:val="Normal"/>
        <w:tabs>
          <w:tab w:val="clear" w:pos="708"/>
          <w:tab w:val="left" w:pos="2805" w:leader="none"/>
        </w:tabs>
        <w:spacing w:lineRule="auto" w:line="240" w:before="0" w:after="0"/>
        <w:ind w:firstLine="660" w:left="2880"/>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2805" w:leader="none"/>
        </w:tabs>
        <w:spacing w:lineRule="auto" w:line="240" w:before="0" w:after="0"/>
        <w:ind w:firstLine="660" w:left="288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firstLine="492"/>
        <w:jc w:val="both"/>
        <w:rPr>
          <w:rFonts w:ascii="Times New Roman" w:hAnsi="Times New Roman" w:cs="Times New Roman"/>
          <w:b/>
          <w:i/>
          <w:i/>
          <w:sz w:val="24"/>
          <w:szCs w:val="24"/>
        </w:rPr>
      </w:pPr>
      <w:r>
        <w:rPr>
          <w:rFonts w:cs="Times New Roman" w:ascii="Times New Roman" w:hAnsi="Times New Roman"/>
          <w:b/>
          <w:i/>
          <w:sz w:val="24"/>
          <w:szCs w:val="24"/>
        </w:rPr>
      </w:r>
    </w:p>
    <w:p>
      <w:pPr>
        <w:pStyle w:val="Normal"/>
        <w:spacing w:lineRule="auto" w:line="240" w:before="0" w:after="0"/>
        <w:ind w:firstLine="492"/>
        <w:jc w:val="both"/>
        <w:rPr>
          <w:rFonts w:ascii="Times New Roman" w:hAnsi="Times New Roman" w:cs="Times New Roman"/>
          <w:b/>
          <w:i/>
          <w:i/>
          <w:sz w:val="24"/>
          <w:szCs w:val="24"/>
        </w:rPr>
      </w:pPr>
      <w:r>
        <w:rPr>
          <w:rFonts w:cs="Times New Roman" w:ascii="Times New Roman" w:hAnsi="Times New Roman"/>
          <w:b/>
          <w:i/>
          <w:sz w:val="24"/>
          <w:szCs w:val="24"/>
        </w:rPr>
      </w:r>
    </w:p>
    <w:p>
      <w:pPr>
        <w:pStyle w:val="Normal"/>
        <w:spacing w:lineRule="auto" w:line="240" w:before="0" w:after="0"/>
        <w:ind w:firstLine="492"/>
        <w:jc w:val="both"/>
        <w:rPr/>
      </w:pPr>
      <w:r>
        <w:rPr>
          <w:rFonts w:cs="Times New Roman" w:ascii="Times New Roman" w:hAnsi="Times New Roman"/>
          <w:b/>
          <w:i/>
          <w:sz w:val="24"/>
          <w:szCs w:val="24"/>
        </w:rPr>
        <w:t>Zástava</w:t>
      </w:r>
      <w:r>
        <w:rPr>
          <w:rFonts w:cs="Times New Roman" w:ascii="Times New Roman" w:hAnsi="Times New Roman"/>
          <w:sz w:val="24"/>
          <w:szCs w:val="24"/>
        </w:rPr>
        <w:t xml:space="preserve"> obce má podobnú kompozíciu ako obecná vlajka. Pomer jej strán však nie je záväzne stanovený, čo znamená, že zástava môže byť aj dlhšia. Zástava je vždy pevne spojená so žrďou, stožiarom, alebo kratším priečnym rahnom.</w:t>
      </w:r>
    </w:p>
    <w:p>
      <w:pPr>
        <w:pStyle w:val="Normal"/>
        <w:spacing w:lineRule="auto" w:line="240" w:before="0" w:after="0"/>
        <w:ind w:firstLine="492"/>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firstLine="492"/>
        <w:jc w:val="both"/>
        <w:rPr/>
      </w:pPr>
      <w:r>
        <w:rPr>
          <w:rFonts w:cs="Times New Roman" w:ascii="Times New Roman" w:hAnsi="Times New Roman"/>
          <w:b/>
          <w:i/>
          <w:sz w:val="24"/>
          <w:szCs w:val="24"/>
        </w:rPr>
        <w:t>Štandarda</w:t>
      </w:r>
      <w:r>
        <w:rPr>
          <w:rFonts w:cs="Times New Roman" w:ascii="Times New Roman" w:hAnsi="Times New Roman"/>
          <w:b/>
          <w:sz w:val="24"/>
          <w:szCs w:val="24"/>
        </w:rPr>
        <w:t xml:space="preserve"> </w:t>
      </w:r>
      <w:r>
        <w:rPr>
          <w:rFonts w:cs="Times New Roman" w:ascii="Times New Roman" w:hAnsi="Times New Roman"/>
          <w:b/>
          <w:i/>
          <w:sz w:val="24"/>
          <w:szCs w:val="24"/>
        </w:rPr>
        <w:t>starostu</w:t>
      </w:r>
      <w:r>
        <w:rPr>
          <w:rFonts w:cs="Times New Roman" w:ascii="Times New Roman" w:hAnsi="Times New Roman"/>
          <w:sz w:val="24"/>
          <w:szCs w:val="24"/>
        </w:rPr>
        <w:t xml:space="preserve"> obce Selce má medzi ostatnými symbolmi obce osobitné postavenie. Je jedným zo znakov úradu starostu. Podobá sa znakovej zástave, je však doplnená o lem vo farbách obce. Štandarda existuje len jedna a je zhotovená luxusnejšou technikou.</w:t>
      </w:r>
    </w:p>
    <w:p>
      <w:pPr>
        <w:pStyle w:val="Normal"/>
        <w:spacing w:lineRule="auto" w:line="240" w:before="0" w:after="0"/>
        <w:ind w:firstLine="6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firstLine="660"/>
        <w:jc w:val="both"/>
        <w:rPr/>
      </w:pPr>
      <w:r>
        <w:rPr>
          <w:rFonts w:cs="Times New Roman" w:ascii="Times New Roman" w:hAnsi="Times New Roman"/>
          <w:b/>
          <w:i/>
          <w:sz w:val="24"/>
          <w:szCs w:val="24"/>
        </w:rPr>
        <w:t>Pečať</w:t>
      </w:r>
    </w:p>
    <w:p>
      <w:pPr>
        <w:pStyle w:val="Normal"/>
        <w:spacing w:lineRule="auto" w:line="240" w:before="0" w:after="0"/>
        <w:ind w:firstLine="660"/>
        <w:jc w:val="both"/>
        <w:rPr>
          <w:rFonts w:ascii="Times New Roman" w:hAnsi="Times New Roman" w:cs="Times New Roman"/>
          <w:b/>
          <w:sz w:val="24"/>
          <w:szCs w:val="24"/>
        </w:rPr>
      </w:pPr>
      <w:r>
        <w:rPr>
          <w:rFonts w:cs="Times New Roman" w:ascii="Times New Roman" w:hAnsi="Times New Roman"/>
          <w:b/>
          <w:sz w:val="24"/>
          <w:szCs w:val="24"/>
        </w:rPr>
      </w:r>
    </w:p>
    <w:p>
      <w:pPr>
        <w:pStyle w:val="Normal"/>
        <w:spacing w:lineRule="auto" w:line="240" w:before="0" w:after="0"/>
        <w:ind w:firstLine="492" w:left="2340"/>
        <w:jc w:val="both"/>
        <w:rPr/>
      </w:pPr>
      <w:r>
        <w:drawing>
          <wp:anchor behindDoc="1" distT="0" distB="0" distL="0" distR="0" simplePos="0" locked="0" layoutInCell="1" allowOverlap="1" relativeHeight="6">
            <wp:simplePos x="0" y="0"/>
            <wp:positionH relativeFrom="column">
              <wp:posOffset>0</wp:posOffset>
            </wp:positionH>
            <wp:positionV relativeFrom="paragraph">
              <wp:posOffset>635</wp:posOffset>
            </wp:positionV>
            <wp:extent cx="1143000" cy="1143000"/>
            <wp:effectExtent l="0" t="0" r="0" b="0"/>
            <wp:wrapNone/>
            <wp:docPr id="47" name="Obrázok 1" descr="scan0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Obrázok 1" descr="scan0016"/>
                    <pic:cNvPicPr>
                      <a:picLocks noChangeAspect="1" noChangeArrowheads="1"/>
                    </pic:cNvPicPr>
                  </pic:nvPicPr>
                  <pic:blipFill>
                    <a:blip r:embed="rId14"/>
                    <a:stretch>
                      <a:fillRect/>
                    </a:stretch>
                  </pic:blipFill>
                  <pic:spPr bwMode="auto">
                    <a:xfrm>
                      <a:off x="0" y="0"/>
                      <a:ext cx="1143000" cy="1143000"/>
                    </a:xfrm>
                    <a:prstGeom prst="rect">
                      <a:avLst/>
                    </a:prstGeom>
                  </pic:spPr>
                </pic:pic>
              </a:graphicData>
            </a:graphic>
          </wp:anchor>
        </w:drawing>
      </w:r>
      <w:r>
        <w:rPr>
          <w:rFonts w:cs="Times New Roman" w:ascii="Times New Roman" w:hAnsi="Times New Roman"/>
          <w:sz w:val="24"/>
          <w:szCs w:val="24"/>
        </w:rPr>
        <w:t>Pečať obce je okrúhla, uprostred s obecným symbolom a kruhopisom OBEC SELCE. Pečať má priemer 35 mm, čo je v súlade s domácimi zvyklosťami a predpismi o používaní pečiatok s obecnými symbolmi.</w:t>
      </w:r>
    </w:p>
    <w:p>
      <w:pPr>
        <w:pStyle w:val="Normal"/>
        <w:spacing w:lineRule="auto" w:line="240" w:before="0" w:after="0"/>
        <w:ind w:firstLine="492" w:left="234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firstLine="492"/>
        <w:jc w:val="both"/>
        <w:rPr>
          <w:rFonts w:ascii="Times New Roman" w:hAnsi="Times New Roman" w:cs="Times New Roman"/>
          <w:b/>
          <w:sz w:val="24"/>
          <w:szCs w:val="24"/>
        </w:rPr>
      </w:pPr>
      <w:r>
        <w:rPr>
          <w:rFonts w:cs="Times New Roman" w:ascii="Times New Roman" w:hAnsi="Times New Roman"/>
          <w:b/>
          <w:sz w:val="24"/>
          <w:szCs w:val="24"/>
        </w:rPr>
      </w:r>
    </w:p>
    <w:p>
      <w:pPr>
        <w:pStyle w:val="Normal"/>
        <w:spacing w:lineRule="auto" w:line="240" w:before="0" w:after="0"/>
        <w:ind w:firstLine="492"/>
        <w:jc w:val="both"/>
        <w:rPr>
          <w:rFonts w:ascii="Times New Roman" w:hAnsi="Times New Roman" w:cs="Times New Roman"/>
          <w:b/>
          <w:color w:val="FF0000"/>
          <w:sz w:val="24"/>
          <w:szCs w:val="24"/>
        </w:rPr>
      </w:pPr>
      <w:r>
        <w:rPr>
          <w:rFonts w:cs="Times New Roman" w:ascii="Times New Roman" w:hAnsi="Times New Roman"/>
          <w:b/>
          <w:color w:val="FF0000"/>
          <w:sz w:val="24"/>
          <w:szCs w:val="24"/>
        </w:rPr>
      </w:r>
    </w:p>
    <w:p>
      <w:pPr>
        <w:pStyle w:val="Normal"/>
        <w:spacing w:lineRule="auto" w:line="240" w:before="0" w:after="0"/>
        <w:ind w:firstLine="492"/>
        <w:jc w:val="both"/>
        <w:rPr>
          <w:rFonts w:ascii="Times New Roman" w:hAnsi="Times New Roman" w:cs="Times New Roman"/>
          <w:b/>
          <w:color w:val="FF0000"/>
          <w:sz w:val="24"/>
          <w:szCs w:val="24"/>
        </w:rPr>
      </w:pPr>
      <w:r>
        <w:rPr>
          <w:rFonts w:cs="Times New Roman" w:ascii="Times New Roman" w:hAnsi="Times New Roman"/>
          <w:b/>
          <w:color w:val="FF0000"/>
          <w:sz w:val="24"/>
          <w:szCs w:val="24"/>
        </w:rPr>
      </w:r>
    </w:p>
    <w:p>
      <w:pPr>
        <w:pStyle w:val="Normal"/>
        <w:spacing w:before="0" w:after="0"/>
        <w:rPr>
          <w:rFonts w:ascii="Times New Roman" w:hAnsi="Times New Roman" w:cs="Times New Roman"/>
          <w:b/>
          <w:outline/>
          <w:color w:val="FF0000"/>
          <w:sz w:val="28"/>
          <w:szCs w:val="28"/>
        </w:rPr>
      </w:pPr>
      <w:r>
        <w:rPr>
          <w:rFonts w:cs="Times New Roman" w:ascii="Times New Roman" w:hAnsi="Times New Roman"/>
          <w:b/>
          <w:outline/>
          <w:color w:val="FF0000"/>
          <w:sz w:val="28"/>
          <w:szCs w:val="28"/>
        </w:rPr>
      </w:r>
    </w:p>
    <w:p>
      <w:pPr>
        <w:pStyle w:val="Normal"/>
        <w:spacing w:before="0" w:after="0"/>
        <w:rPr>
          <w:color w:val="auto"/>
        </w:rPr>
      </w:pPr>
      <w:r>
        <w:rPr>
          <w:rFonts w:cs="Times New Roman" w:ascii="Times New Roman" w:hAnsi="Times New Roman"/>
          <w:b/>
          <w:outline/>
          <w:color w:val="auto"/>
          <w:sz w:val="28"/>
          <w:szCs w:val="28"/>
        </w:rPr>
        <w:t>6. PLNENIE FUNKCIÍ OBCE</w:t>
      </w:r>
    </w:p>
    <w:p>
      <w:pPr>
        <w:pStyle w:val="Normal"/>
        <w:spacing w:lineRule="auto" w:line="240" w:before="0" w:after="0"/>
        <w:jc w:val="both"/>
        <w:rPr>
          <w:color w:val="auto"/>
        </w:rPr>
      </w:pPr>
      <w:r>
        <w:rPr>
          <w:rFonts w:cs="Times New Roman" w:ascii="Times New Roman" w:hAnsi="Times New Roman"/>
          <w:color w:val="auto"/>
        </w:rPr>
        <w:tab/>
      </w:r>
      <w:r>
        <w:rPr>
          <w:rFonts w:cs="Times New Roman" w:ascii="Times New Roman" w:hAnsi="Times New Roman"/>
          <w:color w:val="auto"/>
          <w:sz w:val="24"/>
          <w:szCs w:val="24"/>
        </w:rPr>
        <w:t>Obec má zákonom vymedzený rozsah úloh, ktoré zabezpečuje svojimi orgánmi. Do konca roku 2001 obec zodpovedala za kompetencie na úseku obecného majetku, vyberanie daní a poplatkov, opravu a údržbu miestnych komunikácií, kultúru a šport, historické pamiatky, rozvody pitnej vody, odvoz komunálneho odpadu, miestne územné plánovanie a bezpečnosť. V roku 2002 sa začalo s decentralizáciou, podľa ktorej postupne prešli na obce prenesené (výkon štátnej správy) kompetencie. Táto decentralizácia mala za cieľ poskytovanie čo najefektívnejších služieb obyvateľom na miestnej úrovni.</w:t>
      </w:r>
    </w:p>
    <w:p>
      <w:pPr>
        <w:pStyle w:val="Normal"/>
        <w:spacing w:lineRule="auto" w:line="240" w:before="0" w:after="0"/>
        <w:rPr>
          <w:rFonts w:ascii="Times New Roman" w:hAnsi="Times New Roman" w:cs="Times New Roman"/>
          <w:b/>
          <w:caps/>
          <w:color w:val="FF0000"/>
          <w:sz w:val="24"/>
          <w:szCs w:val="24"/>
        </w:rPr>
      </w:pPr>
      <w:r>
        <w:rPr>
          <w:rFonts w:cs="Times New Roman" w:ascii="Times New Roman" w:hAnsi="Times New Roman"/>
          <w:b/>
          <w:caps/>
          <w:color w:val="FF0000"/>
          <w:sz w:val="24"/>
          <w:szCs w:val="24"/>
        </w:rPr>
      </w:r>
    </w:p>
    <w:p>
      <w:pPr>
        <w:pStyle w:val="Normal"/>
        <w:spacing w:lineRule="auto" w:line="240" w:before="0" w:after="0"/>
        <w:rPr>
          <w:color w:val="auto"/>
        </w:rPr>
      </w:pPr>
      <w:r>
        <w:rPr>
          <w:rFonts w:cs="Times New Roman" w:ascii="Times New Roman" w:hAnsi="Times New Roman"/>
          <w:b/>
          <w:color w:val="auto"/>
          <w:sz w:val="24"/>
          <w:szCs w:val="24"/>
        </w:rPr>
        <w:t>6.1 PRENESENÉ KOMPETENCIE</w:t>
      </w:r>
    </w:p>
    <w:p>
      <w:pPr>
        <w:pStyle w:val="Normal"/>
        <w:ind w:firstLine="708"/>
        <w:jc w:val="both"/>
        <w:rPr>
          <w:color w:val="auto"/>
        </w:rPr>
      </w:pPr>
      <w:r>
        <w:rPr>
          <w:rFonts w:cs="Times New Roman" w:ascii="Times New Roman" w:hAnsi="Times New Roman"/>
          <w:color w:val="auto"/>
          <w:sz w:val="24"/>
          <w:szCs w:val="24"/>
        </w:rPr>
        <w:t xml:space="preserve">Obec Selce plnila úlohy v oblasti prenesených kompetencií, na ktoré jej boli poskytnuté finančné prostriedky. Poskytnuté finančné prostriedky obec použila v zmysle platnej rozpočtovej klasifikácie na úhradu výdavkov charakteru  mzdy, poistné do poisťovní a tovary a služby. </w:t>
      </w:r>
    </w:p>
    <w:tbl>
      <w:tblPr>
        <w:tblStyle w:val="Mriekatabuky"/>
        <w:tblW w:w="9212"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7341"/>
        <w:gridCol w:w="1870"/>
      </w:tblGrid>
      <w:tr>
        <w:trPr/>
        <w:tc>
          <w:tcPr>
            <w:tcW w:w="7341" w:type="dxa"/>
            <w:tcBorders/>
          </w:tcPr>
          <w:p>
            <w:pPr>
              <w:pStyle w:val="Normal"/>
              <w:widowControl/>
              <w:suppressAutoHyphens w:val="true"/>
              <w:spacing w:lineRule="auto" w:line="240" w:before="0" w:after="0"/>
              <w:jc w:val="left"/>
              <w:rPr>
                <w:color w:val="auto"/>
                <w:sz w:val="22"/>
              </w:rPr>
            </w:pPr>
            <w:r>
              <w:rPr>
                <w:rFonts w:eastAsia="Calibri" w:cs="Times New Roman" w:ascii="Times New Roman" w:hAnsi="Times New Roman"/>
                <w:color w:val="auto"/>
                <w:kern w:val="0"/>
                <w:sz w:val="24"/>
                <w:szCs w:val="24"/>
                <w:lang w:val="sk-SK" w:eastAsia="en-US" w:bidi="ar-SA"/>
              </w:rPr>
              <w:t>Prenesený výkon štátnej správy na úseku :</w:t>
            </w:r>
          </w:p>
        </w:tc>
        <w:tc>
          <w:tcPr>
            <w:tcW w:w="1870" w:type="dxa"/>
            <w:tcBorders/>
          </w:tcPr>
          <w:p>
            <w:pPr>
              <w:pStyle w:val="Normal"/>
              <w:widowControl/>
              <w:suppressAutoHyphens w:val="true"/>
              <w:spacing w:lineRule="auto" w:line="240" w:before="0" w:after="0"/>
              <w:jc w:val="center"/>
              <w:rPr>
                <w:color w:val="auto"/>
                <w:sz w:val="22"/>
              </w:rPr>
            </w:pPr>
            <w:r>
              <w:rPr>
                <w:rFonts w:eastAsia="Calibri" w:cs="Times New Roman" w:ascii="Times New Roman" w:hAnsi="Times New Roman"/>
                <w:color w:val="auto"/>
                <w:kern w:val="0"/>
                <w:sz w:val="24"/>
                <w:szCs w:val="24"/>
                <w:lang w:val="sk-SK" w:eastAsia="en-US" w:bidi="ar-SA"/>
              </w:rPr>
              <w:t>Transfer v €</w:t>
            </w:r>
          </w:p>
        </w:tc>
      </w:tr>
      <w:tr>
        <w:trPr/>
        <w:tc>
          <w:tcPr>
            <w:tcW w:w="7341" w:type="dxa"/>
            <w:tcBorders/>
          </w:tcPr>
          <w:p>
            <w:pPr>
              <w:pStyle w:val="Normal"/>
              <w:widowControl/>
              <w:suppressAutoHyphens w:val="true"/>
              <w:spacing w:lineRule="auto" w:line="240" w:before="0" w:after="0"/>
              <w:jc w:val="left"/>
              <w:rPr>
                <w:rFonts w:ascii="Times New Roman" w:hAnsi="Times New Roman"/>
                <w:color w:val="auto"/>
                <w:sz w:val="22"/>
                <w:szCs w:val="22"/>
              </w:rPr>
            </w:pPr>
            <w:r>
              <w:rPr>
                <w:rFonts w:eastAsia="Calibri" w:cs="Times New Roman" w:ascii="Times New Roman" w:hAnsi="Times New Roman"/>
                <w:color w:val="auto"/>
                <w:kern w:val="0"/>
                <w:sz w:val="22"/>
                <w:szCs w:val="22"/>
                <w:lang w:val="sk-SK" w:eastAsia="en-US" w:bidi="ar-SA"/>
              </w:rPr>
              <w:t>stavebného poriadku</w:t>
            </w:r>
          </w:p>
        </w:tc>
        <w:tc>
          <w:tcPr>
            <w:tcW w:w="1870" w:type="dxa"/>
            <w:tcBorders/>
          </w:tcPr>
          <w:p>
            <w:pPr>
              <w:pStyle w:val="Normal"/>
              <w:spacing w:before="0" w:after="200"/>
              <w:jc w:val="right"/>
              <w:rPr>
                <w:rFonts w:ascii="Times New Roman" w:hAnsi="Times New Roman"/>
                <w:color w:val="auto"/>
                <w:sz w:val="22"/>
                <w:szCs w:val="22"/>
              </w:rPr>
            </w:pPr>
            <w:r>
              <w:rPr>
                <w:rFonts w:eastAsia="Calibri" w:cs="Times New Roman" w:ascii="Times New Roman" w:hAnsi="Times New Roman"/>
                <w:color w:val="auto"/>
                <w:kern w:val="0"/>
                <w:sz w:val="22"/>
                <w:szCs w:val="22"/>
                <w:lang w:val="sk-SK" w:eastAsia="en-US" w:bidi="ar-SA"/>
              </w:rPr>
              <w:t>13 403,47</w:t>
            </w:r>
          </w:p>
        </w:tc>
      </w:tr>
      <w:tr>
        <w:trPr/>
        <w:tc>
          <w:tcPr>
            <w:tcW w:w="7341" w:type="dxa"/>
            <w:tcBorders/>
          </w:tcPr>
          <w:p>
            <w:pPr>
              <w:pStyle w:val="Normal"/>
              <w:widowControl/>
              <w:suppressAutoHyphens w:val="true"/>
              <w:spacing w:lineRule="auto" w:line="240" w:before="0" w:after="0"/>
              <w:jc w:val="left"/>
              <w:rPr>
                <w:rFonts w:ascii="Times New Roman" w:hAnsi="Times New Roman"/>
                <w:color w:val="auto"/>
                <w:sz w:val="22"/>
                <w:szCs w:val="22"/>
              </w:rPr>
            </w:pPr>
            <w:r>
              <w:rPr>
                <w:rFonts w:eastAsia="Calibri" w:cs="Times New Roman" w:ascii="Times New Roman" w:hAnsi="Times New Roman"/>
                <w:color w:val="auto"/>
                <w:kern w:val="0"/>
                <w:sz w:val="22"/>
                <w:szCs w:val="22"/>
                <w:lang w:val="sk-SK" w:eastAsia="en-US" w:bidi="ar-SA"/>
              </w:rPr>
              <w:t>špeciálny stavebný úrad pre miestne komunikácie a účelové komunikácie</w:t>
            </w:r>
          </w:p>
        </w:tc>
        <w:tc>
          <w:tcPr>
            <w:tcW w:w="1870" w:type="dxa"/>
            <w:tcBorders/>
          </w:tcPr>
          <w:p>
            <w:pPr>
              <w:pStyle w:val="Normal"/>
              <w:spacing w:before="0" w:after="200"/>
              <w:jc w:val="right"/>
              <w:rPr>
                <w:rFonts w:ascii="Times New Roman" w:hAnsi="Times New Roman"/>
                <w:color w:val="auto"/>
                <w:sz w:val="22"/>
                <w:szCs w:val="22"/>
              </w:rPr>
            </w:pPr>
            <w:r>
              <w:rPr>
                <w:rFonts w:eastAsia="Calibri" w:cs="Times New Roman" w:ascii="Times New Roman" w:hAnsi="Times New Roman"/>
                <w:color w:val="auto"/>
                <w:kern w:val="0"/>
                <w:sz w:val="22"/>
                <w:szCs w:val="22"/>
                <w:lang w:val="sk-SK" w:eastAsia="en-US" w:bidi="ar-SA"/>
              </w:rPr>
              <w:t>91,76</w:t>
            </w:r>
          </w:p>
        </w:tc>
      </w:tr>
      <w:tr>
        <w:trPr/>
        <w:tc>
          <w:tcPr>
            <w:tcW w:w="7341" w:type="dxa"/>
            <w:tcBorders/>
          </w:tcPr>
          <w:p>
            <w:pPr>
              <w:pStyle w:val="Normal"/>
              <w:widowControl/>
              <w:suppressAutoHyphens w:val="true"/>
              <w:spacing w:lineRule="auto" w:line="240" w:before="0" w:after="0"/>
              <w:jc w:val="left"/>
              <w:rPr>
                <w:rFonts w:ascii="Times New Roman" w:hAnsi="Times New Roman"/>
                <w:color w:val="auto"/>
                <w:sz w:val="22"/>
                <w:szCs w:val="22"/>
              </w:rPr>
            </w:pPr>
            <w:r>
              <w:rPr>
                <w:rFonts w:eastAsia="Calibri" w:cs="Times New Roman" w:ascii="Times New Roman" w:hAnsi="Times New Roman"/>
                <w:color w:val="auto"/>
                <w:kern w:val="0"/>
                <w:sz w:val="22"/>
                <w:szCs w:val="22"/>
                <w:lang w:val="sk-SK" w:eastAsia="en-US" w:bidi="ar-SA"/>
              </w:rPr>
              <w:t>hlásenia pobytu občanov a registra obyvateľov SR</w:t>
            </w:r>
          </w:p>
        </w:tc>
        <w:tc>
          <w:tcPr>
            <w:tcW w:w="1870" w:type="dxa"/>
            <w:tcBorders/>
          </w:tcPr>
          <w:p>
            <w:pPr>
              <w:pStyle w:val="Normal"/>
              <w:spacing w:before="0" w:after="200"/>
              <w:jc w:val="right"/>
              <w:rPr>
                <w:rFonts w:ascii="Times New Roman" w:hAnsi="Times New Roman"/>
                <w:color w:val="auto"/>
                <w:sz w:val="22"/>
                <w:szCs w:val="22"/>
              </w:rPr>
            </w:pPr>
            <w:r>
              <w:rPr>
                <w:rFonts w:eastAsia="Calibri" w:cs="Times New Roman" w:ascii="Times New Roman" w:hAnsi="Times New Roman"/>
                <w:color w:val="auto"/>
                <w:kern w:val="0"/>
                <w:sz w:val="22"/>
                <w:szCs w:val="22"/>
                <w:lang w:val="sk-SK" w:eastAsia="en-US" w:bidi="ar-SA"/>
              </w:rPr>
              <w:t>700,92</w:t>
            </w:r>
          </w:p>
        </w:tc>
      </w:tr>
      <w:tr>
        <w:trPr/>
        <w:tc>
          <w:tcPr>
            <w:tcW w:w="7341" w:type="dxa"/>
            <w:tcBorders/>
          </w:tcPr>
          <w:p>
            <w:pPr>
              <w:pStyle w:val="Normal"/>
              <w:widowControl/>
              <w:suppressAutoHyphens w:val="true"/>
              <w:spacing w:lineRule="auto" w:line="240" w:before="0" w:after="0"/>
              <w:jc w:val="left"/>
              <w:rPr>
                <w:rFonts w:ascii="Times New Roman" w:hAnsi="Times New Roman"/>
                <w:color w:val="auto"/>
                <w:sz w:val="22"/>
                <w:szCs w:val="22"/>
              </w:rPr>
            </w:pPr>
            <w:r>
              <w:rPr>
                <w:rFonts w:eastAsia="Calibri" w:cs="Times New Roman" w:ascii="Times New Roman" w:hAnsi="Times New Roman"/>
                <w:color w:val="auto"/>
                <w:kern w:val="0"/>
                <w:sz w:val="22"/>
                <w:szCs w:val="22"/>
                <w:lang w:val="sk-SK" w:eastAsia="en-US" w:bidi="ar-SA"/>
              </w:rPr>
              <w:t>registra adries</w:t>
            </w:r>
          </w:p>
        </w:tc>
        <w:tc>
          <w:tcPr>
            <w:tcW w:w="1870" w:type="dxa"/>
            <w:tcBorders/>
          </w:tcPr>
          <w:p>
            <w:pPr>
              <w:pStyle w:val="Normal"/>
              <w:spacing w:before="0" w:after="200"/>
              <w:jc w:val="right"/>
              <w:rPr>
                <w:rFonts w:ascii="Times New Roman" w:hAnsi="Times New Roman"/>
                <w:color w:val="auto"/>
                <w:sz w:val="22"/>
                <w:szCs w:val="22"/>
              </w:rPr>
            </w:pPr>
            <w:r>
              <w:rPr>
                <w:rFonts w:eastAsia="Calibri" w:cs="Times New Roman" w:ascii="Times New Roman" w:hAnsi="Times New Roman"/>
                <w:color w:val="auto"/>
                <w:kern w:val="0"/>
                <w:sz w:val="22"/>
                <w:szCs w:val="22"/>
                <w:lang w:val="sk-SK" w:eastAsia="en-US" w:bidi="ar-SA"/>
              </w:rPr>
              <w:t>29,20</w:t>
            </w:r>
          </w:p>
        </w:tc>
      </w:tr>
      <w:tr>
        <w:trPr/>
        <w:tc>
          <w:tcPr>
            <w:tcW w:w="7341" w:type="dxa"/>
            <w:tcBorders/>
          </w:tcPr>
          <w:p>
            <w:pPr>
              <w:pStyle w:val="Normal"/>
              <w:widowControl/>
              <w:suppressAutoHyphens w:val="true"/>
              <w:spacing w:lineRule="auto" w:line="240" w:before="0" w:after="0"/>
              <w:jc w:val="left"/>
              <w:rPr>
                <w:rFonts w:ascii="Times New Roman" w:hAnsi="Times New Roman"/>
                <w:color w:val="auto"/>
                <w:sz w:val="22"/>
                <w:szCs w:val="22"/>
              </w:rPr>
            </w:pPr>
            <w:r>
              <w:rPr>
                <w:rFonts w:eastAsia="Calibri" w:cs="Times New Roman" w:ascii="Times New Roman" w:hAnsi="Times New Roman"/>
                <w:color w:val="auto"/>
                <w:kern w:val="0"/>
                <w:sz w:val="22"/>
                <w:szCs w:val="22"/>
                <w:lang w:val="sk-SK" w:eastAsia="en-US" w:bidi="ar-SA"/>
              </w:rPr>
              <w:t>starostlivosti o životné prostredie</w:t>
            </w:r>
          </w:p>
        </w:tc>
        <w:tc>
          <w:tcPr>
            <w:tcW w:w="1870" w:type="dxa"/>
            <w:tcBorders/>
          </w:tcPr>
          <w:p>
            <w:pPr>
              <w:pStyle w:val="Normal"/>
              <w:spacing w:before="0" w:after="200"/>
              <w:jc w:val="right"/>
              <w:rPr>
                <w:rFonts w:ascii="Times New Roman" w:hAnsi="Times New Roman"/>
                <w:color w:val="auto"/>
                <w:sz w:val="22"/>
                <w:szCs w:val="22"/>
              </w:rPr>
            </w:pPr>
            <w:r>
              <w:rPr>
                <w:rFonts w:eastAsia="Calibri" w:cs="Times New Roman" w:ascii="Times New Roman" w:hAnsi="Times New Roman"/>
                <w:color w:val="auto"/>
                <w:kern w:val="0"/>
                <w:sz w:val="22"/>
                <w:szCs w:val="22"/>
                <w:lang w:val="sk-SK" w:eastAsia="en-US" w:bidi="ar-SA"/>
              </w:rPr>
              <w:t>257,05</w:t>
            </w:r>
          </w:p>
        </w:tc>
      </w:tr>
      <w:tr>
        <w:trPr>
          <w:trHeight w:val="282" w:hRule="atLeast"/>
        </w:trPr>
        <w:tc>
          <w:tcPr>
            <w:tcW w:w="7341" w:type="dxa"/>
            <w:tcBorders/>
          </w:tcPr>
          <w:p>
            <w:pPr>
              <w:pStyle w:val="Normal"/>
              <w:widowControl/>
              <w:suppressAutoHyphens w:val="true"/>
              <w:spacing w:lineRule="auto" w:line="240" w:before="0" w:after="0"/>
              <w:jc w:val="left"/>
              <w:rPr>
                <w:rFonts w:ascii="Times New Roman" w:hAnsi="Times New Roman"/>
                <w:color w:val="auto"/>
                <w:sz w:val="22"/>
                <w:szCs w:val="22"/>
              </w:rPr>
            </w:pPr>
            <w:r>
              <w:rPr>
                <w:rFonts w:eastAsia="Calibri" w:cs="Times New Roman" w:ascii="Times New Roman" w:hAnsi="Times New Roman"/>
                <w:color w:val="auto"/>
                <w:kern w:val="0"/>
                <w:sz w:val="22"/>
                <w:szCs w:val="22"/>
                <w:lang w:val="sk-SK" w:eastAsia="en-US" w:bidi="ar-SA"/>
              </w:rPr>
              <w:t>matričnej činnosti</w:t>
            </w:r>
          </w:p>
        </w:tc>
        <w:tc>
          <w:tcPr>
            <w:tcW w:w="1870" w:type="dxa"/>
            <w:tcBorders/>
          </w:tcPr>
          <w:p>
            <w:pPr>
              <w:pStyle w:val="Normal"/>
              <w:spacing w:before="0" w:after="200"/>
              <w:jc w:val="right"/>
              <w:rPr>
                <w:rFonts w:ascii="Times New Roman" w:hAnsi="Times New Roman"/>
                <w:color w:val="auto"/>
                <w:sz w:val="22"/>
                <w:szCs w:val="22"/>
              </w:rPr>
            </w:pPr>
            <w:r>
              <w:rPr>
                <w:rFonts w:eastAsia="Calibri" w:cs="Times New Roman" w:ascii="Times New Roman" w:hAnsi="Times New Roman"/>
                <w:color w:val="auto"/>
                <w:kern w:val="0"/>
                <w:sz w:val="22"/>
                <w:szCs w:val="22"/>
                <w:lang w:val="sk-SK" w:eastAsia="en-US" w:bidi="ar-SA"/>
              </w:rPr>
              <w:t>6 706,86</w:t>
            </w:r>
          </w:p>
        </w:tc>
      </w:tr>
      <w:tr>
        <w:trPr/>
        <w:tc>
          <w:tcPr>
            <w:tcW w:w="7341" w:type="dxa"/>
            <w:tcBorders/>
          </w:tcPr>
          <w:p>
            <w:pPr>
              <w:pStyle w:val="Normal"/>
              <w:widowControl/>
              <w:suppressAutoHyphens w:val="true"/>
              <w:spacing w:lineRule="auto" w:line="240" w:before="0" w:after="0"/>
              <w:jc w:val="left"/>
              <w:rPr>
                <w:rFonts w:ascii="Times New Roman" w:hAnsi="Times New Roman"/>
                <w:color w:val="auto"/>
                <w:sz w:val="22"/>
                <w:szCs w:val="22"/>
              </w:rPr>
            </w:pPr>
            <w:r>
              <w:rPr>
                <w:rFonts w:eastAsia="Calibri" w:cs="Times New Roman" w:ascii="Times New Roman" w:hAnsi="Times New Roman"/>
                <w:color w:val="auto"/>
                <w:kern w:val="0"/>
                <w:sz w:val="22"/>
                <w:szCs w:val="22"/>
                <w:lang w:val="sk-SK" w:eastAsia="en-US" w:bidi="ar-SA"/>
              </w:rPr>
              <w:t>školstva</w:t>
            </w:r>
          </w:p>
        </w:tc>
        <w:tc>
          <w:tcPr>
            <w:tcW w:w="1870" w:type="dxa"/>
            <w:tcBorders/>
          </w:tcPr>
          <w:p>
            <w:pPr>
              <w:pStyle w:val="Normal"/>
              <w:widowControl/>
              <w:suppressAutoHyphens w:val="true"/>
              <w:spacing w:lineRule="auto" w:line="240" w:before="0" w:after="0"/>
              <w:jc w:val="right"/>
              <w:rPr>
                <w:rFonts w:ascii="Times New Roman" w:hAnsi="Times New Roman"/>
                <w:color w:val="auto"/>
                <w:sz w:val="22"/>
                <w:szCs w:val="22"/>
              </w:rPr>
            </w:pPr>
            <w:r>
              <w:rPr>
                <w:rFonts w:eastAsia="Calibri" w:cs="Times New Roman" w:ascii="Times New Roman" w:hAnsi="Times New Roman"/>
                <w:color w:val="auto"/>
                <w:kern w:val="0"/>
                <w:sz w:val="22"/>
                <w:szCs w:val="22"/>
                <w:lang w:val="sk-SK" w:eastAsia="en-US" w:bidi="ar-SA"/>
              </w:rPr>
              <w:t>722 526,00</w:t>
            </w:r>
          </w:p>
        </w:tc>
      </w:tr>
      <w:tr>
        <w:trPr/>
        <w:tc>
          <w:tcPr>
            <w:tcW w:w="7341" w:type="dxa"/>
            <w:tcBorders/>
          </w:tcPr>
          <w:p>
            <w:pPr>
              <w:pStyle w:val="Normal"/>
              <w:widowControl/>
              <w:suppressAutoHyphens w:val="true"/>
              <w:spacing w:lineRule="auto" w:line="240" w:before="0" w:after="0"/>
              <w:jc w:val="left"/>
              <w:rPr>
                <w:color w:val="auto"/>
                <w:sz w:val="22"/>
              </w:rPr>
            </w:pPr>
            <w:r>
              <w:rPr>
                <w:rFonts w:eastAsia="Calibri" w:cs="Times New Roman" w:ascii="Times New Roman" w:hAnsi="Times New Roman"/>
                <w:color w:val="auto"/>
                <w:kern w:val="0"/>
                <w:sz w:val="24"/>
                <w:szCs w:val="24"/>
                <w:lang w:val="sk-SK" w:eastAsia="en-US" w:bidi="ar-SA"/>
              </w:rPr>
              <w:t>SPOLU</w:t>
            </w:r>
          </w:p>
        </w:tc>
        <w:tc>
          <w:tcPr>
            <w:tcW w:w="1870" w:type="dxa"/>
            <w:tcBorders/>
          </w:tcPr>
          <w:p>
            <w:pPr>
              <w:pStyle w:val="Normal"/>
              <w:widowControl/>
              <w:suppressAutoHyphens w:val="true"/>
              <w:spacing w:lineRule="auto" w:line="240" w:before="0" w:after="0"/>
              <w:jc w:val="right"/>
              <w:rPr>
                <w:color w:val="auto"/>
                <w:sz w:val="22"/>
              </w:rPr>
            </w:pPr>
            <w:r>
              <w:rPr>
                <w:rFonts w:eastAsia="Calibri" w:cs="Times New Roman" w:ascii="Times New Roman" w:hAnsi="Times New Roman"/>
                <w:color w:val="auto"/>
                <w:kern w:val="0"/>
                <w:sz w:val="24"/>
                <w:szCs w:val="24"/>
                <w:lang w:val="sk-SK" w:eastAsia="en-US" w:bidi="ar-SA"/>
              </w:rPr>
              <w:t>743.715,26</w:t>
            </w:r>
          </w:p>
        </w:tc>
      </w:tr>
    </w:tbl>
    <w:p>
      <w:pPr>
        <w:pStyle w:val="Normal"/>
        <w:spacing w:before="0" w:after="0"/>
        <w:rPr>
          <w:rFonts w:ascii="Times New Roman" w:hAnsi="Times New Roman" w:cs="Times New Roman"/>
          <w:b/>
          <w:caps/>
          <w:color w:val="auto"/>
          <w:sz w:val="24"/>
          <w:szCs w:val="24"/>
        </w:rPr>
      </w:pPr>
      <w:r>
        <w:rPr>
          <w:rFonts w:cs="Times New Roman" w:ascii="Times New Roman" w:hAnsi="Times New Roman"/>
          <w:b/>
          <w:caps/>
          <w:color w:val="auto"/>
          <w:sz w:val="24"/>
          <w:szCs w:val="24"/>
        </w:rPr>
      </w:r>
    </w:p>
    <w:p>
      <w:pPr>
        <w:pStyle w:val="Normal"/>
        <w:spacing w:before="0" w:after="0"/>
        <w:rPr>
          <w:color w:val="auto"/>
        </w:rPr>
      </w:pPr>
      <w:r>
        <w:rPr>
          <w:rFonts w:cs="Times New Roman" w:ascii="Times New Roman" w:hAnsi="Times New Roman"/>
          <w:b/>
          <w:color w:val="auto"/>
          <w:sz w:val="24"/>
          <w:szCs w:val="24"/>
        </w:rPr>
        <w:t>6.2 ORIGINÁLNE KOMPETENCIE</w:t>
      </w:r>
    </w:p>
    <w:p>
      <w:pPr>
        <w:pStyle w:val="Normal"/>
        <w:spacing w:lineRule="auto" w:line="240" w:before="0" w:after="0"/>
        <w:jc w:val="both"/>
        <w:rPr>
          <w:color w:val="auto"/>
        </w:rPr>
      </w:pPr>
      <w:r>
        <w:rPr>
          <w:rFonts w:eastAsia="Times New Roman" w:cs="Times New Roman" w:ascii="Times New Roman" w:hAnsi="Times New Roman"/>
          <w:b/>
          <w:bCs/>
          <w:color w:val="auto"/>
          <w:sz w:val="24"/>
          <w:szCs w:val="24"/>
          <w:lang w:eastAsia="sk-SK"/>
        </w:rPr>
        <w:t>Originálne kompetencie obce</w:t>
      </w:r>
    </w:p>
    <w:p>
      <w:pPr>
        <w:pStyle w:val="Normal"/>
        <w:spacing w:lineRule="auto" w:line="240" w:beforeAutospacing="1" w:afterAutospacing="1"/>
        <w:jc w:val="both"/>
        <w:rPr>
          <w:color w:val="auto"/>
        </w:rPr>
      </w:pPr>
      <w:r>
        <w:rPr>
          <w:rFonts w:eastAsia="Times New Roman" w:cs="Times New Roman" w:ascii="Times New Roman" w:hAnsi="Times New Roman"/>
          <w:color w:val="auto"/>
          <w:sz w:val="24"/>
          <w:szCs w:val="24"/>
          <w:lang w:eastAsia="sk-SK"/>
        </w:rPr>
        <w:t>Obec samostatne rozhoduje a uskutočňuje všetky úkony súvisiace so správou obce a jej majetku, riadi všetky záležitosti, ktoré zákon upravuje ako samosprávnu pôsobnosť obce, ak takéto úkony podľa zákona nevykonáva štát alebo iná právnická alebo fyzická osoba.</w:t>
      </w:r>
    </w:p>
    <w:p>
      <w:pPr>
        <w:pStyle w:val="Normal"/>
        <w:spacing w:lineRule="auto" w:line="240" w:beforeAutospacing="1" w:afterAutospacing="1"/>
        <w:jc w:val="both"/>
        <w:rPr>
          <w:color w:val="auto"/>
        </w:rPr>
      </w:pPr>
      <w:r>
        <w:rPr>
          <w:rFonts w:eastAsia="Times New Roman" w:cs="Times New Roman" w:ascii="Times New Roman" w:hAnsi="Times New Roman"/>
          <w:bCs/>
          <w:color w:val="auto"/>
          <w:sz w:val="24"/>
          <w:szCs w:val="24"/>
          <w:lang w:eastAsia="sk-SK"/>
        </w:rPr>
        <w:t>Obec pri výkone samosprávy</w:t>
      </w:r>
    </w:p>
    <w:p>
      <w:pPr>
        <w:pStyle w:val="Normal"/>
        <w:numPr>
          <w:ilvl w:val="0"/>
          <w:numId w:val="1"/>
        </w:numPr>
        <w:spacing w:lineRule="auto" w:line="240" w:beforeAutospacing="1" w:after="0"/>
        <w:jc w:val="both"/>
        <w:rPr>
          <w:color w:val="auto"/>
        </w:rPr>
      </w:pPr>
      <w:r>
        <w:rPr>
          <w:rFonts w:eastAsia="Times New Roman" w:cs="Times New Roman" w:ascii="Times New Roman" w:hAnsi="Times New Roman"/>
          <w:color w:val="auto"/>
          <w:sz w:val="24"/>
          <w:szCs w:val="24"/>
          <w:lang w:eastAsia="sk-SK"/>
        </w:rPr>
        <w:t>vykonáva úkony súvisiace s riadnym hospodárením s hnuteľným a nehnuteľným majetkom obce a s majetkom vo vlastníctve štátu prenechaným obci do užívania, </w:t>
      </w:r>
    </w:p>
    <w:p>
      <w:pPr>
        <w:pStyle w:val="Normal"/>
        <w:numPr>
          <w:ilvl w:val="0"/>
          <w:numId w:val="1"/>
        </w:numPr>
        <w:spacing w:lineRule="auto" w:line="240" w:before="0" w:after="0"/>
        <w:jc w:val="both"/>
        <w:rPr>
          <w:color w:val="auto"/>
        </w:rPr>
      </w:pPr>
      <w:r>
        <w:rPr>
          <w:rFonts w:eastAsia="Times New Roman" w:cs="Times New Roman" w:ascii="Times New Roman" w:hAnsi="Times New Roman"/>
          <w:color w:val="auto"/>
          <w:sz w:val="24"/>
          <w:szCs w:val="24"/>
          <w:lang w:eastAsia="sk-SK"/>
        </w:rPr>
        <w:t>zostavuje a schvaľuje rozpočet obce a záverečný účet obce, </w:t>
      </w:r>
    </w:p>
    <w:p>
      <w:pPr>
        <w:pStyle w:val="Normal"/>
        <w:numPr>
          <w:ilvl w:val="0"/>
          <w:numId w:val="1"/>
        </w:numPr>
        <w:spacing w:lineRule="auto" w:line="240" w:before="0" w:after="0"/>
        <w:jc w:val="both"/>
        <w:rPr>
          <w:color w:val="auto"/>
        </w:rPr>
      </w:pPr>
      <w:r>
        <w:rPr>
          <w:rFonts w:eastAsia="Times New Roman" w:cs="Times New Roman" w:ascii="Times New Roman" w:hAnsi="Times New Roman"/>
          <w:color w:val="auto"/>
          <w:sz w:val="24"/>
          <w:szCs w:val="24"/>
          <w:lang w:eastAsia="sk-SK"/>
        </w:rPr>
        <w:t>rozhoduje vo veciach miestnych daní a miestnych poplatkov a vykonáva ich správu, </w:t>
      </w:r>
    </w:p>
    <w:p>
      <w:pPr>
        <w:pStyle w:val="Normal"/>
        <w:numPr>
          <w:ilvl w:val="0"/>
          <w:numId w:val="1"/>
        </w:numPr>
        <w:spacing w:lineRule="auto" w:line="240" w:before="0" w:after="0"/>
        <w:jc w:val="both"/>
        <w:rPr>
          <w:color w:val="auto"/>
        </w:rPr>
      </w:pPr>
      <w:r>
        <w:rPr>
          <w:rFonts w:eastAsia="Times New Roman" w:cs="Times New Roman" w:ascii="Times New Roman" w:hAnsi="Times New Roman"/>
          <w:color w:val="auto"/>
          <w:sz w:val="24"/>
          <w:szCs w:val="24"/>
          <w:lang w:eastAsia="sk-SK"/>
        </w:rPr>
        <w:t>usmerňuje ekonomickú činnosť v obci, a ak tak ustanovuje osobitný predpis, vydáva súhlas, záväzné stanovisko, stanovisko alebo vyjadrenie k podnikateľskej a inej činnosti právnických osôb a fyzických osôb a k umiestneniu prevádzky na území obce, vydáva záväzné stanoviská k investičnej činnosti v obci, </w:t>
      </w:r>
    </w:p>
    <w:p>
      <w:pPr>
        <w:pStyle w:val="Normal"/>
        <w:numPr>
          <w:ilvl w:val="0"/>
          <w:numId w:val="1"/>
        </w:numPr>
        <w:spacing w:lineRule="auto" w:line="240" w:before="0" w:after="0"/>
        <w:jc w:val="both"/>
        <w:rPr>
          <w:color w:val="auto"/>
        </w:rPr>
      </w:pPr>
      <w:r>
        <w:rPr>
          <w:rFonts w:eastAsia="Times New Roman" w:cs="Times New Roman" w:ascii="Times New Roman" w:hAnsi="Times New Roman"/>
          <w:color w:val="auto"/>
          <w:sz w:val="24"/>
          <w:szCs w:val="24"/>
          <w:lang w:eastAsia="sk-SK"/>
        </w:rPr>
        <w:t>utvára účinný systém kontroly a vytvára vhodné organizačné, finančné, personálne a materiálne podmienky na jeho nezávislý výkon, </w:t>
      </w:r>
    </w:p>
    <w:p>
      <w:pPr>
        <w:pStyle w:val="Normal"/>
        <w:numPr>
          <w:ilvl w:val="0"/>
          <w:numId w:val="1"/>
        </w:numPr>
        <w:spacing w:lineRule="auto" w:line="240" w:before="0" w:after="0"/>
        <w:jc w:val="both"/>
        <w:rPr>
          <w:color w:val="auto"/>
        </w:rPr>
      </w:pPr>
      <w:r>
        <w:rPr>
          <w:rFonts w:eastAsia="Times New Roman" w:cs="Times New Roman" w:ascii="Times New Roman" w:hAnsi="Times New Roman"/>
          <w:color w:val="auto"/>
          <w:sz w:val="24"/>
          <w:szCs w:val="24"/>
          <w:lang w:eastAsia="sk-SK"/>
        </w:rPr>
        <w:t>zabezpečuje výstavbu a údržbu a vykonáva správu miestnych komunikácií, verejných priestranstiev, obecného cintorína, kultúrnych, športových a ďalších obecných zariadení, kultúrnych pamiatok, pamiatkových území a pamätihodností obce, </w:t>
      </w:r>
    </w:p>
    <w:p>
      <w:pPr>
        <w:pStyle w:val="Normal"/>
        <w:numPr>
          <w:ilvl w:val="0"/>
          <w:numId w:val="1"/>
        </w:numPr>
        <w:spacing w:lineRule="auto" w:line="240" w:before="0" w:after="0"/>
        <w:jc w:val="both"/>
        <w:rPr>
          <w:color w:val="auto"/>
        </w:rPr>
      </w:pPr>
      <w:r>
        <w:rPr>
          <w:rFonts w:eastAsia="Times New Roman" w:cs="Times New Roman" w:ascii="Times New Roman" w:hAnsi="Times New Roman"/>
          <w:color w:val="auto"/>
          <w:sz w:val="24"/>
          <w:szCs w:val="24"/>
          <w:lang w:eastAsia="sk-SK"/>
        </w:rPr>
        <w:t>zabezpečuje verejnoprospešné služby, najmä nakladanie s komunálnym odpadom a drobným stavebným odpadom, udržiavanie čistoty v obci, správu a údržbu verejnej zelene a verejného osvetlenia, zásobovanie vodou, odvádzanie odpadových vôd, nakladanie s odpadovými vodami zo žúmp a miestnu verejnú dopravu, </w:t>
      </w:r>
    </w:p>
    <w:p>
      <w:pPr>
        <w:pStyle w:val="Normal"/>
        <w:numPr>
          <w:ilvl w:val="0"/>
          <w:numId w:val="1"/>
        </w:numPr>
        <w:spacing w:lineRule="auto" w:line="240" w:before="0" w:after="0"/>
        <w:jc w:val="both"/>
        <w:rPr>
          <w:color w:val="auto"/>
        </w:rPr>
      </w:pPr>
      <w:r>
        <w:rPr>
          <w:rFonts w:eastAsia="Times New Roman" w:cs="Times New Roman" w:ascii="Times New Roman" w:hAnsi="Times New Roman"/>
          <w:color w:val="auto"/>
          <w:sz w:val="24"/>
          <w:szCs w:val="24"/>
          <w:lang w:eastAsia="sk-SK"/>
        </w:rPr>
        <w:t>utvára a chráni zdravé podmienky a zdravý spôsob života a práce obyvateľov obce, chráni životné prostredie, ako aj utvára podmienky na zabezpečovanie zdravotnej starostlivosti, na vzdelávanie, kultúru, osvetovú činnosť, záujmovú umeleckú činnosť, telesnú kultúru a šport, </w:t>
      </w:r>
    </w:p>
    <w:p>
      <w:pPr>
        <w:pStyle w:val="Normal"/>
        <w:numPr>
          <w:ilvl w:val="0"/>
          <w:numId w:val="1"/>
        </w:numPr>
        <w:spacing w:lineRule="auto" w:line="240" w:before="0" w:after="0"/>
        <w:jc w:val="both"/>
        <w:rPr>
          <w:color w:val="auto"/>
        </w:rPr>
      </w:pPr>
      <w:r>
        <w:rPr>
          <w:rFonts w:eastAsia="Times New Roman" w:cs="Times New Roman" w:ascii="Times New Roman" w:hAnsi="Times New Roman"/>
          <w:color w:val="auto"/>
          <w:sz w:val="24"/>
          <w:szCs w:val="24"/>
          <w:lang w:eastAsia="sk-SK"/>
        </w:rPr>
        <w:t>plní úlohy na úseku ochrany spotrebiteľa a utvára podmienky na zásobovanie obce; určuje nariadením pravidlá času predaja v obchode, času prevádzky služieb a spravuje trhoviská, </w:t>
      </w:r>
    </w:p>
    <w:p>
      <w:pPr>
        <w:pStyle w:val="Normal"/>
        <w:numPr>
          <w:ilvl w:val="0"/>
          <w:numId w:val="1"/>
        </w:numPr>
        <w:spacing w:lineRule="auto" w:line="240" w:before="0" w:after="0"/>
        <w:jc w:val="both"/>
        <w:rPr>
          <w:color w:val="auto"/>
        </w:rPr>
      </w:pPr>
      <w:r>
        <w:rPr>
          <w:rFonts w:eastAsia="Times New Roman" w:cs="Times New Roman" w:ascii="Times New Roman" w:hAnsi="Times New Roman"/>
          <w:color w:val="auto"/>
          <w:sz w:val="24"/>
          <w:szCs w:val="24"/>
          <w:lang w:eastAsia="sk-SK"/>
        </w:rPr>
        <w:t>obstaráva a schvaľuje územnoplánovaciu dokumentáciu sídelných útvarov a zón, koncepciu rozvoja jednotlivých oblastí života obce, obstaráva a schvaľuje programy rozvoja bývania a spolupôsobí pri utváraní vhodných podmienok na bývanie v obci, </w:t>
      </w:r>
    </w:p>
    <w:p>
      <w:pPr>
        <w:pStyle w:val="Normal"/>
        <w:numPr>
          <w:ilvl w:val="0"/>
          <w:numId w:val="1"/>
        </w:numPr>
        <w:spacing w:lineRule="auto" w:line="240" w:before="0" w:after="0"/>
        <w:jc w:val="both"/>
        <w:rPr>
          <w:color w:val="auto"/>
        </w:rPr>
      </w:pPr>
      <w:r>
        <w:rPr>
          <w:rFonts w:eastAsia="Times New Roman" w:cs="Times New Roman" w:ascii="Times New Roman" w:hAnsi="Times New Roman"/>
          <w:color w:val="auto"/>
          <w:sz w:val="24"/>
          <w:szCs w:val="24"/>
          <w:lang w:eastAsia="sk-SK"/>
        </w:rPr>
        <w:t>vykonáva vlastnú investičnú činnosť a podnikateľskú činnosť v záujme zabezpečenia potrieb obyvateľov obce a rozvoja obce, </w:t>
      </w:r>
    </w:p>
    <w:p>
      <w:pPr>
        <w:pStyle w:val="Normal"/>
        <w:numPr>
          <w:ilvl w:val="0"/>
          <w:numId w:val="1"/>
        </w:numPr>
        <w:spacing w:lineRule="auto" w:line="240" w:before="0" w:after="0"/>
        <w:jc w:val="both"/>
        <w:rPr>
          <w:color w:val="auto"/>
        </w:rPr>
      </w:pPr>
      <w:r>
        <w:rPr>
          <w:rFonts w:eastAsia="Times New Roman" w:cs="Times New Roman" w:ascii="Times New Roman" w:hAnsi="Times New Roman"/>
          <w:color w:val="auto"/>
          <w:sz w:val="24"/>
          <w:szCs w:val="24"/>
          <w:lang w:eastAsia="sk-SK"/>
        </w:rPr>
        <w:t>zakladá, zriaďuje, zrušuje a kontroluje podľa osobitných predpisov svoje rozpočtové a príspevkové organizácie, iné právnické osoby a zariadenia, </w:t>
      </w:r>
    </w:p>
    <w:p>
      <w:pPr>
        <w:pStyle w:val="Normal"/>
        <w:numPr>
          <w:ilvl w:val="0"/>
          <w:numId w:val="1"/>
        </w:numPr>
        <w:spacing w:lineRule="auto" w:line="240" w:before="0" w:after="0"/>
        <w:jc w:val="both"/>
        <w:rPr>
          <w:color w:val="auto"/>
        </w:rPr>
      </w:pPr>
      <w:r>
        <w:rPr>
          <w:rFonts w:eastAsia="Times New Roman" w:cs="Times New Roman" w:ascii="Times New Roman" w:hAnsi="Times New Roman"/>
          <w:color w:val="auto"/>
          <w:sz w:val="24"/>
          <w:szCs w:val="24"/>
          <w:lang w:eastAsia="sk-SK"/>
        </w:rPr>
        <w:t>organizuje miestne referendum o dôležitých otázkach života a rozvoja obce, </w:t>
      </w:r>
    </w:p>
    <w:p>
      <w:pPr>
        <w:pStyle w:val="Normal"/>
        <w:numPr>
          <w:ilvl w:val="0"/>
          <w:numId w:val="1"/>
        </w:numPr>
        <w:spacing w:lineRule="auto" w:line="240" w:before="0" w:after="0"/>
        <w:jc w:val="both"/>
        <w:rPr>
          <w:color w:val="auto"/>
        </w:rPr>
      </w:pPr>
      <w:r>
        <w:rPr>
          <w:rFonts w:eastAsia="Times New Roman" w:cs="Times New Roman" w:ascii="Times New Roman" w:hAnsi="Times New Roman"/>
          <w:color w:val="auto"/>
          <w:sz w:val="24"/>
          <w:szCs w:val="24"/>
          <w:lang w:eastAsia="sk-SK"/>
        </w:rPr>
        <w:t>zabezpečuje verejný poriadok v obci; nariadením môže ustanoviť činnosti, ktorých vykonávanie je zakázané alebo obmedzené na určitý čas alebo na určitom mieste, </w:t>
      </w:r>
    </w:p>
    <w:p>
      <w:pPr>
        <w:pStyle w:val="Normal"/>
        <w:numPr>
          <w:ilvl w:val="0"/>
          <w:numId w:val="1"/>
        </w:numPr>
        <w:spacing w:lineRule="auto" w:line="240" w:before="0" w:after="0"/>
        <w:jc w:val="both"/>
        <w:rPr>
          <w:color w:val="auto"/>
        </w:rPr>
      </w:pPr>
      <w:r>
        <w:rPr>
          <w:rFonts w:eastAsia="Times New Roman" w:cs="Times New Roman" w:ascii="Times New Roman" w:hAnsi="Times New Roman"/>
          <w:color w:val="auto"/>
          <w:sz w:val="24"/>
          <w:szCs w:val="24"/>
          <w:lang w:eastAsia="sk-SK"/>
        </w:rPr>
        <w:t>zabezpečuje ochranu kultúrnych pamiatok v rozsahu podľa osobitných predpisov a dbá o zachovanie prírodných hodnôt, </w:t>
      </w:r>
    </w:p>
    <w:p>
      <w:pPr>
        <w:pStyle w:val="Normal"/>
        <w:numPr>
          <w:ilvl w:val="0"/>
          <w:numId w:val="1"/>
        </w:numPr>
        <w:spacing w:lineRule="auto" w:line="240" w:before="0" w:after="0"/>
        <w:jc w:val="both"/>
        <w:rPr>
          <w:color w:val="auto"/>
        </w:rPr>
      </w:pPr>
      <w:r>
        <w:rPr>
          <w:rFonts w:eastAsia="Times New Roman" w:cs="Times New Roman" w:ascii="Times New Roman" w:hAnsi="Times New Roman"/>
          <w:color w:val="auto"/>
          <w:sz w:val="24"/>
          <w:szCs w:val="24"/>
          <w:lang w:eastAsia="sk-SK"/>
        </w:rPr>
        <w:t>plní úlohy na úseku sociálnej pomoci v rozsahu podľa osobitného predpisu,</w:t>
      </w:r>
    </w:p>
    <w:p>
      <w:pPr>
        <w:pStyle w:val="Normal"/>
        <w:numPr>
          <w:ilvl w:val="0"/>
          <w:numId w:val="1"/>
        </w:numPr>
        <w:spacing w:lineRule="auto" w:line="240" w:before="0" w:after="0"/>
        <w:jc w:val="both"/>
        <w:rPr>
          <w:color w:val="auto"/>
        </w:rPr>
      </w:pPr>
      <w:r>
        <w:rPr>
          <w:rFonts w:eastAsia="Times New Roman" w:cs="Times New Roman" w:ascii="Times New Roman" w:hAnsi="Times New Roman"/>
          <w:color w:val="auto"/>
          <w:sz w:val="24"/>
          <w:szCs w:val="24"/>
          <w:lang w:eastAsia="sk-SK"/>
        </w:rPr>
        <w:t>vykonáva osvedčovanie listín a podpisov na listinách, </w:t>
      </w:r>
    </w:p>
    <w:p>
      <w:pPr>
        <w:pStyle w:val="Normal"/>
        <w:numPr>
          <w:ilvl w:val="0"/>
          <w:numId w:val="1"/>
        </w:numPr>
        <w:spacing w:lineRule="auto" w:line="240" w:before="0" w:afterAutospacing="1"/>
        <w:rPr>
          <w:color w:val="auto"/>
        </w:rPr>
      </w:pPr>
      <w:r>
        <w:rPr>
          <w:rFonts w:eastAsia="Times New Roman" w:cs="Times New Roman" w:ascii="Times New Roman" w:hAnsi="Times New Roman"/>
          <w:color w:val="auto"/>
          <w:sz w:val="24"/>
          <w:szCs w:val="24"/>
          <w:lang w:eastAsia="sk-SK"/>
        </w:rPr>
        <w:t>vedie obecnú kroniku v štátnom jazyku, prípadne aj v jazyku národnostnej menšiny.</w:t>
      </w:r>
    </w:p>
    <w:p>
      <w:pPr>
        <w:pStyle w:val="Normal"/>
        <w:spacing w:before="0" w:after="0"/>
        <w:rPr>
          <w:rFonts w:ascii="Times New Roman" w:hAnsi="Times New Roman" w:cs="Times New Roman"/>
          <w:sz w:val="24"/>
          <w:szCs w:val="24"/>
        </w:rPr>
      </w:pPr>
      <w:r>
        <w:rPr>
          <w:rFonts w:cs="Times New Roman" w:ascii="Times New Roman" w:hAnsi="Times New Roman"/>
          <w:sz w:val="24"/>
          <w:szCs w:val="24"/>
        </w:rPr>
      </w:r>
    </w:p>
    <w:p>
      <w:pPr>
        <w:pStyle w:val="Normal"/>
        <w:spacing w:before="0" w:after="0"/>
        <w:rPr>
          <w:rFonts w:ascii="Times New Roman" w:hAnsi="Times New Roman" w:cs="Times New Roman"/>
          <w:sz w:val="24"/>
          <w:szCs w:val="24"/>
        </w:rPr>
      </w:pPr>
      <w:r>
        <w:rPr>
          <w:rFonts w:cs="Times New Roman" w:ascii="Times New Roman" w:hAnsi="Times New Roman"/>
          <w:sz w:val="24"/>
          <w:szCs w:val="24"/>
        </w:rPr>
      </w:r>
    </w:p>
    <w:p>
      <w:pPr>
        <w:pStyle w:val="Normal"/>
        <w:spacing w:before="0" w:after="0"/>
        <w:rPr>
          <w:rFonts w:ascii="Times New Roman" w:hAnsi="Times New Roman" w:cs="Times New Roman"/>
          <w:sz w:val="24"/>
          <w:szCs w:val="24"/>
        </w:rPr>
      </w:pPr>
      <w:r>
        <w:rPr>
          <w:rFonts w:cs="Times New Roman" w:ascii="Times New Roman" w:hAnsi="Times New Roman"/>
          <w:sz w:val="24"/>
          <w:szCs w:val="24"/>
        </w:rPr>
      </w:r>
    </w:p>
    <w:p>
      <w:pPr>
        <w:pStyle w:val="Normal"/>
        <w:spacing w:before="0" w:after="0"/>
        <w:rPr>
          <w:color w:val="auto"/>
        </w:rPr>
      </w:pPr>
      <w:r>
        <w:rPr>
          <w:rFonts w:cs="Times New Roman" w:ascii="Times New Roman" w:hAnsi="Times New Roman"/>
          <w:color w:val="auto"/>
          <w:sz w:val="24"/>
          <w:szCs w:val="24"/>
        </w:rPr>
        <w:t xml:space="preserve">Prehľad čerpania finančných prostriedkov v roku 2024 vo vybraných programoch: </w:t>
      </w:r>
    </w:p>
    <w:tbl>
      <w:tblPr>
        <w:tblStyle w:val="Mriekatabuky"/>
        <w:tblW w:w="9212"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4606"/>
        <w:gridCol w:w="4605"/>
      </w:tblGrid>
      <w:tr>
        <w:trPr/>
        <w:tc>
          <w:tcPr>
            <w:tcW w:w="4606" w:type="dxa"/>
            <w:tcBorders/>
          </w:tcPr>
          <w:p>
            <w:pPr>
              <w:pStyle w:val="Normal"/>
              <w:widowControl/>
              <w:suppressAutoHyphens w:val="true"/>
              <w:spacing w:lineRule="auto" w:line="240" w:before="0" w:after="0"/>
              <w:jc w:val="left"/>
              <w:rPr>
                <w:color w:val="auto"/>
                <w:sz w:val="22"/>
              </w:rPr>
            </w:pPr>
            <w:r>
              <w:rPr>
                <w:rFonts w:eastAsia="Calibri" w:cs="Times New Roman" w:ascii="Bodoni MT Condensed" w:hAnsi="Bodoni MT Condensed"/>
                <w:b/>
                <w:color w:val="auto"/>
                <w:kern w:val="0"/>
                <w:sz w:val="24"/>
                <w:szCs w:val="24"/>
                <w:lang w:val="sk-SK" w:eastAsia="en-US" w:bidi="ar-SA"/>
              </w:rPr>
              <w:t>Program</w:t>
            </w:r>
          </w:p>
        </w:tc>
        <w:tc>
          <w:tcPr>
            <w:tcW w:w="4605" w:type="dxa"/>
            <w:tcBorders/>
          </w:tcPr>
          <w:p>
            <w:pPr>
              <w:pStyle w:val="Normal"/>
              <w:widowControl/>
              <w:suppressAutoHyphens w:val="true"/>
              <w:spacing w:lineRule="auto" w:line="240" w:before="0" w:after="0"/>
              <w:jc w:val="left"/>
              <w:rPr>
                <w:color w:val="auto"/>
                <w:sz w:val="22"/>
              </w:rPr>
            </w:pPr>
            <w:r>
              <w:rPr>
                <w:rFonts w:eastAsia="Calibri" w:cs="Times New Roman" w:ascii="Bodoni MT Condensed" w:hAnsi="Bodoni MT Condensed"/>
                <w:b/>
                <w:color w:val="auto"/>
                <w:kern w:val="0"/>
                <w:sz w:val="24"/>
                <w:szCs w:val="24"/>
                <w:lang w:val="sk-SK" w:eastAsia="en-US" w:bidi="ar-SA"/>
              </w:rPr>
              <w:t>Suma v €</w:t>
            </w:r>
          </w:p>
        </w:tc>
      </w:tr>
      <w:tr>
        <w:trPr/>
        <w:tc>
          <w:tcPr>
            <w:tcW w:w="4606" w:type="dxa"/>
            <w:tcBorders/>
            <w:vAlign w:val="bottom"/>
          </w:tcPr>
          <w:p>
            <w:pPr>
              <w:pStyle w:val="Normal"/>
              <w:widowControl/>
              <w:suppressAutoHyphens w:val="true"/>
              <w:spacing w:lineRule="auto" w:line="240" w:before="0" w:after="0"/>
              <w:jc w:val="left"/>
              <w:rPr>
                <w:color w:val="auto"/>
                <w:sz w:val="22"/>
              </w:rPr>
            </w:pPr>
            <w:r>
              <w:rPr>
                <w:rFonts w:eastAsia="Calibri" w:cs="Times New Roman" w:ascii="Bodoni MT Condensed" w:hAnsi="Bodoni MT Condensed"/>
                <w:color w:val="auto"/>
                <w:kern w:val="0"/>
                <w:sz w:val="24"/>
                <w:szCs w:val="24"/>
                <w:lang w:val="sk-SK" w:eastAsia="en-US" w:bidi="ar-SA"/>
              </w:rPr>
              <w:t>Školstvo:</w:t>
            </w:r>
          </w:p>
        </w:tc>
        <w:tc>
          <w:tcPr>
            <w:tcW w:w="4605" w:type="dxa"/>
            <w:tcBorders/>
            <w:vAlign w:val="bottom"/>
          </w:tcPr>
          <w:p>
            <w:pPr>
              <w:pStyle w:val="Normal"/>
              <w:widowControl/>
              <w:suppressAutoHyphens w:val="true"/>
              <w:spacing w:lineRule="auto" w:line="240" w:before="0" w:after="0"/>
              <w:jc w:val="right"/>
              <w:rPr>
                <w:color w:val="auto"/>
                <w:sz w:val="22"/>
              </w:rPr>
            </w:pPr>
            <w:r>
              <w:rPr>
                <w:rFonts w:eastAsia="Calibri" w:cs="Times New Roman" w:ascii="Bodoni MT Condensed" w:hAnsi="Bodoni MT Condensed"/>
                <w:color w:val="auto"/>
                <w:kern w:val="0"/>
                <w:sz w:val="24"/>
                <w:szCs w:val="24"/>
                <w:lang w:val="sk-SK" w:eastAsia="en-US" w:bidi="ar-SA"/>
              </w:rPr>
              <w:t>1.290.125,57</w:t>
            </w:r>
          </w:p>
        </w:tc>
      </w:tr>
      <w:tr>
        <w:trPr/>
        <w:tc>
          <w:tcPr>
            <w:tcW w:w="4606" w:type="dxa"/>
            <w:tcBorders/>
            <w:vAlign w:val="bottom"/>
          </w:tcPr>
          <w:p>
            <w:pPr>
              <w:pStyle w:val="Normal"/>
              <w:widowControl/>
              <w:suppressAutoHyphens w:val="true"/>
              <w:spacing w:lineRule="auto" w:line="240" w:before="0" w:after="0"/>
              <w:jc w:val="left"/>
              <w:rPr>
                <w:color w:val="auto"/>
                <w:sz w:val="22"/>
              </w:rPr>
            </w:pPr>
            <w:r>
              <w:rPr>
                <w:rFonts w:eastAsia="Calibri" w:cs="Times New Roman" w:ascii="Bodoni MT Condensed" w:hAnsi="Bodoni MT Condensed"/>
                <w:color w:val="auto"/>
                <w:kern w:val="0"/>
                <w:sz w:val="24"/>
                <w:szCs w:val="24"/>
                <w:lang w:val="sk-SK" w:eastAsia="en-US" w:bidi="ar-SA"/>
              </w:rPr>
              <w:t>Základná škola</w:t>
            </w:r>
          </w:p>
        </w:tc>
        <w:tc>
          <w:tcPr>
            <w:tcW w:w="4605" w:type="dxa"/>
            <w:tcBorders/>
            <w:vAlign w:val="bottom"/>
          </w:tcPr>
          <w:p>
            <w:pPr>
              <w:pStyle w:val="Normal"/>
              <w:widowControl/>
              <w:suppressAutoHyphens w:val="true"/>
              <w:spacing w:lineRule="auto" w:line="240" w:before="0" w:after="0"/>
              <w:jc w:val="right"/>
              <w:rPr>
                <w:color w:val="auto"/>
                <w:sz w:val="22"/>
              </w:rPr>
            </w:pPr>
            <w:r>
              <w:rPr>
                <w:rFonts w:eastAsia="Calibri" w:cs="Times New Roman" w:ascii="Bodoni MT Condensed" w:hAnsi="Bodoni MT Condensed"/>
                <w:color w:val="auto"/>
                <w:kern w:val="0"/>
                <w:sz w:val="24"/>
                <w:szCs w:val="24"/>
                <w:lang w:val="sk-SK" w:eastAsia="en-US" w:bidi="ar-SA"/>
              </w:rPr>
              <w:t>708.842,52</w:t>
            </w:r>
          </w:p>
        </w:tc>
      </w:tr>
      <w:tr>
        <w:trPr/>
        <w:tc>
          <w:tcPr>
            <w:tcW w:w="4606" w:type="dxa"/>
            <w:tcBorders/>
            <w:vAlign w:val="bottom"/>
          </w:tcPr>
          <w:p>
            <w:pPr>
              <w:pStyle w:val="Normal"/>
              <w:widowControl/>
              <w:suppressAutoHyphens w:val="true"/>
              <w:spacing w:lineRule="auto" w:line="240" w:before="0" w:after="0"/>
              <w:jc w:val="left"/>
              <w:rPr>
                <w:color w:val="auto"/>
                <w:sz w:val="22"/>
              </w:rPr>
            </w:pPr>
            <w:r>
              <w:rPr>
                <w:rFonts w:eastAsia="Calibri" w:cs="Times New Roman" w:ascii="Bodoni MT Condensed" w:hAnsi="Bodoni MT Condensed"/>
                <w:color w:val="auto"/>
                <w:kern w:val="0"/>
                <w:sz w:val="24"/>
                <w:szCs w:val="24"/>
                <w:lang w:val="sk-SK" w:eastAsia="en-US" w:bidi="ar-SA"/>
              </w:rPr>
              <w:t>Materská škola</w:t>
            </w:r>
          </w:p>
        </w:tc>
        <w:tc>
          <w:tcPr>
            <w:tcW w:w="4605" w:type="dxa"/>
            <w:tcBorders/>
            <w:vAlign w:val="bottom"/>
          </w:tcPr>
          <w:p>
            <w:pPr>
              <w:pStyle w:val="Normal"/>
              <w:widowControl/>
              <w:suppressAutoHyphens w:val="true"/>
              <w:spacing w:lineRule="auto" w:line="240" w:before="0" w:after="0"/>
              <w:jc w:val="right"/>
              <w:rPr>
                <w:color w:val="auto"/>
                <w:sz w:val="22"/>
              </w:rPr>
            </w:pPr>
            <w:r>
              <w:rPr>
                <w:rFonts w:eastAsia="Calibri" w:cs="Times New Roman" w:ascii="Bodoni MT Condensed" w:hAnsi="Bodoni MT Condensed"/>
                <w:color w:val="auto"/>
                <w:kern w:val="0"/>
                <w:sz w:val="24"/>
                <w:szCs w:val="24"/>
                <w:lang w:val="sk-SK" w:eastAsia="en-US" w:bidi="ar-SA"/>
              </w:rPr>
              <w:t>236.846,21</w:t>
            </w:r>
          </w:p>
        </w:tc>
      </w:tr>
      <w:tr>
        <w:trPr/>
        <w:tc>
          <w:tcPr>
            <w:tcW w:w="4606" w:type="dxa"/>
            <w:tcBorders/>
            <w:vAlign w:val="bottom"/>
          </w:tcPr>
          <w:p>
            <w:pPr>
              <w:pStyle w:val="Normal"/>
              <w:widowControl/>
              <w:suppressAutoHyphens w:val="true"/>
              <w:spacing w:lineRule="auto" w:line="240" w:before="0" w:after="0"/>
              <w:jc w:val="left"/>
              <w:rPr>
                <w:color w:val="auto"/>
                <w:sz w:val="22"/>
              </w:rPr>
            </w:pPr>
            <w:r>
              <w:rPr>
                <w:rFonts w:eastAsia="Calibri" w:cs="Times New Roman" w:ascii="Bodoni MT Condensed" w:hAnsi="Bodoni MT Condensed"/>
                <w:color w:val="auto"/>
                <w:kern w:val="0"/>
                <w:sz w:val="24"/>
                <w:szCs w:val="24"/>
                <w:lang w:val="sk-SK" w:eastAsia="en-US" w:bidi="ar-SA"/>
              </w:rPr>
              <w:t>Školské jedálne</w:t>
            </w:r>
          </w:p>
        </w:tc>
        <w:tc>
          <w:tcPr>
            <w:tcW w:w="4605" w:type="dxa"/>
            <w:tcBorders/>
            <w:vAlign w:val="bottom"/>
          </w:tcPr>
          <w:p>
            <w:pPr>
              <w:pStyle w:val="Normal"/>
              <w:widowControl/>
              <w:suppressAutoHyphens w:val="true"/>
              <w:spacing w:lineRule="auto" w:line="240" w:before="0" w:after="0"/>
              <w:jc w:val="right"/>
              <w:rPr>
                <w:color w:val="auto"/>
                <w:sz w:val="22"/>
              </w:rPr>
            </w:pPr>
            <w:r>
              <w:rPr>
                <w:rFonts w:eastAsia="Calibri" w:cs="Times New Roman" w:ascii="Bodoni MT Condensed" w:hAnsi="Bodoni MT Condensed"/>
                <w:color w:val="auto"/>
                <w:kern w:val="0"/>
                <w:sz w:val="24"/>
                <w:szCs w:val="24"/>
                <w:lang w:val="sk-SK" w:eastAsia="en-US" w:bidi="ar-SA"/>
              </w:rPr>
              <w:t>258.710,93</w:t>
            </w:r>
          </w:p>
        </w:tc>
      </w:tr>
      <w:tr>
        <w:trPr/>
        <w:tc>
          <w:tcPr>
            <w:tcW w:w="4606" w:type="dxa"/>
            <w:tcBorders/>
            <w:vAlign w:val="bottom"/>
          </w:tcPr>
          <w:p>
            <w:pPr>
              <w:pStyle w:val="Normal"/>
              <w:widowControl/>
              <w:suppressAutoHyphens w:val="true"/>
              <w:spacing w:lineRule="auto" w:line="240" w:before="0" w:after="0"/>
              <w:jc w:val="left"/>
              <w:rPr>
                <w:color w:val="auto"/>
                <w:sz w:val="22"/>
              </w:rPr>
            </w:pPr>
            <w:r>
              <w:rPr>
                <w:rFonts w:eastAsia="Calibri" w:cs="Times New Roman" w:ascii="Bodoni MT Condensed" w:hAnsi="Bodoni MT Condensed"/>
                <w:color w:val="auto"/>
                <w:kern w:val="0"/>
                <w:sz w:val="24"/>
                <w:szCs w:val="24"/>
                <w:lang w:val="sk-SK" w:eastAsia="en-US" w:bidi="ar-SA"/>
              </w:rPr>
              <w:t>Školský klub detí</w:t>
            </w:r>
          </w:p>
        </w:tc>
        <w:tc>
          <w:tcPr>
            <w:tcW w:w="4605" w:type="dxa"/>
            <w:tcBorders/>
            <w:vAlign w:val="bottom"/>
          </w:tcPr>
          <w:p>
            <w:pPr>
              <w:pStyle w:val="Normal"/>
              <w:widowControl/>
              <w:suppressAutoHyphens w:val="true"/>
              <w:spacing w:lineRule="auto" w:line="240" w:before="0" w:after="0"/>
              <w:jc w:val="right"/>
              <w:rPr>
                <w:color w:val="auto"/>
                <w:sz w:val="22"/>
              </w:rPr>
            </w:pPr>
            <w:r>
              <w:rPr>
                <w:rFonts w:eastAsia="Calibri" w:cs="Times New Roman" w:ascii="Bodoni MT Condensed" w:hAnsi="Bodoni MT Condensed"/>
                <w:color w:val="auto"/>
                <w:kern w:val="0"/>
                <w:sz w:val="24"/>
                <w:szCs w:val="24"/>
                <w:lang w:val="sk-SK" w:eastAsia="en-US" w:bidi="ar-SA"/>
              </w:rPr>
              <w:t>85.725,91</w:t>
            </w:r>
          </w:p>
        </w:tc>
      </w:tr>
      <w:tr>
        <w:trPr/>
        <w:tc>
          <w:tcPr>
            <w:tcW w:w="4606" w:type="dxa"/>
            <w:tcBorders/>
            <w:vAlign w:val="bottom"/>
          </w:tcPr>
          <w:p>
            <w:pPr>
              <w:pStyle w:val="Normal"/>
              <w:widowControl/>
              <w:suppressAutoHyphens w:val="true"/>
              <w:spacing w:lineRule="auto" w:line="240" w:before="0" w:after="0"/>
              <w:jc w:val="left"/>
              <w:rPr>
                <w:color w:val="auto"/>
                <w:sz w:val="22"/>
              </w:rPr>
            </w:pPr>
            <w:r>
              <w:rPr>
                <w:rFonts w:eastAsia="Calibri" w:cs="Times New Roman" w:ascii="Bodoni MT Condensed" w:hAnsi="Bodoni MT Condensed"/>
                <w:color w:val="auto"/>
                <w:kern w:val="0"/>
                <w:sz w:val="24"/>
                <w:szCs w:val="24"/>
                <w:lang w:val="sk-SK" w:eastAsia="en-US" w:bidi="ar-SA"/>
              </w:rPr>
              <w:t>Odpadové hospodárstvo</w:t>
            </w:r>
          </w:p>
        </w:tc>
        <w:tc>
          <w:tcPr>
            <w:tcW w:w="4605" w:type="dxa"/>
            <w:tcBorders/>
            <w:vAlign w:val="bottom"/>
          </w:tcPr>
          <w:p>
            <w:pPr>
              <w:pStyle w:val="Normal"/>
              <w:widowControl/>
              <w:suppressAutoHyphens w:val="true"/>
              <w:spacing w:lineRule="auto" w:line="240" w:before="0" w:after="0"/>
              <w:jc w:val="right"/>
              <w:rPr>
                <w:color w:val="auto"/>
                <w:sz w:val="22"/>
              </w:rPr>
            </w:pPr>
            <w:r>
              <w:rPr>
                <w:rFonts w:eastAsia="Calibri" w:cs="Times New Roman" w:ascii="Bodoni MT Condensed" w:hAnsi="Bodoni MT Condensed"/>
                <w:color w:val="auto"/>
                <w:kern w:val="0"/>
                <w:sz w:val="24"/>
                <w:szCs w:val="24"/>
                <w:lang w:val="sk-SK" w:eastAsia="en-US" w:bidi="ar-SA"/>
              </w:rPr>
              <w:t>101.747,67</w:t>
            </w:r>
          </w:p>
        </w:tc>
      </w:tr>
      <w:tr>
        <w:trPr/>
        <w:tc>
          <w:tcPr>
            <w:tcW w:w="4606" w:type="dxa"/>
            <w:tcBorders/>
            <w:vAlign w:val="bottom"/>
          </w:tcPr>
          <w:p>
            <w:pPr>
              <w:pStyle w:val="Normal"/>
              <w:widowControl/>
              <w:suppressAutoHyphens w:val="true"/>
              <w:spacing w:lineRule="auto" w:line="240" w:before="0" w:after="0"/>
              <w:jc w:val="left"/>
              <w:rPr>
                <w:color w:val="auto"/>
                <w:sz w:val="22"/>
              </w:rPr>
            </w:pPr>
            <w:r>
              <w:rPr>
                <w:rFonts w:eastAsia="Calibri" w:cs="Times New Roman" w:ascii="Bodoni MT Condensed" w:hAnsi="Bodoni MT Condensed"/>
                <w:color w:val="auto"/>
                <w:kern w:val="0"/>
                <w:sz w:val="24"/>
                <w:szCs w:val="24"/>
                <w:lang w:val="sk-SK" w:eastAsia="en-US" w:bidi="ar-SA"/>
              </w:rPr>
              <w:t>Prostredie pre život:</w:t>
            </w:r>
          </w:p>
        </w:tc>
        <w:tc>
          <w:tcPr>
            <w:tcW w:w="4605" w:type="dxa"/>
            <w:tcBorders/>
            <w:vAlign w:val="bottom"/>
          </w:tcPr>
          <w:p>
            <w:pPr>
              <w:pStyle w:val="Normal"/>
              <w:widowControl/>
              <w:suppressAutoHyphens w:val="true"/>
              <w:spacing w:lineRule="auto" w:line="240" w:before="0" w:after="0"/>
              <w:jc w:val="right"/>
              <w:rPr>
                <w:color w:val="auto"/>
                <w:sz w:val="22"/>
              </w:rPr>
            </w:pPr>
            <w:r>
              <w:rPr>
                <w:rFonts w:eastAsia="Calibri" w:cs="Times New Roman" w:ascii="Bodoni MT Condensed" w:hAnsi="Bodoni MT Condensed"/>
                <w:color w:val="auto"/>
                <w:kern w:val="0"/>
                <w:sz w:val="24"/>
                <w:szCs w:val="24"/>
                <w:lang w:val="sk-SK" w:eastAsia="en-US" w:bidi="ar-SA"/>
              </w:rPr>
              <w:t>26.674,87</w:t>
            </w:r>
          </w:p>
        </w:tc>
      </w:tr>
      <w:tr>
        <w:trPr/>
        <w:tc>
          <w:tcPr>
            <w:tcW w:w="4606" w:type="dxa"/>
            <w:tcBorders/>
            <w:vAlign w:val="bottom"/>
          </w:tcPr>
          <w:p>
            <w:pPr>
              <w:pStyle w:val="Normal"/>
              <w:widowControl/>
              <w:suppressAutoHyphens w:val="true"/>
              <w:spacing w:lineRule="auto" w:line="240" w:before="0" w:after="0"/>
              <w:jc w:val="left"/>
              <w:rPr>
                <w:color w:val="auto"/>
                <w:sz w:val="22"/>
              </w:rPr>
            </w:pPr>
            <w:r>
              <w:rPr>
                <w:rFonts w:eastAsia="Calibri" w:cs="Times New Roman" w:ascii="Bodoni MT Condensed" w:hAnsi="Bodoni MT Condensed"/>
                <w:color w:val="auto"/>
                <w:kern w:val="0"/>
                <w:sz w:val="24"/>
                <w:szCs w:val="24"/>
                <w:lang w:val="sk-SK" w:eastAsia="en-US" w:bidi="ar-SA"/>
              </w:rPr>
              <w:t>Verejné osvetlenie</w:t>
            </w:r>
          </w:p>
        </w:tc>
        <w:tc>
          <w:tcPr>
            <w:tcW w:w="4605" w:type="dxa"/>
            <w:tcBorders/>
            <w:vAlign w:val="bottom"/>
          </w:tcPr>
          <w:p>
            <w:pPr>
              <w:pStyle w:val="Normal"/>
              <w:widowControl/>
              <w:suppressAutoHyphens w:val="true"/>
              <w:spacing w:lineRule="auto" w:line="240" w:before="0" w:after="0"/>
              <w:jc w:val="right"/>
              <w:rPr>
                <w:color w:val="auto"/>
                <w:sz w:val="22"/>
              </w:rPr>
            </w:pPr>
            <w:r>
              <w:rPr>
                <w:rFonts w:eastAsia="Calibri" w:cs="Times New Roman" w:ascii="Bodoni MT Condensed" w:hAnsi="Bodoni MT Condensed"/>
                <w:color w:val="auto"/>
                <w:kern w:val="0"/>
                <w:sz w:val="24"/>
                <w:szCs w:val="24"/>
                <w:lang w:val="sk-SK" w:eastAsia="en-US" w:bidi="ar-SA"/>
              </w:rPr>
              <w:t>11.520,45</w:t>
            </w:r>
          </w:p>
        </w:tc>
      </w:tr>
      <w:tr>
        <w:trPr/>
        <w:tc>
          <w:tcPr>
            <w:tcW w:w="4606" w:type="dxa"/>
            <w:tcBorders/>
            <w:vAlign w:val="bottom"/>
          </w:tcPr>
          <w:p>
            <w:pPr>
              <w:pStyle w:val="Normal"/>
              <w:widowControl/>
              <w:suppressAutoHyphens w:val="true"/>
              <w:spacing w:lineRule="auto" w:line="240" w:before="0" w:after="0"/>
              <w:jc w:val="left"/>
              <w:rPr>
                <w:color w:val="auto"/>
                <w:sz w:val="22"/>
              </w:rPr>
            </w:pPr>
            <w:r>
              <w:rPr>
                <w:rFonts w:eastAsia="Calibri" w:cs="Times New Roman" w:ascii="Times New Roman" w:hAnsi="Times New Roman"/>
                <w:color w:val="auto"/>
                <w:kern w:val="0"/>
                <w:sz w:val="24"/>
                <w:szCs w:val="24"/>
                <w:lang w:val="sk-SK" w:eastAsia="en-US" w:bidi="ar-SA"/>
              </w:rPr>
              <w:t>Č</w:t>
            </w:r>
            <w:r>
              <w:rPr>
                <w:rFonts w:eastAsia="Calibri" w:cs="Times New Roman" w:ascii="Bodoni MT Condensed" w:hAnsi="Bodoni MT Condensed"/>
                <w:color w:val="auto"/>
                <w:kern w:val="0"/>
                <w:sz w:val="24"/>
                <w:szCs w:val="24"/>
                <w:lang w:val="sk-SK" w:eastAsia="en-US" w:bidi="ar-SA"/>
              </w:rPr>
              <w:t>isti</w:t>
            </w:r>
            <w:r>
              <w:rPr>
                <w:rFonts w:eastAsia="Calibri" w:cs="Times New Roman" w:ascii="Times New Roman" w:hAnsi="Times New Roman"/>
                <w:color w:val="auto"/>
                <w:kern w:val="0"/>
                <w:sz w:val="24"/>
                <w:szCs w:val="24"/>
                <w:lang w:val="sk-SK" w:eastAsia="en-US" w:bidi="ar-SA"/>
              </w:rPr>
              <w:t>č</w:t>
            </w:r>
            <w:r>
              <w:rPr>
                <w:rFonts w:eastAsia="Calibri" w:cs="Times New Roman" w:ascii="Bodoni MT Condensed" w:hAnsi="Bodoni MT Condensed"/>
                <w:color w:val="auto"/>
                <w:kern w:val="0"/>
                <w:sz w:val="24"/>
                <w:szCs w:val="24"/>
                <w:lang w:val="sk-SK" w:eastAsia="en-US" w:bidi="ar-SA"/>
              </w:rPr>
              <w:t>ka odpadov</w:t>
            </w:r>
            <w:r>
              <w:rPr>
                <w:rFonts w:eastAsia="Calibri" w:cs="Bodoni MT Condensed" w:ascii="Bodoni MT Condensed" w:hAnsi="Bodoni MT Condensed"/>
                <w:color w:val="auto"/>
                <w:kern w:val="0"/>
                <w:sz w:val="24"/>
                <w:szCs w:val="24"/>
                <w:lang w:val="sk-SK" w:eastAsia="en-US" w:bidi="ar-SA"/>
              </w:rPr>
              <w:t>ý</w:t>
            </w:r>
            <w:r>
              <w:rPr>
                <w:rFonts w:eastAsia="Calibri" w:cs="Times New Roman" w:ascii="Bodoni MT Condensed" w:hAnsi="Bodoni MT Condensed"/>
                <w:color w:val="auto"/>
                <w:kern w:val="0"/>
                <w:sz w:val="24"/>
                <w:szCs w:val="24"/>
                <w:lang w:val="sk-SK" w:eastAsia="en-US" w:bidi="ar-SA"/>
              </w:rPr>
              <w:t>ch v</w:t>
            </w:r>
            <w:r>
              <w:rPr>
                <w:rFonts w:eastAsia="Calibri" w:cs="Bodoni MT Condensed" w:ascii="Bodoni MT Condensed" w:hAnsi="Bodoni MT Condensed"/>
                <w:color w:val="auto"/>
                <w:kern w:val="0"/>
                <w:sz w:val="24"/>
                <w:szCs w:val="24"/>
                <w:lang w:val="sk-SK" w:eastAsia="en-US" w:bidi="ar-SA"/>
              </w:rPr>
              <w:t>ô</w:t>
            </w:r>
            <w:r>
              <w:rPr>
                <w:rFonts w:eastAsia="Calibri" w:cs="Times New Roman" w:ascii="Bodoni MT Condensed" w:hAnsi="Bodoni MT Condensed"/>
                <w:color w:val="auto"/>
                <w:kern w:val="0"/>
                <w:sz w:val="24"/>
                <w:szCs w:val="24"/>
                <w:lang w:val="sk-SK" w:eastAsia="en-US" w:bidi="ar-SA"/>
              </w:rPr>
              <w:t>d</w:t>
            </w:r>
          </w:p>
        </w:tc>
        <w:tc>
          <w:tcPr>
            <w:tcW w:w="4605" w:type="dxa"/>
            <w:tcBorders/>
            <w:vAlign w:val="bottom"/>
          </w:tcPr>
          <w:p>
            <w:pPr>
              <w:pStyle w:val="Normal"/>
              <w:widowControl/>
              <w:suppressAutoHyphens w:val="true"/>
              <w:spacing w:lineRule="auto" w:line="240" w:before="0" w:after="0"/>
              <w:jc w:val="right"/>
              <w:rPr>
                <w:color w:val="auto"/>
                <w:sz w:val="22"/>
              </w:rPr>
            </w:pPr>
            <w:r>
              <w:rPr>
                <w:rFonts w:eastAsia="Calibri" w:cs="Times New Roman" w:ascii="Bodoni MT Condensed" w:hAnsi="Bodoni MT Condensed"/>
                <w:color w:val="auto"/>
                <w:kern w:val="0"/>
                <w:sz w:val="24"/>
                <w:szCs w:val="24"/>
                <w:lang w:val="sk-SK" w:eastAsia="en-US" w:bidi="ar-SA"/>
              </w:rPr>
              <w:t>15.154,42</w:t>
            </w:r>
          </w:p>
        </w:tc>
      </w:tr>
      <w:tr>
        <w:trPr/>
        <w:tc>
          <w:tcPr>
            <w:tcW w:w="4606" w:type="dxa"/>
            <w:tcBorders/>
            <w:vAlign w:val="bottom"/>
          </w:tcPr>
          <w:p>
            <w:pPr>
              <w:pStyle w:val="Normal"/>
              <w:widowControl/>
              <w:suppressAutoHyphens w:val="true"/>
              <w:spacing w:lineRule="auto" w:line="240" w:before="0" w:after="0"/>
              <w:jc w:val="left"/>
              <w:rPr>
                <w:color w:val="auto"/>
                <w:sz w:val="22"/>
              </w:rPr>
            </w:pPr>
            <w:r>
              <w:rPr>
                <w:rFonts w:eastAsia="Calibri" w:cs="Times New Roman" w:ascii="Bodoni MT Condensed" w:hAnsi="Bodoni MT Condensed"/>
                <w:color w:val="auto"/>
                <w:kern w:val="0"/>
                <w:sz w:val="24"/>
                <w:szCs w:val="24"/>
                <w:lang w:val="sk-SK" w:eastAsia="en-US" w:bidi="ar-SA"/>
              </w:rPr>
              <w:t>Ochrana pred požiarmi</w:t>
            </w:r>
          </w:p>
        </w:tc>
        <w:tc>
          <w:tcPr>
            <w:tcW w:w="4605" w:type="dxa"/>
            <w:tcBorders/>
            <w:vAlign w:val="bottom"/>
          </w:tcPr>
          <w:p>
            <w:pPr>
              <w:pStyle w:val="Normal"/>
              <w:widowControl/>
              <w:suppressAutoHyphens w:val="true"/>
              <w:spacing w:lineRule="auto" w:line="240" w:before="0" w:after="0"/>
              <w:jc w:val="right"/>
              <w:rPr>
                <w:color w:val="auto"/>
                <w:sz w:val="22"/>
              </w:rPr>
            </w:pPr>
            <w:r>
              <w:rPr>
                <w:rFonts w:eastAsia="Calibri" w:cs="Times New Roman" w:ascii="Bodoni MT Condensed" w:hAnsi="Bodoni MT Condensed"/>
                <w:color w:val="auto"/>
                <w:kern w:val="0"/>
                <w:sz w:val="24"/>
                <w:szCs w:val="24"/>
                <w:lang w:val="sk-SK" w:eastAsia="en-US" w:bidi="ar-SA"/>
              </w:rPr>
              <w:t>6.884,36</w:t>
            </w:r>
          </w:p>
        </w:tc>
      </w:tr>
    </w:tbl>
    <w:p>
      <w:pPr>
        <w:pStyle w:val="Normal"/>
        <w:spacing w:before="0" w:after="0"/>
        <w:rPr>
          <w:rFonts w:ascii="Times New Roman" w:hAnsi="Times New Roman" w:cs="Times New Roman"/>
          <w:color w:val="auto"/>
          <w:sz w:val="24"/>
          <w:szCs w:val="24"/>
        </w:rPr>
      </w:pPr>
      <w:r>
        <w:rPr>
          <w:rFonts w:cs="Times New Roman" w:ascii="Times New Roman" w:hAnsi="Times New Roman"/>
          <w:color w:val="auto"/>
          <w:sz w:val="24"/>
          <w:szCs w:val="24"/>
        </w:rPr>
      </w:r>
    </w:p>
    <w:p>
      <w:pPr>
        <w:pStyle w:val="Normal"/>
        <w:spacing w:lineRule="auto" w:line="240" w:before="0" w:after="0"/>
        <w:rPr/>
      </w:pPr>
      <w:r>
        <w:rPr>
          <w:rFonts w:cs="Times New Roman" w:ascii="Times New Roman" w:hAnsi="Times New Roman"/>
          <w:b/>
          <w:outline/>
          <w:sz w:val="28"/>
          <w:szCs w:val="28"/>
        </w:rPr>
        <w:t>7.INFORMÁCIE O VÝVOJI KONSOLIDOVANÉHO CELKU</w:t>
      </w:r>
    </w:p>
    <w:p>
      <w:pPr>
        <w:pStyle w:val="Normal"/>
        <w:spacing w:lineRule="auto" w:line="240" w:before="0" w:after="0"/>
        <w:rPr/>
      </w:pPr>
      <w:r>
        <w:rPr>
          <w:rFonts w:cs="Times New Roman" w:ascii="Times New Roman" w:hAnsi="Times New Roman"/>
          <w:b/>
          <w:sz w:val="24"/>
          <w:szCs w:val="24"/>
        </w:rPr>
        <w:t>7.1 ROZPOČTOVÝ POHĽAD</w:t>
      </w:r>
    </w:p>
    <w:p>
      <w:pPr>
        <w:pStyle w:val="Normal"/>
        <w:spacing w:lineRule="auto" w:line="240" w:before="0" w:after="0"/>
        <w:rPr>
          <w:rFonts w:ascii="Times New Roman" w:hAnsi="Times New Roman" w:cs="Times New Roman"/>
          <w:b/>
          <w:sz w:val="24"/>
          <w:szCs w:val="24"/>
        </w:rPr>
      </w:pPr>
      <w:r>
        <w:rPr>
          <w:rFonts w:cs="Times New Roman" w:ascii="Times New Roman" w:hAnsi="Times New Roman"/>
          <w:b/>
          <w:sz w:val="24"/>
          <w:szCs w:val="24"/>
        </w:rPr>
      </w:r>
    </w:p>
    <w:p>
      <w:pPr>
        <w:pStyle w:val="Normal"/>
        <w:spacing w:lineRule="auto" w:line="240" w:before="0" w:after="0"/>
        <w:rPr>
          <w:rFonts w:ascii="Times New Roman" w:hAnsi="Times New Roman" w:cs="Times New Roman"/>
          <w:b/>
          <w:sz w:val="24"/>
          <w:szCs w:val="24"/>
        </w:rPr>
      </w:pPr>
      <w:r>
        <w:rPr>
          <w:rFonts w:cs="Times New Roman" w:ascii="Times New Roman" w:hAnsi="Times New Roman"/>
          <w:b/>
          <w:sz w:val="24"/>
          <w:szCs w:val="24"/>
        </w:rPr>
      </w:r>
    </w:p>
    <w:p>
      <w:pPr>
        <w:pStyle w:val="Normal"/>
        <w:jc w:val="both"/>
        <w:rPr/>
      </w:pPr>
      <w:r>
        <w:rPr/>
        <w:t>Základným   nástrojom  finančného  hospodárenia  obce  bol   rozpočet   obce   na  rok   2024.</w:t>
      </w:r>
    </w:p>
    <w:p>
      <w:pPr>
        <w:pStyle w:val="Normal"/>
        <w:jc w:val="both"/>
        <w:rPr/>
      </w:pPr>
      <w:r>
        <w:rPr/>
        <w:t>Obec zostavila rozpočet podľa ustanovenia § 10 odsek 7) zákona č.583/2004 Z.z. o rozpočtových pravidlách územnej samosprávy a o zmene a doplnení niektorých zákonov v znení neskorších predpisov. Rozpočet obce na rok 2024 bol zostavený ako prebytkový. Bežný rozpočet bol zostavený ako prebytkový, kapitálový   rozpočet nebol zostavený.</w:t>
      </w:r>
    </w:p>
    <w:p>
      <w:pPr>
        <w:pStyle w:val="Normal"/>
        <w:jc w:val="both"/>
        <w:rPr>
          <w:color w:val="C9211E"/>
        </w:rPr>
      </w:pPr>
      <w:r>
        <w:rPr>
          <w:color w:val="C9211E"/>
        </w:rPr>
      </w:r>
    </w:p>
    <w:p>
      <w:pPr>
        <w:pStyle w:val="Normal"/>
        <w:jc w:val="both"/>
        <w:rPr>
          <w:color w:val="000000"/>
        </w:rPr>
      </w:pPr>
      <w:r>
        <w:rPr>
          <w:color w:val="000000"/>
        </w:rPr>
        <w:t xml:space="preserve">Hospodárenie obce sa riadilo podľa schváleného rozpočtu na rok 2024. </w:t>
      </w:r>
    </w:p>
    <w:p>
      <w:pPr>
        <w:pStyle w:val="Normal"/>
        <w:jc w:val="both"/>
        <w:rPr>
          <w:color w:val="000000"/>
        </w:rPr>
      </w:pPr>
      <w:r>
        <w:rPr>
          <w:color w:val="000000"/>
        </w:rPr>
        <w:t>Rozpočet obce bol schválený obecným zastupiteľstvom dňa 11.12.2023 uznesením č. 145/2023</w:t>
      </w:r>
    </w:p>
    <w:p>
      <w:pPr>
        <w:pStyle w:val="Normal"/>
        <w:jc w:val="both"/>
        <w:rPr>
          <w:color w:val="000000"/>
        </w:rPr>
      </w:pPr>
      <w:r>
        <w:rPr>
          <w:color w:val="000000"/>
        </w:rPr>
        <w:t>Rozpočet bol zmenený päťkrát</w:t>
      </w:r>
    </w:p>
    <w:p>
      <w:pPr>
        <w:pStyle w:val="Normal"/>
        <w:numPr>
          <w:ilvl w:val="0"/>
          <w:numId w:val="5"/>
        </w:numPr>
        <w:jc w:val="both"/>
        <w:rPr/>
      </w:pPr>
      <w:r>
        <w:rPr>
          <w:color w:val="000000"/>
        </w:rPr>
        <w:t>prvá zmena   schválená dňa 26. februára 2024 uznesením č. 07/2024</w:t>
      </w:r>
    </w:p>
    <w:p>
      <w:pPr>
        <w:pStyle w:val="Normal"/>
        <w:numPr>
          <w:ilvl w:val="0"/>
          <w:numId w:val="5"/>
        </w:numPr>
        <w:jc w:val="both"/>
        <w:rPr/>
      </w:pPr>
      <w:r>
        <w:rPr>
          <w:color w:val="000000"/>
        </w:rPr>
        <w:t>druhá zmena  schválená dňa 29. apríla 2024 uznesením č. 21/2024</w:t>
      </w:r>
    </w:p>
    <w:p>
      <w:pPr>
        <w:pStyle w:val="Normal"/>
        <w:numPr>
          <w:ilvl w:val="0"/>
          <w:numId w:val="5"/>
        </w:numPr>
        <w:jc w:val="both"/>
        <w:rPr/>
      </w:pPr>
      <w:r>
        <w:rPr>
          <w:color w:val="000000"/>
        </w:rPr>
        <w:t>tretia zmena schválená dňa 24. júna 2024 uznesením č. 32/2024</w:t>
      </w:r>
    </w:p>
    <w:p>
      <w:pPr>
        <w:pStyle w:val="Normal"/>
        <w:numPr>
          <w:ilvl w:val="0"/>
          <w:numId w:val="5"/>
        </w:numPr>
        <w:jc w:val="both"/>
        <w:rPr/>
      </w:pPr>
      <w:r>
        <w:rPr>
          <w:color w:val="000000"/>
        </w:rPr>
        <w:t>štvrtá zmena schválená 21. augusta 2024 uznesením č. 45/2024</w:t>
      </w:r>
    </w:p>
    <w:p>
      <w:pPr>
        <w:pStyle w:val="Normal"/>
        <w:numPr>
          <w:ilvl w:val="0"/>
          <w:numId w:val="5"/>
        </w:numPr>
        <w:jc w:val="both"/>
        <w:rPr/>
      </w:pPr>
      <w:r>
        <w:rPr>
          <w:color w:val="000000"/>
        </w:rPr>
        <w:t>piata až deviata zmena schválená dňa 09. decembra 2024 uznesením č. 94/2024</w:t>
      </w:r>
    </w:p>
    <w:p>
      <w:pPr>
        <w:pStyle w:val="Normal"/>
        <w:ind w:left="720"/>
        <w:jc w:val="both"/>
        <w:rPr>
          <w:color w:val="C9211E"/>
        </w:rPr>
      </w:pPr>
      <w:r>
        <w:rPr>
          <w:color w:val="C9211E"/>
        </w:rPr>
      </w:r>
    </w:p>
    <w:p>
      <w:pPr>
        <w:pStyle w:val="Normal"/>
        <w:jc w:val="center"/>
        <w:rPr>
          <w:b/>
        </w:rPr>
      </w:pPr>
      <w:r>
        <w:rPr>
          <w:b/>
        </w:rPr>
        <w:t>Rozpočet obce k  31.12.2024</w:t>
      </w:r>
    </w:p>
    <w:p>
      <w:pPr>
        <w:pStyle w:val="Normal"/>
        <w:rPr>
          <w:b/>
          <w:color w:val="C9211E"/>
        </w:rPr>
      </w:pPr>
      <w:r>
        <w:rPr>
          <w:b/>
          <w:color w:val="C9211E"/>
        </w:rPr>
      </w:r>
    </w:p>
    <w:p>
      <w:pPr>
        <w:pStyle w:val="Normal"/>
        <w:rPr>
          <w:b/>
          <w:color w:val="C9211E"/>
        </w:rPr>
      </w:pPr>
      <w:r>
        <w:rPr>
          <w:b/>
          <w:color w:val="C9211E"/>
        </w:rPr>
      </w:r>
    </w:p>
    <w:tbl>
      <w:tblPr>
        <w:tblW w:w="10378" w:type="dxa"/>
        <w:jc w:val="left"/>
        <w:tblInd w:w="-162" w:type="dxa"/>
        <w:tblLayout w:type="fixed"/>
        <w:tblCellMar>
          <w:top w:w="0" w:type="dxa"/>
          <w:left w:w="108" w:type="dxa"/>
          <w:bottom w:w="0" w:type="dxa"/>
          <w:right w:w="108" w:type="dxa"/>
        </w:tblCellMar>
        <w:tblLook w:firstRow="1" w:noVBand="1" w:lastRow="0" w:firstColumn="1" w:lastColumn="0" w:noHBand="0" w:val="04a0"/>
      </w:tblPr>
      <w:tblGrid>
        <w:gridCol w:w="2694"/>
        <w:gridCol w:w="1555"/>
        <w:gridCol w:w="2271"/>
        <w:gridCol w:w="2123"/>
        <w:gridCol w:w="1735"/>
      </w:tblGrid>
      <w:tr>
        <w:trPr>
          <w:trHeight w:val="23" w:hRule="atLeast"/>
        </w:trPr>
        <w:tc>
          <w:tcPr>
            <w:tcW w:w="2694" w:type="dxa"/>
            <w:tcBorders>
              <w:top w:val="single" w:sz="4" w:space="0" w:color="000000"/>
              <w:left w:val="single" w:sz="4" w:space="0" w:color="000000"/>
              <w:bottom w:val="single" w:sz="4" w:space="0" w:color="000000"/>
            </w:tcBorders>
            <w:shd w:color="auto" w:fill="DEEAF6" w:val="clear"/>
          </w:tcPr>
          <w:p>
            <w:pPr>
              <w:pStyle w:val="Normal"/>
              <w:tabs>
                <w:tab w:val="clear" w:pos="708"/>
                <w:tab w:val="right" w:pos="8460" w:leader="none"/>
              </w:tabs>
              <w:snapToGrid w:val="false"/>
              <w:spacing w:before="0" w:after="200"/>
              <w:jc w:val="both"/>
              <w:rPr>
                <w:b/>
                <w:color w:val="C9211E"/>
              </w:rPr>
            </w:pPr>
            <w:r>
              <w:rPr>
                <w:b/>
                <w:color w:val="C9211E"/>
              </w:rPr>
            </w:r>
          </w:p>
        </w:tc>
        <w:tc>
          <w:tcPr>
            <w:tcW w:w="1555" w:type="dxa"/>
            <w:tcBorders>
              <w:top w:val="single" w:sz="4" w:space="0" w:color="000000"/>
              <w:left w:val="single" w:sz="4" w:space="0" w:color="000000"/>
              <w:bottom w:val="single" w:sz="4" w:space="0" w:color="000000"/>
            </w:tcBorders>
            <w:shd w:color="auto" w:fill="DEEAF6" w:val="clear"/>
            <w:vAlign w:val="center"/>
          </w:tcPr>
          <w:p>
            <w:pPr>
              <w:pStyle w:val="Normal"/>
              <w:tabs>
                <w:tab w:val="clear" w:pos="708"/>
                <w:tab w:val="right" w:pos="8460" w:leader="none"/>
              </w:tabs>
              <w:jc w:val="center"/>
              <w:rPr>
                <w:b/>
              </w:rPr>
            </w:pPr>
            <w:r>
              <w:rPr>
                <w:b/>
              </w:rPr>
              <w:t>Schválený</w:t>
            </w:r>
          </w:p>
          <w:p>
            <w:pPr>
              <w:pStyle w:val="Normal"/>
              <w:tabs>
                <w:tab w:val="clear" w:pos="708"/>
                <w:tab w:val="right" w:pos="8460" w:leader="none"/>
              </w:tabs>
              <w:jc w:val="center"/>
              <w:rPr>
                <w:b/>
              </w:rPr>
            </w:pPr>
            <w:r>
              <w:rPr>
                <w:b/>
              </w:rPr>
              <w:t>rozpočet</w:t>
            </w:r>
          </w:p>
          <w:p>
            <w:pPr>
              <w:pStyle w:val="Normal"/>
              <w:tabs>
                <w:tab w:val="clear" w:pos="708"/>
                <w:tab w:val="right" w:pos="8460" w:leader="none"/>
              </w:tabs>
              <w:spacing w:before="0" w:after="200"/>
              <w:jc w:val="center"/>
              <w:rPr>
                <w:b/>
              </w:rPr>
            </w:pPr>
            <w:r>
              <w:rPr>
                <w:b/>
              </w:rPr>
            </w:r>
          </w:p>
        </w:tc>
        <w:tc>
          <w:tcPr>
            <w:tcW w:w="2271" w:type="dxa"/>
            <w:tcBorders>
              <w:top w:val="single" w:sz="4" w:space="0" w:color="000000"/>
              <w:left w:val="single" w:sz="4" w:space="0" w:color="000000"/>
              <w:bottom w:val="single" w:sz="4" w:space="0" w:color="000000"/>
            </w:tcBorders>
            <w:shd w:color="auto" w:fill="DEEAF6" w:val="clear"/>
          </w:tcPr>
          <w:p>
            <w:pPr>
              <w:pStyle w:val="Normal"/>
              <w:tabs>
                <w:tab w:val="clear" w:pos="708"/>
                <w:tab w:val="right" w:pos="8820" w:leader="none"/>
              </w:tabs>
              <w:jc w:val="center"/>
              <w:rPr>
                <w:b/>
              </w:rPr>
            </w:pPr>
            <w:r>
              <w:rPr>
                <w:b/>
              </w:rPr>
              <w:t>Schválený rozpočet</w:t>
            </w:r>
          </w:p>
          <w:p>
            <w:pPr>
              <w:pStyle w:val="Normal"/>
              <w:tabs>
                <w:tab w:val="clear" w:pos="708"/>
                <w:tab w:val="right" w:pos="8820" w:leader="none"/>
              </w:tabs>
              <w:spacing w:before="0" w:after="200"/>
              <w:jc w:val="center"/>
              <w:rPr>
                <w:b/>
              </w:rPr>
            </w:pPr>
            <w:r>
              <w:rPr>
                <w:b/>
              </w:rPr>
              <w:t>po poslednej zmene</w:t>
            </w:r>
          </w:p>
        </w:tc>
        <w:tc>
          <w:tcPr>
            <w:tcW w:w="2123" w:type="dxa"/>
            <w:tcBorders>
              <w:top w:val="single" w:sz="4" w:space="0" w:color="000000"/>
              <w:left w:val="single" w:sz="4" w:space="0" w:color="000000"/>
              <w:bottom w:val="single" w:sz="4" w:space="0" w:color="000000"/>
            </w:tcBorders>
            <w:shd w:color="auto" w:fill="DEEAF6" w:val="clear"/>
          </w:tcPr>
          <w:p>
            <w:pPr>
              <w:pStyle w:val="Normal"/>
              <w:tabs>
                <w:tab w:val="clear" w:pos="708"/>
                <w:tab w:val="right" w:pos="8820" w:leader="none"/>
              </w:tabs>
              <w:jc w:val="center"/>
              <w:rPr>
                <w:b/>
              </w:rPr>
            </w:pPr>
            <w:r>
              <w:rPr>
                <w:b/>
              </w:rPr>
              <w:t>Skutočnosť</w:t>
            </w:r>
          </w:p>
          <w:p>
            <w:pPr>
              <w:pStyle w:val="Normal"/>
              <w:tabs>
                <w:tab w:val="clear" w:pos="708"/>
                <w:tab w:val="right" w:pos="8820" w:leader="none"/>
              </w:tabs>
              <w:spacing w:before="0" w:after="200"/>
              <w:jc w:val="center"/>
              <w:rPr>
                <w:b/>
              </w:rPr>
            </w:pPr>
            <w:r>
              <w:rPr>
                <w:b/>
              </w:rPr>
              <w:t>k  31.12.2024</w:t>
            </w:r>
          </w:p>
        </w:tc>
        <w:tc>
          <w:tcPr>
            <w:tcW w:w="1735" w:type="dxa"/>
            <w:tcBorders>
              <w:top w:val="single" w:sz="4" w:space="0" w:color="000000"/>
              <w:left w:val="single" w:sz="4" w:space="0" w:color="000000"/>
              <w:bottom w:val="single" w:sz="4" w:space="0" w:color="000000"/>
              <w:right w:val="single" w:sz="4" w:space="0" w:color="000000"/>
            </w:tcBorders>
            <w:shd w:color="auto" w:fill="DEEAF6" w:val="clear"/>
          </w:tcPr>
          <w:p>
            <w:pPr>
              <w:pStyle w:val="Normal"/>
              <w:tabs>
                <w:tab w:val="clear" w:pos="708"/>
                <w:tab w:val="right" w:pos="8820" w:leader="none"/>
              </w:tabs>
              <w:jc w:val="center"/>
              <w:rPr>
                <w:b/>
              </w:rPr>
            </w:pPr>
            <w:r>
              <w:rPr>
                <w:b/>
              </w:rPr>
              <w:t>% plnenia k 31.12.</w:t>
            </w:r>
          </w:p>
          <w:p>
            <w:pPr>
              <w:pStyle w:val="Normal"/>
              <w:tabs>
                <w:tab w:val="clear" w:pos="708"/>
                <w:tab w:val="right" w:pos="8820" w:leader="none"/>
              </w:tabs>
              <w:spacing w:before="0" w:after="200"/>
              <w:jc w:val="center"/>
              <w:rPr>
                <w:b/>
              </w:rPr>
            </w:pPr>
            <w:r>
              <w:rPr>
                <w:b/>
              </w:rPr>
              <w:t>2024</w:t>
            </w:r>
          </w:p>
        </w:tc>
      </w:tr>
      <w:tr>
        <w:trPr/>
        <w:tc>
          <w:tcPr>
            <w:tcW w:w="2694" w:type="dxa"/>
            <w:tcBorders>
              <w:top w:val="single" w:sz="4" w:space="0" w:color="000000"/>
              <w:left w:val="single" w:sz="4" w:space="0" w:color="000000"/>
              <w:bottom w:val="single" w:sz="4" w:space="0" w:color="000000"/>
            </w:tcBorders>
            <w:shd w:color="auto" w:fill="BDD6EE" w:val="clear"/>
          </w:tcPr>
          <w:p>
            <w:pPr>
              <w:pStyle w:val="Normal"/>
              <w:tabs>
                <w:tab w:val="clear" w:pos="708"/>
                <w:tab w:val="right" w:pos="8460" w:leader="none"/>
              </w:tabs>
              <w:spacing w:before="0" w:after="200"/>
              <w:jc w:val="both"/>
              <w:rPr>
                <w:b/>
              </w:rPr>
            </w:pPr>
            <w:r>
              <w:rPr>
                <w:b/>
              </w:rPr>
              <w:t>Príjmy celkom</w:t>
            </w:r>
          </w:p>
        </w:tc>
        <w:tc>
          <w:tcPr>
            <w:tcW w:w="1555" w:type="dxa"/>
            <w:tcBorders>
              <w:top w:val="single" w:sz="4" w:space="0" w:color="000000"/>
              <w:left w:val="single" w:sz="4" w:space="0" w:color="000000"/>
              <w:bottom w:val="single" w:sz="4" w:space="0" w:color="000000"/>
            </w:tcBorders>
            <w:shd w:color="auto" w:fill="BDD6EE" w:val="clear"/>
            <w:vAlign w:val="bottom"/>
          </w:tcPr>
          <w:p>
            <w:pPr>
              <w:pStyle w:val="Normal"/>
              <w:tabs>
                <w:tab w:val="clear" w:pos="708"/>
                <w:tab w:val="right" w:pos="8460" w:leader="none"/>
              </w:tabs>
              <w:spacing w:before="0" w:after="200"/>
              <w:jc w:val="right"/>
              <w:rPr>
                <w:b/>
              </w:rPr>
            </w:pPr>
            <w:r>
              <w:rPr>
                <w:b/>
              </w:rPr>
              <w:t>2.020.529,00</w:t>
            </w:r>
          </w:p>
        </w:tc>
        <w:tc>
          <w:tcPr>
            <w:tcW w:w="2271" w:type="dxa"/>
            <w:tcBorders>
              <w:top w:val="single" w:sz="4" w:space="0" w:color="000000"/>
              <w:left w:val="single" w:sz="4" w:space="0" w:color="000000"/>
              <w:bottom w:val="single" w:sz="4" w:space="0" w:color="000000"/>
            </w:tcBorders>
            <w:shd w:color="auto" w:fill="BDD6EE" w:val="clear"/>
            <w:vAlign w:val="bottom"/>
          </w:tcPr>
          <w:p>
            <w:pPr>
              <w:pStyle w:val="Normal"/>
              <w:tabs>
                <w:tab w:val="clear" w:pos="708"/>
                <w:tab w:val="right" w:pos="8460" w:leader="none"/>
              </w:tabs>
              <w:spacing w:before="0" w:after="200"/>
              <w:jc w:val="right"/>
              <w:rPr>
                <w:b/>
              </w:rPr>
            </w:pPr>
            <w:r>
              <w:rPr>
                <w:b/>
              </w:rPr>
              <w:t>2.739.767,76</w:t>
            </w:r>
          </w:p>
        </w:tc>
        <w:tc>
          <w:tcPr>
            <w:tcW w:w="2123" w:type="dxa"/>
            <w:tcBorders>
              <w:top w:val="single" w:sz="4" w:space="0" w:color="000000"/>
              <w:left w:val="single" w:sz="4" w:space="0" w:color="000000"/>
              <w:bottom w:val="single" w:sz="4" w:space="0" w:color="000000"/>
            </w:tcBorders>
            <w:shd w:color="auto" w:fill="BDD6EE" w:val="clear"/>
            <w:vAlign w:val="bottom"/>
          </w:tcPr>
          <w:p>
            <w:pPr>
              <w:pStyle w:val="Normal"/>
              <w:tabs>
                <w:tab w:val="clear" w:pos="708"/>
                <w:tab w:val="right" w:pos="8460" w:leader="none"/>
              </w:tabs>
              <w:spacing w:before="0" w:after="200"/>
              <w:jc w:val="right"/>
              <w:rPr>
                <w:b/>
              </w:rPr>
            </w:pPr>
            <w:r>
              <w:rPr>
                <w:b/>
              </w:rPr>
              <w:t>2.579.135,84</w:t>
            </w:r>
          </w:p>
        </w:tc>
        <w:tc>
          <w:tcPr>
            <w:tcW w:w="1735" w:type="dxa"/>
            <w:tcBorders>
              <w:top w:val="single" w:sz="4" w:space="0" w:color="000000"/>
              <w:left w:val="single" w:sz="4" w:space="0" w:color="000000"/>
              <w:bottom w:val="single" w:sz="4" w:space="0" w:color="000000"/>
              <w:right w:val="single" w:sz="4" w:space="0" w:color="000000"/>
            </w:tcBorders>
            <w:shd w:color="auto" w:fill="BDD6EE" w:val="clear"/>
            <w:vAlign w:val="bottom"/>
          </w:tcPr>
          <w:p>
            <w:pPr>
              <w:pStyle w:val="Obsahtabuky"/>
              <w:jc w:val="right"/>
              <w:rPr>
                <w:color w:val="000000"/>
              </w:rPr>
            </w:pPr>
            <w:r>
              <w:rPr>
                <w:color w:val="000000"/>
              </w:rPr>
              <w:t>94,14</w:t>
            </w:r>
          </w:p>
        </w:tc>
      </w:tr>
      <w:tr>
        <w:trPr>
          <w:trHeight w:val="227" w:hRule="atLeast"/>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2336" w:leader="none"/>
              </w:tabs>
              <w:spacing w:before="0" w:after="200"/>
              <w:jc w:val="both"/>
              <w:rPr/>
            </w:pPr>
            <w:r>
              <w:rPr>
                <w:b/>
              </w:rPr>
              <w:t>Bežné</w:t>
            </w:r>
            <w:r>
              <w:rPr/>
              <w:t xml:space="preserve"> </w:t>
            </w:r>
            <w:r>
              <w:rPr>
                <w:b/>
              </w:rPr>
              <w:t>príjmy spolu</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2.020.529,00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2.458.775,76</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2.421.777,74</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98,50</w:t>
            </w:r>
          </w:p>
        </w:tc>
      </w:tr>
      <w:tr>
        <w:trPr>
          <w:trHeight w:val="227" w:hRule="atLeast"/>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2336" w:leader="none"/>
              </w:tabs>
              <w:spacing w:before="0" w:after="200"/>
              <w:jc w:val="both"/>
              <w:rPr>
                <w:b/>
              </w:rPr>
            </w:pPr>
            <w:r>
              <w:rPr>
                <w:b/>
              </w:rPr>
              <w:t>Kapitálové príjmy spolu</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0,00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0,00</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225,00</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100,00</w:t>
            </w:r>
          </w:p>
        </w:tc>
      </w:tr>
      <w:tr>
        <w:trPr>
          <w:trHeight w:val="227" w:hRule="atLeast"/>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2336" w:leader="none"/>
              </w:tabs>
              <w:spacing w:before="0" w:after="200"/>
              <w:jc w:val="both"/>
              <w:rPr>
                <w:b/>
              </w:rPr>
            </w:pPr>
            <w:r>
              <w:rPr>
                <w:b/>
              </w:rPr>
              <w:t>Finančné operácie spolu</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0,00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280.992,00</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157.133,10</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55,92</w:t>
            </w:r>
          </w:p>
        </w:tc>
      </w:tr>
      <w:tr>
        <w:trPr>
          <w:trHeight w:val="227" w:hRule="atLeast"/>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2336" w:leader="none"/>
              </w:tabs>
              <w:spacing w:before="0" w:after="200"/>
              <w:jc w:val="both"/>
              <w:rPr/>
            </w:pPr>
            <w:r>
              <w:rPr>
                <w:rFonts w:cs="Agency FB" w:ascii="Agency FB" w:hAnsi="Agency FB"/>
                <w:b/>
                <w:sz w:val="28"/>
                <w:szCs w:val="28"/>
              </w:rPr>
              <w:t>Rozpo</w:t>
            </w:r>
            <w:r>
              <w:rPr>
                <w:rFonts w:cs="Calibri"/>
                <w:b/>
                <w:sz w:val="28"/>
                <w:szCs w:val="28"/>
              </w:rPr>
              <w:t>č</w:t>
            </w:r>
            <w:r>
              <w:rPr>
                <w:rFonts w:cs="Agency FB" w:ascii="Agency FB" w:hAnsi="Agency FB"/>
                <w:b/>
                <w:sz w:val="28"/>
                <w:szCs w:val="28"/>
              </w:rPr>
              <w:t>et obce</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1.963.334,00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2.612.221,76</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2.451.357,37</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93,84</w:t>
            </w:r>
          </w:p>
        </w:tc>
      </w:tr>
      <w:tr>
        <w:trPr>
          <w:trHeight w:val="227" w:hRule="atLeast"/>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2336" w:leader="none"/>
              </w:tabs>
              <w:spacing w:before="0" w:after="200"/>
              <w:jc w:val="both"/>
              <w:rPr/>
            </w:pPr>
            <w:r>
              <w:rPr/>
              <w:t>Bežné príjmy z toho :</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1.963.334.00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2.339.527,76</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2.302.298,11</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98,41</w:t>
            </w:r>
          </w:p>
        </w:tc>
      </w:tr>
      <w:tr>
        <w:trPr>
          <w:trHeight w:val="227" w:hRule="atLeast"/>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2336" w:leader="none"/>
              </w:tabs>
              <w:spacing w:before="0" w:after="200"/>
              <w:jc w:val="both"/>
              <w:rPr>
                <w:sz w:val="18"/>
                <w:szCs w:val="18"/>
              </w:rPr>
            </w:pPr>
            <w:r>
              <w:rPr>
                <w:sz w:val="18"/>
                <w:szCs w:val="18"/>
              </w:rPr>
              <w:t>Spoločný obecný úrad KZ 11H</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28.699,00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34.485,32</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27.458,72</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79,62</w:t>
            </w:r>
          </w:p>
        </w:tc>
      </w:tr>
      <w:tr>
        <w:trPr>
          <w:trHeight w:val="146" w:hRule="atLeast"/>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2336" w:leader="none"/>
              </w:tabs>
              <w:spacing w:before="0" w:after="200"/>
              <w:jc w:val="both"/>
              <w:rPr>
                <w:sz w:val="18"/>
                <w:szCs w:val="18"/>
              </w:rPr>
            </w:pPr>
            <w:r>
              <w:rPr>
                <w:sz w:val="18"/>
                <w:szCs w:val="18"/>
              </w:rPr>
              <w:t>Spoločný obecný úrad KZ 41</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10.267,00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18.913,40</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8.922,24</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pPr>
            <w:r>
              <w:rPr/>
              <w:t>47,17</w:t>
            </w:r>
          </w:p>
        </w:tc>
      </w:tr>
      <w:tr>
        <w:trPr>
          <w:trHeight w:val="227" w:hRule="atLeast"/>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pPr>
            <w:r>
              <w:rPr/>
              <w:t>Kapitálové príjmy</w:t>
            </w:r>
          </w:p>
        </w:tc>
        <w:tc>
          <w:tcPr>
            <w:tcW w:w="1555" w:type="dxa"/>
            <w:tcBorders>
              <w:top w:val="single" w:sz="4" w:space="0" w:color="000000"/>
              <w:left w:val="single" w:sz="4" w:space="0" w:color="000000"/>
              <w:bottom w:val="single" w:sz="4" w:space="0" w:color="000000"/>
            </w:tcBorders>
            <w:vAlign w:val="bottom"/>
          </w:tcPr>
          <w:p>
            <w:pPr>
              <w:pStyle w:val="Normal"/>
              <w:spacing w:before="0" w:after="200"/>
              <w:jc w:val="right"/>
              <w:rPr/>
            </w:pPr>
            <w:r>
              <w:rPr/>
              <w:t>0,00</w:t>
            </w:r>
          </w:p>
        </w:tc>
        <w:tc>
          <w:tcPr>
            <w:tcW w:w="2271" w:type="dxa"/>
            <w:tcBorders>
              <w:top w:val="single" w:sz="4" w:space="0" w:color="000000"/>
              <w:left w:val="single" w:sz="4" w:space="0" w:color="000000"/>
              <w:bottom w:val="single" w:sz="4" w:space="0" w:color="000000"/>
            </w:tcBorders>
            <w:vAlign w:val="bottom"/>
          </w:tcPr>
          <w:p>
            <w:pPr>
              <w:pStyle w:val="Normal"/>
              <w:spacing w:before="0" w:after="200"/>
              <w:jc w:val="right"/>
              <w:rPr/>
            </w:pPr>
            <w:r>
              <w:rPr/>
              <w:t>0,00</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spacing w:before="0" w:after="200"/>
              <w:jc w:val="right"/>
              <w:rPr/>
            </w:pPr>
            <w:r>
              <w:rPr/>
              <w:t>225,00</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100,00</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pPr>
            <w:r>
              <w:rPr/>
              <w:t>Finančné operácie</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0,00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272.694,00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148.834,26</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54,58</w:t>
            </w:r>
          </w:p>
        </w:tc>
      </w:tr>
      <w:tr>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8460" w:leader="none"/>
              </w:tabs>
              <w:spacing w:before="0" w:after="200"/>
              <w:jc w:val="both"/>
              <w:rPr>
                <w:b/>
              </w:rPr>
            </w:pPr>
            <w:r>
              <w:rPr>
                <w:b/>
              </w:rPr>
              <w:t>Príjmy RO s právnou subjektivitou</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57.195,00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127.546,00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127.778,47</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100,18</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pPr>
            <w:r>
              <w:rPr>
                <w:rFonts w:cs="Agency FB" w:ascii="Agency FB" w:hAnsi="Agency FB"/>
                <w:b/>
                <w:sz w:val="28"/>
                <w:szCs w:val="28"/>
              </w:rPr>
              <w:t>Rozpo</w:t>
            </w:r>
            <w:r>
              <w:rPr>
                <w:rFonts w:cs="Calibri"/>
                <w:b/>
                <w:sz w:val="28"/>
                <w:szCs w:val="28"/>
              </w:rPr>
              <w:t>č</w:t>
            </w:r>
            <w:r>
              <w:rPr>
                <w:rFonts w:cs="Agency FB" w:ascii="Agency FB" w:hAnsi="Agency FB"/>
                <w:b/>
                <w:sz w:val="28"/>
                <w:szCs w:val="28"/>
              </w:rPr>
              <w:t>et Základná škola</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7.700,00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19.445,00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19.305,54</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99,28</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pPr>
            <w:r>
              <w:rPr/>
              <w:t>Bežné príjmy</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7.700,00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19.445,00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19.305,54</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99,28</w:t>
            </w:r>
          </w:p>
        </w:tc>
      </w:tr>
      <w:tr>
        <w:trPr>
          <w:trHeight w:val="746" w:hRule="atLeast"/>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pPr>
            <w:r>
              <w:rPr>
                <w:rFonts w:cs="Agency FB" w:ascii="Agency FB" w:hAnsi="Agency FB"/>
                <w:b/>
                <w:sz w:val="28"/>
                <w:szCs w:val="28"/>
              </w:rPr>
              <w:t>Rozpo</w:t>
            </w:r>
            <w:r>
              <w:rPr>
                <w:rFonts w:cs="Calibri"/>
                <w:b/>
                <w:sz w:val="28"/>
                <w:szCs w:val="28"/>
              </w:rPr>
              <w:t>č</w:t>
            </w:r>
            <w:r>
              <w:rPr>
                <w:rFonts w:cs="Agency FB" w:ascii="Agency FB" w:hAnsi="Agency FB"/>
                <w:b/>
                <w:sz w:val="28"/>
                <w:szCs w:val="28"/>
              </w:rPr>
              <w:t>et Materská škola</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49.495,00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108.101,00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108.472,93</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100,34</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jc w:val="both"/>
              <w:rPr>
                <w:b/>
              </w:rPr>
            </w:pPr>
            <w:r>
              <w:rPr>
                <w:b/>
              </w:rPr>
              <w:t>Materská škola-</w:t>
            </w:r>
          </w:p>
          <w:p>
            <w:pPr>
              <w:pStyle w:val="Normal"/>
              <w:tabs>
                <w:tab w:val="clear" w:pos="708"/>
                <w:tab w:val="right" w:pos="8460" w:leader="none"/>
              </w:tabs>
              <w:spacing w:before="0" w:after="200"/>
              <w:jc w:val="both"/>
              <w:rPr>
                <w:b/>
                <w:sz w:val="16"/>
                <w:szCs w:val="16"/>
              </w:rPr>
            </w:pPr>
            <w:r>
              <w:rPr>
                <w:b/>
                <w:sz w:val="16"/>
                <w:szCs w:val="16"/>
              </w:rPr>
              <w:t>hlavná činnosť</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49.495,00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99.803,00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100.174,09</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100,37</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pPr>
            <w:r>
              <w:rPr/>
              <w:t>Bežné príjmy KZ 41</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12.450,00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16.396,00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16.396,29</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100,00</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pPr>
            <w:r>
              <w:rPr/>
              <w:t>Bežné príjmy KZ 72f</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25.859,00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40.139,00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40.509,95</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100,92</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pPr>
            <w:r>
              <w:rPr/>
              <w:t>Bežné príjmy KZ 72j</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1.836,00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2.133,00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2.133,00</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100,00</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pPr>
            <w:r>
              <w:rPr/>
              <w:t>Bežné príjmy KZ 72g</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9.350,00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10.625,00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pPr>
            <w:r>
              <w:rPr/>
              <w:t>10.625,00</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100,00</w:t>
            </w:r>
          </w:p>
        </w:tc>
      </w:tr>
      <w:tr>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8460" w:leader="none"/>
              </w:tabs>
              <w:spacing w:before="0" w:after="200"/>
              <w:jc w:val="both"/>
              <w:rPr/>
            </w:pPr>
            <w:r>
              <w:rPr>
                <w:b/>
              </w:rPr>
              <w:t>Materská škola-</w:t>
            </w:r>
            <w:r>
              <w:rPr>
                <w:b/>
                <w:sz w:val="16"/>
                <w:szCs w:val="16"/>
              </w:rPr>
              <w:t>stravovanie</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0,00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38.808,00</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38.805,69</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99,99</w:t>
            </w:r>
          </w:p>
        </w:tc>
      </w:tr>
      <w:tr>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8460" w:leader="none"/>
              </w:tabs>
              <w:jc w:val="both"/>
              <w:rPr/>
            </w:pPr>
            <w:r>
              <w:rPr/>
              <w:t>Bežné príjmy /221/</w:t>
            </w:r>
          </w:p>
          <w:p>
            <w:pPr>
              <w:pStyle w:val="Normal"/>
              <w:tabs>
                <w:tab w:val="clear" w:pos="708"/>
                <w:tab w:val="right" w:pos="8460" w:leader="none"/>
              </w:tabs>
              <w:spacing w:before="0" w:after="200"/>
              <w:jc w:val="both"/>
              <w:rPr/>
            </w:pPr>
            <w:r>
              <w:rPr/>
              <w:t>Z toho :</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0,00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30.510,00</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30.509,85</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100,00</w:t>
            </w:r>
          </w:p>
        </w:tc>
      </w:tr>
      <w:tr>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8460" w:leader="none"/>
              </w:tabs>
              <w:spacing w:before="0" w:after="200"/>
              <w:jc w:val="both"/>
              <w:rPr/>
            </w:pPr>
            <w:r>
              <w:rPr/>
              <w:t>Bežné príjmy KZ 72f</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0,00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30.510,00</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30.509,85</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100,00</w:t>
            </w:r>
          </w:p>
        </w:tc>
      </w:tr>
      <w:tr>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8460" w:leader="none"/>
              </w:tabs>
              <w:spacing w:before="0" w:after="200"/>
              <w:jc w:val="both"/>
              <w:rPr/>
            </w:pPr>
            <w:r>
              <w:rPr/>
              <w:t>Finančné operácie 72f</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0,00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8.298,00</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8.298,84</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100,01</w:t>
            </w:r>
          </w:p>
        </w:tc>
      </w:tr>
      <w:tr>
        <w:trPr/>
        <w:tc>
          <w:tcPr>
            <w:tcW w:w="2694" w:type="dxa"/>
            <w:tcBorders>
              <w:top w:val="single" w:sz="4" w:space="0" w:color="000000"/>
              <w:left w:val="single" w:sz="4" w:space="0" w:color="000000"/>
              <w:bottom w:val="single" w:sz="4" w:space="0" w:color="000000"/>
            </w:tcBorders>
            <w:shd w:color="auto" w:fill="DEEAF6" w:val="clear"/>
          </w:tcPr>
          <w:p>
            <w:pPr>
              <w:pStyle w:val="Normal"/>
              <w:tabs>
                <w:tab w:val="clear" w:pos="708"/>
                <w:tab w:val="right" w:pos="8460" w:leader="none"/>
              </w:tabs>
              <w:snapToGrid w:val="false"/>
              <w:spacing w:before="0" w:after="200"/>
              <w:jc w:val="both"/>
              <w:rPr>
                <w:b/>
                <w:color w:val="C9211E"/>
              </w:rPr>
            </w:pPr>
            <w:r>
              <w:rPr>
                <w:b/>
                <w:color w:val="C9211E"/>
              </w:rPr>
            </w:r>
          </w:p>
        </w:tc>
        <w:tc>
          <w:tcPr>
            <w:tcW w:w="1555" w:type="dxa"/>
            <w:tcBorders>
              <w:top w:val="single" w:sz="4" w:space="0" w:color="000000"/>
              <w:left w:val="single" w:sz="4" w:space="0" w:color="000000"/>
              <w:bottom w:val="single" w:sz="4" w:space="0" w:color="000000"/>
            </w:tcBorders>
            <w:shd w:color="auto" w:fill="DEEAF6" w:val="clear"/>
            <w:vAlign w:val="center"/>
          </w:tcPr>
          <w:p>
            <w:pPr>
              <w:pStyle w:val="Normal"/>
              <w:tabs>
                <w:tab w:val="clear" w:pos="708"/>
                <w:tab w:val="right" w:pos="8460" w:leader="none"/>
              </w:tabs>
              <w:jc w:val="center"/>
              <w:rPr>
                <w:b/>
              </w:rPr>
            </w:pPr>
            <w:r>
              <w:rPr>
                <w:b/>
              </w:rPr>
              <w:t>Schválený</w:t>
            </w:r>
          </w:p>
          <w:p>
            <w:pPr>
              <w:pStyle w:val="Normal"/>
              <w:tabs>
                <w:tab w:val="clear" w:pos="708"/>
                <w:tab w:val="right" w:pos="8460" w:leader="none"/>
              </w:tabs>
              <w:jc w:val="center"/>
              <w:rPr>
                <w:b/>
              </w:rPr>
            </w:pPr>
            <w:r>
              <w:rPr>
                <w:b/>
              </w:rPr>
              <w:t>rozpočet</w:t>
            </w:r>
          </w:p>
          <w:p>
            <w:pPr>
              <w:pStyle w:val="Normal"/>
              <w:tabs>
                <w:tab w:val="clear" w:pos="708"/>
                <w:tab w:val="right" w:pos="8460" w:leader="none"/>
              </w:tabs>
              <w:spacing w:before="0" w:after="200"/>
              <w:jc w:val="center"/>
              <w:rPr>
                <w:b/>
              </w:rPr>
            </w:pPr>
            <w:r>
              <w:rPr>
                <w:b/>
              </w:rPr>
            </w:r>
          </w:p>
        </w:tc>
        <w:tc>
          <w:tcPr>
            <w:tcW w:w="2271" w:type="dxa"/>
            <w:tcBorders>
              <w:top w:val="single" w:sz="4" w:space="0" w:color="000000"/>
              <w:left w:val="single" w:sz="4" w:space="0" w:color="000000"/>
              <w:bottom w:val="single" w:sz="4" w:space="0" w:color="000000"/>
            </w:tcBorders>
            <w:shd w:color="auto" w:fill="DEEAF6" w:val="clear"/>
          </w:tcPr>
          <w:p>
            <w:pPr>
              <w:pStyle w:val="Normal"/>
              <w:tabs>
                <w:tab w:val="clear" w:pos="708"/>
                <w:tab w:val="right" w:pos="8820" w:leader="none"/>
              </w:tabs>
              <w:jc w:val="center"/>
              <w:rPr>
                <w:b/>
              </w:rPr>
            </w:pPr>
            <w:r>
              <w:rPr>
                <w:b/>
              </w:rPr>
              <w:t>Schválený rozpočet</w:t>
            </w:r>
          </w:p>
          <w:p>
            <w:pPr>
              <w:pStyle w:val="Normal"/>
              <w:tabs>
                <w:tab w:val="clear" w:pos="708"/>
                <w:tab w:val="right" w:pos="8820" w:leader="none"/>
              </w:tabs>
              <w:spacing w:before="0" w:after="200"/>
              <w:jc w:val="center"/>
              <w:rPr>
                <w:b/>
              </w:rPr>
            </w:pPr>
            <w:r>
              <w:rPr>
                <w:b/>
              </w:rPr>
              <w:t>po poslednej zmene</w:t>
            </w:r>
          </w:p>
        </w:tc>
        <w:tc>
          <w:tcPr>
            <w:tcW w:w="2123" w:type="dxa"/>
            <w:tcBorders>
              <w:top w:val="single" w:sz="4" w:space="0" w:color="000000"/>
              <w:left w:val="single" w:sz="4" w:space="0" w:color="000000"/>
              <w:bottom w:val="single" w:sz="4" w:space="0" w:color="000000"/>
            </w:tcBorders>
            <w:shd w:color="auto" w:fill="DEEAF6" w:val="clear"/>
          </w:tcPr>
          <w:p>
            <w:pPr>
              <w:pStyle w:val="Normal"/>
              <w:tabs>
                <w:tab w:val="clear" w:pos="708"/>
                <w:tab w:val="right" w:pos="8820" w:leader="none"/>
              </w:tabs>
              <w:jc w:val="center"/>
              <w:rPr>
                <w:b/>
              </w:rPr>
            </w:pPr>
            <w:r>
              <w:rPr>
                <w:b/>
              </w:rPr>
              <w:t>Skutočnosť</w:t>
            </w:r>
          </w:p>
          <w:p>
            <w:pPr>
              <w:pStyle w:val="Normal"/>
              <w:tabs>
                <w:tab w:val="clear" w:pos="708"/>
                <w:tab w:val="right" w:pos="8820" w:leader="none"/>
              </w:tabs>
              <w:spacing w:before="0" w:after="200"/>
              <w:jc w:val="center"/>
              <w:rPr>
                <w:b/>
              </w:rPr>
            </w:pPr>
            <w:r>
              <w:rPr>
                <w:b/>
              </w:rPr>
              <w:t>k 31.12.2024</w:t>
            </w:r>
          </w:p>
        </w:tc>
        <w:tc>
          <w:tcPr>
            <w:tcW w:w="1735" w:type="dxa"/>
            <w:tcBorders>
              <w:top w:val="single" w:sz="4" w:space="0" w:color="000000"/>
              <w:left w:val="single" w:sz="4" w:space="0" w:color="000000"/>
              <w:bottom w:val="single" w:sz="4" w:space="0" w:color="000000"/>
              <w:right w:val="single" w:sz="4" w:space="0" w:color="000000"/>
            </w:tcBorders>
            <w:shd w:color="auto" w:fill="DEEAF6" w:val="clear"/>
          </w:tcPr>
          <w:p>
            <w:pPr>
              <w:pStyle w:val="Normal"/>
              <w:tabs>
                <w:tab w:val="clear" w:pos="708"/>
                <w:tab w:val="right" w:pos="8820" w:leader="none"/>
              </w:tabs>
              <w:jc w:val="center"/>
              <w:rPr>
                <w:b/>
              </w:rPr>
            </w:pPr>
            <w:r>
              <w:rPr>
                <w:b/>
              </w:rPr>
              <w:t>% plnenia k 31.12.</w:t>
            </w:r>
          </w:p>
          <w:p>
            <w:pPr>
              <w:pStyle w:val="Normal"/>
              <w:tabs>
                <w:tab w:val="clear" w:pos="708"/>
                <w:tab w:val="right" w:pos="8820" w:leader="none"/>
              </w:tabs>
              <w:spacing w:before="0" w:after="200"/>
              <w:jc w:val="center"/>
              <w:rPr>
                <w:b/>
              </w:rPr>
            </w:pPr>
            <w:r>
              <w:rPr>
                <w:b/>
              </w:rPr>
              <w:t>2024</w:t>
            </w:r>
          </w:p>
        </w:tc>
      </w:tr>
      <w:tr>
        <w:trPr/>
        <w:tc>
          <w:tcPr>
            <w:tcW w:w="2694" w:type="dxa"/>
            <w:tcBorders>
              <w:top w:val="single" w:sz="4" w:space="0" w:color="000000"/>
              <w:left w:val="single" w:sz="4" w:space="0" w:color="000000"/>
              <w:bottom w:val="single" w:sz="4" w:space="0" w:color="000000"/>
            </w:tcBorders>
            <w:shd w:color="auto" w:fill="BDD6EE" w:val="clear"/>
          </w:tcPr>
          <w:p>
            <w:pPr>
              <w:pStyle w:val="Normal"/>
              <w:tabs>
                <w:tab w:val="clear" w:pos="708"/>
                <w:tab w:val="right" w:pos="8460" w:leader="none"/>
              </w:tabs>
              <w:spacing w:before="0" w:after="200"/>
              <w:jc w:val="both"/>
              <w:rPr>
                <w:b/>
              </w:rPr>
            </w:pPr>
            <w:r>
              <w:rPr>
                <w:b/>
              </w:rPr>
              <w:t>Výdavky celkom</w:t>
            </w:r>
          </w:p>
        </w:tc>
        <w:tc>
          <w:tcPr>
            <w:tcW w:w="1555" w:type="dxa"/>
            <w:tcBorders>
              <w:top w:val="single" w:sz="4" w:space="0" w:color="000000"/>
              <w:left w:val="single" w:sz="4" w:space="0" w:color="000000"/>
              <w:bottom w:val="single" w:sz="4" w:space="0" w:color="000000"/>
            </w:tcBorders>
            <w:shd w:color="auto" w:fill="BDD6EE" w:val="clear"/>
            <w:vAlign w:val="bottom"/>
          </w:tcPr>
          <w:p>
            <w:pPr>
              <w:pStyle w:val="Normal"/>
              <w:tabs>
                <w:tab w:val="clear" w:pos="708"/>
                <w:tab w:val="right" w:pos="8460" w:leader="none"/>
              </w:tabs>
              <w:spacing w:before="0" w:after="200"/>
              <w:jc w:val="right"/>
              <w:rPr>
                <w:b/>
              </w:rPr>
            </w:pPr>
            <w:r>
              <w:rPr>
                <w:b/>
              </w:rPr>
              <w:t>2.019.811,00</w:t>
            </w:r>
          </w:p>
        </w:tc>
        <w:tc>
          <w:tcPr>
            <w:tcW w:w="2271" w:type="dxa"/>
            <w:tcBorders>
              <w:top w:val="single" w:sz="4" w:space="0" w:color="000000"/>
              <w:left w:val="single" w:sz="4" w:space="0" w:color="000000"/>
              <w:bottom w:val="single" w:sz="4" w:space="0" w:color="000000"/>
            </w:tcBorders>
            <w:shd w:color="auto" w:fill="BDD6EE" w:val="clear"/>
            <w:vAlign w:val="bottom"/>
          </w:tcPr>
          <w:p>
            <w:pPr>
              <w:pStyle w:val="Normal"/>
              <w:tabs>
                <w:tab w:val="clear" w:pos="708"/>
                <w:tab w:val="right" w:pos="8460" w:leader="none"/>
              </w:tabs>
              <w:spacing w:before="0" w:after="200"/>
              <w:jc w:val="right"/>
              <w:rPr>
                <w:b/>
              </w:rPr>
            </w:pPr>
            <w:r>
              <w:rPr>
                <w:b/>
              </w:rPr>
              <w:t>2.697.910,33</w:t>
            </w:r>
          </w:p>
        </w:tc>
        <w:tc>
          <w:tcPr>
            <w:tcW w:w="2123" w:type="dxa"/>
            <w:tcBorders>
              <w:top w:val="single" w:sz="4" w:space="0" w:color="000000"/>
              <w:left w:val="single" w:sz="4" w:space="0" w:color="000000"/>
              <w:bottom w:val="single" w:sz="4" w:space="0" w:color="000000"/>
            </w:tcBorders>
            <w:shd w:color="auto" w:fill="BDD6EE" w:val="clear"/>
            <w:vAlign w:val="bottom"/>
          </w:tcPr>
          <w:p>
            <w:pPr>
              <w:pStyle w:val="Normal"/>
              <w:tabs>
                <w:tab w:val="clear" w:pos="708"/>
                <w:tab w:val="right" w:pos="8460" w:leader="none"/>
              </w:tabs>
              <w:spacing w:before="0" w:after="200"/>
              <w:jc w:val="right"/>
              <w:rPr>
                <w:b/>
              </w:rPr>
            </w:pPr>
            <w:r>
              <w:rPr>
                <w:b/>
              </w:rPr>
              <w:t>2.331.624,63</w:t>
            </w:r>
          </w:p>
        </w:tc>
        <w:tc>
          <w:tcPr>
            <w:tcW w:w="1735" w:type="dxa"/>
            <w:tcBorders>
              <w:top w:val="single" w:sz="4" w:space="0" w:color="000000"/>
              <w:left w:val="single" w:sz="4" w:space="0" w:color="000000"/>
              <w:bottom w:val="single" w:sz="4" w:space="0" w:color="000000"/>
              <w:right w:val="single" w:sz="4" w:space="0" w:color="000000"/>
            </w:tcBorders>
            <w:shd w:color="auto" w:fill="BDD6EE" w:val="clear"/>
            <w:vAlign w:val="bottom"/>
          </w:tcPr>
          <w:p>
            <w:pPr>
              <w:pStyle w:val="Obsahtabuky"/>
              <w:jc w:val="right"/>
              <w:rPr>
                <w:color w:val="000000"/>
              </w:rPr>
            </w:pPr>
            <w:r>
              <w:rPr>
                <w:color w:val="000000"/>
              </w:rPr>
              <w:t>86,42</w:t>
            </w:r>
          </w:p>
        </w:tc>
      </w:tr>
      <w:tr>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2336" w:leader="none"/>
              </w:tabs>
              <w:spacing w:before="0" w:after="200"/>
              <w:jc w:val="both"/>
              <w:rPr/>
            </w:pPr>
            <w:r>
              <w:rPr>
                <w:b/>
              </w:rPr>
              <w:t>Bežné</w:t>
            </w:r>
            <w:r>
              <w:rPr/>
              <w:t xml:space="preserve"> </w:t>
            </w:r>
            <w:r>
              <w:rPr>
                <w:b/>
              </w:rPr>
              <w:t>výdavky spolu</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1.967.786,00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2.438.045,04</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2.165.508,26</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88,82</w:t>
            </w:r>
          </w:p>
        </w:tc>
      </w:tr>
      <w:tr>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2336" w:leader="none"/>
              </w:tabs>
              <w:spacing w:before="0" w:after="200"/>
              <w:jc w:val="both"/>
              <w:rPr>
                <w:b/>
              </w:rPr>
            </w:pPr>
            <w:r>
              <w:rPr>
                <w:b/>
              </w:rPr>
              <w:t>Kapitálové výdavky spolu</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0,00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207.840,29</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pPr>
            <w:r>
              <w:rPr/>
              <w:t>124.467,74</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59,89</w:t>
            </w:r>
          </w:p>
        </w:tc>
      </w:tr>
      <w:tr>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2336" w:leader="none"/>
              </w:tabs>
              <w:spacing w:before="0" w:after="200"/>
              <w:jc w:val="both"/>
              <w:rPr>
                <w:b/>
                <w:color w:val="000000"/>
              </w:rPr>
            </w:pPr>
            <w:r>
              <w:rPr>
                <w:b/>
                <w:color w:val="000000"/>
              </w:rPr>
              <w:t>Finančné operácie spolu</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52.025,00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52.025,00</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41.648,63</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80,06</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pPr>
            <w:r>
              <w:rPr>
                <w:rFonts w:cs="Agency FB" w:ascii="Agency FB" w:hAnsi="Agency FB"/>
                <w:b/>
                <w:color w:val="000000"/>
                <w:sz w:val="28"/>
                <w:szCs w:val="28"/>
              </w:rPr>
              <w:t>Rozpo</w:t>
            </w:r>
            <w:r>
              <w:rPr>
                <w:rFonts w:cs="Calibri"/>
                <w:b/>
                <w:color w:val="000000"/>
                <w:sz w:val="28"/>
                <w:szCs w:val="28"/>
              </w:rPr>
              <w:t>č</w:t>
            </w:r>
            <w:r>
              <w:rPr>
                <w:rFonts w:cs="Agency FB" w:ascii="Agency FB" w:hAnsi="Agency FB"/>
                <w:b/>
                <w:color w:val="000000"/>
                <w:sz w:val="28"/>
                <w:szCs w:val="28"/>
              </w:rPr>
              <w:t>et obce</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844.532,00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1.198.867,33</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1.041.499,06</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86,87</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color w:val="000000"/>
              </w:rPr>
            </w:pPr>
            <w:r>
              <w:rPr>
                <w:color w:val="000000"/>
              </w:rPr>
              <w:t>Bežné výdavky z toho:</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792.507,00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940.302,04</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876.682,69</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93,23</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2336" w:leader="none"/>
              </w:tabs>
              <w:spacing w:before="0" w:after="200"/>
              <w:jc w:val="both"/>
              <w:rPr>
                <w:color w:val="000000"/>
                <w:sz w:val="18"/>
                <w:szCs w:val="18"/>
              </w:rPr>
            </w:pPr>
            <w:r>
              <w:rPr>
                <w:color w:val="000000"/>
                <w:sz w:val="18"/>
                <w:szCs w:val="18"/>
              </w:rPr>
              <w:t>Spoločný obecný úrad KZ 11H</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28.699,00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31.931,68</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20.940,98</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65,58</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2336" w:leader="none"/>
              </w:tabs>
              <w:spacing w:before="0" w:after="200"/>
              <w:jc w:val="both"/>
              <w:rPr>
                <w:color w:val="000000"/>
                <w:sz w:val="18"/>
                <w:szCs w:val="18"/>
              </w:rPr>
            </w:pPr>
            <w:r>
              <w:rPr>
                <w:color w:val="000000"/>
                <w:sz w:val="18"/>
                <w:szCs w:val="18"/>
              </w:rPr>
              <w:t>Spoločný obecný úrad KZ 41</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12.767,00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21.413,40</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11.409,95</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53,28</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color w:val="000000"/>
              </w:rPr>
            </w:pPr>
            <w:r>
              <w:rPr>
                <w:color w:val="000000"/>
              </w:rPr>
              <w:t>Kapitálové výdavky</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0,00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206.540,29</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123.167,74</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59,63</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color w:val="000000"/>
              </w:rPr>
            </w:pPr>
            <w:r>
              <w:rPr>
                <w:color w:val="000000"/>
              </w:rPr>
              <w:t>Finančné operácie</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52 025,00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52 025,00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41.648,63</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80,06</w:t>
            </w:r>
          </w:p>
        </w:tc>
      </w:tr>
      <w:tr>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8460" w:leader="none"/>
              </w:tabs>
              <w:spacing w:before="0" w:after="200"/>
              <w:jc w:val="both"/>
              <w:rPr>
                <w:b/>
                <w:color w:val="000000"/>
              </w:rPr>
            </w:pPr>
            <w:r>
              <w:rPr>
                <w:b/>
                <w:color w:val="000000"/>
              </w:rPr>
              <w:t>Výdavky RO s právnou subjektivitou</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1.175.279,00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1.499.043,00</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1.290.125,57</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86,06</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pPr>
            <w:r>
              <w:rPr>
                <w:rFonts w:cs="Agency FB" w:ascii="Agency FB" w:hAnsi="Agency FB"/>
                <w:b/>
                <w:color w:val="000000"/>
                <w:sz w:val="28"/>
                <w:szCs w:val="28"/>
              </w:rPr>
              <w:t>Rozpo</w:t>
            </w:r>
            <w:r>
              <w:rPr>
                <w:rFonts w:cs="Calibri"/>
                <w:b/>
                <w:color w:val="000000"/>
                <w:sz w:val="28"/>
                <w:szCs w:val="28"/>
              </w:rPr>
              <w:t>č</w:t>
            </w:r>
            <w:r>
              <w:rPr>
                <w:rFonts w:cs="Agency FB" w:ascii="Agency FB" w:hAnsi="Agency FB"/>
                <w:b/>
                <w:color w:val="000000"/>
                <w:sz w:val="28"/>
                <w:szCs w:val="28"/>
              </w:rPr>
              <w:t>et Základná škola</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804.586,00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994.543,00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794.568,43</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79,89</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color w:val="000000"/>
              </w:rPr>
            </w:pPr>
            <w:r>
              <w:rPr>
                <w:color w:val="000000"/>
              </w:rPr>
              <w:t>Bežné výdavky</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804.586,00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994.543,00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794.568,43</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79,89</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pPr>
            <w:r>
              <w:rPr>
                <w:rFonts w:cs="Agency FB" w:ascii="Agency FB" w:hAnsi="Agency FB"/>
                <w:b/>
                <w:color w:val="000000"/>
                <w:sz w:val="28"/>
                <w:szCs w:val="28"/>
              </w:rPr>
              <w:t>Rozpo</w:t>
            </w:r>
            <w:r>
              <w:rPr>
                <w:rFonts w:cs="Calibri"/>
                <w:b/>
                <w:color w:val="000000"/>
                <w:sz w:val="28"/>
                <w:szCs w:val="28"/>
              </w:rPr>
              <w:t>č</w:t>
            </w:r>
            <w:r>
              <w:rPr>
                <w:rFonts w:cs="Agency FB" w:ascii="Agency FB" w:hAnsi="Agency FB"/>
                <w:b/>
                <w:color w:val="000000"/>
                <w:sz w:val="28"/>
                <w:szCs w:val="28"/>
              </w:rPr>
              <w:t>et Materská škola</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370.693,00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504.500,00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495.557,14</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98,23</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jc w:val="both"/>
              <w:rPr>
                <w:b/>
                <w:color w:val="000000"/>
              </w:rPr>
            </w:pPr>
            <w:r>
              <w:rPr>
                <w:b/>
                <w:color w:val="000000"/>
              </w:rPr>
              <w:t>Materská škola-</w:t>
            </w:r>
          </w:p>
          <w:p>
            <w:pPr>
              <w:pStyle w:val="Normal"/>
              <w:tabs>
                <w:tab w:val="clear" w:pos="708"/>
                <w:tab w:val="right" w:pos="8460" w:leader="none"/>
              </w:tabs>
              <w:spacing w:before="0" w:after="200"/>
              <w:jc w:val="both"/>
              <w:rPr>
                <w:b/>
                <w:color w:val="000000"/>
                <w:sz w:val="16"/>
                <w:szCs w:val="16"/>
              </w:rPr>
            </w:pPr>
            <w:r>
              <w:rPr>
                <w:b/>
                <w:color w:val="000000"/>
                <w:sz w:val="16"/>
                <w:szCs w:val="16"/>
              </w:rPr>
              <w:t>hlavná činnosť</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191.339,00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207.154,00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206.912,13</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99,88</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color w:val="000000"/>
              </w:rPr>
            </w:pPr>
            <w:r>
              <w:rPr>
                <w:color w:val="000000"/>
              </w:rPr>
              <w:t>Bežné výdavky</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191.339,00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205.854,00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205.612,13</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99,88</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color w:val="000000"/>
              </w:rPr>
            </w:pPr>
            <w:r>
              <w:rPr>
                <w:color w:val="000000"/>
              </w:rPr>
              <w:t>Bežné výdavky KZ 111</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10.863,00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20.379,00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20.379,00</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100,00</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color w:val="000000"/>
              </w:rPr>
            </w:pPr>
            <w:r>
              <w:rPr>
                <w:color w:val="000000"/>
              </w:rPr>
              <w:t>Bežné výdavky KZ 41</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169.290,00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171.967,00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171.725,13</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99,86</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color w:val="000000"/>
              </w:rPr>
            </w:pPr>
            <w:r>
              <w:rPr>
                <w:color w:val="000000"/>
              </w:rPr>
              <w:t>Bežné výdavky KZ 72f</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0,00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0,00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0,00</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0,00</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color w:val="000000"/>
              </w:rPr>
            </w:pPr>
            <w:r>
              <w:rPr>
                <w:color w:val="000000"/>
              </w:rPr>
              <w:t>Bežné výdavky KZ 72j</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1.836,00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2.133,00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2.133,00</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100,00</w:t>
            </w:r>
          </w:p>
        </w:tc>
      </w:tr>
      <w:tr>
        <w:trPr/>
        <w:tc>
          <w:tcPr>
            <w:tcW w:w="2694" w:type="dxa"/>
            <w:tcBorders>
              <w:top w:val="single" w:sz="4" w:space="0" w:color="000000"/>
              <w:left w:val="single" w:sz="4" w:space="0" w:color="000000"/>
              <w:bottom w:val="single" w:sz="4" w:space="0" w:color="000000"/>
            </w:tcBorders>
          </w:tcPr>
          <w:p>
            <w:pPr>
              <w:pStyle w:val="Normal"/>
              <w:tabs>
                <w:tab w:val="clear" w:pos="708"/>
                <w:tab w:val="right" w:pos="8460" w:leader="none"/>
              </w:tabs>
              <w:spacing w:before="0" w:after="200"/>
              <w:jc w:val="both"/>
              <w:rPr>
                <w:color w:val="000000"/>
              </w:rPr>
            </w:pPr>
            <w:r>
              <w:rPr>
                <w:color w:val="000000"/>
              </w:rPr>
              <w:t>Bežné výdavky KZ 72g</w:t>
            </w:r>
          </w:p>
        </w:tc>
        <w:tc>
          <w:tcPr>
            <w:tcW w:w="1555"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9.350,00</w:t>
            </w:r>
          </w:p>
        </w:tc>
        <w:tc>
          <w:tcPr>
            <w:tcW w:w="2271"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10.625,00</w:t>
            </w:r>
          </w:p>
        </w:tc>
        <w:tc>
          <w:tcPr>
            <w:tcW w:w="2123" w:type="dxa"/>
            <w:tcBorders>
              <w:top w:val="single" w:sz="4" w:space="0" w:color="000000"/>
              <w:left w:val="single" w:sz="4" w:space="0" w:color="000000"/>
              <w:bottom w:val="single" w:sz="4" w:space="0" w:color="000000"/>
            </w:tcBorders>
            <w:vAlign w:val="bottom"/>
          </w:tcPr>
          <w:p>
            <w:pPr>
              <w:pStyle w:val="Normal"/>
              <w:tabs>
                <w:tab w:val="clear" w:pos="708"/>
                <w:tab w:val="right" w:pos="8460" w:leader="none"/>
              </w:tabs>
              <w:spacing w:before="0" w:after="200"/>
              <w:jc w:val="right"/>
              <w:rPr>
                <w:color w:val="000000"/>
              </w:rPr>
            </w:pPr>
            <w:r>
              <w:rPr>
                <w:color w:val="000000"/>
              </w:rPr>
              <w:t>10.625,00</w:t>
            </w:r>
          </w:p>
        </w:tc>
        <w:tc>
          <w:tcPr>
            <w:tcW w:w="1735" w:type="dxa"/>
            <w:tcBorders>
              <w:top w:val="single" w:sz="4" w:space="0" w:color="000000"/>
              <w:left w:val="single" w:sz="4" w:space="0" w:color="000000"/>
              <w:bottom w:val="single" w:sz="4" w:space="0" w:color="000000"/>
              <w:right w:val="single" w:sz="4" w:space="0" w:color="000000"/>
            </w:tcBorders>
            <w:vAlign w:val="bottom"/>
          </w:tcPr>
          <w:p>
            <w:pPr>
              <w:pStyle w:val="Obsahtabuky"/>
              <w:jc w:val="right"/>
              <w:rPr>
                <w:color w:val="000000"/>
              </w:rPr>
            </w:pPr>
            <w:r>
              <w:rPr>
                <w:color w:val="000000"/>
              </w:rPr>
              <w:t>100,00</w:t>
            </w:r>
          </w:p>
        </w:tc>
      </w:tr>
      <w:tr>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8460" w:leader="none"/>
              </w:tabs>
              <w:spacing w:before="0" w:after="200"/>
              <w:jc w:val="both"/>
              <w:rPr/>
            </w:pPr>
            <w:r>
              <w:rPr>
                <w:b/>
                <w:color w:val="000000"/>
              </w:rPr>
              <w:t>Materská škola-</w:t>
            </w:r>
            <w:r>
              <w:rPr>
                <w:b/>
                <w:color w:val="000000"/>
                <w:sz w:val="16"/>
                <w:szCs w:val="16"/>
              </w:rPr>
              <w:t>stravovanie</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179.354,00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297.346,00</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288.645,01</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97,07</w:t>
            </w:r>
          </w:p>
        </w:tc>
      </w:tr>
      <w:tr>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8460" w:leader="none"/>
              </w:tabs>
              <w:spacing w:before="0" w:after="200"/>
              <w:jc w:val="both"/>
              <w:rPr>
                <w:color w:val="000000"/>
              </w:rPr>
            </w:pPr>
            <w:r>
              <w:rPr>
                <w:color w:val="000000"/>
              </w:rPr>
              <w:t>Bežné výdavky KZ 111</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0,00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81.573,00</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70.120,10</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85,96</w:t>
            </w:r>
          </w:p>
        </w:tc>
      </w:tr>
      <w:tr>
        <w:trPr/>
        <w:tc>
          <w:tcPr>
            <w:tcW w:w="2694" w:type="dxa"/>
            <w:tcBorders>
              <w:top w:val="single" w:sz="4" w:space="0" w:color="000000"/>
              <w:left w:val="single" w:sz="4" w:space="0" w:color="000000"/>
              <w:bottom w:val="single" w:sz="4" w:space="0" w:color="000000"/>
            </w:tcBorders>
            <w:shd w:color="auto" w:fill="FFFFFF" w:val="clear"/>
          </w:tcPr>
          <w:p>
            <w:pPr>
              <w:pStyle w:val="Normal"/>
              <w:tabs>
                <w:tab w:val="clear" w:pos="708"/>
                <w:tab w:val="right" w:pos="8460" w:leader="none"/>
              </w:tabs>
              <w:spacing w:before="0" w:after="200"/>
              <w:jc w:val="both"/>
              <w:rPr>
                <w:color w:val="000000"/>
              </w:rPr>
            </w:pPr>
            <w:r>
              <w:rPr>
                <w:color w:val="000000"/>
              </w:rPr>
              <w:t>Bežné výdavky KZ 72f</w:t>
            </w:r>
          </w:p>
        </w:tc>
        <w:tc>
          <w:tcPr>
            <w:tcW w:w="1555"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25.859,00</w:t>
            </w:r>
          </w:p>
        </w:tc>
        <w:tc>
          <w:tcPr>
            <w:tcW w:w="2271"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70.649,00</w:t>
            </w:r>
          </w:p>
        </w:tc>
        <w:tc>
          <w:tcPr>
            <w:tcW w:w="2123" w:type="dxa"/>
            <w:tcBorders>
              <w:top w:val="single" w:sz="4" w:space="0" w:color="000000"/>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73.198,15</w:t>
            </w:r>
          </w:p>
        </w:tc>
        <w:tc>
          <w:tcPr>
            <w:tcW w:w="1735" w:type="dxa"/>
            <w:tcBorders>
              <w:top w:val="single" w:sz="4" w:space="0" w:color="000000"/>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103,61</w:t>
            </w:r>
          </w:p>
        </w:tc>
      </w:tr>
      <w:tr>
        <w:trPr/>
        <w:tc>
          <w:tcPr>
            <w:tcW w:w="2694" w:type="dxa"/>
            <w:tcBorders>
              <w:left w:val="single" w:sz="4" w:space="0" w:color="000000"/>
              <w:bottom w:val="single" w:sz="4" w:space="0" w:color="000000"/>
            </w:tcBorders>
            <w:shd w:color="auto" w:fill="FFFFFF" w:val="clear"/>
          </w:tcPr>
          <w:p>
            <w:pPr>
              <w:pStyle w:val="Normal"/>
              <w:tabs>
                <w:tab w:val="clear" w:pos="708"/>
                <w:tab w:val="right" w:pos="8460" w:leader="none"/>
              </w:tabs>
              <w:spacing w:before="0" w:after="200"/>
              <w:jc w:val="both"/>
              <w:rPr>
                <w:color w:val="000000"/>
              </w:rPr>
            </w:pPr>
            <w:r>
              <w:rPr>
                <w:color w:val="000000"/>
              </w:rPr>
              <w:t>Kapitálové výdavky</w:t>
            </w:r>
          </w:p>
        </w:tc>
        <w:tc>
          <w:tcPr>
            <w:tcW w:w="1555" w:type="dxa"/>
            <w:tcBorders>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0,00</w:t>
            </w:r>
          </w:p>
        </w:tc>
        <w:tc>
          <w:tcPr>
            <w:tcW w:w="2271" w:type="dxa"/>
            <w:tcBorders>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1.300,00</w:t>
            </w:r>
          </w:p>
        </w:tc>
        <w:tc>
          <w:tcPr>
            <w:tcW w:w="2123" w:type="dxa"/>
            <w:tcBorders>
              <w:left w:val="single" w:sz="4" w:space="0" w:color="000000"/>
              <w:bottom w:val="single" w:sz="4" w:space="0" w:color="000000"/>
            </w:tcBorders>
            <w:shd w:color="auto" w:fill="FFFFFF" w:val="clear"/>
            <w:vAlign w:val="bottom"/>
          </w:tcPr>
          <w:p>
            <w:pPr>
              <w:pStyle w:val="Normal"/>
              <w:tabs>
                <w:tab w:val="clear" w:pos="708"/>
                <w:tab w:val="right" w:pos="8460" w:leader="none"/>
              </w:tabs>
              <w:spacing w:before="0" w:after="200"/>
              <w:jc w:val="right"/>
              <w:rPr>
                <w:color w:val="000000"/>
              </w:rPr>
            </w:pPr>
            <w:r>
              <w:rPr>
                <w:color w:val="000000"/>
              </w:rPr>
              <w:t>1.300,00</w:t>
            </w:r>
          </w:p>
        </w:tc>
        <w:tc>
          <w:tcPr>
            <w:tcW w:w="1735" w:type="dxa"/>
            <w:tcBorders>
              <w:left w:val="single" w:sz="4" w:space="0" w:color="000000"/>
              <w:bottom w:val="single" w:sz="4" w:space="0" w:color="000000"/>
              <w:right w:val="single" w:sz="4" w:space="0" w:color="000000"/>
            </w:tcBorders>
            <w:shd w:color="auto" w:fill="FFFFFF" w:val="clear"/>
            <w:vAlign w:val="bottom"/>
          </w:tcPr>
          <w:p>
            <w:pPr>
              <w:pStyle w:val="Obsahtabuky"/>
              <w:jc w:val="right"/>
              <w:rPr>
                <w:color w:val="000000"/>
              </w:rPr>
            </w:pPr>
            <w:r>
              <w:rPr>
                <w:color w:val="000000"/>
              </w:rPr>
              <w:t>100,00</w:t>
            </w:r>
          </w:p>
        </w:tc>
      </w:tr>
      <w:tr>
        <w:trPr/>
        <w:tc>
          <w:tcPr>
            <w:tcW w:w="2694" w:type="dxa"/>
            <w:tcBorders>
              <w:top w:val="single" w:sz="4" w:space="0" w:color="000000"/>
              <w:left w:val="single" w:sz="4" w:space="0" w:color="000000"/>
              <w:bottom w:val="single" w:sz="4" w:space="0" w:color="000000"/>
            </w:tcBorders>
            <w:shd w:color="auto" w:fill="DEEAF6" w:val="clear"/>
          </w:tcPr>
          <w:p>
            <w:pPr>
              <w:pStyle w:val="Normal"/>
              <w:tabs>
                <w:tab w:val="clear" w:pos="708"/>
                <w:tab w:val="right" w:pos="8460" w:leader="none"/>
              </w:tabs>
              <w:spacing w:before="0" w:after="200"/>
              <w:rPr>
                <w:b/>
                <w:color w:val="C9211E"/>
              </w:rPr>
            </w:pPr>
            <w:r>
              <w:rPr>
                <w:b/>
                <w:color w:val="C9211E"/>
              </w:rPr>
            </w:r>
          </w:p>
        </w:tc>
        <w:tc>
          <w:tcPr>
            <w:tcW w:w="1555" w:type="dxa"/>
            <w:tcBorders>
              <w:top w:val="single" w:sz="4" w:space="0" w:color="000000"/>
              <w:left w:val="single" w:sz="4" w:space="0" w:color="000000"/>
              <w:bottom w:val="single" w:sz="4" w:space="0" w:color="000000"/>
            </w:tcBorders>
            <w:shd w:color="auto" w:fill="DEEAF6" w:val="clear"/>
            <w:vAlign w:val="bottom"/>
          </w:tcPr>
          <w:p>
            <w:pPr>
              <w:pStyle w:val="Normal"/>
              <w:tabs>
                <w:tab w:val="clear" w:pos="708"/>
                <w:tab w:val="right" w:pos="8460" w:leader="none"/>
              </w:tabs>
              <w:snapToGrid w:val="false"/>
              <w:spacing w:before="0" w:after="200"/>
              <w:jc w:val="right"/>
              <w:rPr>
                <w:b/>
                <w:color w:val="C9211E"/>
              </w:rPr>
            </w:pPr>
            <w:r>
              <w:rPr>
                <w:b/>
                <w:color w:val="C9211E"/>
              </w:rPr>
            </w:r>
          </w:p>
        </w:tc>
        <w:tc>
          <w:tcPr>
            <w:tcW w:w="2271" w:type="dxa"/>
            <w:tcBorders>
              <w:top w:val="single" w:sz="4" w:space="0" w:color="000000"/>
              <w:left w:val="single" w:sz="4" w:space="0" w:color="000000"/>
              <w:bottom w:val="single" w:sz="4" w:space="0" w:color="000000"/>
            </w:tcBorders>
            <w:shd w:color="auto" w:fill="DEEAF6" w:val="clear"/>
            <w:vAlign w:val="bottom"/>
          </w:tcPr>
          <w:p>
            <w:pPr>
              <w:pStyle w:val="Normal"/>
              <w:tabs>
                <w:tab w:val="clear" w:pos="708"/>
                <w:tab w:val="right" w:pos="8460" w:leader="none"/>
              </w:tabs>
              <w:snapToGrid w:val="false"/>
              <w:spacing w:before="0" w:after="200"/>
              <w:jc w:val="right"/>
              <w:rPr>
                <w:b/>
                <w:color w:val="C9211E"/>
              </w:rPr>
            </w:pPr>
            <w:r>
              <w:rPr>
                <w:b/>
                <w:color w:val="C9211E"/>
              </w:rPr>
            </w:r>
          </w:p>
        </w:tc>
        <w:tc>
          <w:tcPr>
            <w:tcW w:w="2123" w:type="dxa"/>
            <w:tcBorders>
              <w:top w:val="single" w:sz="4" w:space="0" w:color="000000"/>
              <w:left w:val="single" w:sz="4" w:space="0" w:color="000000"/>
              <w:bottom w:val="single" w:sz="4" w:space="0" w:color="000000"/>
            </w:tcBorders>
            <w:shd w:color="auto" w:fill="DEEAF6" w:val="clear"/>
            <w:vAlign w:val="bottom"/>
          </w:tcPr>
          <w:p>
            <w:pPr>
              <w:pStyle w:val="Normal"/>
              <w:tabs>
                <w:tab w:val="clear" w:pos="708"/>
                <w:tab w:val="right" w:pos="8460" w:leader="none"/>
              </w:tabs>
              <w:snapToGrid w:val="false"/>
              <w:spacing w:before="0" w:after="200"/>
              <w:jc w:val="right"/>
              <w:rPr>
                <w:b/>
                <w:color w:val="C9211E"/>
              </w:rPr>
            </w:pPr>
            <w:r>
              <w:rPr>
                <w:b/>
                <w:color w:val="C9211E"/>
              </w:rPr>
            </w:r>
          </w:p>
        </w:tc>
        <w:tc>
          <w:tcPr>
            <w:tcW w:w="1735" w:type="dxa"/>
            <w:tcBorders>
              <w:top w:val="single" w:sz="4" w:space="0" w:color="000000"/>
              <w:left w:val="single" w:sz="4" w:space="0" w:color="000000"/>
              <w:bottom w:val="single" w:sz="4" w:space="0" w:color="000000"/>
              <w:right w:val="single" w:sz="4" w:space="0" w:color="000000"/>
            </w:tcBorders>
            <w:shd w:color="auto" w:fill="DEEAF6" w:val="clear"/>
          </w:tcPr>
          <w:p>
            <w:pPr>
              <w:pStyle w:val="Obsahtabuky"/>
              <w:snapToGrid w:val="false"/>
              <w:rPr>
                <w:b/>
                <w:color w:val="000000"/>
              </w:rPr>
            </w:pPr>
            <w:r>
              <w:rPr>
                <w:b/>
                <w:color w:val="000000"/>
              </w:rPr>
            </w:r>
          </w:p>
        </w:tc>
      </w:tr>
    </w:tbl>
    <w:p>
      <w:pPr>
        <w:pStyle w:val="Normal"/>
        <w:rPr>
          <w:color w:val="C9211E"/>
        </w:rPr>
      </w:pPr>
      <w:r>
        <w:rPr>
          <w:color w:val="C9211E"/>
        </w:rPr>
      </w:r>
    </w:p>
    <w:p>
      <w:pPr>
        <w:pStyle w:val="Normal"/>
        <w:rPr>
          <w:color w:val="000000"/>
        </w:rPr>
      </w:pPr>
      <w:r>
        <w:rPr>
          <w:color w:val="000000"/>
        </w:rPr>
        <w:t>KZ 111 – Zo štátneho rozpočtu</w:t>
      </w:r>
    </w:p>
    <w:p>
      <w:pPr>
        <w:pStyle w:val="Normal"/>
        <w:rPr>
          <w:color w:val="000000"/>
        </w:rPr>
      </w:pPr>
      <w:r>
        <w:rPr>
          <w:color w:val="000000"/>
        </w:rPr>
        <w:t>KZ 11H – Transfer od ostatných subjektov verejnej správy</w:t>
      </w:r>
    </w:p>
    <w:p>
      <w:pPr>
        <w:pStyle w:val="Normal"/>
        <w:rPr>
          <w:color w:val="000000"/>
        </w:rPr>
      </w:pPr>
      <w:r>
        <w:rPr>
          <w:color w:val="000000"/>
        </w:rPr>
        <w:t>KZ 41 – Vlastné príjmy obcí</w:t>
      </w:r>
    </w:p>
    <w:p>
      <w:pPr>
        <w:pStyle w:val="Normal"/>
        <w:rPr>
          <w:color w:val="000000"/>
        </w:rPr>
      </w:pPr>
      <w:r>
        <w:rPr>
          <w:color w:val="000000"/>
        </w:rPr>
        <w:t>KZ 72f – Súvisiace so stravovaním vrátane úhrad stravy</w:t>
      </w:r>
    </w:p>
    <w:p>
      <w:pPr>
        <w:pStyle w:val="Normal"/>
        <w:rPr>
          <w:color w:val="000000"/>
        </w:rPr>
      </w:pPr>
      <w:r>
        <w:rPr>
          <w:color w:val="000000"/>
        </w:rPr>
        <w:t xml:space="preserve">KZ 72j – Od fyzickej osoby alebo právnickej osoby podľa osobitného predpisu </w:t>
      </w:r>
    </w:p>
    <w:p>
      <w:pPr>
        <w:pStyle w:val="Normal"/>
        <w:rPr>
          <w:color w:val="000000"/>
        </w:rPr>
      </w:pPr>
      <w:r>
        <w:rPr>
          <w:color w:val="000000"/>
        </w:rPr>
        <w:t>KZ 72g – Ostatné príjmy vyššie neuvedené</w:t>
      </w:r>
    </w:p>
    <w:p>
      <w:pPr>
        <w:pStyle w:val="Normal"/>
        <w:jc w:val="both"/>
        <w:rPr>
          <w:b/>
          <w:color w:val="000000"/>
          <w:sz w:val="28"/>
          <w:szCs w:val="28"/>
          <w:u w:val="single"/>
        </w:rPr>
      </w:pPr>
      <w:r>
        <w:rPr>
          <w:b/>
          <w:color w:val="000000"/>
          <w:sz w:val="28"/>
          <w:szCs w:val="28"/>
          <w:u w:val="single"/>
        </w:rPr>
        <w:t>2. Rozbor plnenia príjmov za rok 2024</w:t>
      </w:r>
    </w:p>
    <w:p>
      <w:pPr>
        <w:pStyle w:val="Normal"/>
        <w:rPr>
          <w:b/>
          <w:i/>
          <w:i/>
          <w:color w:val="000000"/>
          <w:u w:val="single"/>
        </w:rPr>
      </w:pPr>
      <w:r>
        <w:rPr>
          <w:b/>
          <w:i/>
          <w:color w:val="000000"/>
          <w:u w:val="single"/>
        </w:rPr>
        <w:t>Obec Selce</w:t>
      </w:r>
    </w:p>
    <w:tbl>
      <w:tblPr>
        <w:tblW w:w="10236"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2962"/>
        <w:gridCol w:w="3071"/>
        <w:gridCol w:w="4203"/>
      </w:tblGrid>
      <w:tr>
        <w:trPr/>
        <w:tc>
          <w:tcPr>
            <w:tcW w:w="2962"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Rozpočet na rok 2024</w:t>
            </w:r>
          </w:p>
        </w:tc>
        <w:tc>
          <w:tcPr>
            <w:tcW w:w="3071"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Skutočnosť k 31.12.2024</w:t>
            </w:r>
          </w:p>
        </w:tc>
        <w:tc>
          <w:tcPr>
            <w:tcW w:w="4203" w:type="dxa"/>
            <w:tcBorders>
              <w:top w:val="single" w:sz="4" w:space="0" w:color="000000"/>
              <w:left w:val="single" w:sz="4" w:space="0" w:color="000000"/>
              <w:bottom w:val="single" w:sz="4" w:space="0" w:color="000000"/>
              <w:right w:val="single" w:sz="4" w:space="0" w:color="000000"/>
            </w:tcBorders>
            <w:shd w:color="auto" w:fill="DEEAF6" w:val="clear"/>
          </w:tcPr>
          <w:p>
            <w:pPr>
              <w:pStyle w:val="Normal"/>
              <w:spacing w:before="0" w:after="200"/>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2.612.221,76</w:t>
            </w:r>
          </w:p>
        </w:tc>
        <w:tc>
          <w:tcPr>
            <w:tcW w:w="3071"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2.451.357,37</w:t>
            </w:r>
          </w:p>
        </w:tc>
        <w:tc>
          <w:tcPr>
            <w:tcW w:w="4203"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before="0" w:after="200"/>
              <w:jc w:val="right"/>
              <w:rPr>
                <w:color w:val="000000"/>
              </w:rPr>
            </w:pPr>
            <w:r>
              <w:rPr>
                <w:color w:val="000000"/>
              </w:rPr>
              <w:t>93,84</w:t>
            </w:r>
          </w:p>
        </w:tc>
      </w:tr>
    </w:tbl>
    <w:p>
      <w:pPr>
        <w:pStyle w:val="Normal"/>
        <w:jc w:val="right"/>
        <w:rPr>
          <w:b/>
          <w:color w:val="000000"/>
        </w:rPr>
      </w:pPr>
      <w:r>
        <w:rPr>
          <w:b/>
          <w:color w:val="000000"/>
        </w:rPr>
      </w:r>
    </w:p>
    <w:p>
      <w:pPr>
        <w:pStyle w:val="Normal"/>
        <w:jc w:val="both"/>
        <w:rPr/>
      </w:pPr>
      <w:r>
        <w:rPr>
          <w:color w:val="000000"/>
        </w:rPr>
        <w:t>Z rozpočtovaných celkových príjmov 2.612.221,76 EUR bol skutočný príjem k 31.12.2024 v sume 2.451.357,37 EUR, čo predstavuje  93,84 % plnenie.</w:t>
      </w:r>
      <w:r>
        <w:rPr>
          <w:color w:val="C9211E"/>
        </w:rPr>
        <w:t xml:space="preserve"> </w:t>
      </w:r>
    </w:p>
    <w:p>
      <w:pPr>
        <w:pStyle w:val="Normal"/>
        <w:rPr>
          <w:b/>
          <w:color w:val="C9211E"/>
        </w:rPr>
      </w:pPr>
      <w:r>
        <w:rPr>
          <w:b/>
          <w:color w:val="C9211E"/>
        </w:rPr>
      </w:r>
    </w:p>
    <w:p>
      <w:pPr>
        <w:pStyle w:val="Normal"/>
        <w:rPr>
          <w:b/>
          <w:i/>
          <w:i/>
          <w:color w:val="000000"/>
        </w:rPr>
      </w:pPr>
      <w:r>
        <w:rPr>
          <w:b/>
          <w:i/>
          <w:color w:val="000000"/>
        </w:rPr>
        <w:t>1. Bežné príjmy</w:t>
      </w:r>
    </w:p>
    <w:p>
      <w:pPr>
        <w:pStyle w:val="Normal"/>
        <w:rPr>
          <w:b/>
          <w:i/>
          <w:i/>
          <w:color w:val="000000"/>
        </w:rPr>
      </w:pPr>
      <w:r>
        <w:rPr>
          <w:b/>
          <w:i/>
          <w:color w:val="000000"/>
        </w:rPr>
      </w:r>
    </w:p>
    <w:tbl>
      <w:tblPr>
        <w:tblW w:w="10236"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2962"/>
        <w:gridCol w:w="3071"/>
        <w:gridCol w:w="4203"/>
      </w:tblGrid>
      <w:tr>
        <w:trPr/>
        <w:tc>
          <w:tcPr>
            <w:tcW w:w="2962"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Rozpočet na rok 2024</w:t>
            </w:r>
          </w:p>
        </w:tc>
        <w:tc>
          <w:tcPr>
            <w:tcW w:w="3071"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Skutočnosť k 31.12.2024</w:t>
            </w:r>
          </w:p>
        </w:tc>
        <w:tc>
          <w:tcPr>
            <w:tcW w:w="4203" w:type="dxa"/>
            <w:tcBorders>
              <w:top w:val="single" w:sz="4" w:space="0" w:color="000000"/>
              <w:left w:val="single" w:sz="4" w:space="0" w:color="000000"/>
              <w:bottom w:val="single" w:sz="4" w:space="0" w:color="000000"/>
              <w:right w:val="single" w:sz="4" w:space="0" w:color="000000"/>
            </w:tcBorders>
            <w:shd w:color="auto" w:fill="DEEAF6" w:val="clear"/>
          </w:tcPr>
          <w:p>
            <w:pPr>
              <w:pStyle w:val="Normal"/>
              <w:spacing w:before="0" w:after="200"/>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2.339.527,76</w:t>
            </w:r>
          </w:p>
        </w:tc>
        <w:tc>
          <w:tcPr>
            <w:tcW w:w="3071"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2.302.298,11</w:t>
            </w:r>
          </w:p>
        </w:tc>
        <w:tc>
          <w:tcPr>
            <w:tcW w:w="4203"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before="0" w:after="200"/>
              <w:jc w:val="right"/>
              <w:rPr>
                <w:color w:val="000000"/>
              </w:rPr>
            </w:pPr>
            <w:r>
              <w:rPr>
                <w:color w:val="000000"/>
              </w:rPr>
              <w:t>98,41</w:t>
            </w:r>
          </w:p>
        </w:tc>
      </w:tr>
    </w:tbl>
    <w:p>
      <w:pPr>
        <w:pStyle w:val="Normal"/>
        <w:jc w:val="right"/>
        <w:rPr>
          <w:b/>
          <w:color w:val="000000"/>
        </w:rPr>
      </w:pPr>
      <w:r>
        <w:rPr>
          <w:b/>
          <w:color w:val="000000"/>
        </w:rPr>
      </w:r>
    </w:p>
    <w:p>
      <w:pPr>
        <w:pStyle w:val="Normal"/>
        <w:jc w:val="both"/>
        <w:rPr/>
      </w:pPr>
      <w:r>
        <w:rPr>
          <w:color w:val="000000"/>
        </w:rPr>
        <w:t>Z rozpočtovaných bežných príjmov 2.339.527,76 EUR bol skutočný príjem k 31.12.2024 v sume            2.302.298,11 EUR, čo predstavuje</w:t>
      </w:r>
      <w:r>
        <w:rPr>
          <w:color w:val="C9211E"/>
        </w:rPr>
        <w:t xml:space="preserve"> </w:t>
      </w:r>
      <w:r>
        <w:rPr>
          <w:color w:val="000000"/>
        </w:rPr>
        <w:t xml:space="preserve"> 98,41 %  plnenie. </w:t>
      </w:r>
    </w:p>
    <w:p>
      <w:pPr>
        <w:pStyle w:val="Normal"/>
        <w:ind w:left="284"/>
        <w:rPr>
          <w:color w:val="C9211E"/>
        </w:rPr>
      </w:pPr>
      <w:r>
        <w:rPr>
          <w:color w:val="C9211E"/>
        </w:rPr>
      </w:r>
    </w:p>
    <w:p>
      <w:pPr>
        <w:pStyle w:val="Normal"/>
        <w:numPr>
          <w:ilvl w:val="0"/>
          <w:numId w:val="6"/>
        </w:numPr>
        <w:rPr/>
      </w:pPr>
      <w:r>
        <w:rPr>
          <w:b/>
          <w:color w:val="000000"/>
        </w:rPr>
        <w:t xml:space="preserve">daňové príjmy </w:t>
      </w:r>
    </w:p>
    <w:p>
      <w:pPr>
        <w:pStyle w:val="Normal"/>
        <w:rPr>
          <w:b/>
          <w:color w:val="000000"/>
        </w:rPr>
      </w:pPr>
      <w:r>
        <w:rPr>
          <w:b/>
          <w:color w:val="000000"/>
        </w:rPr>
      </w:r>
    </w:p>
    <w:tbl>
      <w:tblPr>
        <w:tblW w:w="10236"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2962"/>
        <w:gridCol w:w="3071"/>
        <w:gridCol w:w="4203"/>
      </w:tblGrid>
      <w:tr>
        <w:trPr/>
        <w:tc>
          <w:tcPr>
            <w:tcW w:w="2962"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Rozpočet na rok 2024</w:t>
            </w:r>
          </w:p>
        </w:tc>
        <w:tc>
          <w:tcPr>
            <w:tcW w:w="3071"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Skutočnosť k 31.12.2024</w:t>
            </w:r>
          </w:p>
        </w:tc>
        <w:tc>
          <w:tcPr>
            <w:tcW w:w="4203" w:type="dxa"/>
            <w:tcBorders>
              <w:top w:val="single" w:sz="4" w:space="0" w:color="000000"/>
              <w:left w:val="single" w:sz="4" w:space="0" w:color="000000"/>
              <w:bottom w:val="single" w:sz="4" w:space="0" w:color="000000"/>
              <w:right w:val="single" w:sz="4" w:space="0" w:color="000000"/>
            </w:tcBorders>
            <w:shd w:color="auto" w:fill="DEEAF6" w:val="clear"/>
          </w:tcPr>
          <w:p>
            <w:pPr>
              <w:pStyle w:val="Normal"/>
              <w:spacing w:before="0" w:after="200"/>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1.149.259,90</w:t>
            </w:r>
          </w:p>
        </w:tc>
        <w:tc>
          <w:tcPr>
            <w:tcW w:w="3071"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1.119.619,05</w:t>
            </w:r>
          </w:p>
        </w:tc>
        <w:tc>
          <w:tcPr>
            <w:tcW w:w="4203"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before="0" w:after="200"/>
              <w:jc w:val="right"/>
              <w:rPr>
                <w:b/>
                <w:color w:val="000000"/>
              </w:rPr>
            </w:pPr>
            <w:r>
              <w:rPr>
                <w:b/>
                <w:color w:val="000000"/>
              </w:rPr>
              <w:t>97,42</w:t>
            </w:r>
          </w:p>
        </w:tc>
      </w:tr>
    </w:tbl>
    <w:p>
      <w:pPr>
        <w:pStyle w:val="Normal"/>
        <w:jc w:val="both"/>
        <w:rPr>
          <w:b/>
          <w:color w:val="000000"/>
        </w:rPr>
      </w:pPr>
      <w:r>
        <w:rPr>
          <w:b/>
          <w:color w:val="000000"/>
        </w:rPr>
      </w:r>
    </w:p>
    <w:p>
      <w:pPr>
        <w:pStyle w:val="Normal"/>
        <w:jc w:val="both"/>
        <w:rPr>
          <w:b/>
          <w:color w:val="000000"/>
        </w:rPr>
      </w:pPr>
      <w:r>
        <w:rPr>
          <w:b/>
          <w:color w:val="000000"/>
        </w:rPr>
        <w:t xml:space="preserve">Výnos dane z príjmov poukázaný územnej samospráve </w:t>
      </w:r>
    </w:p>
    <w:p>
      <w:pPr>
        <w:pStyle w:val="Normal"/>
        <w:jc w:val="both"/>
        <w:rPr>
          <w:color w:val="000000"/>
        </w:rPr>
      </w:pPr>
      <w:r>
        <w:rPr>
          <w:color w:val="000000"/>
        </w:rPr>
        <w:t xml:space="preserve">Z predpokladanej finančnej čiastky v sume 972.078,00 EUR z výnosu dane z príjmov boli k 31.12.2024 poukázané finančné prostriedky zo ŠR v sume 946.975,39 EUR, čo predstavuje plnenie na 97,42 %. </w:t>
      </w:r>
    </w:p>
    <w:p>
      <w:pPr>
        <w:pStyle w:val="Normal"/>
        <w:jc w:val="both"/>
        <w:rPr>
          <w:b/>
          <w:color w:val="C9211E"/>
        </w:rPr>
      </w:pPr>
      <w:r>
        <w:rPr>
          <w:b/>
          <w:color w:val="C9211E"/>
        </w:rPr>
      </w:r>
    </w:p>
    <w:p>
      <w:pPr>
        <w:pStyle w:val="Normal"/>
        <w:jc w:val="both"/>
        <w:rPr>
          <w:b/>
          <w:color w:val="000000"/>
        </w:rPr>
      </w:pPr>
      <w:r>
        <w:rPr>
          <w:b/>
          <w:color w:val="000000"/>
        </w:rPr>
        <w:t>Daň z nehnuteľností</w:t>
      </w:r>
    </w:p>
    <w:p>
      <w:pPr>
        <w:pStyle w:val="Normal"/>
        <w:jc w:val="both"/>
        <w:rPr>
          <w:color w:val="000000"/>
        </w:rPr>
      </w:pPr>
      <w:r>
        <w:rPr>
          <w:color w:val="000000"/>
        </w:rPr>
        <w:t>Z rozpočtovaných 76.343,29 EUR bol skutočný príjem k 31.12.2024 v sume 76.343,29 EUR, čo je 100 % plnenie. Príjmy dane z pozemkov boli v sume 32.550,82 EUR, dane zo stavieb boli v sume 43.235,67 EUR a dane z bytov boli v sume 556,80 EUR. K 31.12.2024 obec eviduje pohľadávky na dani zo stavieb 3 130,51 EUR a  z pozemkov 3 637,39 EUR.</w:t>
      </w:r>
    </w:p>
    <w:p>
      <w:pPr>
        <w:pStyle w:val="Normal"/>
        <w:jc w:val="both"/>
        <w:rPr>
          <w:b/>
          <w:color w:val="C9211E"/>
        </w:rPr>
      </w:pPr>
      <w:r>
        <w:rPr>
          <w:b/>
          <w:color w:val="C9211E"/>
        </w:rPr>
      </w:r>
    </w:p>
    <w:p>
      <w:pPr>
        <w:pStyle w:val="Normal"/>
        <w:jc w:val="both"/>
        <w:rPr/>
      </w:pPr>
      <w:r>
        <w:rPr>
          <w:b/>
          <w:color w:val="000000"/>
        </w:rPr>
        <w:t>Daň za psa  2.070,00</w:t>
      </w:r>
      <w:r>
        <w:rPr>
          <w:color w:val="000000"/>
        </w:rPr>
        <w:t xml:space="preserve"> EUR</w:t>
      </w:r>
    </w:p>
    <w:p>
      <w:pPr>
        <w:pStyle w:val="Normal"/>
        <w:jc w:val="both"/>
        <w:rPr/>
      </w:pPr>
      <w:r>
        <w:rPr>
          <w:b/>
          <w:color w:val="000000"/>
        </w:rPr>
        <w:t>Daň za ubytovanie 4.860,72</w:t>
      </w:r>
      <w:r>
        <w:rPr>
          <w:color w:val="000000"/>
        </w:rPr>
        <w:t xml:space="preserve"> EUR</w:t>
      </w:r>
    </w:p>
    <w:p>
      <w:pPr>
        <w:pStyle w:val="Normal"/>
        <w:jc w:val="both"/>
        <w:rPr/>
      </w:pPr>
      <w:r>
        <w:rPr>
          <w:b/>
          <w:color w:val="000000"/>
        </w:rPr>
        <w:t xml:space="preserve">Daň za nevýherné hracie prístroje </w:t>
      </w:r>
      <w:r>
        <w:rPr>
          <w:color w:val="000000"/>
        </w:rPr>
        <w:t>0,00 EUR</w:t>
      </w:r>
    </w:p>
    <w:p>
      <w:pPr>
        <w:pStyle w:val="Normal"/>
        <w:jc w:val="both"/>
        <w:rPr/>
      </w:pPr>
      <w:r>
        <w:rPr>
          <w:b/>
          <w:color w:val="000000"/>
        </w:rPr>
        <w:t>Poplatok za komunálny odpad a drobný stavebný odpad 88.838,55</w:t>
      </w:r>
      <w:r>
        <w:rPr>
          <w:color w:val="000000"/>
        </w:rPr>
        <w:t xml:space="preserve"> EUR</w:t>
      </w:r>
    </w:p>
    <w:p>
      <w:pPr>
        <w:pStyle w:val="Normal"/>
        <w:jc w:val="both"/>
        <w:rPr/>
      </w:pPr>
      <w:r>
        <w:rPr>
          <w:b/>
          <w:color w:val="000000"/>
        </w:rPr>
        <w:t xml:space="preserve">Daň za dobývací priestor </w:t>
      </w:r>
      <w:r>
        <w:rPr>
          <w:color w:val="000000"/>
        </w:rPr>
        <w:t>531,10 EUR</w:t>
      </w:r>
    </w:p>
    <w:p>
      <w:pPr>
        <w:pStyle w:val="Normal"/>
        <w:jc w:val="both"/>
        <w:rPr/>
      </w:pPr>
      <w:r>
        <w:rPr/>
        <w:t>K 31.12.2024 obec eviduje pohľadávky na poplatku za komunálny odpad  za rok 2024 v sume 445,96 EUR.</w:t>
      </w:r>
    </w:p>
    <w:p>
      <w:pPr>
        <w:pStyle w:val="Normal"/>
        <w:numPr>
          <w:ilvl w:val="0"/>
          <w:numId w:val="6"/>
        </w:numPr>
        <w:rPr/>
      </w:pPr>
      <w:r>
        <w:rPr>
          <w:b/>
          <w:color w:val="000000"/>
        </w:rPr>
        <w:t xml:space="preserve">nedaňové príjmy: </w:t>
      </w:r>
    </w:p>
    <w:p>
      <w:pPr>
        <w:pStyle w:val="Normal"/>
        <w:rPr>
          <w:b/>
          <w:color w:val="000000"/>
        </w:rPr>
      </w:pPr>
      <w:r>
        <w:rPr>
          <w:b/>
          <w:color w:val="000000"/>
        </w:rPr>
        <w:t xml:space="preserve"> </w:t>
      </w:r>
    </w:p>
    <w:tbl>
      <w:tblPr>
        <w:tblW w:w="10236"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2962"/>
        <w:gridCol w:w="3071"/>
        <w:gridCol w:w="4203"/>
      </w:tblGrid>
      <w:tr>
        <w:trPr/>
        <w:tc>
          <w:tcPr>
            <w:tcW w:w="2962"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Rozpočet na rok 2024</w:t>
            </w:r>
          </w:p>
        </w:tc>
        <w:tc>
          <w:tcPr>
            <w:tcW w:w="3071"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Skutočnosť k 31.12.2024</w:t>
            </w:r>
          </w:p>
        </w:tc>
        <w:tc>
          <w:tcPr>
            <w:tcW w:w="4203" w:type="dxa"/>
            <w:tcBorders>
              <w:top w:val="single" w:sz="4" w:space="0" w:color="000000"/>
              <w:left w:val="single" w:sz="4" w:space="0" w:color="000000"/>
              <w:bottom w:val="single" w:sz="4" w:space="0" w:color="000000"/>
              <w:right w:val="single" w:sz="4" w:space="0" w:color="000000"/>
            </w:tcBorders>
            <w:shd w:color="auto" w:fill="DEEAF6" w:val="clear"/>
          </w:tcPr>
          <w:p>
            <w:pPr>
              <w:pStyle w:val="Normal"/>
              <w:spacing w:before="0" w:after="200"/>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96.500,81</w:t>
            </w:r>
          </w:p>
        </w:tc>
        <w:tc>
          <w:tcPr>
            <w:tcW w:w="3071"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94.337,19</w:t>
            </w:r>
          </w:p>
        </w:tc>
        <w:tc>
          <w:tcPr>
            <w:tcW w:w="4203"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jc w:val="right"/>
              <w:rPr>
                <w:color w:val="000000"/>
              </w:rPr>
            </w:pPr>
            <w:r>
              <w:rPr>
                <w:color w:val="000000"/>
              </w:rPr>
              <w:t>97,99</w:t>
            </w:r>
          </w:p>
        </w:tc>
      </w:tr>
    </w:tbl>
    <w:p>
      <w:pPr>
        <w:pStyle w:val="Normal"/>
        <w:tabs>
          <w:tab w:val="clear" w:pos="708"/>
          <w:tab w:val="right" w:pos="284" w:leader="none"/>
        </w:tabs>
        <w:jc w:val="both"/>
        <w:rPr>
          <w:b/>
          <w:color w:val="000000"/>
        </w:rPr>
      </w:pPr>
      <w:r>
        <w:rPr>
          <w:b/>
          <w:color w:val="000000"/>
        </w:rPr>
      </w:r>
    </w:p>
    <w:p>
      <w:pPr>
        <w:pStyle w:val="Normal"/>
        <w:tabs>
          <w:tab w:val="clear" w:pos="708"/>
          <w:tab w:val="right" w:pos="284" w:leader="none"/>
        </w:tabs>
        <w:jc w:val="both"/>
        <w:rPr>
          <w:b/>
          <w:color w:val="000000"/>
        </w:rPr>
      </w:pPr>
      <w:r>
        <w:rPr>
          <w:b/>
          <w:color w:val="000000"/>
        </w:rPr>
        <w:t>Príjmy z podnikania a z vlastníctva majetku</w:t>
      </w:r>
    </w:p>
    <w:p>
      <w:pPr>
        <w:pStyle w:val="Normal"/>
        <w:jc w:val="both"/>
        <w:rPr/>
      </w:pPr>
      <w:r>
        <w:rPr>
          <w:color w:val="000000"/>
        </w:rPr>
        <w:t>Z rozpočtovaných 25.832,51 EUR bol skutočný príjem k 31.12.2024 v sume 25.876,27 EUR, čo je 100,17 %</w:t>
      </w:r>
      <w:r>
        <w:rPr>
          <w:color w:val="C9211E"/>
        </w:rPr>
        <w:t xml:space="preserve"> </w:t>
      </w:r>
      <w:r>
        <w:rPr>
          <w:color w:val="000000"/>
        </w:rPr>
        <w:t xml:space="preserve">plnenie. Uvedený príjem predstavuje príjem z prenajatých pozemkov v sume 1.597,36 86 EUR, príjem z prenajatých budov, priestorov, objektov, hrobových miest  v sume 23.340,51 EUR a príjem z prenajatých strojov, prístrojov, zariadení, techniky a náradia v sume 941,40 EUR. </w:t>
      </w:r>
    </w:p>
    <w:p>
      <w:pPr>
        <w:pStyle w:val="Normal"/>
        <w:tabs>
          <w:tab w:val="clear" w:pos="708"/>
          <w:tab w:val="right" w:pos="284" w:leader="none"/>
        </w:tabs>
        <w:jc w:val="both"/>
        <w:rPr>
          <w:b/>
          <w:color w:val="C9211E"/>
        </w:rPr>
      </w:pPr>
      <w:r>
        <w:rPr>
          <w:b/>
          <w:color w:val="C9211E"/>
        </w:rPr>
      </w:r>
    </w:p>
    <w:p>
      <w:pPr>
        <w:pStyle w:val="Normal"/>
        <w:tabs>
          <w:tab w:val="clear" w:pos="708"/>
          <w:tab w:val="right" w:pos="284" w:leader="none"/>
        </w:tabs>
        <w:jc w:val="both"/>
        <w:rPr>
          <w:b/>
          <w:color w:val="000000"/>
        </w:rPr>
      </w:pPr>
      <w:r>
        <w:rPr>
          <w:b/>
          <w:color w:val="000000"/>
        </w:rPr>
        <w:t>Administratívne poplatky a iné poplatky a platby</w:t>
      </w:r>
    </w:p>
    <w:p>
      <w:pPr>
        <w:pStyle w:val="Normal"/>
        <w:jc w:val="both"/>
        <w:rPr/>
      </w:pPr>
      <w:r>
        <w:rPr>
          <w:color w:val="000000"/>
        </w:rPr>
        <w:t>Z rozpočtovaných 46.512,26 EUR bol skutočný príjem k 31.12.2024 v sume 44.169,40 EUR</w:t>
      </w:r>
      <w:r>
        <w:rPr>
          <w:color w:val="C9211E"/>
        </w:rPr>
        <w:t>,</w:t>
      </w:r>
      <w:r>
        <w:rPr>
          <w:color w:val="000000"/>
        </w:rPr>
        <w:t xml:space="preserve"> čo je 94,96 % plnenie. </w:t>
      </w:r>
    </w:p>
    <w:p>
      <w:pPr>
        <w:pStyle w:val="Normal"/>
        <w:jc w:val="both"/>
        <w:rPr>
          <w:color w:val="C9211E"/>
        </w:rPr>
      </w:pPr>
      <w:r>
        <w:rPr>
          <w:color w:val="C9211E"/>
        </w:rPr>
      </w:r>
    </w:p>
    <w:p>
      <w:pPr>
        <w:pStyle w:val="Normal"/>
        <w:jc w:val="both"/>
        <w:rPr>
          <w:b/>
          <w:color w:val="000000"/>
        </w:rPr>
      </w:pPr>
      <w:r>
        <w:rPr>
          <w:b/>
          <w:color w:val="000000"/>
        </w:rPr>
        <w:t>Úroky z tuzemských úverov, pôžičiek, návratných finančných výpomocí, vkladov a ážio</w:t>
      </w:r>
    </w:p>
    <w:p>
      <w:pPr>
        <w:pStyle w:val="Normal"/>
        <w:jc w:val="both"/>
        <w:rPr>
          <w:color w:val="000000"/>
        </w:rPr>
      </w:pPr>
      <w:r>
        <w:rPr>
          <w:color w:val="000000"/>
        </w:rPr>
        <w:t xml:space="preserve">Z rozpočtovaných 0,00 EUR bol skutočný príjem k 31.12.2024 v sume 0,00 EUR, čo je 0,00 % plnenie. </w:t>
      </w:r>
    </w:p>
    <w:p>
      <w:pPr>
        <w:pStyle w:val="Normal"/>
        <w:jc w:val="both"/>
        <w:rPr>
          <w:color w:val="000000"/>
        </w:rPr>
      </w:pPr>
      <w:r>
        <w:rPr>
          <w:color w:val="000000"/>
        </w:rPr>
      </w:r>
    </w:p>
    <w:p>
      <w:pPr>
        <w:pStyle w:val="Normal"/>
        <w:numPr>
          <w:ilvl w:val="0"/>
          <w:numId w:val="6"/>
        </w:numPr>
        <w:rPr/>
      </w:pPr>
      <w:r>
        <w:rPr>
          <w:b/>
          <w:color w:val="000000"/>
        </w:rPr>
        <w:t xml:space="preserve"> </w:t>
      </w:r>
      <w:r>
        <w:rPr>
          <w:b/>
          <w:color w:val="000000"/>
        </w:rPr>
        <w:t xml:space="preserve">iné nedaňové príjmy: </w:t>
      </w:r>
    </w:p>
    <w:p>
      <w:pPr>
        <w:pStyle w:val="Normal"/>
        <w:rPr>
          <w:b/>
          <w:color w:val="C9211E"/>
        </w:rPr>
      </w:pPr>
      <w:r>
        <w:rPr>
          <w:b/>
          <w:color w:val="C9211E"/>
        </w:rPr>
        <w:t xml:space="preserve"> </w:t>
      </w:r>
    </w:p>
    <w:tbl>
      <w:tblPr>
        <w:tblW w:w="10236"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2962"/>
        <w:gridCol w:w="3071"/>
        <w:gridCol w:w="4203"/>
      </w:tblGrid>
      <w:tr>
        <w:trPr/>
        <w:tc>
          <w:tcPr>
            <w:tcW w:w="2962"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Rozpočet na rok 2024</w:t>
            </w:r>
          </w:p>
        </w:tc>
        <w:tc>
          <w:tcPr>
            <w:tcW w:w="3071"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Skutočnosť k 31.12.2024</w:t>
            </w:r>
          </w:p>
        </w:tc>
        <w:tc>
          <w:tcPr>
            <w:tcW w:w="4203" w:type="dxa"/>
            <w:tcBorders>
              <w:top w:val="single" w:sz="4" w:space="0" w:color="000000"/>
              <w:left w:val="single" w:sz="4" w:space="0" w:color="000000"/>
              <w:bottom w:val="single" w:sz="4" w:space="0" w:color="000000"/>
              <w:right w:val="single" w:sz="4" w:space="0" w:color="000000"/>
            </w:tcBorders>
            <w:shd w:color="auto" w:fill="DEEAF6" w:val="clear"/>
          </w:tcPr>
          <w:p>
            <w:pPr>
              <w:pStyle w:val="Normal"/>
              <w:spacing w:before="0" w:after="200"/>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24.156,04</w:t>
            </w:r>
          </w:p>
        </w:tc>
        <w:tc>
          <w:tcPr>
            <w:tcW w:w="3071"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24.291,52</w:t>
            </w:r>
          </w:p>
        </w:tc>
        <w:tc>
          <w:tcPr>
            <w:tcW w:w="4203"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jc w:val="right"/>
              <w:rPr>
                <w:color w:val="000000"/>
              </w:rPr>
            </w:pPr>
            <w:r>
              <w:rPr>
                <w:color w:val="000000"/>
              </w:rPr>
              <w:t>100,56</w:t>
            </w:r>
          </w:p>
        </w:tc>
      </w:tr>
    </w:tbl>
    <w:p>
      <w:pPr>
        <w:pStyle w:val="Normal"/>
        <w:jc w:val="right"/>
        <w:rPr>
          <w:color w:val="000000"/>
        </w:rPr>
      </w:pPr>
      <w:r>
        <w:rPr>
          <w:color w:val="000000"/>
        </w:rPr>
      </w:r>
    </w:p>
    <w:p>
      <w:pPr>
        <w:pStyle w:val="Normal"/>
        <w:jc w:val="both"/>
        <w:rPr>
          <w:color w:val="000000"/>
        </w:rPr>
      </w:pPr>
      <w:r>
        <w:rPr>
          <w:color w:val="000000"/>
        </w:rPr>
        <w:t xml:space="preserve">Z rozpočtovaných iných nedaňových príjmov 24.156,04 EUR bol skutočný príjem vo výške 24.291,52  EUR, čo predstavuje 100,56 % plnenie. </w:t>
      </w:r>
    </w:p>
    <w:p>
      <w:pPr>
        <w:pStyle w:val="Normal"/>
        <w:jc w:val="both"/>
        <w:rPr>
          <w:color w:val="000000"/>
        </w:rPr>
      </w:pPr>
      <w:r>
        <w:rPr>
          <w:color w:val="000000"/>
        </w:rPr>
        <w:t xml:space="preserve">Medzi iné nedaňové príjmy boli rozpočtované príjmy z dobropisov, refundácií, náhrad z poistného plnenia a z vratiek. </w:t>
      </w:r>
    </w:p>
    <w:p>
      <w:pPr>
        <w:pStyle w:val="Normal"/>
        <w:rPr>
          <w:b/>
          <w:color w:val="C9211E"/>
          <w:u w:val="single"/>
        </w:rPr>
      </w:pPr>
      <w:r>
        <w:rPr>
          <w:b/>
          <w:color w:val="C9211E"/>
          <w:u w:val="single"/>
        </w:rPr>
      </w:r>
    </w:p>
    <w:p>
      <w:pPr>
        <w:pStyle w:val="Normal"/>
        <w:rPr>
          <w:b/>
          <w:color w:val="C9211E"/>
          <w:u w:val="single"/>
        </w:rPr>
      </w:pPr>
      <w:r>
        <w:rPr>
          <w:b/>
          <w:color w:val="C9211E"/>
          <w:u w:val="single"/>
        </w:rPr>
      </w:r>
    </w:p>
    <w:p>
      <w:pPr>
        <w:pStyle w:val="Normal"/>
        <w:rPr>
          <w:b/>
          <w:color w:val="C9211E"/>
          <w:u w:val="single"/>
        </w:rPr>
      </w:pPr>
      <w:r>
        <w:rPr>
          <w:b/>
          <w:color w:val="C9211E"/>
          <w:u w:val="single"/>
        </w:rPr>
      </w:r>
    </w:p>
    <w:p>
      <w:pPr>
        <w:pStyle w:val="Normal"/>
        <w:numPr>
          <w:ilvl w:val="0"/>
          <w:numId w:val="6"/>
        </w:numPr>
        <w:rPr/>
      </w:pPr>
      <w:r>
        <w:rPr>
          <w:b/>
          <w:color w:val="000000"/>
        </w:rPr>
        <w:t>granty a transfery</w:t>
      </w:r>
    </w:p>
    <w:p>
      <w:pPr>
        <w:pStyle w:val="Normal"/>
        <w:jc w:val="both"/>
        <w:rPr>
          <w:color w:val="000000"/>
        </w:rPr>
      </w:pPr>
      <w:r>
        <w:rPr>
          <w:color w:val="000000"/>
        </w:rPr>
        <w:t>Z rozpočtovaných grantov a transferov 1.093.767,05 EUR bol skutočný príjem vo výške 1.088.341,87 R, čo predstavuje 99,50% plnenie.</w:t>
      </w:r>
    </w:p>
    <w:p>
      <w:pPr>
        <w:pStyle w:val="Normal"/>
        <w:jc w:val="both"/>
        <w:rPr>
          <w:color w:val="C9211E"/>
        </w:rPr>
      </w:pPr>
      <w:r>
        <w:rPr>
          <w:color w:val="C9211E"/>
        </w:rPr>
      </w:r>
    </w:p>
    <w:tbl>
      <w:tblPr>
        <w:tblW w:w="10236"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3968"/>
        <w:gridCol w:w="1844"/>
        <w:gridCol w:w="4424"/>
      </w:tblGrid>
      <w:tr>
        <w:trPr/>
        <w:tc>
          <w:tcPr>
            <w:tcW w:w="3968"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rPr>
            </w:pPr>
            <w:r>
              <w:rPr>
                <w:b/>
              </w:rPr>
              <w:t>Poskytovateľ dotácie</w:t>
            </w:r>
          </w:p>
        </w:tc>
        <w:tc>
          <w:tcPr>
            <w:tcW w:w="1844"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rPr>
            </w:pPr>
            <w:r>
              <w:rPr>
                <w:b/>
              </w:rPr>
              <w:t>Suma v EUR</w:t>
            </w:r>
          </w:p>
        </w:tc>
        <w:tc>
          <w:tcPr>
            <w:tcW w:w="4424" w:type="dxa"/>
            <w:tcBorders>
              <w:top w:val="single" w:sz="4" w:space="0" w:color="000000"/>
              <w:left w:val="single" w:sz="4" w:space="0" w:color="000000"/>
              <w:bottom w:val="single" w:sz="4" w:space="0" w:color="000000"/>
              <w:right w:val="single" w:sz="4" w:space="0" w:color="000000"/>
            </w:tcBorders>
            <w:shd w:color="auto" w:fill="DEEAF6" w:val="clear"/>
          </w:tcPr>
          <w:p>
            <w:pPr>
              <w:pStyle w:val="Normal"/>
              <w:spacing w:before="0" w:after="200"/>
              <w:jc w:val="center"/>
              <w:rPr>
                <w:b/>
              </w:rPr>
            </w:pPr>
            <w:r>
              <w:rPr>
                <w:b/>
              </w:rPr>
              <w:t>Účel</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REGIONÁLNY ÚRAD ŠKOLSKEJ SPRÁVY</w:t>
            </w:r>
          </w:p>
        </w:tc>
        <w:tc>
          <w:tcPr>
            <w:tcW w:w="1844" w:type="dxa"/>
            <w:tcBorders>
              <w:top w:val="single" w:sz="4" w:space="0" w:color="000000"/>
              <w:left w:val="single" w:sz="4" w:space="0" w:color="000000"/>
              <w:bottom w:val="single" w:sz="4" w:space="0" w:color="000000"/>
            </w:tcBorders>
            <w:vAlign w:val="bottom"/>
          </w:tcPr>
          <w:p>
            <w:pPr>
              <w:pStyle w:val="Normal"/>
              <w:spacing w:before="0" w:after="200"/>
              <w:jc w:val="right"/>
              <w:rPr/>
            </w:pPr>
            <w:r>
              <w:rPr/>
              <w:t>640 787,00</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Normatívne finančné prostriedky ZŠ</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REGIONÁLNY ÚRAD ŠKOLSKEJ SPRÁVY</w:t>
            </w:r>
          </w:p>
        </w:tc>
        <w:tc>
          <w:tcPr>
            <w:tcW w:w="1844" w:type="dxa"/>
            <w:tcBorders>
              <w:top w:val="single" w:sz="4" w:space="0" w:color="000000"/>
              <w:left w:val="single" w:sz="4" w:space="0" w:color="000000"/>
              <w:bottom w:val="single" w:sz="4" w:space="0" w:color="000000"/>
            </w:tcBorders>
            <w:vAlign w:val="bottom"/>
          </w:tcPr>
          <w:p>
            <w:pPr>
              <w:pStyle w:val="Normal"/>
              <w:spacing w:before="0" w:after="200"/>
              <w:jc w:val="right"/>
              <w:rPr/>
            </w:pPr>
            <w:r>
              <w:rPr/>
              <w:t>3 291,00</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Normatívne finančné prostriedky ZŠ/2024</w:t>
            </w:r>
          </w:p>
        </w:tc>
      </w:tr>
      <w:tr>
        <w:trPr/>
        <w:tc>
          <w:tcPr>
            <w:tcW w:w="3968" w:type="dxa"/>
            <w:tcBorders>
              <w:left w:val="single" w:sz="4" w:space="0" w:color="000000"/>
              <w:bottom w:val="single" w:sz="4" w:space="0" w:color="000000"/>
            </w:tcBorders>
            <w:vAlign w:val="bottom"/>
          </w:tcPr>
          <w:p>
            <w:pPr>
              <w:pStyle w:val="Normal"/>
              <w:spacing w:before="0" w:after="200"/>
              <w:rPr>
                <w:sz w:val="18"/>
                <w:szCs w:val="18"/>
              </w:rPr>
            </w:pPr>
            <w:r>
              <w:rPr>
                <w:sz w:val="18"/>
                <w:szCs w:val="18"/>
              </w:rPr>
              <w:t>REGIONÁLNY ÚRAD ŠKOLSKEJ SPRÁVY</w:t>
            </w:r>
          </w:p>
        </w:tc>
        <w:tc>
          <w:tcPr>
            <w:tcW w:w="1844" w:type="dxa"/>
            <w:tcBorders>
              <w:left w:val="single" w:sz="4" w:space="0" w:color="000000"/>
              <w:bottom w:val="single" w:sz="4" w:space="0" w:color="000000"/>
            </w:tcBorders>
            <w:vAlign w:val="bottom"/>
          </w:tcPr>
          <w:p>
            <w:pPr>
              <w:pStyle w:val="Normal"/>
              <w:spacing w:before="0" w:after="200"/>
              <w:jc w:val="right"/>
              <w:rPr/>
            </w:pPr>
            <w:r>
              <w:rPr/>
              <w:t>169 137,00</w:t>
            </w:r>
          </w:p>
        </w:tc>
        <w:tc>
          <w:tcPr>
            <w:tcW w:w="4424" w:type="dxa"/>
            <w:tcBorders>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Havarijný stav Telocvična</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REGIONÁLNY ÚRAD ŠKOLSKEJ SPRÁVY</w:t>
            </w:r>
          </w:p>
        </w:tc>
        <w:tc>
          <w:tcPr>
            <w:tcW w:w="1844" w:type="dxa"/>
            <w:tcBorders>
              <w:top w:val="single" w:sz="4" w:space="0" w:color="000000"/>
              <w:left w:val="single" w:sz="4" w:space="0" w:color="000000"/>
              <w:bottom w:val="single" w:sz="4" w:space="0" w:color="000000"/>
            </w:tcBorders>
            <w:vAlign w:val="bottom"/>
          </w:tcPr>
          <w:p>
            <w:pPr>
              <w:pStyle w:val="Normal"/>
              <w:spacing w:before="0" w:after="200"/>
              <w:jc w:val="right"/>
              <w:rPr/>
            </w:pPr>
            <w:r>
              <w:rPr/>
              <w:t>55 908,00</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Nenormatívne finančné prostriedky</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REGIONÁLNY ÚRAD ŠKOLSKEJ SPRÁVY</w:t>
            </w:r>
          </w:p>
        </w:tc>
        <w:tc>
          <w:tcPr>
            <w:tcW w:w="1844" w:type="dxa"/>
            <w:tcBorders>
              <w:top w:val="single" w:sz="4" w:space="0" w:color="000000"/>
              <w:left w:val="single" w:sz="4" w:space="0" w:color="000000"/>
              <w:bottom w:val="single" w:sz="4" w:space="0" w:color="000000"/>
            </w:tcBorders>
            <w:vAlign w:val="bottom"/>
          </w:tcPr>
          <w:p>
            <w:pPr>
              <w:pStyle w:val="Normal"/>
              <w:spacing w:before="0" w:after="200"/>
              <w:jc w:val="right"/>
              <w:rPr/>
            </w:pPr>
            <w:r>
              <w:rPr/>
              <w:t>22 540,00</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Nenormatívne finančné prostriedky MŠ</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ÚRAD PRÁCE, SOCIÁLNYCH VECÍ A RODINY BANSKÁ BYSTRICA</w:t>
            </w:r>
          </w:p>
        </w:tc>
        <w:tc>
          <w:tcPr>
            <w:tcW w:w="1844" w:type="dxa"/>
            <w:tcBorders>
              <w:top w:val="single" w:sz="4" w:space="0" w:color="000000"/>
              <w:left w:val="single" w:sz="4" w:space="0" w:color="000000"/>
              <w:bottom w:val="single" w:sz="4" w:space="0" w:color="000000"/>
            </w:tcBorders>
            <w:vAlign w:val="bottom"/>
          </w:tcPr>
          <w:p>
            <w:pPr>
              <w:pStyle w:val="Normal"/>
              <w:spacing w:before="0" w:after="200"/>
              <w:jc w:val="right"/>
              <w:rPr/>
            </w:pPr>
            <w:r>
              <w:rPr/>
              <w:t>75 465,30</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Stravné – školská jedáleň Školská ulica</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ÚRAD PRÁCE, SOCIÁLNYCH VECÍ A RODINY BANSKÁ BYSTRICA</w:t>
            </w:r>
          </w:p>
        </w:tc>
        <w:tc>
          <w:tcPr>
            <w:tcW w:w="1844" w:type="dxa"/>
            <w:tcBorders>
              <w:top w:val="single" w:sz="4" w:space="0" w:color="000000"/>
              <w:left w:val="single" w:sz="4" w:space="0" w:color="000000"/>
              <w:bottom w:val="single" w:sz="4" w:space="0" w:color="000000"/>
            </w:tcBorders>
            <w:vAlign w:val="bottom"/>
          </w:tcPr>
          <w:p>
            <w:pPr>
              <w:pStyle w:val="Normal"/>
              <w:spacing w:before="0" w:after="200"/>
              <w:jc w:val="right"/>
              <w:rPr/>
            </w:pPr>
            <w:r>
              <w:rPr/>
              <w:t>6 108,20</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Stravné – školská jedáleň Selčianska cesta</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OKRESNÝ ÚRAD BANSKÁ BYSTRICA</w:t>
            </w:r>
          </w:p>
        </w:tc>
        <w:tc>
          <w:tcPr>
            <w:tcW w:w="1844" w:type="dxa"/>
            <w:tcBorders>
              <w:top w:val="single" w:sz="4" w:space="0" w:color="000000"/>
              <w:left w:val="single" w:sz="4" w:space="0" w:color="000000"/>
              <w:bottom w:val="single" w:sz="4" w:space="0" w:color="000000"/>
            </w:tcBorders>
            <w:vAlign w:val="bottom"/>
          </w:tcPr>
          <w:p>
            <w:pPr>
              <w:pStyle w:val="Normal"/>
              <w:spacing w:before="0" w:after="200"/>
              <w:jc w:val="right"/>
              <w:rPr/>
            </w:pPr>
            <w:r>
              <w:rPr/>
              <w:t>3 930,18</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Voľby prezidenta SR</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OKRESNÝ ÚRAD BANSKÁ BYSTRICA</w:t>
            </w:r>
          </w:p>
        </w:tc>
        <w:tc>
          <w:tcPr>
            <w:tcW w:w="1844" w:type="dxa"/>
            <w:tcBorders>
              <w:top w:val="single" w:sz="4" w:space="0" w:color="000000"/>
              <w:left w:val="single" w:sz="4" w:space="0" w:color="000000"/>
              <w:bottom w:val="single" w:sz="4" w:space="0" w:color="000000"/>
            </w:tcBorders>
            <w:vAlign w:val="bottom"/>
          </w:tcPr>
          <w:p>
            <w:pPr>
              <w:pStyle w:val="Normal"/>
              <w:spacing w:before="0" w:after="200"/>
              <w:jc w:val="right"/>
              <w:rPr/>
            </w:pPr>
            <w:r>
              <w:rPr/>
              <w:t>2 589,02</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Voľby EP</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OKRESNÝ ÚRAD BANSKÁ BYSTRICA</w:t>
            </w:r>
          </w:p>
        </w:tc>
        <w:tc>
          <w:tcPr>
            <w:tcW w:w="1844" w:type="dxa"/>
            <w:tcBorders>
              <w:top w:val="single" w:sz="4" w:space="0" w:color="000000"/>
              <w:left w:val="single" w:sz="4" w:space="0" w:color="000000"/>
              <w:bottom w:val="single" w:sz="4" w:space="0" w:color="000000"/>
            </w:tcBorders>
            <w:vAlign w:val="bottom"/>
          </w:tcPr>
          <w:p>
            <w:pPr>
              <w:pStyle w:val="Normal"/>
              <w:spacing w:before="0" w:after="200"/>
              <w:jc w:val="right"/>
              <w:rPr/>
            </w:pPr>
            <w:r>
              <w:rPr/>
              <w:t>700,92</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Hlásenie pobytu občanov a register obyvateľov SR</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OKRESNÝ ÚRAD BANSKÁ BYSTRICA</w:t>
            </w:r>
          </w:p>
        </w:tc>
        <w:tc>
          <w:tcPr>
            <w:tcW w:w="1844" w:type="dxa"/>
            <w:tcBorders>
              <w:top w:val="single" w:sz="4" w:space="0" w:color="000000"/>
              <w:left w:val="single" w:sz="4" w:space="0" w:color="000000"/>
              <w:bottom w:val="single" w:sz="4" w:space="0" w:color="000000"/>
            </w:tcBorders>
            <w:vAlign w:val="bottom"/>
          </w:tcPr>
          <w:p>
            <w:pPr>
              <w:pStyle w:val="Normal"/>
              <w:spacing w:before="0" w:after="200"/>
              <w:jc w:val="right"/>
              <w:rPr/>
            </w:pPr>
            <w:r>
              <w:rPr/>
              <w:t>29,20</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Register adries</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OKRESNÝ ÚRAD BANSKÁ BYSTRICA</w:t>
            </w:r>
          </w:p>
        </w:tc>
        <w:tc>
          <w:tcPr>
            <w:tcW w:w="1844" w:type="dxa"/>
            <w:tcBorders>
              <w:top w:val="single" w:sz="4" w:space="0" w:color="000000"/>
              <w:left w:val="single" w:sz="4" w:space="0" w:color="000000"/>
              <w:bottom w:val="single" w:sz="4" w:space="0" w:color="000000"/>
            </w:tcBorders>
            <w:vAlign w:val="bottom"/>
          </w:tcPr>
          <w:p>
            <w:pPr>
              <w:pStyle w:val="Normal"/>
              <w:spacing w:before="0" w:after="200"/>
              <w:jc w:val="right"/>
              <w:rPr/>
            </w:pPr>
            <w:r>
              <w:rPr/>
              <w:t>6 706,86</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Matrika</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OKRESNÝ ÚRAD BANSKÁ BYSTRICA</w:t>
            </w:r>
          </w:p>
        </w:tc>
        <w:tc>
          <w:tcPr>
            <w:tcW w:w="1844" w:type="dxa"/>
            <w:tcBorders>
              <w:top w:val="single" w:sz="4" w:space="0" w:color="000000"/>
              <w:left w:val="single" w:sz="4" w:space="0" w:color="000000"/>
              <w:bottom w:val="single" w:sz="4" w:space="0" w:color="000000"/>
            </w:tcBorders>
            <w:vAlign w:val="bottom"/>
          </w:tcPr>
          <w:p>
            <w:pPr>
              <w:pStyle w:val="Normal"/>
              <w:spacing w:before="0" w:after="200"/>
              <w:jc w:val="right"/>
              <w:rPr/>
            </w:pPr>
            <w:r>
              <w:rPr/>
              <w:t>257,05</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Životné prostredie</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MINISTERSTVO DOPRAVY, VÝSTAVBY A REGIONÁLNEHO ROZVOJA SR</w:t>
            </w:r>
          </w:p>
        </w:tc>
        <w:tc>
          <w:tcPr>
            <w:tcW w:w="1844" w:type="dxa"/>
            <w:tcBorders>
              <w:top w:val="single" w:sz="4" w:space="0" w:color="000000"/>
              <w:left w:val="single" w:sz="4" w:space="0" w:color="000000"/>
              <w:bottom w:val="single" w:sz="4" w:space="0" w:color="000000"/>
            </w:tcBorders>
            <w:vAlign w:val="bottom"/>
          </w:tcPr>
          <w:p>
            <w:pPr>
              <w:pStyle w:val="Normal"/>
              <w:spacing w:before="0" w:after="200"/>
              <w:jc w:val="right"/>
              <w:rPr/>
            </w:pPr>
            <w:r>
              <w:rPr/>
              <w:t>13 403,47</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Stavebný poriadok</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MINISTERSTVO DOPRAVY, VÝSTAVBY A REGIONÁLNEHO ROZVOJA SR</w:t>
            </w:r>
          </w:p>
        </w:tc>
        <w:tc>
          <w:tcPr>
            <w:tcW w:w="1844" w:type="dxa"/>
            <w:tcBorders>
              <w:top w:val="single" w:sz="4" w:space="0" w:color="000000"/>
              <w:left w:val="single" w:sz="4" w:space="0" w:color="000000"/>
              <w:bottom w:val="single" w:sz="4" w:space="0" w:color="000000"/>
            </w:tcBorders>
            <w:vAlign w:val="bottom"/>
          </w:tcPr>
          <w:p>
            <w:pPr>
              <w:pStyle w:val="Normal"/>
              <w:spacing w:before="0" w:after="200"/>
              <w:jc w:val="right"/>
              <w:rPr/>
            </w:pPr>
            <w:r>
              <w:rPr/>
              <w:t>91,76</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Špeciálny stavebný úrad pre miestne komunikácie a účelové komunikácie</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DOBROVOĽNÁ POŽIARNA OCHRANA  SR</w:t>
            </w:r>
          </w:p>
        </w:tc>
        <w:tc>
          <w:tcPr>
            <w:tcW w:w="1844" w:type="dxa"/>
            <w:tcBorders>
              <w:top w:val="single" w:sz="4" w:space="0" w:color="000000"/>
              <w:left w:val="single" w:sz="4" w:space="0" w:color="000000"/>
              <w:bottom w:val="single" w:sz="4" w:space="0" w:color="000000"/>
            </w:tcBorders>
          </w:tcPr>
          <w:p>
            <w:pPr>
              <w:pStyle w:val="Normal"/>
              <w:spacing w:before="0" w:after="200"/>
              <w:jc w:val="right"/>
              <w:rPr/>
            </w:pPr>
            <w:r>
              <w:rPr/>
              <w:t>3 000,00</w:t>
            </w:r>
          </w:p>
        </w:tc>
        <w:tc>
          <w:tcPr>
            <w:tcW w:w="4424" w:type="dxa"/>
            <w:tcBorders>
              <w:top w:val="single" w:sz="4" w:space="0" w:color="000000"/>
              <w:left w:val="single" w:sz="4" w:space="0" w:color="000000"/>
              <w:bottom w:val="single" w:sz="4" w:space="0" w:color="000000"/>
              <w:right w:val="single" w:sz="4" w:space="0" w:color="000000"/>
            </w:tcBorders>
          </w:tcPr>
          <w:p>
            <w:pPr>
              <w:pStyle w:val="Normal"/>
              <w:spacing w:before="0" w:after="200"/>
              <w:rPr>
                <w:sz w:val="18"/>
                <w:szCs w:val="18"/>
              </w:rPr>
            </w:pPr>
            <w:r>
              <w:rPr>
                <w:sz w:val="18"/>
                <w:szCs w:val="18"/>
              </w:rPr>
              <w:t>Zabezpečenie materiálno – technického vybavenia DHZO</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IMPLEMENTAČNÁ AGENTÚRA MIN.  PRÁCE, SOC. VECÍ A RODINY SR</w:t>
            </w:r>
          </w:p>
        </w:tc>
        <w:tc>
          <w:tcPr>
            <w:tcW w:w="1844" w:type="dxa"/>
            <w:tcBorders>
              <w:top w:val="single" w:sz="4" w:space="0" w:color="000000"/>
              <w:left w:val="single" w:sz="4" w:space="0" w:color="000000"/>
              <w:bottom w:val="single" w:sz="4" w:space="0" w:color="000000"/>
            </w:tcBorders>
          </w:tcPr>
          <w:p>
            <w:pPr>
              <w:pStyle w:val="Normal"/>
              <w:spacing w:before="0" w:after="200"/>
              <w:jc w:val="right"/>
              <w:rPr/>
            </w:pPr>
            <w:r>
              <w:rPr/>
              <w:t>26.216,59</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Podpora opatrovateľskej služby</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OKRESNÝ ÚRAD BANSKÁ BYSTRICA</w:t>
            </w:r>
          </w:p>
        </w:tc>
        <w:tc>
          <w:tcPr>
            <w:tcW w:w="1844" w:type="dxa"/>
            <w:tcBorders>
              <w:top w:val="single" w:sz="4" w:space="0" w:color="000000"/>
              <w:left w:val="single" w:sz="4" w:space="0" w:color="000000"/>
              <w:bottom w:val="single" w:sz="4" w:space="0" w:color="000000"/>
            </w:tcBorders>
          </w:tcPr>
          <w:p>
            <w:pPr>
              <w:pStyle w:val="Normal"/>
              <w:spacing w:before="0" w:after="200"/>
              <w:jc w:val="right"/>
              <w:rPr/>
            </w:pPr>
            <w:r>
              <w:rPr/>
              <w:t>7 350,00</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Ubytovanie odídenca - Ukrajina</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Z ROZPOČTU OBCÍ SOU</w:t>
            </w:r>
          </w:p>
        </w:tc>
        <w:tc>
          <w:tcPr>
            <w:tcW w:w="1844" w:type="dxa"/>
            <w:tcBorders>
              <w:top w:val="single" w:sz="4" w:space="0" w:color="000000"/>
              <w:left w:val="single" w:sz="4" w:space="0" w:color="000000"/>
              <w:bottom w:val="single" w:sz="4" w:space="0" w:color="000000"/>
            </w:tcBorders>
          </w:tcPr>
          <w:p>
            <w:pPr>
              <w:pStyle w:val="Normal"/>
              <w:spacing w:before="0" w:after="200"/>
              <w:jc w:val="right"/>
              <w:rPr/>
            </w:pPr>
            <w:r>
              <w:rPr/>
              <w:t>25 958,72</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Spoločný obecný úrad</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SPONZORSKÉ</w:t>
            </w:r>
          </w:p>
        </w:tc>
        <w:tc>
          <w:tcPr>
            <w:tcW w:w="1844" w:type="dxa"/>
            <w:tcBorders>
              <w:top w:val="single" w:sz="4" w:space="0" w:color="000000"/>
              <w:left w:val="single" w:sz="4" w:space="0" w:color="000000"/>
              <w:bottom w:val="single" w:sz="4" w:space="0" w:color="000000"/>
            </w:tcBorders>
          </w:tcPr>
          <w:p>
            <w:pPr>
              <w:pStyle w:val="Normal"/>
              <w:spacing w:before="0" w:after="200"/>
              <w:jc w:val="right"/>
              <w:rPr/>
            </w:pPr>
            <w:r>
              <w:rPr/>
              <w:t>1 300,00</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Kultúrne akcie</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SPONZORSKÉ</w:t>
            </w:r>
          </w:p>
        </w:tc>
        <w:tc>
          <w:tcPr>
            <w:tcW w:w="1844" w:type="dxa"/>
            <w:tcBorders>
              <w:top w:val="single" w:sz="4" w:space="0" w:color="000000"/>
              <w:left w:val="single" w:sz="4" w:space="0" w:color="000000"/>
              <w:bottom w:val="single" w:sz="4" w:space="0" w:color="000000"/>
            </w:tcBorders>
          </w:tcPr>
          <w:p>
            <w:pPr>
              <w:pStyle w:val="Normal"/>
              <w:spacing w:before="0" w:after="200"/>
              <w:jc w:val="right"/>
              <w:rPr/>
            </w:pPr>
            <w:r>
              <w:rPr/>
              <w:t>1 800,00</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Lyžiarsky klub</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ENVIROMENTÁLNY FOND</w:t>
            </w:r>
          </w:p>
        </w:tc>
        <w:tc>
          <w:tcPr>
            <w:tcW w:w="1844" w:type="dxa"/>
            <w:tcBorders>
              <w:top w:val="single" w:sz="4" w:space="0" w:color="000000"/>
              <w:left w:val="single" w:sz="4" w:space="0" w:color="000000"/>
              <w:bottom w:val="single" w:sz="4" w:space="0" w:color="000000"/>
            </w:tcBorders>
          </w:tcPr>
          <w:p>
            <w:pPr>
              <w:pStyle w:val="Normal"/>
              <w:spacing w:before="0" w:after="200"/>
              <w:jc w:val="right"/>
              <w:rPr/>
            </w:pPr>
            <w:r>
              <w:rPr/>
              <w:t>2 440,60</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Obnova dediny</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MINISTERSTVO FINANCIÍ SR</w:t>
            </w:r>
          </w:p>
        </w:tc>
        <w:tc>
          <w:tcPr>
            <w:tcW w:w="1844" w:type="dxa"/>
            <w:tcBorders>
              <w:top w:val="single" w:sz="4" w:space="0" w:color="000000"/>
              <w:left w:val="single" w:sz="4" w:space="0" w:color="000000"/>
              <w:bottom w:val="single" w:sz="4" w:space="0" w:color="000000"/>
            </w:tcBorders>
          </w:tcPr>
          <w:p>
            <w:pPr>
              <w:pStyle w:val="Normal"/>
              <w:spacing w:before="0" w:after="200"/>
              <w:jc w:val="right"/>
              <w:rPr/>
            </w:pPr>
            <w:r>
              <w:rPr/>
              <w:t>17 831,00</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Výpadok podielových daní</w:t>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VUC</w:t>
            </w:r>
          </w:p>
        </w:tc>
        <w:tc>
          <w:tcPr>
            <w:tcW w:w="1844" w:type="dxa"/>
            <w:tcBorders>
              <w:top w:val="single" w:sz="4" w:space="0" w:color="000000"/>
              <w:left w:val="single" w:sz="4" w:space="0" w:color="000000"/>
              <w:bottom w:val="single" w:sz="4" w:space="0" w:color="000000"/>
            </w:tcBorders>
          </w:tcPr>
          <w:p>
            <w:pPr>
              <w:pStyle w:val="Normal"/>
              <w:spacing w:before="0" w:after="200"/>
              <w:jc w:val="right"/>
              <w:rPr/>
            </w:pPr>
            <w:r>
              <w:rPr/>
              <w:t>1 500,00</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rPr>
                <w:sz w:val="18"/>
                <w:szCs w:val="18"/>
              </w:rPr>
            </w:pPr>
            <w:r>
              <w:rPr>
                <w:sz w:val="18"/>
                <w:szCs w:val="18"/>
              </w:rPr>
              <w:t>Kultúrne akcie</w:t>
            </w:r>
          </w:p>
        </w:tc>
      </w:tr>
      <w:tr>
        <w:trPr/>
        <w:tc>
          <w:tcPr>
            <w:tcW w:w="3968" w:type="dxa"/>
            <w:tcBorders>
              <w:top w:val="single" w:sz="4" w:space="0" w:color="000000"/>
              <w:left w:val="single" w:sz="4" w:space="0" w:color="000000"/>
              <w:bottom w:val="single" w:sz="4" w:space="0" w:color="000000"/>
            </w:tcBorders>
            <w:vAlign w:val="bottom"/>
          </w:tcPr>
          <w:p>
            <w:pPr>
              <w:pStyle w:val="Normal"/>
              <w:snapToGrid w:val="false"/>
              <w:spacing w:before="0" w:after="200"/>
              <w:rPr>
                <w:color w:val="C9211E"/>
                <w:sz w:val="18"/>
                <w:szCs w:val="18"/>
              </w:rPr>
            </w:pPr>
            <w:r>
              <w:rPr>
                <w:color w:val="C9211E"/>
                <w:sz w:val="18"/>
                <w:szCs w:val="18"/>
              </w:rPr>
            </w:r>
          </w:p>
        </w:tc>
        <w:tc>
          <w:tcPr>
            <w:tcW w:w="1844" w:type="dxa"/>
            <w:tcBorders>
              <w:top w:val="single" w:sz="4" w:space="0" w:color="000000"/>
              <w:left w:val="single" w:sz="4" w:space="0" w:color="000000"/>
              <w:bottom w:val="single" w:sz="4" w:space="0" w:color="000000"/>
            </w:tcBorders>
          </w:tcPr>
          <w:p>
            <w:pPr>
              <w:pStyle w:val="Normal"/>
              <w:snapToGrid w:val="false"/>
              <w:spacing w:before="0" w:after="200"/>
              <w:jc w:val="right"/>
              <w:rPr>
                <w:color w:val="FF0000"/>
                <w:sz w:val="18"/>
                <w:szCs w:val="18"/>
              </w:rPr>
            </w:pPr>
            <w:r>
              <w:rPr>
                <w:color w:val="FF0000"/>
                <w:sz w:val="18"/>
                <w:szCs w:val="18"/>
              </w:rPr>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before="0" w:after="200"/>
              <w:rPr>
                <w:color w:val="FF0000"/>
                <w:sz w:val="18"/>
                <w:szCs w:val="18"/>
              </w:rPr>
            </w:pPr>
            <w:r>
              <w:rPr>
                <w:color w:val="FF0000"/>
                <w:sz w:val="18"/>
                <w:szCs w:val="18"/>
              </w:rPr>
            </w:r>
          </w:p>
        </w:tc>
      </w:tr>
      <w:tr>
        <w:trPr/>
        <w:tc>
          <w:tcPr>
            <w:tcW w:w="3968" w:type="dxa"/>
            <w:tcBorders>
              <w:top w:val="single" w:sz="4" w:space="0" w:color="000000"/>
              <w:left w:val="single" w:sz="4" w:space="0" w:color="000000"/>
              <w:bottom w:val="single" w:sz="4" w:space="0" w:color="000000"/>
            </w:tcBorders>
            <w:vAlign w:val="bottom"/>
          </w:tcPr>
          <w:p>
            <w:pPr>
              <w:pStyle w:val="Normal"/>
              <w:snapToGrid w:val="false"/>
              <w:spacing w:before="0" w:after="200"/>
              <w:rPr>
                <w:color w:val="C9211E"/>
                <w:sz w:val="18"/>
                <w:szCs w:val="18"/>
              </w:rPr>
            </w:pPr>
            <w:r>
              <w:rPr>
                <w:color w:val="C9211E"/>
                <w:sz w:val="18"/>
                <w:szCs w:val="18"/>
              </w:rPr>
            </w:r>
          </w:p>
        </w:tc>
        <w:tc>
          <w:tcPr>
            <w:tcW w:w="1844" w:type="dxa"/>
            <w:tcBorders>
              <w:top w:val="single" w:sz="4" w:space="0" w:color="000000"/>
              <w:left w:val="single" w:sz="4" w:space="0" w:color="000000"/>
              <w:bottom w:val="single" w:sz="4" w:space="0" w:color="000000"/>
            </w:tcBorders>
          </w:tcPr>
          <w:p>
            <w:pPr>
              <w:pStyle w:val="Normal"/>
              <w:snapToGrid w:val="false"/>
              <w:spacing w:before="0" w:after="200"/>
              <w:jc w:val="right"/>
              <w:rPr>
                <w:color w:val="FF0000"/>
                <w:sz w:val="18"/>
                <w:szCs w:val="18"/>
              </w:rPr>
            </w:pPr>
            <w:r>
              <w:rPr>
                <w:color w:val="FF0000"/>
                <w:sz w:val="18"/>
                <w:szCs w:val="18"/>
              </w:rPr>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before="0" w:after="200"/>
              <w:rPr>
                <w:color w:val="C9211E"/>
                <w:sz w:val="18"/>
                <w:szCs w:val="18"/>
              </w:rPr>
            </w:pPr>
            <w:r>
              <w:rPr>
                <w:color w:val="C9211E"/>
                <w:sz w:val="18"/>
                <w:szCs w:val="18"/>
              </w:rPr>
            </w:r>
          </w:p>
        </w:tc>
      </w:tr>
      <w:tr>
        <w:trPr/>
        <w:tc>
          <w:tcPr>
            <w:tcW w:w="3968" w:type="dxa"/>
            <w:tcBorders>
              <w:top w:val="single" w:sz="4" w:space="0" w:color="000000"/>
              <w:left w:val="single" w:sz="4" w:space="0" w:color="000000"/>
              <w:bottom w:val="single" w:sz="4" w:space="0" w:color="000000"/>
            </w:tcBorders>
            <w:vAlign w:val="bottom"/>
          </w:tcPr>
          <w:p>
            <w:pPr>
              <w:pStyle w:val="Normal"/>
              <w:spacing w:before="0" w:after="200"/>
              <w:rPr>
                <w:sz w:val="18"/>
                <w:szCs w:val="18"/>
              </w:rPr>
            </w:pPr>
            <w:r>
              <w:rPr>
                <w:sz w:val="18"/>
                <w:szCs w:val="18"/>
              </w:rPr>
              <w:t>SPOLU TRANSFERY</w:t>
            </w:r>
          </w:p>
        </w:tc>
        <w:tc>
          <w:tcPr>
            <w:tcW w:w="1844" w:type="dxa"/>
            <w:tcBorders>
              <w:top w:val="single" w:sz="4" w:space="0" w:color="000000"/>
              <w:left w:val="single" w:sz="4" w:space="0" w:color="000000"/>
              <w:bottom w:val="single" w:sz="4" w:space="0" w:color="000000"/>
            </w:tcBorders>
          </w:tcPr>
          <w:p>
            <w:pPr>
              <w:pStyle w:val="Normal"/>
              <w:spacing w:before="0" w:after="200"/>
              <w:jc w:val="right"/>
              <w:rPr>
                <w:color w:val="000000"/>
              </w:rPr>
            </w:pPr>
            <w:r>
              <w:rPr>
                <w:color w:val="000000"/>
              </w:rPr>
              <w:t>1.088.341,87</w:t>
            </w:r>
          </w:p>
        </w:tc>
        <w:tc>
          <w:tcPr>
            <w:tcW w:w="4424"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before="0" w:after="200"/>
              <w:rPr>
                <w:color w:val="C9211E"/>
                <w:sz w:val="18"/>
                <w:szCs w:val="18"/>
              </w:rPr>
            </w:pPr>
            <w:r>
              <w:rPr>
                <w:color w:val="C9211E"/>
                <w:sz w:val="18"/>
                <w:szCs w:val="18"/>
              </w:rPr>
            </w:r>
          </w:p>
        </w:tc>
      </w:tr>
    </w:tbl>
    <w:p>
      <w:pPr>
        <w:pStyle w:val="Normal"/>
        <w:rPr>
          <w:color w:val="C9211E"/>
        </w:rPr>
      </w:pPr>
      <w:r>
        <w:rPr>
          <w:color w:val="C9211E"/>
        </w:rPr>
      </w:r>
    </w:p>
    <w:p>
      <w:pPr>
        <w:pStyle w:val="Normal"/>
        <w:spacing w:lineRule="auto" w:line="360"/>
        <w:jc w:val="both"/>
        <w:rPr>
          <w:color w:val="000000"/>
          <w:lang w:eastAsia="sk-SK"/>
        </w:rPr>
      </w:pPr>
      <w:r>
        <w:rPr>
          <w:color w:val="000000"/>
          <w:lang w:eastAsia="sk-SK"/>
        </w:rPr>
        <w:t>Granty a transfery boli účelovo určené a boli použité v súlade s ich účelom.</w:t>
      </w:r>
    </w:p>
    <w:p>
      <w:pPr>
        <w:pStyle w:val="Normal"/>
        <w:rPr>
          <w:b/>
          <w:i/>
          <w:i/>
          <w:color w:val="000000"/>
        </w:rPr>
      </w:pPr>
      <w:r>
        <w:rPr>
          <w:b/>
          <w:i/>
          <w:color w:val="000000"/>
        </w:rPr>
        <w:t xml:space="preserve">2. Kapitálové príjmy: </w:t>
      </w:r>
    </w:p>
    <w:p>
      <w:pPr>
        <w:pStyle w:val="Normal"/>
        <w:rPr>
          <w:b/>
          <w:color w:val="000000"/>
        </w:rPr>
      </w:pPr>
      <w:r>
        <w:rPr>
          <w:b/>
          <w:color w:val="000000"/>
        </w:rPr>
        <w:t xml:space="preserve"> </w:t>
      </w:r>
    </w:p>
    <w:tbl>
      <w:tblPr>
        <w:tblW w:w="10236"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2962"/>
        <w:gridCol w:w="3071"/>
        <w:gridCol w:w="4203"/>
      </w:tblGrid>
      <w:tr>
        <w:trPr/>
        <w:tc>
          <w:tcPr>
            <w:tcW w:w="2962"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Rozpočet na rok 2024</w:t>
            </w:r>
          </w:p>
        </w:tc>
        <w:tc>
          <w:tcPr>
            <w:tcW w:w="3071"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Skutočnosť k 31.12.2024</w:t>
            </w:r>
          </w:p>
        </w:tc>
        <w:tc>
          <w:tcPr>
            <w:tcW w:w="4203" w:type="dxa"/>
            <w:tcBorders>
              <w:top w:val="single" w:sz="4" w:space="0" w:color="000000"/>
              <w:left w:val="single" w:sz="4" w:space="0" w:color="000000"/>
              <w:bottom w:val="single" w:sz="4" w:space="0" w:color="000000"/>
              <w:right w:val="single" w:sz="4" w:space="0" w:color="000000"/>
            </w:tcBorders>
            <w:shd w:color="auto" w:fill="DEEAF6" w:val="clear"/>
          </w:tcPr>
          <w:p>
            <w:pPr>
              <w:pStyle w:val="Normal"/>
              <w:spacing w:before="0" w:after="200"/>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0,00</w:t>
            </w:r>
          </w:p>
        </w:tc>
        <w:tc>
          <w:tcPr>
            <w:tcW w:w="3071"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225,00</w:t>
            </w:r>
          </w:p>
        </w:tc>
        <w:tc>
          <w:tcPr>
            <w:tcW w:w="4203"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jc w:val="right"/>
              <w:rPr>
                <w:color w:val="000000"/>
              </w:rPr>
            </w:pPr>
            <w:r>
              <w:rPr>
                <w:color w:val="000000"/>
              </w:rPr>
              <w:t>225%</w:t>
            </w:r>
          </w:p>
        </w:tc>
      </w:tr>
    </w:tbl>
    <w:p>
      <w:pPr>
        <w:pStyle w:val="Normal"/>
        <w:rPr>
          <w:color w:val="000000"/>
        </w:rPr>
      </w:pPr>
      <w:r>
        <w:rPr>
          <w:color w:val="000000"/>
        </w:rPr>
      </w:r>
    </w:p>
    <w:p>
      <w:pPr>
        <w:pStyle w:val="Normal"/>
        <w:jc w:val="both"/>
        <w:rPr>
          <w:color w:val="000000"/>
        </w:rPr>
      </w:pPr>
      <w:r>
        <w:rPr>
          <w:color w:val="000000"/>
        </w:rPr>
        <w:t xml:space="preserve">Z rozpočtovaných kapitálových príjmov 0,00 EUR bol skutočný príjem k 31.12.2024 v sume 225,00  EUR, čo predstavuje  225,00 % plnenie. </w:t>
      </w:r>
    </w:p>
    <w:p>
      <w:pPr>
        <w:pStyle w:val="Normal"/>
        <w:rPr>
          <w:b/>
          <w:color w:val="C9211E"/>
        </w:rPr>
      </w:pPr>
      <w:r>
        <w:rPr>
          <w:b/>
          <w:color w:val="C9211E"/>
        </w:rPr>
      </w:r>
    </w:p>
    <w:p>
      <w:pPr>
        <w:pStyle w:val="Normal"/>
        <w:rPr>
          <w:b/>
          <w:color w:val="000000"/>
        </w:rPr>
      </w:pPr>
      <w:r>
        <w:rPr>
          <w:b/>
          <w:color w:val="000000"/>
        </w:rPr>
        <w:t xml:space="preserve">Príjem z predaja pozemkov a nehmotných aktív </w:t>
      </w:r>
    </w:p>
    <w:p>
      <w:pPr>
        <w:pStyle w:val="Normal"/>
        <w:jc w:val="both"/>
        <w:rPr>
          <w:color w:val="000000"/>
        </w:rPr>
      </w:pPr>
      <w:r>
        <w:rPr>
          <w:color w:val="000000"/>
        </w:rPr>
        <w:t>Z rozpočtovaných  0,00 EUR skutočný príjem k 31.12.2024 v sume 225,00 EUR, čo predstavuje  225,00  % plnenie.</w:t>
      </w:r>
    </w:p>
    <w:p>
      <w:pPr>
        <w:pStyle w:val="Normal"/>
        <w:tabs>
          <w:tab w:val="clear" w:pos="708"/>
          <w:tab w:val="right" w:pos="284" w:leader="none"/>
        </w:tabs>
        <w:jc w:val="both"/>
        <w:rPr>
          <w:b/>
          <w:color w:val="C9211E"/>
        </w:rPr>
      </w:pPr>
      <w:r>
        <w:rPr>
          <w:b/>
          <w:color w:val="C9211E"/>
        </w:rPr>
      </w:r>
    </w:p>
    <w:p>
      <w:pPr>
        <w:pStyle w:val="Normal"/>
        <w:rPr>
          <w:b/>
          <w:i/>
          <w:i/>
          <w:color w:val="000000"/>
        </w:rPr>
      </w:pPr>
      <w:r>
        <w:rPr>
          <w:b/>
          <w:i/>
          <w:color w:val="000000"/>
        </w:rPr>
        <w:t xml:space="preserve">3. Príjmové finančné operácie: </w:t>
      </w:r>
    </w:p>
    <w:p>
      <w:pPr>
        <w:pStyle w:val="Normal"/>
        <w:rPr>
          <w:b/>
          <w:i/>
          <w:i/>
          <w:color w:val="000000"/>
        </w:rPr>
      </w:pPr>
      <w:r>
        <w:rPr>
          <w:b/>
          <w:i/>
          <w:color w:val="000000"/>
        </w:rPr>
        <w:t xml:space="preserve">  </w:t>
      </w:r>
    </w:p>
    <w:tbl>
      <w:tblPr>
        <w:tblW w:w="10520"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2962"/>
        <w:gridCol w:w="3071"/>
        <w:gridCol w:w="4487"/>
      </w:tblGrid>
      <w:tr>
        <w:trPr/>
        <w:tc>
          <w:tcPr>
            <w:tcW w:w="2962"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Rozpočet na rok 2024</w:t>
            </w:r>
          </w:p>
        </w:tc>
        <w:tc>
          <w:tcPr>
            <w:tcW w:w="3071"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Skutočnosť k 31.12.2024</w:t>
            </w:r>
          </w:p>
        </w:tc>
        <w:tc>
          <w:tcPr>
            <w:tcW w:w="4487" w:type="dxa"/>
            <w:tcBorders>
              <w:top w:val="single" w:sz="4" w:space="0" w:color="000000"/>
              <w:left w:val="single" w:sz="4" w:space="0" w:color="000000"/>
              <w:bottom w:val="single" w:sz="4" w:space="0" w:color="000000"/>
              <w:right w:val="single" w:sz="4" w:space="0" w:color="000000"/>
            </w:tcBorders>
            <w:shd w:color="auto" w:fill="DEEAF6" w:val="clear"/>
          </w:tcPr>
          <w:p>
            <w:pPr>
              <w:pStyle w:val="Normal"/>
              <w:spacing w:before="0" w:after="200"/>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272.694,00</w:t>
            </w:r>
          </w:p>
        </w:tc>
        <w:tc>
          <w:tcPr>
            <w:tcW w:w="3071"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148.834,26</w:t>
            </w:r>
          </w:p>
        </w:tc>
        <w:tc>
          <w:tcPr>
            <w:tcW w:w="4487"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before="0" w:after="200"/>
              <w:jc w:val="right"/>
              <w:rPr>
                <w:color w:val="000000"/>
              </w:rPr>
            </w:pPr>
            <w:r>
              <w:rPr>
                <w:color w:val="000000"/>
              </w:rPr>
              <w:t>54,58 %</w:t>
            </w:r>
          </w:p>
        </w:tc>
      </w:tr>
    </w:tbl>
    <w:p>
      <w:pPr>
        <w:pStyle w:val="Normal"/>
        <w:jc w:val="both"/>
        <w:rPr>
          <w:color w:val="000000"/>
        </w:rPr>
      </w:pPr>
      <w:r>
        <w:rPr>
          <w:color w:val="000000"/>
        </w:rPr>
      </w:r>
    </w:p>
    <w:p>
      <w:pPr>
        <w:pStyle w:val="Normal"/>
        <w:jc w:val="both"/>
        <w:rPr>
          <w:color w:val="000000"/>
        </w:rPr>
      </w:pPr>
      <w:r>
        <w:rPr>
          <w:color w:val="000000"/>
        </w:rPr>
        <w:t xml:space="preserve">Z rozpočtovaných finančných operácií 272.694,00 EUR bol skutočný príjem k 31.12.2024 v sume 148.834,26 EUR,  čo predstavuje  54,58 % plnenie. </w:t>
      </w:r>
    </w:p>
    <w:p>
      <w:pPr>
        <w:pStyle w:val="Normal"/>
        <w:jc w:val="both"/>
        <w:rPr>
          <w:color w:val="000000"/>
        </w:rPr>
      </w:pPr>
      <w:r>
        <w:rPr>
          <w:color w:val="000000"/>
        </w:rPr>
        <w:t>Príjmové finančné operácie tvorili:</w:t>
      </w:r>
    </w:p>
    <w:p>
      <w:pPr>
        <w:pStyle w:val="Normal"/>
        <w:numPr>
          <w:ilvl w:val="0"/>
          <w:numId w:val="7"/>
        </w:numPr>
        <w:jc w:val="both"/>
        <w:rPr/>
      </w:pPr>
      <w:r>
        <w:rPr>
          <w:color w:val="000000"/>
        </w:rPr>
        <w:t xml:space="preserve">zostatok finančných operácií z roku 2023 - SOU v sume   </w:t>
        <w:tab/>
        <w:tab/>
        <w:t>1.878,40 EUR</w:t>
      </w:r>
    </w:p>
    <w:p>
      <w:pPr>
        <w:pStyle w:val="Normal"/>
        <w:numPr>
          <w:ilvl w:val="0"/>
          <w:numId w:val="7"/>
        </w:numPr>
        <w:jc w:val="both"/>
        <w:rPr/>
      </w:pPr>
      <w:r>
        <w:rPr>
          <w:color w:val="000000"/>
        </w:rPr>
        <w:t xml:space="preserve">zostatok finančných operácií z roku 2023 - ŠR v sume   </w:t>
        <w:tab/>
        <w:tab/>
        <w:t>42.947,82 EUR</w:t>
      </w:r>
    </w:p>
    <w:p>
      <w:pPr>
        <w:pStyle w:val="Normal"/>
        <w:numPr>
          <w:ilvl w:val="0"/>
          <w:numId w:val="7"/>
        </w:numPr>
        <w:jc w:val="both"/>
        <w:rPr/>
      </w:pPr>
      <w:r>
        <w:rPr>
          <w:color w:val="000000"/>
        </w:rPr>
        <w:t xml:space="preserve">zostatok finančných operácií z roku 2023 - ŠR  UA v sume  </w:t>
        <w:tab/>
        <w:t>306,00 EUR</w:t>
      </w:r>
    </w:p>
    <w:p>
      <w:pPr>
        <w:pStyle w:val="Normal"/>
        <w:numPr>
          <w:ilvl w:val="0"/>
          <w:numId w:val="7"/>
        </w:numPr>
        <w:jc w:val="both"/>
        <w:rPr/>
      </w:pPr>
      <w:r>
        <w:rPr>
          <w:color w:val="000000"/>
        </w:rPr>
        <w:t xml:space="preserve">prostriedky z rezervného fondu                                  </w:t>
        <w:tab/>
        <w:t xml:space="preserve">      </w:t>
        <w:tab/>
        <w:t>103.702,04 EUR</w:t>
      </w:r>
    </w:p>
    <w:p>
      <w:pPr>
        <w:pStyle w:val="Normal"/>
        <w:ind w:left="780"/>
        <w:jc w:val="both"/>
        <w:rPr>
          <w:color w:val="000000"/>
        </w:rPr>
      </w:pPr>
      <w:r>
        <w:rPr>
          <w:color w:val="000000"/>
        </w:rPr>
      </w:r>
    </w:p>
    <w:p>
      <w:pPr>
        <w:pStyle w:val="Normal"/>
        <w:ind w:left="420"/>
        <w:jc w:val="both"/>
        <w:rPr>
          <w:color w:val="C9211E"/>
        </w:rPr>
      </w:pPr>
      <w:r>
        <w:rPr>
          <w:color w:val="C9211E"/>
        </w:rPr>
      </w:r>
    </w:p>
    <w:p>
      <w:pPr>
        <w:pStyle w:val="Normal"/>
        <w:rPr/>
      </w:pPr>
      <w:r>
        <w:rPr>
          <w:b/>
          <w:i/>
          <w:color w:val="000000"/>
          <w:u w:val="single"/>
        </w:rPr>
        <w:t>4.</w:t>
      </w:r>
      <w:r>
        <w:rPr>
          <w:b/>
          <w:i/>
          <w:color w:val="C9211E"/>
          <w:u w:val="single"/>
        </w:rPr>
        <w:t xml:space="preserve"> </w:t>
      </w:r>
      <w:r>
        <w:rPr>
          <w:b/>
          <w:i/>
          <w:u w:val="single"/>
        </w:rPr>
        <w:t>Príjmy rozpočtových organizácií s právnou subjektivitou</w:t>
      </w:r>
      <w:r>
        <w:rPr>
          <w:b/>
          <w:i/>
        </w:rPr>
        <w:t>:</w:t>
      </w:r>
    </w:p>
    <w:p>
      <w:pPr>
        <w:pStyle w:val="Normal"/>
        <w:jc w:val="both"/>
        <w:rPr>
          <w:b/>
          <w:i/>
          <w:i/>
          <w:color w:val="000000"/>
          <w:highlight w:val="yellow"/>
        </w:rPr>
      </w:pPr>
      <w:r>
        <w:rPr>
          <w:b/>
          <w:i/>
          <w:color w:val="000000"/>
          <w:highlight w:val="yellow"/>
        </w:rPr>
      </w:r>
    </w:p>
    <w:p>
      <w:pPr>
        <w:pStyle w:val="Normal"/>
        <w:rPr>
          <w:b/>
          <w:color w:val="000000"/>
        </w:rPr>
      </w:pPr>
      <w:r>
        <w:rPr>
          <w:b/>
          <w:color w:val="000000"/>
        </w:rPr>
        <w:t xml:space="preserve">Bežné príjmy </w:t>
      </w:r>
    </w:p>
    <w:p>
      <w:pPr>
        <w:pStyle w:val="Normal"/>
        <w:rPr>
          <w:b/>
          <w:color w:val="000000"/>
        </w:rPr>
      </w:pPr>
      <w:r>
        <w:rPr>
          <w:b/>
          <w:color w:val="000000"/>
        </w:rPr>
      </w:r>
    </w:p>
    <w:tbl>
      <w:tblPr>
        <w:tblW w:w="10236"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2962"/>
        <w:gridCol w:w="3071"/>
        <w:gridCol w:w="4203"/>
      </w:tblGrid>
      <w:tr>
        <w:trPr/>
        <w:tc>
          <w:tcPr>
            <w:tcW w:w="2962"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Rozpočet na rok 2024</w:t>
            </w:r>
          </w:p>
        </w:tc>
        <w:tc>
          <w:tcPr>
            <w:tcW w:w="3071"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Skutočnosť k 31.12.2024</w:t>
            </w:r>
          </w:p>
        </w:tc>
        <w:tc>
          <w:tcPr>
            <w:tcW w:w="4203" w:type="dxa"/>
            <w:tcBorders>
              <w:top w:val="single" w:sz="4" w:space="0" w:color="000000"/>
              <w:left w:val="single" w:sz="4" w:space="0" w:color="000000"/>
              <w:bottom w:val="single" w:sz="4" w:space="0" w:color="000000"/>
              <w:right w:val="single" w:sz="4" w:space="0" w:color="000000"/>
            </w:tcBorders>
            <w:shd w:color="auto" w:fill="DEEAF6" w:val="clear"/>
          </w:tcPr>
          <w:p>
            <w:pPr>
              <w:pStyle w:val="Normal"/>
              <w:spacing w:before="0" w:after="200"/>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119.248,00</w:t>
            </w:r>
          </w:p>
        </w:tc>
        <w:tc>
          <w:tcPr>
            <w:tcW w:w="3071"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119.479,63</w:t>
            </w:r>
          </w:p>
        </w:tc>
        <w:tc>
          <w:tcPr>
            <w:tcW w:w="4203"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jc w:val="right"/>
              <w:rPr>
                <w:color w:val="000000"/>
              </w:rPr>
            </w:pPr>
            <w:r>
              <w:rPr>
                <w:color w:val="000000"/>
              </w:rPr>
              <w:t>100,19</w:t>
            </w:r>
          </w:p>
        </w:tc>
      </w:tr>
    </w:tbl>
    <w:p>
      <w:pPr>
        <w:pStyle w:val="Normal"/>
        <w:jc w:val="right"/>
        <w:rPr>
          <w:color w:val="000000"/>
        </w:rPr>
      </w:pPr>
      <w:r>
        <w:rPr>
          <w:color w:val="000000"/>
        </w:rPr>
      </w:r>
    </w:p>
    <w:p>
      <w:pPr>
        <w:pStyle w:val="Normal"/>
        <w:jc w:val="both"/>
        <w:rPr>
          <w:color w:val="000000"/>
        </w:rPr>
      </w:pPr>
      <w:r>
        <w:rPr>
          <w:color w:val="000000"/>
        </w:rPr>
        <w:t xml:space="preserve">Z rozpočtovaných bežných  príjmov 119.248,00 EUR bol skutočný príjem k 31.12.2024 v sume         119.479,63 EUR, čo predstavuje 100,19 % plnenie. </w:t>
      </w:r>
    </w:p>
    <w:p>
      <w:pPr>
        <w:pStyle w:val="Normal"/>
        <w:rPr>
          <w:color w:val="C9211E"/>
        </w:rPr>
      </w:pPr>
      <w:r>
        <w:rPr>
          <w:color w:val="C9211E"/>
        </w:rPr>
      </w:r>
    </w:p>
    <w:p>
      <w:pPr>
        <w:pStyle w:val="Normal"/>
        <w:rPr>
          <w:b/>
          <w:color w:val="000000"/>
        </w:rPr>
      </w:pPr>
      <w:r>
        <w:rPr>
          <w:b/>
          <w:color w:val="000000"/>
        </w:rPr>
        <w:t>Bežné príjmy rozpočtových organizácií s právnou subjektivitou, z toho:</w:t>
      </w:r>
    </w:p>
    <w:p>
      <w:pPr>
        <w:pStyle w:val="Normal"/>
        <w:tabs>
          <w:tab w:val="clear" w:pos="708"/>
          <w:tab w:val="left" w:pos="-3060" w:leader="none"/>
          <w:tab w:val="right" w:pos="5040" w:leader="none"/>
        </w:tabs>
        <w:rPr>
          <w:color w:val="000000"/>
        </w:rPr>
      </w:pPr>
      <w:r>
        <w:rPr>
          <w:color w:val="000000"/>
        </w:rPr>
        <w:t>Základná škola                                 19.305,54 EUR</w:t>
      </w:r>
    </w:p>
    <w:p>
      <w:pPr>
        <w:pStyle w:val="Normal"/>
        <w:tabs>
          <w:tab w:val="clear" w:pos="708"/>
          <w:tab w:val="left" w:pos="-3060" w:leader="none"/>
          <w:tab w:val="right" w:pos="5040" w:leader="none"/>
        </w:tabs>
        <w:rPr>
          <w:color w:val="000000"/>
        </w:rPr>
      </w:pPr>
      <w:r>
        <w:rPr>
          <w:color w:val="000000"/>
        </w:rPr>
        <w:t>Materská škola                               100.174,09 EUR</w:t>
      </w:r>
    </w:p>
    <w:p>
      <w:pPr>
        <w:pStyle w:val="Normal"/>
        <w:rPr>
          <w:b/>
          <w:color w:val="C9211E"/>
        </w:rPr>
      </w:pPr>
      <w:r>
        <w:rPr>
          <w:b/>
          <w:color w:val="C9211E"/>
        </w:rPr>
      </w:r>
    </w:p>
    <w:p>
      <w:pPr>
        <w:pStyle w:val="Normal"/>
        <w:rPr>
          <w:b/>
          <w:color w:val="000000"/>
        </w:rPr>
      </w:pPr>
      <w:r>
        <w:rPr>
          <w:b/>
          <w:color w:val="000000"/>
        </w:rPr>
        <w:t xml:space="preserve">Kapitálové príjmy </w:t>
      </w:r>
    </w:p>
    <w:p>
      <w:pPr>
        <w:pStyle w:val="Normal"/>
        <w:rPr>
          <w:b/>
          <w:color w:val="000000"/>
        </w:rPr>
      </w:pPr>
      <w:r>
        <w:rPr>
          <w:b/>
          <w:color w:val="000000"/>
        </w:rPr>
      </w:r>
    </w:p>
    <w:tbl>
      <w:tblPr>
        <w:tblW w:w="10236"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2962"/>
        <w:gridCol w:w="3071"/>
        <w:gridCol w:w="4203"/>
      </w:tblGrid>
      <w:tr>
        <w:trPr/>
        <w:tc>
          <w:tcPr>
            <w:tcW w:w="2962"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Rozpočet na rok 2024</w:t>
            </w:r>
          </w:p>
        </w:tc>
        <w:tc>
          <w:tcPr>
            <w:tcW w:w="3071"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Skutočnosť k 31.12.2024</w:t>
            </w:r>
          </w:p>
        </w:tc>
        <w:tc>
          <w:tcPr>
            <w:tcW w:w="4203" w:type="dxa"/>
            <w:tcBorders>
              <w:top w:val="single" w:sz="4" w:space="0" w:color="000000"/>
              <w:left w:val="single" w:sz="4" w:space="0" w:color="000000"/>
              <w:bottom w:val="single" w:sz="4" w:space="0" w:color="000000"/>
              <w:right w:val="single" w:sz="4" w:space="0" w:color="000000"/>
            </w:tcBorders>
            <w:shd w:color="auto" w:fill="DEEAF6" w:val="clear"/>
          </w:tcPr>
          <w:p>
            <w:pPr>
              <w:pStyle w:val="Normal"/>
              <w:spacing w:before="0" w:after="200"/>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tcPr>
          <w:p>
            <w:pPr>
              <w:pStyle w:val="Normal"/>
              <w:spacing w:before="0" w:after="200"/>
              <w:jc w:val="right"/>
              <w:rPr>
                <w:color w:val="000000"/>
              </w:rPr>
            </w:pPr>
            <w:r>
              <w:rPr>
                <w:color w:val="000000"/>
              </w:rPr>
              <w:t>0,00</w:t>
            </w:r>
          </w:p>
        </w:tc>
        <w:tc>
          <w:tcPr>
            <w:tcW w:w="3071" w:type="dxa"/>
            <w:tcBorders>
              <w:top w:val="single" w:sz="4" w:space="0" w:color="000000"/>
              <w:left w:val="single" w:sz="4" w:space="0" w:color="000000"/>
              <w:bottom w:val="single" w:sz="4" w:space="0" w:color="000000"/>
            </w:tcBorders>
          </w:tcPr>
          <w:p>
            <w:pPr>
              <w:pStyle w:val="Normal"/>
              <w:spacing w:before="0" w:after="200"/>
              <w:jc w:val="right"/>
              <w:rPr/>
            </w:pPr>
            <w:r>
              <w:rPr>
                <w:color w:val="000000"/>
              </w:rPr>
              <w:t xml:space="preserve">                  </w:t>
            </w:r>
            <w:r>
              <w:rPr>
                <w:color w:val="000000"/>
              </w:rPr>
              <w:t>0,00</w:t>
            </w:r>
          </w:p>
        </w:tc>
        <w:tc>
          <w:tcPr>
            <w:tcW w:w="4203" w:type="dxa"/>
            <w:tcBorders>
              <w:top w:val="single" w:sz="4" w:space="0" w:color="000000"/>
              <w:left w:val="single" w:sz="4" w:space="0" w:color="000000"/>
              <w:bottom w:val="single" w:sz="4" w:space="0" w:color="000000"/>
              <w:right w:val="single" w:sz="4" w:space="0" w:color="000000"/>
            </w:tcBorders>
          </w:tcPr>
          <w:p>
            <w:pPr>
              <w:pStyle w:val="Normal"/>
              <w:spacing w:before="0" w:after="200"/>
              <w:jc w:val="right"/>
              <w:rPr/>
            </w:pPr>
            <w:r>
              <w:rPr>
                <w:b/>
                <w:i/>
                <w:color w:val="000000"/>
              </w:rPr>
              <w:t xml:space="preserve"> </w:t>
            </w:r>
            <w:r>
              <w:rPr>
                <w:b/>
                <w:color w:val="000000"/>
              </w:rPr>
              <w:t xml:space="preserve">              </w:t>
            </w:r>
            <w:r>
              <w:rPr>
                <w:b/>
                <w:color w:val="000000"/>
              </w:rPr>
              <w:t>0,00</w:t>
            </w:r>
          </w:p>
        </w:tc>
      </w:tr>
    </w:tbl>
    <w:p>
      <w:pPr>
        <w:pStyle w:val="Normal"/>
        <w:jc w:val="both"/>
        <w:rPr>
          <w:color w:val="000000"/>
        </w:rPr>
      </w:pPr>
      <w:r>
        <w:rPr>
          <w:color w:val="000000"/>
        </w:rPr>
        <w:t>RO nemali rozpočtované kapitálové príjmy.</w:t>
      </w:r>
    </w:p>
    <w:p>
      <w:pPr>
        <w:pStyle w:val="Normal"/>
        <w:jc w:val="both"/>
        <w:rPr>
          <w:color w:val="C9211E"/>
        </w:rPr>
      </w:pPr>
      <w:r>
        <w:rPr>
          <w:color w:val="C9211E"/>
        </w:rPr>
      </w:r>
    </w:p>
    <w:p>
      <w:pPr>
        <w:pStyle w:val="Normal"/>
        <w:jc w:val="both"/>
        <w:rPr>
          <w:color w:val="C9211E"/>
        </w:rPr>
      </w:pPr>
      <w:r>
        <w:rPr>
          <w:color w:val="C9211E"/>
        </w:rPr>
      </w:r>
    </w:p>
    <w:p>
      <w:pPr>
        <w:pStyle w:val="Normal"/>
        <w:rPr>
          <w:b/>
          <w:color w:val="000000"/>
        </w:rPr>
      </w:pPr>
      <w:r>
        <w:rPr>
          <w:b/>
          <w:color w:val="000000"/>
        </w:rPr>
        <w:t xml:space="preserve">Príjmové finančné operácie: </w:t>
      </w:r>
    </w:p>
    <w:p>
      <w:pPr>
        <w:pStyle w:val="Normal"/>
        <w:rPr>
          <w:b/>
          <w:color w:val="000000"/>
        </w:rPr>
      </w:pPr>
      <w:r>
        <w:rPr>
          <w:b/>
          <w:color w:val="000000"/>
        </w:rPr>
      </w:r>
    </w:p>
    <w:tbl>
      <w:tblPr>
        <w:tblW w:w="10236"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2962"/>
        <w:gridCol w:w="3071"/>
        <w:gridCol w:w="4203"/>
      </w:tblGrid>
      <w:tr>
        <w:trPr/>
        <w:tc>
          <w:tcPr>
            <w:tcW w:w="2962"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pPr>
            <w:r>
              <w:rPr>
                <w:b/>
                <w:i/>
                <w:color w:val="000000"/>
              </w:rPr>
              <w:t xml:space="preserve"> </w:t>
            </w:r>
            <w:r>
              <w:rPr>
                <w:b/>
                <w:color w:val="000000"/>
              </w:rPr>
              <w:t>Rozpočet na rok 2024</w:t>
            </w:r>
          </w:p>
        </w:tc>
        <w:tc>
          <w:tcPr>
            <w:tcW w:w="3071"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Skutočnosť k 31.12.2024</w:t>
            </w:r>
          </w:p>
        </w:tc>
        <w:tc>
          <w:tcPr>
            <w:tcW w:w="4203" w:type="dxa"/>
            <w:tcBorders>
              <w:top w:val="single" w:sz="4" w:space="0" w:color="000000"/>
              <w:left w:val="single" w:sz="4" w:space="0" w:color="000000"/>
              <w:bottom w:val="single" w:sz="4" w:space="0" w:color="000000"/>
              <w:right w:val="single" w:sz="4" w:space="0" w:color="000000"/>
            </w:tcBorders>
            <w:shd w:color="auto" w:fill="DEEAF6" w:val="clear"/>
          </w:tcPr>
          <w:p>
            <w:pPr>
              <w:pStyle w:val="Normal"/>
              <w:spacing w:before="0" w:after="200"/>
              <w:jc w:val="center"/>
              <w:rPr>
                <w:b/>
                <w:color w:val="000000"/>
              </w:rPr>
            </w:pPr>
            <w:r>
              <w:rPr>
                <w:b/>
                <w:color w:val="000000"/>
              </w:rPr>
              <w:t>% plnenia</w:t>
            </w:r>
          </w:p>
        </w:tc>
      </w:tr>
      <w:tr>
        <w:trPr/>
        <w:tc>
          <w:tcPr>
            <w:tcW w:w="2962"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8.298,00</w:t>
            </w:r>
          </w:p>
        </w:tc>
        <w:tc>
          <w:tcPr>
            <w:tcW w:w="3071"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8.298,84</w:t>
            </w:r>
          </w:p>
        </w:tc>
        <w:tc>
          <w:tcPr>
            <w:tcW w:w="4203"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jc w:val="right"/>
              <w:rPr>
                <w:color w:val="000000"/>
              </w:rPr>
            </w:pPr>
            <w:r>
              <w:rPr>
                <w:color w:val="000000"/>
              </w:rPr>
              <w:t>100,00</w:t>
            </w:r>
          </w:p>
        </w:tc>
      </w:tr>
    </w:tbl>
    <w:p>
      <w:pPr>
        <w:pStyle w:val="Normal"/>
        <w:jc w:val="both"/>
        <w:rPr>
          <w:color w:val="000000"/>
        </w:rPr>
      </w:pPr>
      <w:r>
        <w:rPr>
          <w:color w:val="000000"/>
        </w:rPr>
      </w:r>
    </w:p>
    <w:p>
      <w:pPr>
        <w:pStyle w:val="Normal"/>
        <w:jc w:val="both"/>
        <w:rPr>
          <w:color w:val="000000"/>
        </w:rPr>
      </w:pPr>
      <w:r>
        <w:rPr>
          <w:color w:val="000000"/>
        </w:rPr>
        <w:t>Z rozpočtovaných finančných operácií /prostriedky z predchádzajúcich rokov/ 8.298,00 EUR bol skutočný príjem k 31.12.2024 v sume  8.298,84 EUR,  čo predstavuje  100 % plnenie .</w:t>
      </w:r>
    </w:p>
    <w:p>
      <w:pPr>
        <w:pStyle w:val="Normal"/>
        <w:rPr>
          <w:b/>
          <w:color w:val="C9211E"/>
          <w:sz w:val="28"/>
          <w:szCs w:val="28"/>
          <w:u w:val="single"/>
        </w:rPr>
      </w:pPr>
      <w:r>
        <w:rPr>
          <w:b/>
          <w:color w:val="C9211E"/>
          <w:sz w:val="28"/>
          <w:szCs w:val="28"/>
          <w:u w:val="single"/>
        </w:rPr>
      </w:r>
    </w:p>
    <w:p>
      <w:pPr>
        <w:pStyle w:val="Normal"/>
        <w:rPr>
          <w:b/>
          <w:color w:val="000000"/>
          <w:sz w:val="28"/>
          <w:szCs w:val="28"/>
          <w:u w:val="single"/>
        </w:rPr>
      </w:pPr>
      <w:r>
        <w:rPr>
          <w:b/>
          <w:color w:val="000000"/>
          <w:sz w:val="28"/>
          <w:szCs w:val="28"/>
          <w:u w:val="single"/>
        </w:rPr>
        <w:t>3. Rozbor čerpania výdavkov za rok 2024</w:t>
      </w:r>
    </w:p>
    <w:p>
      <w:pPr>
        <w:pStyle w:val="Normal"/>
        <w:rPr>
          <w:b/>
          <w:i/>
          <w:i/>
          <w:color w:val="000000"/>
          <w:u w:val="single"/>
        </w:rPr>
      </w:pPr>
      <w:r>
        <w:rPr>
          <w:b/>
          <w:i/>
          <w:color w:val="000000"/>
          <w:u w:val="single"/>
        </w:rPr>
        <w:t>Obec Selce</w:t>
      </w:r>
    </w:p>
    <w:p>
      <w:pPr>
        <w:pStyle w:val="Normal"/>
        <w:rPr>
          <w:b/>
          <w:i/>
          <w:i/>
          <w:color w:val="C9211E"/>
          <w:u w:val="single"/>
        </w:rPr>
      </w:pPr>
      <w:r>
        <w:rPr>
          <w:b/>
          <w:i/>
          <w:color w:val="C9211E"/>
          <w:u w:val="single"/>
        </w:rPr>
      </w:r>
    </w:p>
    <w:tbl>
      <w:tblPr>
        <w:tblW w:w="10236"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2962"/>
        <w:gridCol w:w="3071"/>
        <w:gridCol w:w="4203"/>
      </w:tblGrid>
      <w:tr>
        <w:trPr/>
        <w:tc>
          <w:tcPr>
            <w:tcW w:w="2962"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Rozpočet na rok 2024</w:t>
            </w:r>
          </w:p>
        </w:tc>
        <w:tc>
          <w:tcPr>
            <w:tcW w:w="3071"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Skutočnosť k 31.12.2024</w:t>
            </w:r>
          </w:p>
        </w:tc>
        <w:tc>
          <w:tcPr>
            <w:tcW w:w="4203" w:type="dxa"/>
            <w:tcBorders>
              <w:top w:val="single" w:sz="4" w:space="0" w:color="000000"/>
              <w:left w:val="single" w:sz="4" w:space="0" w:color="000000"/>
              <w:bottom w:val="single" w:sz="4" w:space="0" w:color="000000"/>
              <w:right w:val="single" w:sz="4" w:space="0" w:color="000000"/>
            </w:tcBorders>
            <w:shd w:color="auto" w:fill="DEEAF6" w:val="clear"/>
          </w:tcPr>
          <w:p>
            <w:pPr>
              <w:pStyle w:val="Normal"/>
              <w:spacing w:before="0" w:after="200"/>
              <w:jc w:val="center"/>
              <w:rPr>
                <w:b/>
                <w:color w:val="000000"/>
              </w:rPr>
            </w:pPr>
            <w:r>
              <w:rPr>
                <w:b/>
                <w:color w:val="000000"/>
              </w:rPr>
              <w:t>% čerpania</w:t>
            </w:r>
          </w:p>
        </w:tc>
      </w:tr>
      <w:tr>
        <w:trPr/>
        <w:tc>
          <w:tcPr>
            <w:tcW w:w="2962"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1.198.867,33</w:t>
            </w:r>
          </w:p>
        </w:tc>
        <w:tc>
          <w:tcPr>
            <w:tcW w:w="3071"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1.041.499,06</w:t>
            </w:r>
          </w:p>
        </w:tc>
        <w:tc>
          <w:tcPr>
            <w:tcW w:w="4203"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before="0" w:after="200"/>
              <w:jc w:val="right"/>
              <w:rPr>
                <w:color w:val="000000"/>
              </w:rPr>
            </w:pPr>
            <w:r>
              <w:rPr>
                <w:color w:val="000000"/>
              </w:rPr>
              <w:t>86,87 %</w:t>
            </w:r>
          </w:p>
        </w:tc>
      </w:tr>
    </w:tbl>
    <w:p>
      <w:pPr>
        <w:pStyle w:val="Normal"/>
        <w:ind w:left="360"/>
        <w:jc w:val="right"/>
        <w:rPr>
          <w:color w:val="C9211E"/>
        </w:rPr>
      </w:pPr>
      <w:r>
        <w:rPr>
          <w:color w:val="C9211E"/>
        </w:rPr>
      </w:r>
    </w:p>
    <w:p>
      <w:pPr>
        <w:pStyle w:val="Normal"/>
        <w:jc w:val="both"/>
        <w:rPr>
          <w:color w:val="000000"/>
        </w:rPr>
      </w:pPr>
      <w:r>
        <w:rPr>
          <w:color w:val="000000"/>
        </w:rPr>
        <w:t xml:space="preserve">Z rozpočtovaných celkových výdavkov 1.198.867,33 EUR bolo skutočne čerpané  k 31.12.2024 v sume 1.041.499,06 EUR, čo predstavuje  86,87% čerpanie. </w:t>
      </w:r>
    </w:p>
    <w:p>
      <w:pPr>
        <w:pStyle w:val="Normal"/>
        <w:numPr>
          <w:ilvl w:val="0"/>
          <w:numId w:val="8"/>
        </w:numPr>
        <w:ind w:hanging="284" w:left="284"/>
        <w:rPr/>
      </w:pPr>
      <w:r>
        <w:rPr>
          <w:b/>
          <w:i/>
          <w:color w:val="000000"/>
        </w:rPr>
        <w:t xml:space="preserve">Bežné výdavky </w:t>
      </w:r>
    </w:p>
    <w:p>
      <w:pPr>
        <w:pStyle w:val="Normal"/>
        <w:rPr>
          <w:b/>
          <w:color w:val="000000"/>
        </w:rPr>
      </w:pPr>
      <w:r>
        <w:rPr>
          <w:b/>
          <w:color w:val="000000"/>
        </w:rPr>
        <w:t xml:space="preserve"> </w:t>
      </w:r>
    </w:p>
    <w:tbl>
      <w:tblPr>
        <w:tblW w:w="10236"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2962"/>
        <w:gridCol w:w="3071"/>
        <w:gridCol w:w="4203"/>
      </w:tblGrid>
      <w:tr>
        <w:trPr/>
        <w:tc>
          <w:tcPr>
            <w:tcW w:w="2962"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Rozpočet na rok 2024</w:t>
            </w:r>
          </w:p>
        </w:tc>
        <w:tc>
          <w:tcPr>
            <w:tcW w:w="3071"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Skutočnosť k 31.12.2024</w:t>
            </w:r>
          </w:p>
        </w:tc>
        <w:tc>
          <w:tcPr>
            <w:tcW w:w="4203" w:type="dxa"/>
            <w:tcBorders>
              <w:top w:val="single" w:sz="4" w:space="0" w:color="000000"/>
              <w:left w:val="single" w:sz="4" w:space="0" w:color="000000"/>
              <w:bottom w:val="single" w:sz="4" w:space="0" w:color="000000"/>
              <w:right w:val="single" w:sz="4" w:space="0" w:color="000000"/>
            </w:tcBorders>
            <w:shd w:color="auto" w:fill="DEEAF6" w:val="clear"/>
          </w:tcPr>
          <w:p>
            <w:pPr>
              <w:pStyle w:val="Normal"/>
              <w:spacing w:before="0" w:after="200"/>
              <w:jc w:val="center"/>
              <w:rPr>
                <w:b/>
                <w:color w:val="000000"/>
              </w:rPr>
            </w:pPr>
            <w:r>
              <w:rPr>
                <w:b/>
                <w:color w:val="000000"/>
              </w:rPr>
              <w:t>% čerpania</w:t>
            </w:r>
          </w:p>
        </w:tc>
      </w:tr>
      <w:tr>
        <w:trPr/>
        <w:tc>
          <w:tcPr>
            <w:tcW w:w="2962"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940.302,04</w:t>
            </w:r>
          </w:p>
        </w:tc>
        <w:tc>
          <w:tcPr>
            <w:tcW w:w="3071"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876.682,69</w:t>
            </w:r>
          </w:p>
        </w:tc>
        <w:tc>
          <w:tcPr>
            <w:tcW w:w="4203"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before="0" w:after="200"/>
              <w:jc w:val="right"/>
              <w:rPr>
                <w:color w:val="000000"/>
              </w:rPr>
            </w:pPr>
            <w:r>
              <w:rPr>
                <w:color w:val="000000"/>
              </w:rPr>
              <w:t>93,23 %</w:t>
            </w:r>
          </w:p>
        </w:tc>
      </w:tr>
    </w:tbl>
    <w:p>
      <w:pPr>
        <w:pStyle w:val="Normal"/>
        <w:jc w:val="right"/>
        <w:rPr>
          <w:color w:val="000000"/>
        </w:rPr>
      </w:pPr>
      <w:r>
        <w:rPr>
          <w:color w:val="000000"/>
        </w:rPr>
      </w:r>
    </w:p>
    <w:p>
      <w:pPr>
        <w:pStyle w:val="Normal"/>
        <w:jc w:val="both"/>
        <w:rPr>
          <w:color w:val="000000"/>
        </w:rPr>
      </w:pPr>
      <w:r>
        <w:rPr>
          <w:color w:val="000000"/>
        </w:rPr>
        <w:t xml:space="preserve">Z rozpočtovaných bežných výdavkov 940.302,04 EUR bolo skutočne čerpané  k 31.12.2024 v sume 876.682,69 EUR, čo predstavuje   93,23 % čerpanie. </w:t>
      </w:r>
    </w:p>
    <w:p>
      <w:pPr>
        <w:pStyle w:val="Normal"/>
        <w:jc w:val="both"/>
        <w:rPr>
          <w:color w:val="C9211E"/>
        </w:rPr>
      </w:pPr>
      <w:r>
        <w:rPr>
          <w:color w:val="C9211E"/>
        </w:rPr>
      </w:r>
    </w:p>
    <w:p>
      <w:pPr>
        <w:pStyle w:val="Normal"/>
        <w:jc w:val="both"/>
        <w:rPr>
          <w:b/>
          <w:color w:val="000000"/>
        </w:rPr>
      </w:pPr>
      <w:r>
        <w:rPr>
          <w:b/>
          <w:color w:val="000000"/>
        </w:rPr>
        <w:t xml:space="preserve">Medzi významné položky bežného rozpočtu patrí: </w:t>
      </w:r>
    </w:p>
    <w:p>
      <w:pPr>
        <w:pStyle w:val="Normal"/>
        <w:tabs>
          <w:tab w:val="clear" w:pos="708"/>
          <w:tab w:val="right" w:pos="284" w:leader="none"/>
        </w:tabs>
        <w:jc w:val="both"/>
        <w:rPr>
          <w:b/>
          <w:color w:val="000000"/>
        </w:rPr>
      </w:pPr>
      <w:r>
        <w:rPr>
          <w:b/>
          <w:color w:val="000000"/>
        </w:rPr>
        <w:t>Mzdy, platy, služobné príjmy a ostatné osobné vyrovnania</w:t>
      </w:r>
    </w:p>
    <w:p>
      <w:pPr>
        <w:pStyle w:val="Normal"/>
        <w:jc w:val="both"/>
        <w:rPr/>
      </w:pPr>
      <w:r>
        <w:rPr>
          <w:color w:val="000000"/>
        </w:rPr>
        <w:t>Z rozpočtovaných 308.607,83 EUR bolo skutočné čerpanie k 31.12.2024 v sume 282.657,62 EUR, čo je</w:t>
      </w:r>
      <w:r>
        <w:rPr>
          <w:color w:val="C9211E"/>
        </w:rPr>
        <w:t xml:space="preserve"> </w:t>
      </w:r>
      <w:r>
        <w:rPr>
          <w:color w:val="000000"/>
        </w:rPr>
        <w:t>91,59 % čerpanie.</w:t>
      </w:r>
      <w:r>
        <w:rPr>
          <w:color w:val="C9211E"/>
        </w:rPr>
        <w:t xml:space="preserve"> </w:t>
      </w:r>
      <w:r>
        <w:rPr>
          <w:color w:val="000000"/>
        </w:rPr>
        <w:t xml:space="preserve">Patria sem mzdové prostriedky pracovníkov OcÚ, matriky, opatrovateľskej služby a pracovníkov SOU </w:t>
      </w:r>
      <w:r>
        <w:rPr>
          <w:color w:val="C9211E"/>
        </w:rPr>
        <w:t>.</w:t>
      </w:r>
    </w:p>
    <w:p>
      <w:pPr>
        <w:pStyle w:val="Normal"/>
        <w:tabs>
          <w:tab w:val="clear" w:pos="708"/>
          <w:tab w:val="right" w:pos="284" w:leader="none"/>
        </w:tabs>
        <w:jc w:val="both"/>
        <w:rPr>
          <w:b/>
          <w:color w:val="000000"/>
        </w:rPr>
      </w:pPr>
      <w:r>
        <w:rPr>
          <w:b/>
          <w:color w:val="000000"/>
        </w:rPr>
        <w:t>Poistné a príspevok do poisťovní</w:t>
      </w:r>
    </w:p>
    <w:p>
      <w:pPr>
        <w:pStyle w:val="Normal"/>
        <w:jc w:val="both"/>
        <w:rPr>
          <w:color w:val="000000"/>
        </w:rPr>
      </w:pPr>
      <w:r>
        <w:rPr>
          <w:color w:val="000000"/>
        </w:rPr>
        <w:t xml:space="preserve">Z rozpočtovaných  120.003,49 EUR bolo skutočne čerpané k 31.12.2024 v sume 109.689,58 EUR, čo je     91,41 % čerpanie. </w:t>
      </w:r>
    </w:p>
    <w:p>
      <w:pPr>
        <w:pStyle w:val="Normal"/>
        <w:tabs>
          <w:tab w:val="clear" w:pos="708"/>
          <w:tab w:val="right" w:pos="284" w:leader="none"/>
        </w:tabs>
        <w:jc w:val="both"/>
        <w:rPr>
          <w:b/>
          <w:color w:val="000000"/>
        </w:rPr>
      </w:pPr>
      <w:r>
        <w:rPr>
          <w:b/>
          <w:color w:val="000000"/>
        </w:rPr>
        <w:t>Tovary a služby</w:t>
      </w:r>
    </w:p>
    <w:p>
      <w:pPr>
        <w:pStyle w:val="Normal"/>
        <w:jc w:val="both"/>
        <w:rPr/>
      </w:pPr>
      <w:r>
        <w:rPr>
          <w:color w:val="000000"/>
        </w:rPr>
        <w:t>Z rozpočtovaných 473.006,88 EUR bolo skutočne čerpané k 31.12.2024 v sume 446.575,44 EUR, čo je</w:t>
      </w:r>
      <w:r>
        <w:rPr>
          <w:color w:val="C9211E"/>
        </w:rPr>
        <w:t xml:space="preserve">      </w:t>
      </w:r>
      <w:r>
        <w:rPr>
          <w:color w:val="000000"/>
        </w:rPr>
        <w:t>94,41 % čerpanie. Ide o prevádzkové výdavky všetkých stredísk OcÚ, ako sú cestovné náhrady, energie, materiál, dopravné, rutinná a štandardná údržba, nájomné a ostatné tovary a služby.</w:t>
      </w:r>
    </w:p>
    <w:p>
      <w:pPr>
        <w:pStyle w:val="Normal"/>
        <w:tabs>
          <w:tab w:val="clear" w:pos="708"/>
          <w:tab w:val="right" w:pos="284" w:leader="none"/>
        </w:tabs>
        <w:jc w:val="both"/>
        <w:rPr>
          <w:b/>
          <w:color w:val="000000"/>
        </w:rPr>
      </w:pPr>
      <w:r>
        <w:rPr>
          <w:b/>
          <w:color w:val="000000"/>
        </w:rPr>
        <w:t>Bežné transfery</w:t>
      </w:r>
    </w:p>
    <w:p>
      <w:pPr>
        <w:pStyle w:val="Normal"/>
        <w:jc w:val="both"/>
        <w:rPr>
          <w:color w:val="000000"/>
        </w:rPr>
      </w:pPr>
      <w:r>
        <w:rPr>
          <w:color w:val="000000"/>
        </w:rPr>
        <w:t>Z rozpočtovaných 31 781,66 EUR bolo skutočne čerpané k 31.12.2024 v sume 30 857,87 EUR, čo predstavuje 97,09 % čerpanie.</w:t>
      </w:r>
    </w:p>
    <w:p>
      <w:pPr>
        <w:pStyle w:val="Normal"/>
        <w:jc w:val="both"/>
        <w:rPr>
          <w:color w:val="C9211E"/>
        </w:rPr>
      </w:pPr>
      <w:r>
        <w:rPr>
          <w:color w:val="C9211E"/>
        </w:rPr>
      </w:r>
    </w:p>
    <w:tbl>
      <w:tblPr>
        <w:tblW w:w="10378"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8504"/>
        <w:gridCol w:w="1873"/>
      </w:tblGrid>
      <w:tr>
        <w:trPr/>
        <w:tc>
          <w:tcPr>
            <w:tcW w:w="8504" w:type="dxa"/>
            <w:tcBorders>
              <w:top w:val="single" w:sz="4" w:space="0" w:color="000000"/>
              <w:left w:val="single" w:sz="4" w:space="0" w:color="000000"/>
              <w:bottom w:val="single" w:sz="4" w:space="0" w:color="000000"/>
            </w:tcBorders>
            <w:shd w:color="auto" w:fill="DEEAF6" w:val="clear"/>
          </w:tcPr>
          <w:p>
            <w:pPr>
              <w:pStyle w:val="Normal"/>
              <w:spacing w:before="0" w:after="200"/>
              <w:jc w:val="both"/>
              <w:rPr>
                <w:b/>
              </w:rPr>
            </w:pPr>
            <w:r>
              <w:rPr>
                <w:b/>
              </w:rPr>
              <w:t>Prijímateľ transferu</w:t>
            </w:r>
          </w:p>
        </w:tc>
        <w:tc>
          <w:tcPr>
            <w:tcW w:w="1873" w:type="dxa"/>
            <w:tcBorders>
              <w:top w:val="single" w:sz="4" w:space="0" w:color="000000"/>
              <w:left w:val="single" w:sz="4" w:space="0" w:color="000000"/>
              <w:bottom w:val="single" w:sz="4" w:space="0" w:color="000000"/>
              <w:right w:val="single" w:sz="4" w:space="0" w:color="000000"/>
            </w:tcBorders>
            <w:shd w:color="auto" w:fill="DEEAF6" w:val="clear"/>
          </w:tcPr>
          <w:p>
            <w:pPr>
              <w:pStyle w:val="Normal"/>
              <w:spacing w:before="0" w:after="200"/>
              <w:jc w:val="center"/>
              <w:rPr>
                <w:b/>
              </w:rPr>
            </w:pPr>
            <w:r>
              <w:rPr>
                <w:b/>
              </w:rPr>
              <w:t>Suma v EUR</w:t>
            </w:r>
          </w:p>
        </w:tc>
      </w:tr>
      <w:tr>
        <w:trPr/>
        <w:tc>
          <w:tcPr>
            <w:tcW w:w="8504" w:type="dxa"/>
            <w:tcBorders>
              <w:top w:val="single" w:sz="4" w:space="0" w:color="000000"/>
              <w:left w:val="single" w:sz="4" w:space="0" w:color="000000"/>
              <w:bottom w:val="single" w:sz="4" w:space="0" w:color="000000"/>
            </w:tcBorders>
          </w:tcPr>
          <w:p>
            <w:pPr>
              <w:pStyle w:val="Normal"/>
              <w:spacing w:before="0" w:after="200"/>
              <w:jc w:val="both"/>
              <w:rPr/>
            </w:pPr>
            <w:r>
              <w:rPr/>
              <w:t>FK Selce, Mlynská ulica 333/49, 976 11 Selce</w:t>
            </w:r>
          </w:p>
        </w:tc>
        <w:tc>
          <w:tcPr>
            <w:tcW w:w="1873" w:type="dxa"/>
            <w:tcBorders>
              <w:top w:val="single" w:sz="4" w:space="0" w:color="000000"/>
              <w:left w:val="single" w:sz="4" w:space="0" w:color="000000"/>
              <w:bottom w:val="single" w:sz="4" w:space="0" w:color="000000"/>
              <w:right w:val="single" w:sz="4" w:space="0" w:color="000000"/>
            </w:tcBorders>
          </w:tcPr>
          <w:p>
            <w:pPr>
              <w:pStyle w:val="Normal"/>
              <w:spacing w:before="0" w:after="200"/>
              <w:jc w:val="right"/>
              <w:rPr/>
            </w:pPr>
            <w:r>
              <w:rPr/>
              <w:t>3 000,00</w:t>
            </w:r>
          </w:p>
        </w:tc>
      </w:tr>
      <w:tr>
        <w:trPr/>
        <w:tc>
          <w:tcPr>
            <w:tcW w:w="8504" w:type="dxa"/>
            <w:tcBorders>
              <w:top w:val="single" w:sz="4" w:space="0" w:color="000000"/>
              <w:left w:val="single" w:sz="4" w:space="0" w:color="000000"/>
              <w:bottom w:val="single" w:sz="4" w:space="0" w:color="000000"/>
            </w:tcBorders>
          </w:tcPr>
          <w:p>
            <w:pPr>
              <w:pStyle w:val="Normal"/>
              <w:spacing w:before="0" w:after="200"/>
              <w:jc w:val="both"/>
              <w:rPr/>
            </w:pPr>
            <w:r>
              <w:rPr/>
              <w:t>Športový lyžiarsky klub Selce, Nová 6, 976 11 Selce</w:t>
            </w:r>
          </w:p>
        </w:tc>
        <w:tc>
          <w:tcPr>
            <w:tcW w:w="1873" w:type="dxa"/>
            <w:tcBorders>
              <w:top w:val="single" w:sz="4" w:space="0" w:color="000000"/>
              <w:left w:val="single" w:sz="4" w:space="0" w:color="000000"/>
              <w:bottom w:val="single" w:sz="4" w:space="0" w:color="000000"/>
              <w:right w:val="single" w:sz="4" w:space="0" w:color="000000"/>
            </w:tcBorders>
          </w:tcPr>
          <w:p>
            <w:pPr>
              <w:pStyle w:val="Normal"/>
              <w:spacing w:before="0" w:after="200"/>
              <w:jc w:val="right"/>
              <w:rPr/>
            </w:pPr>
            <w:r>
              <w:rPr/>
              <w:t>1 800,00</w:t>
            </w:r>
          </w:p>
        </w:tc>
      </w:tr>
      <w:tr>
        <w:trPr/>
        <w:tc>
          <w:tcPr>
            <w:tcW w:w="8504" w:type="dxa"/>
            <w:tcBorders>
              <w:top w:val="single" w:sz="4" w:space="0" w:color="000000"/>
              <w:left w:val="single" w:sz="4" w:space="0" w:color="000000"/>
              <w:bottom w:val="single" w:sz="4" w:space="0" w:color="000000"/>
            </w:tcBorders>
          </w:tcPr>
          <w:p>
            <w:pPr>
              <w:pStyle w:val="Normal"/>
              <w:spacing w:before="0" w:after="200"/>
              <w:jc w:val="both"/>
              <w:rPr/>
            </w:pPr>
            <w:r>
              <w:rPr/>
              <w:t>AK šport Selce, Selčianska cesta 132, 976 11 Selce</w:t>
            </w:r>
          </w:p>
        </w:tc>
        <w:tc>
          <w:tcPr>
            <w:tcW w:w="1873" w:type="dxa"/>
            <w:tcBorders>
              <w:top w:val="single" w:sz="4" w:space="0" w:color="000000"/>
              <w:left w:val="single" w:sz="4" w:space="0" w:color="000000"/>
              <w:bottom w:val="single" w:sz="4" w:space="0" w:color="000000"/>
              <w:right w:val="single" w:sz="4" w:space="0" w:color="000000"/>
            </w:tcBorders>
          </w:tcPr>
          <w:p>
            <w:pPr>
              <w:pStyle w:val="Normal"/>
              <w:spacing w:before="0" w:after="200"/>
              <w:jc w:val="right"/>
              <w:rPr/>
            </w:pPr>
            <w:r>
              <w:rPr/>
              <w:t>6 921,67</w:t>
            </w:r>
          </w:p>
        </w:tc>
      </w:tr>
      <w:tr>
        <w:trPr/>
        <w:tc>
          <w:tcPr>
            <w:tcW w:w="8504" w:type="dxa"/>
            <w:tcBorders>
              <w:top w:val="single" w:sz="4" w:space="0" w:color="000000"/>
              <w:left w:val="single" w:sz="4" w:space="0" w:color="000000"/>
              <w:bottom w:val="single" w:sz="4" w:space="0" w:color="000000"/>
            </w:tcBorders>
          </w:tcPr>
          <w:p>
            <w:pPr>
              <w:pStyle w:val="Normal"/>
              <w:spacing w:before="0" w:after="200"/>
              <w:jc w:val="both"/>
              <w:rPr/>
            </w:pPr>
            <w:r>
              <w:rPr/>
              <w:t>Stolnotenisový klub, Selčianska cesta 132, 976 11 Selce</w:t>
            </w:r>
          </w:p>
        </w:tc>
        <w:tc>
          <w:tcPr>
            <w:tcW w:w="1873" w:type="dxa"/>
            <w:tcBorders>
              <w:top w:val="single" w:sz="4" w:space="0" w:color="000000"/>
              <w:left w:val="single" w:sz="4" w:space="0" w:color="000000"/>
              <w:bottom w:val="single" w:sz="4" w:space="0" w:color="000000"/>
              <w:right w:val="single" w:sz="4" w:space="0" w:color="000000"/>
            </w:tcBorders>
          </w:tcPr>
          <w:p>
            <w:pPr>
              <w:pStyle w:val="Normal"/>
              <w:spacing w:before="0" w:after="200"/>
              <w:jc w:val="right"/>
              <w:rPr/>
            </w:pPr>
            <w:r>
              <w:rPr/>
              <w:t>500,00</w:t>
            </w:r>
          </w:p>
        </w:tc>
      </w:tr>
      <w:tr>
        <w:trPr/>
        <w:tc>
          <w:tcPr>
            <w:tcW w:w="8504" w:type="dxa"/>
            <w:tcBorders>
              <w:top w:val="single" w:sz="4" w:space="0" w:color="000000"/>
              <w:left w:val="single" w:sz="4" w:space="0" w:color="000000"/>
              <w:bottom w:val="single" w:sz="4" w:space="0" w:color="000000"/>
            </w:tcBorders>
          </w:tcPr>
          <w:p>
            <w:pPr>
              <w:pStyle w:val="Normal"/>
              <w:spacing w:before="0" w:after="200"/>
              <w:jc w:val="both"/>
              <w:rPr/>
            </w:pPr>
            <w:r>
              <w:rPr/>
              <w:t>Slovenské misijné hnutie, Skuteckého 4, 974 01 Banská Bystrica</w:t>
            </w:r>
          </w:p>
        </w:tc>
        <w:tc>
          <w:tcPr>
            <w:tcW w:w="1873" w:type="dxa"/>
            <w:tcBorders>
              <w:top w:val="single" w:sz="4" w:space="0" w:color="000000"/>
              <w:left w:val="single" w:sz="4" w:space="0" w:color="000000"/>
              <w:bottom w:val="single" w:sz="4" w:space="0" w:color="000000"/>
              <w:right w:val="single" w:sz="4" w:space="0" w:color="000000"/>
            </w:tcBorders>
          </w:tcPr>
          <w:p>
            <w:pPr>
              <w:pStyle w:val="Normal"/>
              <w:spacing w:before="0" w:after="200"/>
              <w:jc w:val="right"/>
              <w:rPr/>
            </w:pPr>
            <w:r>
              <w:rPr/>
              <w:t>393,00</w:t>
            </w:r>
          </w:p>
        </w:tc>
      </w:tr>
      <w:tr>
        <w:trPr/>
        <w:tc>
          <w:tcPr>
            <w:tcW w:w="8504" w:type="dxa"/>
            <w:tcBorders>
              <w:top w:val="single" w:sz="4" w:space="0" w:color="000000"/>
              <w:left w:val="single" w:sz="4" w:space="0" w:color="000000"/>
              <w:bottom w:val="single" w:sz="4" w:space="0" w:color="000000"/>
            </w:tcBorders>
          </w:tcPr>
          <w:p>
            <w:pPr>
              <w:pStyle w:val="Normal"/>
              <w:spacing w:before="0" w:after="200"/>
              <w:jc w:val="both"/>
              <w:rPr/>
            </w:pPr>
            <w:r>
              <w:rPr/>
              <w:t>K – Centrum, s.r.o J. Kráľa 1809/3, 974 01 Banská Bystrica</w:t>
            </w:r>
          </w:p>
        </w:tc>
        <w:tc>
          <w:tcPr>
            <w:tcW w:w="1873" w:type="dxa"/>
            <w:tcBorders>
              <w:top w:val="single" w:sz="4" w:space="0" w:color="000000"/>
              <w:left w:val="single" w:sz="4" w:space="0" w:color="000000"/>
              <w:bottom w:val="single" w:sz="4" w:space="0" w:color="000000"/>
              <w:right w:val="single" w:sz="4" w:space="0" w:color="000000"/>
            </w:tcBorders>
          </w:tcPr>
          <w:p>
            <w:pPr>
              <w:pStyle w:val="Normal"/>
              <w:spacing w:before="0" w:after="200"/>
              <w:jc w:val="right"/>
              <w:rPr/>
            </w:pPr>
            <w:r>
              <w:rPr/>
              <w:t>1 494,00</w:t>
            </w:r>
          </w:p>
        </w:tc>
      </w:tr>
      <w:tr>
        <w:trPr/>
        <w:tc>
          <w:tcPr>
            <w:tcW w:w="8504" w:type="dxa"/>
            <w:tcBorders>
              <w:top w:val="single" w:sz="4" w:space="0" w:color="000000"/>
              <w:left w:val="single" w:sz="4" w:space="0" w:color="000000"/>
              <w:bottom w:val="single" w:sz="4" w:space="0" w:color="000000"/>
            </w:tcBorders>
          </w:tcPr>
          <w:p>
            <w:pPr>
              <w:pStyle w:val="Normal"/>
              <w:spacing w:before="0" w:after="200"/>
              <w:jc w:val="both"/>
              <w:rPr/>
            </w:pPr>
            <w:r>
              <w:rPr/>
              <w:t>CVČ Súkromné centrum Demčová</w:t>
            </w:r>
          </w:p>
        </w:tc>
        <w:tc>
          <w:tcPr>
            <w:tcW w:w="1873" w:type="dxa"/>
            <w:tcBorders>
              <w:top w:val="single" w:sz="4" w:space="0" w:color="000000"/>
              <w:left w:val="single" w:sz="4" w:space="0" w:color="000000"/>
              <w:bottom w:val="single" w:sz="4" w:space="0" w:color="000000"/>
              <w:right w:val="single" w:sz="4" w:space="0" w:color="000000"/>
            </w:tcBorders>
          </w:tcPr>
          <w:p>
            <w:pPr>
              <w:pStyle w:val="Normal"/>
              <w:spacing w:before="0" w:after="200"/>
              <w:jc w:val="right"/>
              <w:rPr/>
            </w:pPr>
            <w:r>
              <w:rPr/>
              <w:t>39,00</w:t>
            </w:r>
          </w:p>
        </w:tc>
      </w:tr>
      <w:tr>
        <w:trPr/>
        <w:tc>
          <w:tcPr>
            <w:tcW w:w="8504" w:type="dxa"/>
            <w:tcBorders>
              <w:top w:val="single" w:sz="4" w:space="0" w:color="000000"/>
              <w:left w:val="single" w:sz="4" w:space="0" w:color="000000"/>
              <w:bottom w:val="single" w:sz="4" w:space="0" w:color="000000"/>
            </w:tcBorders>
          </w:tcPr>
          <w:p>
            <w:pPr>
              <w:pStyle w:val="Normal"/>
              <w:spacing w:before="0" w:after="200"/>
              <w:jc w:val="both"/>
              <w:rPr/>
            </w:pPr>
            <w:r>
              <w:rPr/>
              <w:t>Členské príspevky</w:t>
            </w:r>
          </w:p>
        </w:tc>
        <w:tc>
          <w:tcPr>
            <w:tcW w:w="1873" w:type="dxa"/>
            <w:tcBorders>
              <w:top w:val="single" w:sz="4" w:space="0" w:color="000000"/>
              <w:left w:val="single" w:sz="4" w:space="0" w:color="000000"/>
              <w:bottom w:val="single" w:sz="4" w:space="0" w:color="000000"/>
              <w:right w:val="single" w:sz="4" w:space="0" w:color="000000"/>
            </w:tcBorders>
          </w:tcPr>
          <w:p>
            <w:pPr>
              <w:pStyle w:val="Normal"/>
              <w:spacing w:before="0" w:after="200"/>
              <w:jc w:val="right"/>
              <w:rPr/>
            </w:pPr>
            <w:r>
              <w:rPr/>
              <w:t>2 487,71</w:t>
            </w:r>
          </w:p>
        </w:tc>
      </w:tr>
      <w:tr>
        <w:trPr/>
        <w:tc>
          <w:tcPr>
            <w:tcW w:w="8504" w:type="dxa"/>
            <w:tcBorders>
              <w:top w:val="single" w:sz="4" w:space="0" w:color="000000"/>
              <w:left w:val="single" w:sz="4" w:space="0" w:color="000000"/>
              <w:bottom w:val="single" w:sz="4" w:space="0" w:color="000000"/>
            </w:tcBorders>
          </w:tcPr>
          <w:p>
            <w:pPr>
              <w:pStyle w:val="Normal"/>
              <w:spacing w:before="0" w:after="200"/>
              <w:jc w:val="both"/>
              <w:rPr/>
            </w:pPr>
            <w:r>
              <w:rPr/>
              <w:t>Odchodné</w:t>
            </w:r>
          </w:p>
        </w:tc>
        <w:tc>
          <w:tcPr>
            <w:tcW w:w="1873" w:type="dxa"/>
            <w:tcBorders>
              <w:top w:val="single" w:sz="4" w:space="0" w:color="000000"/>
              <w:left w:val="single" w:sz="4" w:space="0" w:color="000000"/>
              <w:bottom w:val="single" w:sz="4" w:space="0" w:color="000000"/>
              <w:right w:val="single" w:sz="4" w:space="0" w:color="000000"/>
            </w:tcBorders>
          </w:tcPr>
          <w:p>
            <w:pPr>
              <w:pStyle w:val="Normal"/>
              <w:spacing w:before="0" w:after="200"/>
              <w:jc w:val="right"/>
              <w:rPr/>
            </w:pPr>
            <w:r>
              <w:rPr/>
              <w:t>5 442,00</w:t>
            </w:r>
          </w:p>
        </w:tc>
      </w:tr>
      <w:tr>
        <w:trPr/>
        <w:tc>
          <w:tcPr>
            <w:tcW w:w="8504" w:type="dxa"/>
            <w:tcBorders>
              <w:top w:val="single" w:sz="4" w:space="0" w:color="000000"/>
              <w:left w:val="single" w:sz="4" w:space="0" w:color="000000"/>
              <w:bottom w:val="single" w:sz="4" w:space="0" w:color="000000"/>
            </w:tcBorders>
          </w:tcPr>
          <w:p>
            <w:pPr>
              <w:pStyle w:val="Normal"/>
              <w:spacing w:before="0" w:after="200"/>
              <w:jc w:val="both"/>
              <w:rPr/>
            </w:pPr>
            <w:r>
              <w:rPr/>
              <w:t>Jednotlivcovi</w:t>
            </w:r>
          </w:p>
        </w:tc>
        <w:tc>
          <w:tcPr>
            <w:tcW w:w="1873" w:type="dxa"/>
            <w:tcBorders>
              <w:top w:val="single" w:sz="4" w:space="0" w:color="000000"/>
              <w:left w:val="single" w:sz="4" w:space="0" w:color="000000"/>
              <w:bottom w:val="single" w:sz="4" w:space="0" w:color="000000"/>
              <w:right w:val="single" w:sz="4" w:space="0" w:color="000000"/>
            </w:tcBorders>
          </w:tcPr>
          <w:p>
            <w:pPr>
              <w:pStyle w:val="Normal"/>
              <w:spacing w:before="0" w:after="200"/>
              <w:jc w:val="right"/>
              <w:rPr/>
            </w:pPr>
            <w:r>
              <w:rPr/>
              <w:t>7612,74</w:t>
            </w:r>
          </w:p>
        </w:tc>
      </w:tr>
      <w:tr>
        <w:trPr/>
        <w:tc>
          <w:tcPr>
            <w:tcW w:w="8504" w:type="dxa"/>
            <w:tcBorders>
              <w:top w:val="single" w:sz="4" w:space="0" w:color="000000"/>
              <w:left w:val="single" w:sz="4" w:space="0" w:color="000000"/>
              <w:bottom w:val="single" w:sz="4" w:space="0" w:color="000000"/>
            </w:tcBorders>
          </w:tcPr>
          <w:p>
            <w:pPr>
              <w:pStyle w:val="Normal"/>
              <w:spacing w:before="0" w:after="200"/>
              <w:jc w:val="both"/>
              <w:rPr/>
            </w:pPr>
            <w:r>
              <w:rPr/>
              <w:t>Na nemocenské dávky</w:t>
            </w:r>
          </w:p>
        </w:tc>
        <w:tc>
          <w:tcPr>
            <w:tcW w:w="1873" w:type="dxa"/>
            <w:tcBorders>
              <w:top w:val="single" w:sz="4" w:space="0" w:color="000000"/>
              <w:left w:val="single" w:sz="4" w:space="0" w:color="000000"/>
              <w:bottom w:val="single" w:sz="4" w:space="0" w:color="000000"/>
              <w:right w:val="single" w:sz="4" w:space="0" w:color="000000"/>
            </w:tcBorders>
          </w:tcPr>
          <w:p>
            <w:pPr>
              <w:pStyle w:val="Normal"/>
              <w:spacing w:before="0" w:after="200"/>
              <w:jc w:val="right"/>
              <w:rPr/>
            </w:pPr>
            <w:r>
              <w:rPr/>
              <w:t>1167,75</w:t>
            </w:r>
          </w:p>
        </w:tc>
      </w:tr>
      <w:tr>
        <w:trPr/>
        <w:tc>
          <w:tcPr>
            <w:tcW w:w="8504" w:type="dxa"/>
            <w:tcBorders>
              <w:left w:val="single" w:sz="4" w:space="0" w:color="000000"/>
              <w:bottom w:val="single" w:sz="4" w:space="0" w:color="000000"/>
            </w:tcBorders>
          </w:tcPr>
          <w:p>
            <w:pPr>
              <w:pStyle w:val="Normal"/>
              <w:spacing w:before="0" w:after="200"/>
              <w:jc w:val="both"/>
              <w:rPr/>
            </w:pPr>
            <w:r>
              <w:rPr/>
              <w:t>Spolu</w:t>
            </w:r>
          </w:p>
        </w:tc>
        <w:tc>
          <w:tcPr>
            <w:tcW w:w="1873" w:type="dxa"/>
            <w:tcBorders>
              <w:left w:val="single" w:sz="4" w:space="0" w:color="000000"/>
              <w:bottom w:val="single" w:sz="4" w:space="0" w:color="000000"/>
              <w:right w:val="single" w:sz="4" w:space="0" w:color="000000"/>
            </w:tcBorders>
          </w:tcPr>
          <w:p>
            <w:pPr>
              <w:pStyle w:val="Normal"/>
              <w:spacing w:before="0" w:after="200"/>
              <w:jc w:val="right"/>
              <w:rPr>
                <w:b/>
                <w:bCs/>
              </w:rPr>
            </w:pPr>
            <w:r>
              <w:rPr>
                <w:b/>
                <w:bCs/>
              </w:rPr>
              <w:t>30 857,87</w:t>
            </w:r>
          </w:p>
        </w:tc>
      </w:tr>
    </w:tbl>
    <w:p>
      <w:pPr>
        <w:pStyle w:val="Normal"/>
        <w:jc w:val="both"/>
        <w:rPr>
          <w:color w:val="C9211E"/>
        </w:rPr>
      </w:pPr>
      <w:r>
        <w:rPr>
          <w:color w:val="C9211E"/>
        </w:rPr>
      </w:r>
    </w:p>
    <w:p>
      <w:pPr>
        <w:pStyle w:val="Normal"/>
        <w:tabs>
          <w:tab w:val="clear" w:pos="708"/>
          <w:tab w:val="right" w:pos="284" w:leader="none"/>
        </w:tabs>
        <w:jc w:val="both"/>
        <w:rPr>
          <w:b/>
          <w:color w:val="C9211E"/>
        </w:rPr>
      </w:pPr>
      <w:r>
        <w:rPr>
          <w:b/>
          <w:color w:val="C9211E"/>
        </w:rPr>
      </w:r>
    </w:p>
    <w:p>
      <w:pPr>
        <w:pStyle w:val="Normal"/>
        <w:tabs>
          <w:tab w:val="clear" w:pos="708"/>
          <w:tab w:val="right" w:pos="284" w:leader="none"/>
        </w:tabs>
        <w:jc w:val="both"/>
        <w:rPr>
          <w:b/>
          <w:color w:val="000000"/>
        </w:rPr>
      </w:pPr>
      <w:r>
        <w:rPr>
          <w:b/>
          <w:color w:val="000000"/>
        </w:rPr>
        <w:t>Splácanie úrokov a ostatné platby súvisiace s úvermi, pôžičkami a návratnými finančnými výpomocami</w:t>
      </w:r>
    </w:p>
    <w:p>
      <w:pPr>
        <w:pStyle w:val="Normal"/>
        <w:jc w:val="both"/>
        <w:rPr>
          <w:color w:val="000000"/>
        </w:rPr>
      </w:pPr>
      <w:r>
        <w:rPr>
          <w:color w:val="000000"/>
        </w:rPr>
        <w:t xml:space="preserve">Z rozpočtovaných 6 902,18 EUR bolo skutočne vyčerpané k 31.12.2024 v sume 6 902,18 EUR, čo predstavuje 100,00  % čerpanie. </w:t>
      </w:r>
    </w:p>
    <w:p>
      <w:pPr>
        <w:pStyle w:val="Normal"/>
        <w:rPr/>
      </w:pPr>
      <w:r>
        <w:rPr>
          <w:b/>
          <w:i/>
          <w:color w:val="000000"/>
        </w:rPr>
        <w:t>2) Kapitálové výdavky</w:t>
      </w:r>
      <w:r>
        <w:rPr>
          <w:b/>
          <w:color w:val="000000"/>
        </w:rPr>
        <w:t xml:space="preserve"> :</w:t>
      </w:r>
    </w:p>
    <w:p>
      <w:pPr>
        <w:pStyle w:val="Normal"/>
        <w:rPr>
          <w:b/>
          <w:color w:val="C9211E"/>
        </w:rPr>
      </w:pPr>
      <w:r>
        <w:rPr>
          <w:b/>
          <w:color w:val="C9211E"/>
        </w:rPr>
        <w:t xml:space="preserve"> </w:t>
      </w:r>
    </w:p>
    <w:tbl>
      <w:tblPr>
        <w:tblW w:w="10378"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2958"/>
        <w:gridCol w:w="3071"/>
        <w:gridCol w:w="4349"/>
      </w:tblGrid>
      <w:tr>
        <w:trPr/>
        <w:tc>
          <w:tcPr>
            <w:tcW w:w="2958"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Rozpočet na rok 2024</w:t>
            </w:r>
          </w:p>
        </w:tc>
        <w:tc>
          <w:tcPr>
            <w:tcW w:w="3071"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Skutočnosť k 31.12.2024</w:t>
            </w:r>
          </w:p>
        </w:tc>
        <w:tc>
          <w:tcPr>
            <w:tcW w:w="4349" w:type="dxa"/>
            <w:tcBorders>
              <w:top w:val="single" w:sz="4" w:space="0" w:color="000000"/>
              <w:left w:val="single" w:sz="4" w:space="0" w:color="000000"/>
              <w:bottom w:val="single" w:sz="4" w:space="0" w:color="000000"/>
              <w:right w:val="single" w:sz="4" w:space="0" w:color="000000"/>
            </w:tcBorders>
            <w:shd w:color="auto" w:fill="DEEAF6" w:val="clear"/>
          </w:tcPr>
          <w:p>
            <w:pPr>
              <w:pStyle w:val="Normal"/>
              <w:spacing w:before="0" w:after="200"/>
              <w:jc w:val="center"/>
              <w:rPr>
                <w:b/>
                <w:color w:val="000000"/>
              </w:rPr>
            </w:pPr>
            <w:r>
              <w:rPr>
                <w:b/>
                <w:color w:val="000000"/>
              </w:rPr>
              <w:t>% čerpania</w:t>
            </w:r>
          </w:p>
        </w:tc>
      </w:tr>
      <w:tr>
        <w:trPr/>
        <w:tc>
          <w:tcPr>
            <w:tcW w:w="2958"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206 540,29</w:t>
            </w:r>
          </w:p>
        </w:tc>
        <w:tc>
          <w:tcPr>
            <w:tcW w:w="3071"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123 167,74</w:t>
            </w:r>
          </w:p>
        </w:tc>
        <w:tc>
          <w:tcPr>
            <w:tcW w:w="4349"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before="0" w:after="200"/>
              <w:jc w:val="right"/>
              <w:rPr>
                <w:color w:val="000000"/>
              </w:rPr>
            </w:pPr>
            <w:r>
              <w:rPr>
                <w:color w:val="000000"/>
              </w:rPr>
              <w:t>59,63</w:t>
            </w:r>
          </w:p>
        </w:tc>
      </w:tr>
    </w:tbl>
    <w:p>
      <w:pPr>
        <w:pStyle w:val="Normal"/>
        <w:rPr>
          <w:color w:val="000000"/>
        </w:rPr>
      </w:pPr>
      <w:r>
        <w:rPr>
          <w:color w:val="000000"/>
        </w:rPr>
      </w:r>
    </w:p>
    <w:p>
      <w:pPr>
        <w:pStyle w:val="Normal"/>
        <w:jc w:val="both"/>
        <w:rPr/>
      </w:pPr>
      <w:r>
        <w:rPr>
          <w:color w:val="000000"/>
        </w:rPr>
        <w:t>Z rozpočtovaných kapitálových výdavkov 206 540,29 EUR bolo skutočne čerpané  k 31.12.2024 v sume 123 167,74 EUR, čo predstavuje 59,63 % čerpanie.</w:t>
      </w:r>
      <w:r>
        <w:rPr>
          <w:color w:val="C9211E"/>
        </w:rPr>
        <w:t xml:space="preserve"> </w:t>
      </w:r>
    </w:p>
    <w:p>
      <w:pPr>
        <w:pStyle w:val="Normal"/>
        <w:rPr>
          <w:color w:val="C9211E"/>
        </w:rPr>
      </w:pPr>
      <w:r>
        <w:rPr>
          <w:color w:val="C9211E"/>
        </w:rPr>
      </w:r>
    </w:p>
    <w:p>
      <w:pPr>
        <w:pStyle w:val="Normal"/>
        <w:jc w:val="both"/>
        <w:rPr>
          <w:b/>
          <w:color w:val="000000"/>
        </w:rPr>
      </w:pPr>
      <w:r>
        <w:rPr>
          <w:b/>
          <w:color w:val="000000"/>
        </w:rPr>
        <w:t xml:space="preserve">Medzi významné  položky kapitálového rozpočtu patrí: </w:t>
      </w:r>
    </w:p>
    <w:p>
      <w:pPr>
        <w:pStyle w:val="Normal"/>
        <w:jc w:val="both"/>
        <w:rPr>
          <w:b/>
          <w:color w:val="000000"/>
        </w:rPr>
      </w:pPr>
      <w:r>
        <w:rPr>
          <w:b/>
          <w:color w:val="000000"/>
        </w:rPr>
        <w:t>Nákup pozemkov a  nehmotných aktív</w:t>
      </w:r>
    </w:p>
    <w:p>
      <w:pPr>
        <w:pStyle w:val="Normal"/>
        <w:jc w:val="both"/>
        <w:rPr>
          <w:color w:val="000000"/>
        </w:rPr>
      </w:pPr>
      <w:r>
        <w:rPr>
          <w:color w:val="000000"/>
        </w:rPr>
        <w:t>Z rozpočtovaných 71 000,00 EUR bolo skutočne vyčerpané k 31.12.2024 v sume 12 692,94 EUR, čo predstavuje 17,88 %. (Nákup pozemkov)</w:t>
      </w:r>
    </w:p>
    <w:p>
      <w:pPr>
        <w:pStyle w:val="Normal"/>
        <w:jc w:val="both"/>
        <w:rPr>
          <w:color w:val="C9211E"/>
        </w:rPr>
      </w:pPr>
      <w:r>
        <w:rPr>
          <w:color w:val="C9211E"/>
        </w:rPr>
        <w:tab/>
      </w:r>
    </w:p>
    <w:p>
      <w:pPr>
        <w:pStyle w:val="Normal"/>
        <w:jc w:val="both"/>
        <w:rPr/>
      </w:pPr>
      <w:r>
        <w:rPr>
          <w:b/>
          <w:color w:val="000000"/>
        </w:rPr>
        <w:t>Nákup strojov, prístrojov, zariadení techniky a náradia</w:t>
      </w:r>
      <w:r>
        <w:rPr>
          <w:b/>
          <w:color w:val="C9211E"/>
        </w:rPr>
        <w:t xml:space="preserve"> </w:t>
      </w:r>
    </w:p>
    <w:p>
      <w:pPr>
        <w:pStyle w:val="Normal"/>
        <w:jc w:val="both"/>
        <w:rPr>
          <w:color w:val="000000"/>
        </w:rPr>
      </w:pPr>
      <w:r>
        <w:rPr>
          <w:color w:val="000000"/>
        </w:rPr>
        <w:t>Z rozpočtovaných  28 560,77 EUR bolo skutočne vyčerpané k 31.12.2024 v sume 27 165,77 EUR, čo predstavuje 95,12 % čerpanie ( Výpočtová technika, konvektomat a defibrilátor ).</w:t>
      </w:r>
    </w:p>
    <w:p>
      <w:pPr>
        <w:pStyle w:val="Normal"/>
        <w:jc w:val="both"/>
        <w:rPr>
          <w:color w:val="C9211E"/>
        </w:rPr>
      </w:pPr>
      <w:r>
        <w:rPr>
          <w:color w:val="C9211E"/>
        </w:rPr>
        <w:tab/>
      </w:r>
    </w:p>
    <w:p>
      <w:pPr>
        <w:pStyle w:val="Normal"/>
        <w:jc w:val="both"/>
        <w:rPr>
          <w:b/>
          <w:color w:val="000000"/>
        </w:rPr>
      </w:pPr>
      <w:r>
        <w:rPr>
          <w:b/>
          <w:color w:val="000000"/>
        </w:rPr>
        <w:t>Prípravná a projektová dokumentácia</w:t>
      </w:r>
    </w:p>
    <w:p>
      <w:pPr>
        <w:pStyle w:val="Normal"/>
        <w:jc w:val="both"/>
        <w:rPr>
          <w:color w:val="000000"/>
        </w:rPr>
      </w:pPr>
      <w:r>
        <w:rPr>
          <w:color w:val="000000"/>
        </w:rPr>
        <w:t>Z rozpočtovaných 86 239,52 EUR bolo skutočne vyčerpané k 31.12.2024 v sume 62 571,00 EUR, čo predstavuje 72,55 % čerpanie, z toho:</w:t>
      </w:r>
    </w:p>
    <w:p>
      <w:pPr>
        <w:pStyle w:val="Normal"/>
        <w:ind w:firstLine="708"/>
        <w:jc w:val="both"/>
        <w:rPr>
          <w:color w:val="000000"/>
        </w:rPr>
      </w:pPr>
      <w:r>
        <w:rPr>
          <w:color w:val="000000"/>
        </w:rPr>
        <w:t>Ihrisko</w:t>
        <w:tab/>
        <w:t xml:space="preserve">  </w:t>
        <w:tab/>
        <w:tab/>
        <w:t xml:space="preserve">        </w:t>
        <w:tab/>
        <w:tab/>
        <w:tab/>
        <w:tab/>
        <w:t xml:space="preserve">              1 140,00 EUR</w:t>
      </w:r>
    </w:p>
    <w:p>
      <w:pPr>
        <w:pStyle w:val="Normal"/>
        <w:ind w:firstLine="708"/>
        <w:jc w:val="both"/>
        <w:rPr>
          <w:color w:val="000000"/>
        </w:rPr>
      </w:pPr>
      <w:r>
        <w:rPr>
          <w:color w:val="000000"/>
        </w:rPr>
        <w:t>Odkanalizovanie</w:t>
        <w:tab/>
        <w:tab/>
        <w:tab/>
        <w:tab/>
        <w:t xml:space="preserve">         </w:t>
        <w:tab/>
        <w:tab/>
        <w:t xml:space="preserve">  2 900,00 EUR</w:t>
      </w:r>
    </w:p>
    <w:p>
      <w:pPr>
        <w:pStyle w:val="Normal"/>
        <w:ind w:firstLine="708"/>
        <w:jc w:val="both"/>
        <w:rPr>
          <w:color w:val="000000"/>
        </w:rPr>
      </w:pPr>
      <w:r>
        <w:rPr>
          <w:color w:val="000000"/>
        </w:rPr>
        <w:t>Dokumentácia MŠ</w:t>
        <w:tab/>
        <w:tab/>
        <w:tab/>
        <w:tab/>
        <w:tab/>
        <w:tab/>
        <w:t>49 800,00 EUR</w:t>
      </w:r>
    </w:p>
    <w:p>
      <w:pPr>
        <w:pStyle w:val="Normal"/>
        <w:ind w:firstLine="708"/>
        <w:jc w:val="both"/>
        <w:rPr>
          <w:color w:val="000000"/>
        </w:rPr>
      </w:pPr>
      <w:r>
        <w:rPr>
          <w:color w:val="000000"/>
        </w:rPr>
        <w:t>IBV Záhumie</w:t>
        <w:tab/>
        <w:tab/>
        <w:tab/>
        <w:tab/>
        <w:tab/>
        <w:tab/>
        <w:tab/>
        <w:t xml:space="preserve">     420,00 EUR</w:t>
      </w:r>
    </w:p>
    <w:p>
      <w:pPr>
        <w:pStyle w:val="Normal"/>
        <w:ind w:firstLine="708"/>
        <w:jc w:val="both"/>
        <w:rPr>
          <w:color w:val="000000"/>
        </w:rPr>
      </w:pPr>
      <w:r>
        <w:rPr>
          <w:color w:val="000000"/>
        </w:rPr>
        <w:t xml:space="preserve">Vodozádržné    </w:t>
        <w:tab/>
        <w:tab/>
        <w:tab/>
        <w:tab/>
        <w:tab/>
        <w:t xml:space="preserve">                 960,00 EUR</w:t>
      </w:r>
    </w:p>
    <w:p>
      <w:pPr>
        <w:pStyle w:val="Normal"/>
        <w:ind w:firstLine="708"/>
        <w:jc w:val="both"/>
        <w:rPr>
          <w:color w:val="000000"/>
        </w:rPr>
      </w:pPr>
      <w:r>
        <w:rPr>
          <w:color w:val="000000"/>
        </w:rPr>
        <w:t>Dopadová štúdia Obce</w:t>
        <w:tab/>
        <w:tab/>
        <w:tab/>
        <w:tab/>
        <w:tab/>
        <w:t xml:space="preserve">     850,00 EUR</w:t>
      </w:r>
    </w:p>
    <w:p>
      <w:pPr>
        <w:pStyle w:val="Normal"/>
        <w:ind w:firstLine="708"/>
        <w:jc w:val="both"/>
        <w:rPr>
          <w:color w:val="000000"/>
        </w:rPr>
      </w:pPr>
      <w:r>
        <w:rPr>
          <w:color w:val="000000"/>
        </w:rPr>
        <w:t>ÚPD a UPP</w:t>
        <w:tab/>
        <w:tab/>
        <w:tab/>
        <w:tab/>
        <w:tab/>
        <w:tab/>
        <w:tab/>
        <w:t xml:space="preserve">  1 040,00 EUR</w:t>
      </w:r>
    </w:p>
    <w:p>
      <w:pPr>
        <w:pStyle w:val="Normal"/>
        <w:ind w:firstLine="708"/>
        <w:jc w:val="both"/>
        <w:rPr/>
      </w:pPr>
      <w:r>
        <w:rPr/>
        <w:t xml:space="preserve">Projektová dokumentácia  </w:t>
        <w:tab/>
        <w:tab/>
        <w:tab/>
        <w:tab/>
        <w:tab/>
        <w:t xml:space="preserve">  5 461,00 EUR</w:t>
      </w:r>
    </w:p>
    <w:p>
      <w:pPr>
        <w:pStyle w:val="Normal"/>
        <w:jc w:val="both"/>
        <w:rPr>
          <w:color w:val="C9211E"/>
        </w:rPr>
      </w:pPr>
      <w:r>
        <w:rPr>
          <w:color w:val="C9211E"/>
        </w:rPr>
      </w:r>
    </w:p>
    <w:p>
      <w:pPr>
        <w:pStyle w:val="Normal"/>
        <w:jc w:val="both"/>
        <w:rPr>
          <w:b/>
          <w:color w:val="000000"/>
        </w:rPr>
      </w:pPr>
      <w:r>
        <w:rPr>
          <w:b/>
          <w:color w:val="000000"/>
        </w:rPr>
        <w:t>Realizácia stavieb a ich technického zhodnotenia</w:t>
      </w:r>
    </w:p>
    <w:p>
      <w:pPr>
        <w:pStyle w:val="Normal"/>
        <w:jc w:val="both"/>
        <w:rPr>
          <w:color w:val="000000"/>
        </w:rPr>
      </w:pPr>
      <w:r>
        <w:rPr>
          <w:color w:val="000000"/>
        </w:rPr>
        <w:t>Z rozpočtovaných 20 740,00 EUR bolo skutočne vyčerpané k 31.12.2024 v sume 20 738,03 EUR, čo predstavuje 99,99 % čerpanie, z toho:</w:t>
      </w:r>
    </w:p>
    <w:p>
      <w:pPr>
        <w:pStyle w:val="Normal"/>
        <w:jc w:val="both"/>
        <w:rPr/>
      </w:pPr>
      <w:r>
        <w:rPr>
          <w:color w:val="C9211E"/>
        </w:rPr>
        <w:tab/>
      </w:r>
      <w:r>
        <w:rPr>
          <w:color w:val="000000"/>
        </w:rPr>
        <w:t>Rekonštrukcia mostu</w:t>
        <w:tab/>
        <w:tab/>
        <w:tab/>
        <w:tab/>
        <w:tab/>
        <w:tab/>
        <w:t xml:space="preserve"> 9 600,00 EUR</w:t>
      </w:r>
    </w:p>
    <w:p>
      <w:pPr>
        <w:pStyle w:val="Normal"/>
        <w:jc w:val="both"/>
        <w:rPr>
          <w:color w:val="000000"/>
        </w:rPr>
      </w:pPr>
      <w:r>
        <w:rPr>
          <w:color w:val="000000"/>
        </w:rPr>
        <w:tab/>
        <w:t>Rekonštrukcia - Šport a rekreácia</w:t>
        <w:tab/>
        <w:t xml:space="preserve">         </w:t>
        <w:tab/>
        <w:tab/>
        <w:tab/>
        <w:t>11 138,03 EUR</w:t>
      </w:r>
    </w:p>
    <w:p>
      <w:pPr>
        <w:pStyle w:val="Normal"/>
        <w:jc w:val="both"/>
        <w:rPr>
          <w:color w:val="C9211E"/>
        </w:rPr>
      </w:pPr>
      <w:r>
        <w:rPr>
          <w:color w:val="C9211E"/>
        </w:rPr>
        <w:tab/>
        <w:tab/>
      </w:r>
    </w:p>
    <w:p>
      <w:pPr>
        <w:pStyle w:val="Normal"/>
        <w:ind w:firstLine="708"/>
        <w:jc w:val="both"/>
        <w:rPr>
          <w:color w:val="C9211E"/>
        </w:rPr>
      </w:pPr>
      <w:r>
        <w:rPr>
          <w:color w:val="C9211E"/>
        </w:rPr>
        <w:t xml:space="preserve">                               </w:t>
      </w:r>
    </w:p>
    <w:p>
      <w:pPr>
        <w:pStyle w:val="Normal"/>
        <w:rPr>
          <w:b/>
          <w:i/>
          <w:i/>
          <w:color w:val="000000"/>
        </w:rPr>
      </w:pPr>
      <w:r>
        <w:rPr>
          <w:b/>
          <w:i/>
          <w:color w:val="000000"/>
        </w:rPr>
        <w:t>3) Výdavkové finančné operácie :</w:t>
      </w:r>
    </w:p>
    <w:p>
      <w:pPr>
        <w:pStyle w:val="Normal"/>
        <w:rPr>
          <w:b/>
          <w:color w:val="C9211E"/>
        </w:rPr>
      </w:pPr>
      <w:r>
        <w:rPr>
          <w:b/>
          <w:color w:val="C9211E"/>
        </w:rPr>
        <w:t xml:space="preserve"> </w:t>
      </w:r>
    </w:p>
    <w:tbl>
      <w:tblPr>
        <w:tblW w:w="10378"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2958"/>
        <w:gridCol w:w="3071"/>
        <w:gridCol w:w="4349"/>
      </w:tblGrid>
      <w:tr>
        <w:trPr/>
        <w:tc>
          <w:tcPr>
            <w:tcW w:w="2958"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Rozpočet na rok 2024</w:t>
            </w:r>
          </w:p>
        </w:tc>
        <w:tc>
          <w:tcPr>
            <w:tcW w:w="3071"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Skutočnosť k 31.12.2024</w:t>
            </w:r>
          </w:p>
        </w:tc>
        <w:tc>
          <w:tcPr>
            <w:tcW w:w="4349" w:type="dxa"/>
            <w:tcBorders>
              <w:top w:val="single" w:sz="4" w:space="0" w:color="000000"/>
              <w:left w:val="single" w:sz="4" w:space="0" w:color="000000"/>
              <w:bottom w:val="single" w:sz="4" w:space="0" w:color="000000"/>
              <w:right w:val="single" w:sz="4" w:space="0" w:color="000000"/>
            </w:tcBorders>
            <w:shd w:color="auto" w:fill="DEEAF6" w:val="clear"/>
          </w:tcPr>
          <w:p>
            <w:pPr>
              <w:pStyle w:val="Normal"/>
              <w:spacing w:before="0" w:after="200"/>
              <w:jc w:val="center"/>
              <w:rPr>
                <w:b/>
                <w:color w:val="000000"/>
              </w:rPr>
            </w:pPr>
            <w:r>
              <w:rPr>
                <w:b/>
                <w:color w:val="000000"/>
              </w:rPr>
              <w:t>% čerpania</w:t>
            </w:r>
          </w:p>
        </w:tc>
      </w:tr>
      <w:tr>
        <w:trPr/>
        <w:tc>
          <w:tcPr>
            <w:tcW w:w="2958"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52 025,00</w:t>
            </w:r>
          </w:p>
        </w:tc>
        <w:tc>
          <w:tcPr>
            <w:tcW w:w="3071" w:type="dxa"/>
            <w:tcBorders>
              <w:top w:val="single" w:sz="4" w:space="0" w:color="000000"/>
              <w:left w:val="single" w:sz="4" w:space="0" w:color="000000"/>
              <w:bottom w:val="single" w:sz="4" w:space="0" w:color="000000"/>
            </w:tcBorders>
          </w:tcPr>
          <w:p>
            <w:pPr>
              <w:pStyle w:val="Normal"/>
              <w:spacing w:before="0" w:after="200"/>
              <w:jc w:val="right"/>
              <w:rPr>
                <w:color w:val="000000"/>
              </w:rPr>
            </w:pPr>
            <w:r>
              <w:rPr>
                <w:color w:val="000000"/>
              </w:rPr>
              <w:t>41 648,63</w:t>
            </w:r>
          </w:p>
        </w:tc>
        <w:tc>
          <w:tcPr>
            <w:tcW w:w="4349" w:type="dxa"/>
            <w:tcBorders>
              <w:top w:val="single" w:sz="4" w:space="0" w:color="000000"/>
              <w:left w:val="single" w:sz="4" w:space="0" w:color="000000"/>
              <w:bottom w:val="single" w:sz="4" w:space="0" w:color="000000"/>
              <w:right w:val="single" w:sz="4" w:space="0" w:color="000000"/>
            </w:tcBorders>
            <w:vAlign w:val="bottom"/>
          </w:tcPr>
          <w:p>
            <w:pPr>
              <w:pStyle w:val="Normal"/>
              <w:snapToGrid w:val="false"/>
              <w:spacing w:before="0" w:after="200"/>
              <w:jc w:val="right"/>
              <w:rPr>
                <w:color w:val="000000"/>
              </w:rPr>
            </w:pPr>
            <w:r>
              <w:rPr>
                <w:color w:val="000000"/>
              </w:rPr>
              <w:t>80,06</w:t>
            </w:r>
          </w:p>
        </w:tc>
      </w:tr>
    </w:tbl>
    <w:p>
      <w:pPr>
        <w:pStyle w:val="Normal"/>
        <w:jc w:val="both"/>
        <w:rPr>
          <w:color w:val="C9211E"/>
        </w:rPr>
      </w:pPr>
      <w:r>
        <w:rPr>
          <w:color w:val="C9211E"/>
        </w:rPr>
      </w:r>
    </w:p>
    <w:p>
      <w:pPr>
        <w:pStyle w:val="Normal"/>
        <w:jc w:val="both"/>
        <w:rPr>
          <w:color w:val="000000"/>
        </w:rPr>
      </w:pPr>
      <w:r>
        <w:rPr>
          <w:color w:val="000000"/>
        </w:rPr>
        <w:t xml:space="preserve">Z rozpočtovaných finančných  výdavkov 52 025,00 EUR bolo skutočne čerpané  k 31.12.2024 v sume 41 648,63 EUR, čo predstavuje  80,06 % čerpanie. </w:t>
      </w:r>
    </w:p>
    <w:p>
      <w:pPr>
        <w:pStyle w:val="Normal"/>
        <w:jc w:val="both"/>
        <w:rPr>
          <w:color w:val="C9211E"/>
        </w:rPr>
      </w:pPr>
      <w:r>
        <w:rPr>
          <w:color w:val="C9211E"/>
        </w:rPr>
      </w:r>
    </w:p>
    <w:p>
      <w:pPr>
        <w:pStyle w:val="Normal"/>
        <w:jc w:val="both"/>
        <w:rPr>
          <w:color w:val="000000"/>
        </w:rPr>
      </w:pPr>
      <w:r>
        <w:rPr>
          <w:color w:val="000000"/>
        </w:rPr>
        <w:t>Z rozpočtovaných 52 025,00 EUR na splácanie bankového úveru a finančného prenájmu bolo skutočné čerpanie k 31.12.2023 v sume 41 648,63 EUR, čo predstavuje 80,06 %.</w:t>
      </w:r>
    </w:p>
    <w:p>
      <w:pPr>
        <w:pStyle w:val="Normal"/>
        <w:jc w:val="both"/>
        <w:rPr>
          <w:color w:val="C9211E"/>
        </w:rPr>
      </w:pPr>
      <w:r>
        <w:rPr>
          <w:color w:val="C9211E"/>
        </w:rPr>
      </w:r>
    </w:p>
    <w:p>
      <w:pPr>
        <w:pStyle w:val="Normal"/>
        <w:jc w:val="both"/>
        <w:rPr>
          <w:color w:val="C9211E"/>
        </w:rPr>
      </w:pPr>
      <w:r>
        <w:rPr>
          <w:color w:val="C9211E"/>
        </w:rPr>
      </w:r>
    </w:p>
    <w:p>
      <w:pPr>
        <w:pStyle w:val="Normal"/>
        <w:rPr/>
      </w:pPr>
      <w:r>
        <w:rPr>
          <w:b/>
          <w:i/>
          <w:color w:val="000000"/>
          <w:u w:val="single"/>
        </w:rPr>
        <w:t xml:space="preserve"> </w:t>
      </w:r>
      <w:r>
        <w:rPr>
          <w:b/>
          <w:i/>
          <w:color w:val="000000"/>
          <w:u w:val="single"/>
        </w:rPr>
        <w:t>4) Výdavky rozpočtových organizácií s právnou subjektivitou:</w:t>
      </w:r>
    </w:p>
    <w:p>
      <w:pPr>
        <w:pStyle w:val="Normal"/>
        <w:rPr>
          <w:b/>
          <w:i/>
          <w:i/>
          <w:color w:val="000000"/>
          <w:u w:val="single"/>
        </w:rPr>
      </w:pPr>
      <w:r>
        <w:rPr>
          <w:b/>
          <w:i/>
          <w:color w:val="000000"/>
          <w:u w:val="single"/>
        </w:rPr>
      </w:r>
    </w:p>
    <w:p>
      <w:pPr>
        <w:pStyle w:val="Normal"/>
        <w:rPr/>
      </w:pPr>
      <w:r>
        <w:rPr>
          <w:b/>
          <w:color w:val="000000"/>
        </w:rPr>
        <w:t xml:space="preserve"> </w:t>
      </w:r>
      <w:r>
        <w:rPr>
          <w:b/>
          <w:color w:val="000000"/>
        </w:rPr>
        <w:t xml:space="preserve">Bežné výdavky </w:t>
      </w:r>
    </w:p>
    <w:p>
      <w:pPr>
        <w:pStyle w:val="Normal"/>
        <w:rPr>
          <w:b/>
          <w:color w:val="C9211E"/>
        </w:rPr>
      </w:pPr>
      <w:r>
        <w:rPr>
          <w:b/>
          <w:color w:val="C9211E"/>
        </w:rPr>
      </w:r>
    </w:p>
    <w:tbl>
      <w:tblPr>
        <w:tblW w:w="10378"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2958"/>
        <w:gridCol w:w="3071"/>
        <w:gridCol w:w="4349"/>
      </w:tblGrid>
      <w:tr>
        <w:trPr/>
        <w:tc>
          <w:tcPr>
            <w:tcW w:w="2958" w:type="dxa"/>
            <w:tcBorders>
              <w:top w:val="single" w:sz="4" w:space="0" w:color="000000"/>
              <w:left w:val="single" w:sz="4" w:space="0" w:color="000000"/>
              <w:bottom w:val="single" w:sz="4" w:space="0" w:color="000000"/>
            </w:tcBorders>
            <w:shd w:color="auto" w:fill="DEEAF6" w:val="clear"/>
            <w:vAlign w:val="bottom"/>
          </w:tcPr>
          <w:p>
            <w:pPr>
              <w:pStyle w:val="Normal"/>
              <w:spacing w:before="0" w:after="200"/>
              <w:jc w:val="center"/>
              <w:rPr>
                <w:b/>
                <w:color w:val="000000"/>
              </w:rPr>
            </w:pPr>
            <w:r>
              <w:rPr>
                <w:b/>
                <w:color w:val="000000"/>
              </w:rPr>
              <w:t>Rozpočet na rok 2024</w:t>
            </w:r>
          </w:p>
        </w:tc>
        <w:tc>
          <w:tcPr>
            <w:tcW w:w="3071" w:type="dxa"/>
            <w:tcBorders>
              <w:top w:val="single" w:sz="4" w:space="0" w:color="000000"/>
              <w:left w:val="single" w:sz="4" w:space="0" w:color="000000"/>
              <w:bottom w:val="single" w:sz="4" w:space="0" w:color="000000"/>
            </w:tcBorders>
            <w:shd w:color="auto" w:fill="DEEAF6" w:val="clear"/>
            <w:vAlign w:val="bottom"/>
          </w:tcPr>
          <w:p>
            <w:pPr>
              <w:pStyle w:val="Normal"/>
              <w:spacing w:before="0" w:after="200"/>
              <w:jc w:val="center"/>
              <w:rPr>
                <w:b/>
                <w:color w:val="000000"/>
              </w:rPr>
            </w:pPr>
            <w:r>
              <w:rPr>
                <w:b/>
                <w:color w:val="000000"/>
              </w:rPr>
              <w:t>Skutočnosť k 31.12.2024</w:t>
            </w:r>
          </w:p>
        </w:tc>
        <w:tc>
          <w:tcPr>
            <w:tcW w:w="4349" w:type="dxa"/>
            <w:tcBorders>
              <w:top w:val="single" w:sz="4" w:space="0" w:color="000000"/>
              <w:left w:val="single" w:sz="4" w:space="0" w:color="000000"/>
              <w:bottom w:val="single" w:sz="4" w:space="0" w:color="000000"/>
              <w:right w:val="single" w:sz="4" w:space="0" w:color="000000"/>
            </w:tcBorders>
            <w:shd w:color="auto" w:fill="DEEAF6" w:val="clear"/>
            <w:vAlign w:val="bottom"/>
          </w:tcPr>
          <w:p>
            <w:pPr>
              <w:pStyle w:val="Normal"/>
              <w:spacing w:before="0" w:after="200"/>
              <w:jc w:val="center"/>
              <w:rPr>
                <w:b/>
                <w:color w:val="000000"/>
              </w:rPr>
            </w:pPr>
            <w:r>
              <w:rPr>
                <w:b/>
                <w:color w:val="000000"/>
              </w:rPr>
              <w:t>% čerpania</w:t>
            </w:r>
          </w:p>
        </w:tc>
      </w:tr>
      <w:tr>
        <w:trPr/>
        <w:tc>
          <w:tcPr>
            <w:tcW w:w="2958" w:type="dxa"/>
            <w:tcBorders>
              <w:top w:val="single" w:sz="4" w:space="0" w:color="000000"/>
              <w:left w:val="single" w:sz="4" w:space="0" w:color="000000"/>
              <w:bottom w:val="single" w:sz="4" w:space="0" w:color="000000"/>
            </w:tcBorders>
          </w:tcPr>
          <w:p>
            <w:pPr>
              <w:pStyle w:val="Normal"/>
              <w:spacing w:before="0" w:after="200"/>
              <w:jc w:val="right"/>
              <w:rPr>
                <w:color w:val="000000"/>
              </w:rPr>
            </w:pPr>
            <w:r>
              <w:rPr>
                <w:color w:val="000000"/>
              </w:rPr>
              <w:t>1.499.043,00</w:t>
            </w:r>
          </w:p>
        </w:tc>
        <w:tc>
          <w:tcPr>
            <w:tcW w:w="3071" w:type="dxa"/>
            <w:tcBorders>
              <w:top w:val="single" w:sz="4" w:space="0" w:color="000000"/>
              <w:left w:val="single" w:sz="4" w:space="0" w:color="000000"/>
              <w:bottom w:val="single" w:sz="4" w:space="0" w:color="000000"/>
            </w:tcBorders>
          </w:tcPr>
          <w:p>
            <w:pPr>
              <w:pStyle w:val="Normal"/>
              <w:spacing w:before="0" w:after="200"/>
              <w:jc w:val="right"/>
              <w:rPr>
                <w:color w:val="000000"/>
              </w:rPr>
            </w:pPr>
            <w:r>
              <w:rPr>
                <w:color w:val="000000"/>
              </w:rPr>
              <w:t>1.290.125,57</w:t>
            </w:r>
          </w:p>
        </w:tc>
        <w:tc>
          <w:tcPr>
            <w:tcW w:w="4349"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jc w:val="right"/>
              <w:rPr>
                <w:color w:val="000000"/>
              </w:rPr>
            </w:pPr>
            <w:r>
              <w:rPr>
                <w:color w:val="000000"/>
              </w:rPr>
              <w:t>86,06</w:t>
            </w:r>
          </w:p>
        </w:tc>
      </w:tr>
    </w:tbl>
    <w:p>
      <w:pPr>
        <w:pStyle w:val="Normal"/>
        <w:jc w:val="both"/>
        <w:rPr>
          <w:color w:val="C9211E"/>
        </w:rPr>
      </w:pPr>
      <w:r>
        <w:rPr>
          <w:color w:val="C9211E"/>
        </w:rPr>
      </w:r>
    </w:p>
    <w:p>
      <w:pPr>
        <w:pStyle w:val="Normal"/>
        <w:jc w:val="both"/>
        <w:rPr>
          <w:color w:val="000000"/>
        </w:rPr>
      </w:pPr>
      <w:r>
        <w:rPr>
          <w:color w:val="000000"/>
        </w:rPr>
        <w:t xml:space="preserve">Z rozpočtovaných bežných  výdavkov 1.499.043,00 EUR bolo skutočne čerpané  k 31.12.2024 v sume 1.290.125,57 EUR, čo predstavuje 86,06 % čerpanie. </w:t>
      </w:r>
    </w:p>
    <w:p>
      <w:pPr>
        <w:pStyle w:val="Normal"/>
        <w:jc w:val="both"/>
        <w:rPr>
          <w:b/>
          <w:color w:val="C9211E"/>
          <w:highlight w:val="lightGray"/>
        </w:rPr>
      </w:pPr>
      <w:r>
        <w:rPr>
          <w:b/>
          <w:color w:val="C9211E"/>
          <w:highlight w:val="lightGray"/>
        </w:rPr>
      </w:r>
    </w:p>
    <w:p>
      <w:pPr>
        <w:pStyle w:val="Normal"/>
        <w:rPr>
          <w:b/>
          <w:color w:val="000000"/>
        </w:rPr>
      </w:pPr>
      <w:r>
        <w:rPr>
          <w:b/>
          <w:color w:val="000000"/>
        </w:rPr>
        <w:t>Bežné výdavky rozpočtových organizácií s právnou subjektivitou, z toho :</w:t>
      </w:r>
    </w:p>
    <w:p>
      <w:pPr>
        <w:pStyle w:val="Normal"/>
        <w:tabs>
          <w:tab w:val="clear" w:pos="708"/>
          <w:tab w:val="left" w:pos="-3060" w:leader="none"/>
          <w:tab w:val="right" w:pos="5040" w:leader="none"/>
        </w:tabs>
        <w:rPr>
          <w:color w:val="000000"/>
        </w:rPr>
      </w:pPr>
      <w:r>
        <w:rPr>
          <w:color w:val="000000"/>
        </w:rPr>
        <w:t xml:space="preserve">Základná škola                   </w:t>
        <w:tab/>
        <w:t>794 568,43 EUR</w:t>
      </w:r>
    </w:p>
    <w:p>
      <w:pPr>
        <w:pStyle w:val="Normal"/>
        <w:tabs>
          <w:tab w:val="clear" w:pos="708"/>
          <w:tab w:val="right" w:pos="5040" w:leader="none"/>
        </w:tabs>
        <w:rPr>
          <w:color w:val="000000"/>
        </w:rPr>
      </w:pPr>
      <w:r>
        <w:rPr>
          <w:color w:val="000000"/>
        </w:rPr>
        <w:t>Materská škola</w:t>
        <w:tab/>
        <w:t>494 257,14 EUR</w:t>
      </w:r>
    </w:p>
    <w:p>
      <w:pPr>
        <w:pStyle w:val="Normal"/>
        <w:rPr>
          <w:b/>
          <w:color w:val="C9211E"/>
        </w:rPr>
      </w:pPr>
      <w:r>
        <w:rPr>
          <w:b/>
          <w:color w:val="C9211E"/>
        </w:rPr>
      </w:r>
    </w:p>
    <w:p>
      <w:pPr>
        <w:pStyle w:val="Normal"/>
        <w:jc w:val="both"/>
        <w:rPr>
          <w:b/>
          <w:color w:val="000000"/>
        </w:rPr>
      </w:pPr>
      <w:r>
        <w:rPr>
          <w:b/>
          <w:color w:val="000000"/>
        </w:rPr>
        <w:t xml:space="preserve">Medzi významné položky bežného rozpočtu základnej školy patrí: </w:t>
      </w:r>
    </w:p>
    <w:p>
      <w:pPr>
        <w:pStyle w:val="Normal"/>
        <w:tabs>
          <w:tab w:val="clear" w:pos="708"/>
          <w:tab w:val="right" w:pos="284" w:leader="none"/>
        </w:tabs>
        <w:jc w:val="both"/>
        <w:rPr>
          <w:b/>
          <w:color w:val="000000"/>
        </w:rPr>
      </w:pPr>
      <w:r>
        <w:rPr>
          <w:b/>
          <w:color w:val="000000"/>
        </w:rPr>
        <w:t>Mzdy, platy, služobné príjmy a ostatné osobné vyrovnania</w:t>
      </w:r>
    </w:p>
    <w:p>
      <w:pPr>
        <w:pStyle w:val="Normal"/>
        <w:jc w:val="both"/>
        <w:rPr>
          <w:color w:val="000000"/>
        </w:rPr>
      </w:pPr>
      <w:r>
        <w:rPr>
          <w:color w:val="000000"/>
        </w:rPr>
        <w:t>Z rozpočtovaných 500 555,00 EUR bolo skutočné čerpanie k 31.12.2024 v sume 495 250,50 EUR, čo je 98,94 % čerpanie. Patria sem mzdové prostriedky pracovníkov ZŠ.</w:t>
      </w:r>
    </w:p>
    <w:p>
      <w:pPr>
        <w:pStyle w:val="Normal"/>
        <w:tabs>
          <w:tab w:val="clear" w:pos="708"/>
          <w:tab w:val="right" w:pos="284" w:leader="none"/>
        </w:tabs>
        <w:jc w:val="both"/>
        <w:rPr>
          <w:b/>
          <w:color w:val="000000"/>
        </w:rPr>
      </w:pPr>
      <w:r>
        <w:rPr>
          <w:b/>
          <w:color w:val="000000"/>
        </w:rPr>
        <w:t>Poistné a príspevok do poisťovní</w:t>
      </w:r>
    </w:p>
    <w:p>
      <w:pPr>
        <w:pStyle w:val="Normal"/>
        <w:jc w:val="both"/>
        <w:rPr>
          <w:color w:val="000000"/>
        </w:rPr>
      </w:pPr>
      <w:r>
        <w:rPr>
          <w:color w:val="000000"/>
        </w:rPr>
        <w:t xml:space="preserve">Z rozpočtovaných  194 307,00 EUR bolo skutočne čerpané k 31.12.2024 v sume 189 728,59 EUR, čo je     97,64 % čerpanie. </w:t>
      </w:r>
    </w:p>
    <w:p>
      <w:pPr>
        <w:pStyle w:val="Normal"/>
        <w:tabs>
          <w:tab w:val="clear" w:pos="708"/>
          <w:tab w:val="right" w:pos="284" w:leader="none"/>
        </w:tabs>
        <w:jc w:val="both"/>
        <w:rPr>
          <w:b/>
          <w:color w:val="000000"/>
        </w:rPr>
      </w:pPr>
      <w:r>
        <w:rPr>
          <w:b/>
          <w:color w:val="000000"/>
        </w:rPr>
        <w:t>Tovary a služby</w:t>
      </w:r>
    </w:p>
    <w:p>
      <w:pPr>
        <w:pStyle w:val="Normal"/>
        <w:jc w:val="both"/>
        <w:rPr>
          <w:color w:val="000000"/>
        </w:rPr>
      </w:pPr>
      <w:r>
        <w:rPr>
          <w:color w:val="000000"/>
        </w:rPr>
        <w:t>Z rozpočtovaných 285 077,00 EUR bolo skutočne čerpané k 31.12.2024 v sume 96 541,04 EUR, čo je            33,86 % čerpanie. Ide o prevádzkové výdavky, ako sú cestovné náhrady, energie, materiál, dopravné, rutinná a štandardná údržba, nájomné a ostatné tovary a služby.</w:t>
      </w:r>
    </w:p>
    <w:p>
      <w:pPr>
        <w:pStyle w:val="Normal"/>
        <w:tabs>
          <w:tab w:val="clear" w:pos="708"/>
          <w:tab w:val="right" w:pos="284" w:leader="none"/>
        </w:tabs>
        <w:jc w:val="both"/>
        <w:rPr>
          <w:b/>
          <w:color w:val="000000"/>
        </w:rPr>
      </w:pPr>
      <w:r>
        <w:rPr>
          <w:b/>
          <w:color w:val="000000"/>
        </w:rPr>
        <w:t>Bežné transfery</w:t>
      </w:r>
    </w:p>
    <w:p>
      <w:pPr>
        <w:pStyle w:val="Normal"/>
        <w:jc w:val="both"/>
        <w:rPr>
          <w:color w:val="000000"/>
        </w:rPr>
      </w:pPr>
      <w:r>
        <w:rPr>
          <w:color w:val="000000"/>
        </w:rPr>
        <w:t>Z rozpočtovaných 14 604,00 EUR bolo skutočne čerpané k 31.12.2024 v sume 13 048,30 EUR, čo predstavuje 89,35 % čerpanie.</w:t>
      </w:r>
    </w:p>
    <w:p>
      <w:pPr>
        <w:pStyle w:val="Normal"/>
        <w:jc w:val="both"/>
        <w:rPr>
          <w:color w:val="C9211E"/>
        </w:rPr>
      </w:pPr>
      <w:r>
        <w:rPr>
          <w:color w:val="C9211E"/>
        </w:rPr>
      </w:r>
    </w:p>
    <w:p>
      <w:pPr>
        <w:pStyle w:val="Normal"/>
        <w:jc w:val="both"/>
        <w:rPr>
          <w:b/>
          <w:color w:val="000000"/>
        </w:rPr>
      </w:pPr>
      <w:r>
        <w:rPr>
          <w:b/>
          <w:color w:val="000000"/>
        </w:rPr>
        <w:t xml:space="preserve">Medzi významné položky bežného rozpočtu materskej školy patrí: </w:t>
      </w:r>
    </w:p>
    <w:p>
      <w:pPr>
        <w:pStyle w:val="Normal"/>
        <w:tabs>
          <w:tab w:val="clear" w:pos="708"/>
          <w:tab w:val="right" w:pos="284" w:leader="none"/>
        </w:tabs>
        <w:jc w:val="both"/>
        <w:rPr>
          <w:b/>
          <w:color w:val="000000"/>
        </w:rPr>
      </w:pPr>
      <w:r>
        <w:rPr>
          <w:b/>
          <w:color w:val="000000"/>
        </w:rPr>
        <w:t>Mzdy, platy, služobné príjmy a ostatné osobné vyrovnania</w:t>
      </w:r>
    </w:p>
    <w:p>
      <w:pPr>
        <w:pStyle w:val="Normal"/>
        <w:jc w:val="both"/>
        <w:rPr>
          <w:color w:val="000000"/>
        </w:rPr>
      </w:pPr>
      <w:r>
        <w:rPr>
          <w:color w:val="000000"/>
        </w:rPr>
        <w:t>Z rozpočtovaných 220 587,00 EUR bolo skutočné čerpanie k 31.12.2024 v sume 220 547,14 EUR, čo je   99,98 % čerpanie. Patria sem mzdové prostriedky pracovníkov MŠ.</w:t>
      </w:r>
    </w:p>
    <w:p>
      <w:pPr>
        <w:pStyle w:val="Normal"/>
        <w:tabs>
          <w:tab w:val="clear" w:pos="708"/>
          <w:tab w:val="right" w:pos="284" w:leader="none"/>
        </w:tabs>
        <w:jc w:val="both"/>
        <w:rPr>
          <w:b/>
          <w:color w:val="000000"/>
        </w:rPr>
      </w:pPr>
      <w:r>
        <w:rPr>
          <w:b/>
          <w:color w:val="000000"/>
        </w:rPr>
        <w:t>Poistné a príspevok do poisťovní</w:t>
      </w:r>
    </w:p>
    <w:p>
      <w:pPr>
        <w:pStyle w:val="Normal"/>
        <w:jc w:val="both"/>
        <w:rPr>
          <w:color w:val="000000"/>
        </w:rPr>
      </w:pPr>
      <w:r>
        <w:rPr>
          <w:color w:val="000000"/>
        </w:rPr>
        <w:t xml:space="preserve">Z rozpočtovaných  82 848,00 EUR bolo skutočne čerpané k 31.12.2024 v sume 82 789,68 EUR, čo je     99,93 % čerpanie. </w:t>
      </w:r>
    </w:p>
    <w:p>
      <w:pPr>
        <w:pStyle w:val="Normal"/>
        <w:tabs>
          <w:tab w:val="clear" w:pos="708"/>
          <w:tab w:val="right" w:pos="284" w:leader="none"/>
        </w:tabs>
        <w:jc w:val="both"/>
        <w:rPr>
          <w:b/>
          <w:color w:val="000000"/>
        </w:rPr>
      </w:pPr>
      <w:r>
        <w:rPr>
          <w:b/>
          <w:color w:val="000000"/>
        </w:rPr>
        <w:t>Tovary a služby</w:t>
      </w:r>
    </w:p>
    <w:p>
      <w:pPr>
        <w:pStyle w:val="Normal"/>
        <w:jc w:val="both"/>
        <w:rPr>
          <w:color w:val="000000"/>
        </w:rPr>
      </w:pPr>
      <w:r>
        <w:rPr>
          <w:color w:val="000000"/>
        </w:rPr>
        <w:t>Z rozpočtovaných 191 921,00 EUR bolo skutočne čerpané k 31.12.2024 v sume 183 145,86 EUR, čo je     95,43 % čerpanie. Ide o prevádzkové výdavky, ako sú cestovné náhrady, energie, materiál, dopravné, rutinná a štandardná údržba, nájomné a ostatné tovary a služby.</w:t>
      </w:r>
    </w:p>
    <w:p>
      <w:pPr>
        <w:pStyle w:val="Normal"/>
        <w:tabs>
          <w:tab w:val="clear" w:pos="708"/>
          <w:tab w:val="right" w:pos="284" w:leader="none"/>
        </w:tabs>
        <w:jc w:val="both"/>
        <w:rPr>
          <w:b/>
          <w:color w:val="000000"/>
        </w:rPr>
      </w:pPr>
      <w:r>
        <w:rPr>
          <w:b/>
          <w:color w:val="000000"/>
        </w:rPr>
        <w:t>Bežné transfery</w:t>
      </w:r>
    </w:p>
    <w:p>
      <w:pPr>
        <w:pStyle w:val="Normal"/>
        <w:jc w:val="both"/>
        <w:rPr>
          <w:color w:val="000000"/>
        </w:rPr>
      </w:pPr>
      <w:r>
        <w:rPr>
          <w:color w:val="000000"/>
        </w:rPr>
        <w:t>Z rozpočtovaných 7 844,00 EUR bolo skutočne čerpané k 31.12.2024 v sume 7 774,46 EUR, čo predstavuje 99,11 % čerpanie.</w:t>
      </w:r>
    </w:p>
    <w:p>
      <w:pPr>
        <w:pStyle w:val="Normal"/>
        <w:rPr>
          <w:b/>
          <w:color w:val="C9211E"/>
        </w:rPr>
      </w:pPr>
      <w:r>
        <w:rPr>
          <w:b/>
          <w:color w:val="C9211E"/>
        </w:rPr>
      </w:r>
    </w:p>
    <w:p>
      <w:pPr>
        <w:pStyle w:val="Normal"/>
        <w:rPr>
          <w:b/>
          <w:color w:val="000000"/>
        </w:rPr>
      </w:pPr>
      <w:r>
        <w:rPr>
          <w:b/>
          <w:color w:val="000000"/>
        </w:rPr>
        <w:t>Kapitálové výdavky</w:t>
      </w:r>
    </w:p>
    <w:p>
      <w:pPr>
        <w:pStyle w:val="Normal"/>
        <w:rPr>
          <w:b/>
          <w:color w:val="000000"/>
        </w:rPr>
      </w:pPr>
      <w:r>
        <w:rPr>
          <w:b/>
          <w:color w:val="000000"/>
        </w:rPr>
      </w:r>
    </w:p>
    <w:tbl>
      <w:tblPr>
        <w:tblW w:w="10662" w:type="dxa"/>
        <w:jc w:val="left"/>
        <w:tblInd w:w="-304" w:type="dxa"/>
        <w:tblLayout w:type="fixed"/>
        <w:tblCellMar>
          <w:top w:w="0" w:type="dxa"/>
          <w:left w:w="108" w:type="dxa"/>
          <w:bottom w:w="0" w:type="dxa"/>
          <w:right w:w="108" w:type="dxa"/>
        </w:tblCellMar>
        <w:tblLook w:firstRow="1" w:noVBand="1" w:lastRow="0" w:firstColumn="1" w:lastColumn="0" w:noHBand="0" w:val="04a0"/>
      </w:tblPr>
      <w:tblGrid>
        <w:gridCol w:w="3245"/>
        <w:gridCol w:w="3072"/>
        <w:gridCol w:w="4345"/>
      </w:tblGrid>
      <w:tr>
        <w:trPr/>
        <w:tc>
          <w:tcPr>
            <w:tcW w:w="3245"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Rozpočet na rok 2024</w:t>
            </w:r>
          </w:p>
        </w:tc>
        <w:tc>
          <w:tcPr>
            <w:tcW w:w="3072"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color w:val="000000"/>
              </w:rPr>
            </w:pPr>
            <w:r>
              <w:rPr>
                <w:b/>
                <w:color w:val="000000"/>
              </w:rPr>
              <w:t>Skutočnosť k 31.12.2024</w:t>
            </w:r>
          </w:p>
        </w:tc>
        <w:tc>
          <w:tcPr>
            <w:tcW w:w="4345" w:type="dxa"/>
            <w:tcBorders>
              <w:top w:val="single" w:sz="4" w:space="0" w:color="000000"/>
              <w:left w:val="single" w:sz="4" w:space="0" w:color="000000"/>
              <w:bottom w:val="single" w:sz="4" w:space="0" w:color="000000"/>
              <w:right w:val="single" w:sz="4" w:space="0" w:color="000000"/>
            </w:tcBorders>
            <w:shd w:color="auto" w:fill="DEEAF6" w:val="clear"/>
          </w:tcPr>
          <w:p>
            <w:pPr>
              <w:pStyle w:val="Normal"/>
              <w:spacing w:before="0" w:after="200"/>
              <w:jc w:val="center"/>
              <w:rPr>
                <w:b/>
                <w:color w:val="000000"/>
              </w:rPr>
            </w:pPr>
            <w:r>
              <w:rPr>
                <w:b/>
                <w:color w:val="000000"/>
              </w:rPr>
              <w:t>% čerpania</w:t>
            </w:r>
          </w:p>
        </w:tc>
      </w:tr>
      <w:tr>
        <w:trPr/>
        <w:tc>
          <w:tcPr>
            <w:tcW w:w="3245" w:type="dxa"/>
            <w:tcBorders>
              <w:top w:val="single" w:sz="4" w:space="0" w:color="000000"/>
              <w:left w:val="single" w:sz="4" w:space="0" w:color="000000"/>
              <w:bottom w:val="single" w:sz="4" w:space="0" w:color="000000"/>
            </w:tcBorders>
          </w:tcPr>
          <w:p>
            <w:pPr>
              <w:pStyle w:val="Normal"/>
              <w:spacing w:before="0" w:after="200"/>
              <w:jc w:val="right"/>
              <w:rPr>
                <w:color w:val="000000"/>
              </w:rPr>
            </w:pPr>
            <w:r>
              <w:rPr>
                <w:color w:val="000000"/>
              </w:rPr>
              <w:t>1.300,00</w:t>
            </w:r>
          </w:p>
        </w:tc>
        <w:tc>
          <w:tcPr>
            <w:tcW w:w="3072" w:type="dxa"/>
            <w:tcBorders>
              <w:top w:val="single" w:sz="4" w:space="0" w:color="000000"/>
              <w:left w:val="single" w:sz="4" w:space="0" w:color="000000"/>
              <w:bottom w:val="single" w:sz="4" w:space="0" w:color="000000"/>
            </w:tcBorders>
            <w:vAlign w:val="bottom"/>
          </w:tcPr>
          <w:p>
            <w:pPr>
              <w:pStyle w:val="Normal"/>
              <w:spacing w:before="0" w:after="200"/>
              <w:jc w:val="right"/>
              <w:rPr>
                <w:color w:val="000000"/>
              </w:rPr>
            </w:pPr>
            <w:r>
              <w:rPr>
                <w:color w:val="000000"/>
              </w:rPr>
              <w:t>1.300,00</w:t>
            </w:r>
          </w:p>
        </w:tc>
        <w:tc>
          <w:tcPr>
            <w:tcW w:w="4345"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jc w:val="right"/>
              <w:rPr>
                <w:color w:val="000000"/>
              </w:rPr>
            </w:pPr>
            <w:r>
              <w:rPr>
                <w:color w:val="000000"/>
              </w:rPr>
              <w:t>100</w:t>
            </w:r>
          </w:p>
        </w:tc>
      </w:tr>
    </w:tbl>
    <w:p>
      <w:pPr>
        <w:pStyle w:val="Normal"/>
        <w:rPr>
          <w:color w:val="000000"/>
        </w:rPr>
      </w:pPr>
      <w:r>
        <w:rPr>
          <w:color w:val="000000"/>
        </w:rPr>
        <w:t>Materská škola mala rozpočtované kapitálové výdavky vo výške 1.300,- EUR, ktoré aj čerpala.</w:t>
      </w:r>
    </w:p>
    <w:p>
      <w:pPr>
        <w:pStyle w:val="Normal"/>
        <w:tabs>
          <w:tab w:val="clear" w:pos="708"/>
          <w:tab w:val="right" w:pos="5040" w:leader="none"/>
        </w:tabs>
        <w:jc w:val="both"/>
        <w:rPr/>
      </w:pPr>
      <w:r>
        <w:rPr>
          <w:b/>
          <w:sz w:val="28"/>
          <w:szCs w:val="28"/>
          <w:u w:val="single"/>
        </w:rPr>
        <w:t xml:space="preserve"> </w:t>
      </w:r>
      <w:r>
        <w:rPr>
          <w:b/>
          <w:sz w:val="28"/>
          <w:szCs w:val="28"/>
          <w:u w:val="single"/>
        </w:rPr>
        <w:t>Prebytok/schodok rozpočtového hospodárenia za rok 2024</w:t>
      </w:r>
    </w:p>
    <w:tbl>
      <w:tblPr>
        <w:tblW w:w="10677" w:type="dxa"/>
        <w:jc w:val="left"/>
        <w:tblInd w:w="-327" w:type="dxa"/>
        <w:tblLayout w:type="fixed"/>
        <w:tblCellMar>
          <w:top w:w="0" w:type="dxa"/>
          <w:left w:w="22" w:type="dxa"/>
          <w:bottom w:w="0" w:type="dxa"/>
          <w:right w:w="0" w:type="dxa"/>
        </w:tblCellMar>
        <w:tblLook w:firstRow="1" w:noVBand="1" w:lastRow="0" w:firstColumn="1" w:lastColumn="0" w:noHBand="0" w:val="04a0"/>
      </w:tblPr>
      <w:tblGrid>
        <w:gridCol w:w="5953"/>
        <w:gridCol w:w="4723"/>
      </w:tblGrid>
      <w:tr>
        <w:trPr>
          <w:trHeight w:val="300" w:hRule="atLeast"/>
        </w:trPr>
        <w:tc>
          <w:tcPr>
            <w:tcW w:w="5953" w:type="dxa"/>
            <w:tcBorders>
              <w:top w:val="double" w:sz="6" w:space="0" w:color="000000"/>
              <w:left w:val="double" w:sz="6" w:space="0" w:color="000000"/>
            </w:tcBorders>
            <w:shd w:color="auto" w:fill="DEEAF6" w:val="clear"/>
            <w:vAlign w:val="center"/>
          </w:tcPr>
          <w:p>
            <w:pPr>
              <w:pStyle w:val="Normal"/>
              <w:snapToGrid w:val="false"/>
              <w:jc w:val="center"/>
              <w:rPr/>
            </w:pPr>
            <w:r>
              <w:rPr/>
            </w:r>
          </w:p>
          <w:p>
            <w:pPr>
              <w:pStyle w:val="Normal"/>
              <w:spacing w:before="0" w:after="200"/>
              <w:jc w:val="center"/>
              <w:rPr/>
            </w:pPr>
            <w:r>
              <w:rPr>
                <w:rStyle w:val="Strong"/>
              </w:rPr>
              <w:t>Hospodárenie obce</w:t>
            </w:r>
          </w:p>
        </w:tc>
        <w:tc>
          <w:tcPr>
            <w:tcW w:w="4723" w:type="dxa"/>
            <w:vMerge w:val="restart"/>
            <w:tcBorders>
              <w:top w:val="double" w:sz="6" w:space="0" w:color="000000"/>
              <w:left w:val="single" w:sz="8" w:space="0" w:color="000000"/>
              <w:bottom w:val="single" w:sz="8" w:space="0" w:color="000000"/>
              <w:right w:val="double" w:sz="6" w:space="0" w:color="000000"/>
            </w:tcBorders>
            <w:shd w:color="auto" w:fill="DEEAF6" w:val="clear"/>
            <w:vAlign w:val="center"/>
          </w:tcPr>
          <w:p>
            <w:pPr>
              <w:pStyle w:val="Normal"/>
              <w:tabs>
                <w:tab w:val="clear" w:pos="708"/>
                <w:tab w:val="right" w:pos="8820" w:leader="none"/>
              </w:tabs>
              <w:snapToGrid w:val="false"/>
              <w:jc w:val="center"/>
              <w:rPr>
                <w:b/>
              </w:rPr>
            </w:pPr>
            <w:r>
              <w:rPr>
                <w:b/>
              </w:rPr>
            </w:r>
          </w:p>
          <w:p>
            <w:pPr>
              <w:pStyle w:val="Normal"/>
              <w:tabs>
                <w:tab w:val="clear" w:pos="708"/>
                <w:tab w:val="right" w:pos="8820" w:leader="none"/>
              </w:tabs>
              <w:jc w:val="center"/>
              <w:rPr>
                <w:b/>
              </w:rPr>
            </w:pPr>
            <w:r>
              <w:rPr>
                <w:b/>
              </w:rPr>
              <w:t>Skutočnosť k  31.12.2024 v EUR</w:t>
            </w:r>
          </w:p>
          <w:p>
            <w:pPr>
              <w:pStyle w:val="Normal"/>
              <w:spacing w:before="0" w:after="200"/>
              <w:jc w:val="center"/>
              <w:rPr>
                <w:b/>
              </w:rPr>
            </w:pPr>
            <w:r>
              <w:rPr>
                <w:b/>
              </w:rPr>
            </w:r>
          </w:p>
        </w:tc>
      </w:tr>
      <w:tr>
        <w:trPr>
          <w:trHeight w:val="300" w:hRule="atLeast"/>
        </w:trPr>
        <w:tc>
          <w:tcPr>
            <w:tcW w:w="5953" w:type="dxa"/>
            <w:tcBorders>
              <w:left w:val="double" w:sz="6" w:space="0" w:color="000000"/>
              <w:bottom w:val="single" w:sz="8" w:space="0" w:color="000000"/>
            </w:tcBorders>
            <w:shd w:color="auto" w:fill="DEEAF6" w:val="clear"/>
            <w:vAlign w:val="center"/>
          </w:tcPr>
          <w:p>
            <w:pPr>
              <w:pStyle w:val="Normal"/>
              <w:snapToGrid w:val="false"/>
              <w:spacing w:before="0" w:after="200"/>
              <w:rPr>
                <w:b/>
              </w:rPr>
            </w:pPr>
            <w:r>
              <w:rPr>
                <w:b/>
              </w:rPr>
            </w:r>
          </w:p>
        </w:tc>
        <w:tc>
          <w:tcPr>
            <w:tcW w:w="4723" w:type="dxa"/>
            <w:vMerge w:val="continue"/>
            <w:tcBorders>
              <w:top w:val="double" w:sz="6" w:space="0" w:color="000000"/>
              <w:left w:val="single" w:sz="8" w:space="0" w:color="000000"/>
              <w:bottom w:val="single" w:sz="8" w:space="0" w:color="000000"/>
              <w:right w:val="double" w:sz="6" w:space="0" w:color="000000"/>
            </w:tcBorders>
            <w:shd w:color="auto" w:fill="DEEAF6" w:val="clear"/>
            <w:vAlign w:val="center"/>
          </w:tcPr>
          <w:p>
            <w:pPr>
              <w:pStyle w:val="Normal"/>
              <w:snapToGrid w:val="false"/>
              <w:spacing w:before="0" w:after="200"/>
              <w:rPr>
                <w:b/>
              </w:rPr>
            </w:pPr>
            <w:r>
              <w:rPr>
                <w:b/>
              </w:rPr>
            </w:r>
          </w:p>
        </w:tc>
      </w:tr>
      <w:tr>
        <w:trPr>
          <w:trHeight w:val="300" w:hRule="atLeast"/>
        </w:trPr>
        <w:tc>
          <w:tcPr>
            <w:tcW w:w="5953" w:type="dxa"/>
            <w:tcBorders>
              <w:top w:val="single" w:sz="8" w:space="0" w:color="000000"/>
              <w:left w:val="double" w:sz="6" w:space="0" w:color="000000"/>
              <w:bottom w:val="single" w:sz="8" w:space="0" w:color="000000"/>
            </w:tcBorders>
            <w:shd w:color="auto" w:fill="FBE4D5" w:val="clear"/>
            <w:vAlign w:val="bottom"/>
          </w:tcPr>
          <w:p>
            <w:pPr>
              <w:pStyle w:val="Normal"/>
              <w:spacing w:before="0" w:after="200"/>
              <w:rPr>
                <w:b/>
                <w:sz w:val="20"/>
                <w:szCs w:val="20"/>
              </w:rPr>
            </w:pPr>
            <w:r>
              <w:rPr>
                <w:b/>
                <w:sz w:val="20"/>
                <w:szCs w:val="20"/>
              </w:rPr>
              <w:t>Bežné príjmy spolu</w:t>
            </w:r>
          </w:p>
        </w:tc>
        <w:tc>
          <w:tcPr>
            <w:tcW w:w="4723" w:type="dxa"/>
            <w:tcBorders>
              <w:left w:val="single" w:sz="8" w:space="0" w:color="000000"/>
              <w:bottom w:val="single" w:sz="8" w:space="0" w:color="000000"/>
              <w:right w:val="double" w:sz="6" w:space="0" w:color="000000"/>
            </w:tcBorders>
            <w:shd w:color="auto" w:fill="FBE4D5" w:val="clear"/>
            <w:vAlign w:val="bottom"/>
          </w:tcPr>
          <w:p>
            <w:pPr>
              <w:pStyle w:val="Normal"/>
              <w:spacing w:before="0" w:after="200"/>
              <w:jc w:val="right"/>
              <w:rPr/>
            </w:pPr>
            <w:r>
              <w:rPr>
                <w:rStyle w:val="Emphasis"/>
                <w:b/>
                <w:i w:val="false"/>
              </w:rPr>
              <w:t>2.421.777,74</w:t>
            </w:r>
          </w:p>
        </w:tc>
      </w:tr>
      <w:tr>
        <w:trPr>
          <w:trHeight w:val="300" w:hRule="atLeast"/>
        </w:trPr>
        <w:tc>
          <w:tcPr>
            <w:tcW w:w="5953" w:type="dxa"/>
            <w:tcBorders>
              <w:top w:val="single" w:sz="8" w:space="0" w:color="000000"/>
              <w:left w:val="double" w:sz="6" w:space="0" w:color="000000"/>
              <w:bottom w:val="single" w:sz="8" w:space="0" w:color="000000"/>
            </w:tcBorders>
            <w:vAlign w:val="bottom"/>
          </w:tcPr>
          <w:p>
            <w:pPr>
              <w:pStyle w:val="Normal"/>
              <w:widowControl/>
              <w:suppressAutoHyphens w:val="true"/>
              <w:bidi w:val="0"/>
              <w:spacing w:lineRule="auto" w:line="276" w:before="0" w:after="200"/>
              <w:jc w:val="left"/>
              <w:rPr>
                <w:sz w:val="20"/>
                <w:szCs w:val="20"/>
              </w:rPr>
            </w:pPr>
            <w:r>
              <w:rPr>
                <w:sz w:val="20"/>
                <w:szCs w:val="20"/>
              </w:rPr>
              <w:t xml:space="preserve">z toho </w:t>
            </w:r>
            <w:r>
              <w:rPr>
                <w:b/>
                <w:sz w:val="20"/>
                <w:szCs w:val="20"/>
              </w:rPr>
              <w:t>: bežné príjmy obce</w:t>
            </w:r>
          </w:p>
        </w:tc>
        <w:tc>
          <w:tcPr>
            <w:tcW w:w="4723" w:type="dxa"/>
            <w:tcBorders>
              <w:left w:val="single" w:sz="8" w:space="0" w:color="000000"/>
              <w:bottom w:val="single" w:sz="8" w:space="0" w:color="000000"/>
              <w:right w:val="double" w:sz="6" w:space="0" w:color="000000"/>
            </w:tcBorders>
            <w:vAlign w:val="bottom"/>
          </w:tcPr>
          <w:p>
            <w:pPr>
              <w:pStyle w:val="Normal"/>
              <w:spacing w:before="0" w:after="200"/>
              <w:jc w:val="right"/>
              <w:rPr/>
            </w:pPr>
            <w:r>
              <w:rPr>
                <w:rStyle w:val="Emphasis"/>
                <w:i w:val="false"/>
              </w:rPr>
              <w:t>2.302.298,11</w:t>
            </w:r>
          </w:p>
        </w:tc>
      </w:tr>
      <w:tr>
        <w:trPr>
          <w:trHeight w:val="300" w:hRule="atLeast"/>
        </w:trPr>
        <w:tc>
          <w:tcPr>
            <w:tcW w:w="5953" w:type="dxa"/>
            <w:tcBorders>
              <w:top w:val="single" w:sz="8" w:space="0" w:color="000000"/>
              <w:left w:val="double" w:sz="6" w:space="0" w:color="000000"/>
              <w:bottom w:val="single" w:sz="8" w:space="0" w:color="000000"/>
            </w:tcBorders>
            <w:vAlign w:val="bottom"/>
          </w:tcPr>
          <w:p>
            <w:pPr>
              <w:pStyle w:val="Normal"/>
              <w:widowControl/>
              <w:suppressAutoHyphens w:val="true"/>
              <w:bidi w:val="0"/>
              <w:spacing w:lineRule="auto" w:line="276" w:before="0" w:after="200"/>
              <w:jc w:val="left"/>
              <w:rPr/>
            </w:pPr>
            <w:r>
              <w:rPr>
                <w:b/>
                <w:sz w:val="20"/>
                <w:szCs w:val="20"/>
              </w:rPr>
              <w:t xml:space="preserve">             </w:t>
            </w:r>
            <w:r>
              <w:rPr>
                <w:b/>
                <w:sz w:val="20"/>
                <w:szCs w:val="20"/>
              </w:rPr>
              <w:t>bežné príjmy ZŠ</w:t>
            </w:r>
          </w:p>
        </w:tc>
        <w:tc>
          <w:tcPr>
            <w:tcW w:w="4723" w:type="dxa"/>
            <w:tcBorders>
              <w:left w:val="single" w:sz="8" w:space="0" w:color="000000"/>
              <w:bottom w:val="single" w:sz="8" w:space="0" w:color="000000"/>
              <w:right w:val="double" w:sz="6" w:space="0" w:color="000000"/>
            </w:tcBorders>
            <w:vAlign w:val="bottom"/>
          </w:tcPr>
          <w:p>
            <w:pPr>
              <w:pStyle w:val="Normal"/>
              <w:spacing w:before="0" w:after="200"/>
              <w:jc w:val="right"/>
              <w:rPr/>
            </w:pPr>
            <w:r>
              <w:rPr>
                <w:rStyle w:val="Emphasis"/>
                <w:i w:val="false"/>
              </w:rPr>
              <w:t>19.305,54</w:t>
            </w:r>
          </w:p>
        </w:tc>
      </w:tr>
      <w:tr>
        <w:trPr>
          <w:trHeight w:val="300" w:hRule="atLeast"/>
        </w:trPr>
        <w:tc>
          <w:tcPr>
            <w:tcW w:w="5953" w:type="dxa"/>
            <w:tcBorders>
              <w:top w:val="single" w:sz="8" w:space="0" w:color="000000"/>
              <w:left w:val="double" w:sz="6" w:space="0" w:color="000000"/>
              <w:bottom w:val="single" w:sz="8" w:space="0" w:color="000000"/>
            </w:tcBorders>
            <w:vAlign w:val="bottom"/>
          </w:tcPr>
          <w:p>
            <w:pPr>
              <w:pStyle w:val="Normal"/>
              <w:widowControl/>
              <w:suppressAutoHyphens w:val="true"/>
              <w:bidi w:val="0"/>
              <w:spacing w:lineRule="auto" w:line="276" w:before="0" w:after="200"/>
              <w:jc w:val="left"/>
              <w:rPr/>
            </w:pPr>
            <w:r>
              <w:rPr>
                <w:b/>
                <w:sz w:val="20"/>
                <w:szCs w:val="20"/>
              </w:rPr>
              <w:t xml:space="preserve">             </w:t>
            </w:r>
            <w:r>
              <w:rPr>
                <w:b/>
                <w:sz w:val="20"/>
                <w:szCs w:val="20"/>
              </w:rPr>
              <w:t>bežné príjmy MŠ</w:t>
            </w:r>
          </w:p>
        </w:tc>
        <w:tc>
          <w:tcPr>
            <w:tcW w:w="4723" w:type="dxa"/>
            <w:tcBorders>
              <w:left w:val="single" w:sz="8" w:space="0" w:color="000000"/>
              <w:bottom w:val="single" w:sz="4" w:space="0" w:color="000000"/>
              <w:right w:val="double" w:sz="6" w:space="0" w:color="000000"/>
            </w:tcBorders>
            <w:vAlign w:val="bottom"/>
          </w:tcPr>
          <w:p>
            <w:pPr>
              <w:pStyle w:val="Normal"/>
              <w:spacing w:before="0" w:after="200"/>
              <w:jc w:val="right"/>
              <w:rPr/>
            </w:pPr>
            <w:r>
              <w:rPr>
                <w:rStyle w:val="Emphasis"/>
                <w:i w:val="false"/>
              </w:rPr>
              <w:t>100.174,09</w:t>
            </w:r>
          </w:p>
        </w:tc>
      </w:tr>
      <w:tr>
        <w:trPr>
          <w:trHeight w:val="300" w:hRule="atLeast"/>
        </w:trPr>
        <w:tc>
          <w:tcPr>
            <w:tcW w:w="5953" w:type="dxa"/>
            <w:tcBorders>
              <w:top w:val="single" w:sz="4" w:space="0" w:color="000000"/>
              <w:left w:val="double" w:sz="6" w:space="0" w:color="000000"/>
              <w:bottom w:val="single" w:sz="8" w:space="0" w:color="000000"/>
            </w:tcBorders>
            <w:shd w:color="auto" w:fill="FBE4D5" w:val="clear"/>
            <w:vAlign w:val="bottom"/>
          </w:tcPr>
          <w:p>
            <w:pPr>
              <w:pStyle w:val="Normal"/>
              <w:spacing w:before="0" w:after="200"/>
              <w:rPr>
                <w:b/>
                <w:sz w:val="20"/>
                <w:szCs w:val="20"/>
              </w:rPr>
            </w:pPr>
            <w:r>
              <w:rPr>
                <w:b/>
                <w:sz w:val="20"/>
                <w:szCs w:val="20"/>
              </w:rPr>
              <w:t>Bežné výdavky spolu</w:t>
            </w:r>
          </w:p>
        </w:tc>
        <w:tc>
          <w:tcPr>
            <w:tcW w:w="4723" w:type="dxa"/>
            <w:tcBorders>
              <w:top w:val="single" w:sz="4" w:space="0" w:color="000000"/>
              <w:left w:val="single" w:sz="8" w:space="0" w:color="000000"/>
              <w:bottom w:val="single" w:sz="4" w:space="0" w:color="000000"/>
              <w:right w:val="double" w:sz="6" w:space="0" w:color="000000"/>
            </w:tcBorders>
            <w:shd w:color="auto" w:fill="FBE4D5" w:val="clear"/>
            <w:vAlign w:val="bottom"/>
          </w:tcPr>
          <w:p>
            <w:pPr>
              <w:pStyle w:val="Normal"/>
              <w:spacing w:before="0" w:after="200"/>
              <w:jc w:val="right"/>
              <w:rPr/>
            </w:pPr>
            <w:r>
              <w:rPr>
                <w:rStyle w:val="Emphasis"/>
                <w:b/>
                <w:i w:val="false"/>
              </w:rPr>
              <w:t>2.165.508,26</w:t>
            </w:r>
          </w:p>
        </w:tc>
      </w:tr>
      <w:tr>
        <w:trPr>
          <w:trHeight w:val="300" w:hRule="atLeast"/>
        </w:trPr>
        <w:tc>
          <w:tcPr>
            <w:tcW w:w="5953" w:type="dxa"/>
            <w:tcBorders>
              <w:top w:val="single" w:sz="8" w:space="0" w:color="000000"/>
              <w:left w:val="double" w:sz="6" w:space="0" w:color="000000"/>
              <w:bottom w:val="single" w:sz="8" w:space="0" w:color="000000"/>
            </w:tcBorders>
            <w:vAlign w:val="bottom"/>
          </w:tcPr>
          <w:p>
            <w:pPr>
              <w:pStyle w:val="Normal"/>
              <w:spacing w:before="0" w:after="200"/>
              <w:rPr>
                <w:sz w:val="20"/>
                <w:szCs w:val="20"/>
              </w:rPr>
            </w:pPr>
            <w:r>
              <w:rPr>
                <w:sz w:val="20"/>
                <w:szCs w:val="20"/>
              </w:rPr>
              <w:t>z toho : bežné výdavky  obce</w:t>
            </w:r>
          </w:p>
        </w:tc>
        <w:tc>
          <w:tcPr>
            <w:tcW w:w="4723" w:type="dxa"/>
            <w:tcBorders>
              <w:left w:val="single" w:sz="8" w:space="0" w:color="000000"/>
              <w:bottom w:val="single" w:sz="4" w:space="0" w:color="000000"/>
              <w:right w:val="double" w:sz="6" w:space="0" w:color="000000"/>
            </w:tcBorders>
            <w:vAlign w:val="bottom"/>
          </w:tcPr>
          <w:p>
            <w:pPr>
              <w:pStyle w:val="Normal"/>
              <w:spacing w:before="0" w:after="200"/>
              <w:jc w:val="right"/>
              <w:rPr/>
            </w:pPr>
            <w:r>
              <w:rPr>
                <w:rStyle w:val="Emphasis"/>
                <w:i w:val="false"/>
              </w:rPr>
              <w:t>876.682,69</w:t>
            </w:r>
          </w:p>
        </w:tc>
      </w:tr>
      <w:tr>
        <w:trPr>
          <w:trHeight w:val="300" w:hRule="atLeast"/>
        </w:trPr>
        <w:tc>
          <w:tcPr>
            <w:tcW w:w="5953" w:type="dxa"/>
            <w:tcBorders>
              <w:top w:val="single" w:sz="8" w:space="0" w:color="000000"/>
              <w:left w:val="double" w:sz="6" w:space="0" w:color="000000"/>
              <w:bottom w:val="single" w:sz="8" w:space="0" w:color="000000"/>
            </w:tcBorders>
            <w:vAlign w:val="bottom"/>
          </w:tcPr>
          <w:p>
            <w:pPr>
              <w:pStyle w:val="Normal"/>
              <w:widowControl/>
              <w:suppressAutoHyphens w:val="true"/>
              <w:bidi w:val="0"/>
              <w:spacing w:lineRule="auto" w:line="276" w:before="0" w:after="200"/>
              <w:jc w:val="left"/>
              <w:rPr/>
            </w:pPr>
            <w:r>
              <w:rPr>
                <w:sz w:val="20"/>
                <w:szCs w:val="20"/>
              </w:rPr>
              <w:t xml:space="preserve">             </w:t>
            </w:r>
            <w:r>
              <w:rPr>
                <w:sz w:val="20"/>
                <w:szCs w:val="20"/>
              </w:rPr>
              <w:t>bežné výdavky  ZŠ</w:t>
            </w:r>
          </w:p>
        </w:tc>
        <w:tc>
          <w:tcPr>
            <w:tcW w:w="4723" w:type="dxa"/>
            <w:tcBorders>
              <w:top w:val="single" w:sz="4" w:space="0" w:color="000000"/>
              <w:left w:val="single" w:sz="8" w:space="0" w:color="000000"/>
              <w:bottom w:val="single" w:sz="8" w:space="0" w:color="000000"/>
              <w:right w:val="double" w:sz="6" w:space="0" w:color="000000"/>
            </w:tcBorders>
            <w:vAlign w:val="bottom"/>
          </w:tcPr>
          <w:p>
            <w:pPr>
              <w:pStyle w:val="Normal"/>
              <w:spacing w:before="0" w:after="200"/>
              <w:jc w:val="right"/>
              <w:rPr/>
            </w:pPr>
            <w:r>
              <w:rPr>
                <w:rStyle w:val="Emphasis"/>
                <w:i w:val="false"/>
              </w:rPr>
              <w:t>794.568,43</w:t>
            </w:r>
          </w:p>
        </w:tc>
      </w:tr>
      <w:tr>
        <w:trPr>
          <w:trHeight w:val="300" w:hRule="atLeast"/>
        </w:trPr>
        <w:tc>
          <w:tcPr>
            <w:tcW w:w="5953" w:type="dxa"/>
            <w:tcBorders>
              <w:top w:val="single" w:sz="8" w:space="0" w:color="000000"/>
              <w:left w:val="double" w:sz="6" w:space="0" w:color="000000"/>
              <w:bottom w:val="single" w:sz="8" w:space="0" w:color="000000"/>
            </w:tcBorders>
            <w:vAlign w:val="bottom"/>
          </w:tcPr>
          <w:p>
            <w:pPr>
              <w:pStyle w:val="Normal"/>
              <w:widowControl/>
              <w:suppressAutoHyphens w:val="true"/>
              <w:bidi w:val="0"/>
              <w:spacing w:lineRule="auto" w:line="276" w:before="0" w:after="200"/>
              <w:jc w:val="left"/>
              <w:rPr/>
            </w:pPr>
            <w:r>
              <w:rPr>
                <w:sz w:val="20"/>
                <w:szCs w:val="20"/>
              </w:rPr>
              <w:t xml:space="preserve">             </w:t>
            </w:r>
            <w:r>
              <w:rPr>
                <w:sz w:val="20"/>
                <w:szCs w:val="20"/>
              </w:rPr>
              <w:t>bežné výdavky MŠ</w:t>
            </w:r>
          </w:p>
        </w:tc>
        <w:tc>
          <w:tcPr>
            <w:tcW w:w="4723" w:type="dxa"/>
            <w:tcBorders>
              <w:left w:val="single" w:sz="8" w:space="0" w:color="000000"/>
              <w:bottom w:val="single" w:sz="8" w:space="0" w:color="000000"/>
              <w:right w:val="double" w:sz="6" w:space="0" w:color="000000"/>
            </w:tcBorders>
            <w:vAlign w:val="bottom"/>
          </w:tcPr>
          <w:p>
            <w:pPr>
              <w:pStyle w:val="Normal"/>
              <w:spacing w:before="0" w:after="200"/>
              <w:jc w:val="right"/>
              <w:rPr/>
            </w:pPr>
            <w:r>
              <w:rPr>
                <w:rStyle w:val="Emphasis"/>
                <w:i w:val="false"/>
              </w:rPr>
              <w:t>494.257,14</w:t>
            </w:r>
          </w:p>
        </w:tc>
      </w:tr>
      <w:tr>
        <w:trPr>
          <w:trHeight w:val="285" w:hRule="atLeast"/>
        </w:trPr>
        <w:tc>
          <w:tcPr>
            <w:tcW w:w="5953" w:type="dxa"/>
            <w:tcBorders>
              <w:top w:val="single" w:sz="8" w:space="0" w:color="000000"/>
              <w:left w:val="double" w:sz="6" w:space="0" w:color="000000"/>
              <w:bottom w:val="single" w:sz="8" w:space="0" w:color="000000"/>
            </w:tcBorders>
            <w:shd w:color="auto" w:fill="FFF2CC" w:val="clear"/>
            <w:vAlign w:val="bottom"/>
          </w:tcPr>
          <w:p>
            <w:pPr>
              <w:pStyle w:val="Normal"/>
              <w:widowControl/>
              <w:suppressAutoHyphens w:val="true"/>
              <w:bidi w:val="0"/>
              <w:spacing w:lineRule="auto" w:line="276" w:before="0" w:after="200"/>
              <w:jc w:val="left"/>
              <w:rPr/>
            </w:pPr>
            <w:r>
              <w:rPr>
                <w:rStyle w:val="Emphasis"/>
                <w:rFonts w:cs="Arial" w:ascii="Arial" w:hAnsi="Arial"/>
                <w:b/>
                <w:bCs/>
                <w:i w:val="false"/>
                <w:sz w:val="20"/>
                <w:szCs w:val="20"/>
              </w:rPr>
              <w:t>Bežný rozpočet - prebytok</w:t>
            </w:r>
          </w:p>
        </w:tc>
        <w:tc>
          <w:tcPr>
            <w:tcW w:w="4723" w:type="dxa"/>
            <w:tcBorders>
              <w:left w:val="single" w:sz="8" w:space="0" w:color="000000"/>
              <w:bottom w:val="single" w:sz="8" w:space="0" w:color="000000"/>
              <w:right w:val="double" w:sz="6" w:space="0" w:color="000000"/>
            </w:tcBorders>
            <w:shd w:color="auto" w:fill="FFF2CC" w:val="clear"/>
            <w:vAlign w:val="bottom"/>
          </w:tcPr>
          <w:p>
            <w:pPr>
              <w:pStyle w:val="Normal"/>
              <w:spacing w:before="0" w:after="200"/>
              <w:jc w:val="right"/>
              <w:rPr>
                <w:rFonts w:ascii="Arial" w:hAnsi="Arial" w:cs="Arial"/>
                <w:b/>
              </w:rPr>
            </w:pPr>
            <w:r>
              <w:rPr>
                <w:rFonts w:cs="Arial" w:ascii="Arial" w:hAnsi="Arial"/>
                <w:b/>
              </w:rPr>
              <w:t>256.269,48</w:t>
            </w:r>
          </w:p>
        </w:tc>
      </w:tr>
      <w:tr>
        <w:trPr>
          <w:trHeight w:val="300" w:hRule="atLeast"/>
        </w:trPr>
        <w:tc>
          <w:tcPr>
            <w:tcW w:w="5953" w:type="dxa"/>
            <w:tcBorders>
              <w:top w:val="single" w:sz="8" w:space="0" w:color="000000"/>
              <w:left w:val="double" w:sz="6" w:space="0" w:color="000000"/>
              <w:bottom w:val="single" w:sz="8" w:space="0" w:color="000000"/>
            </w:tcBorders>
            <w:shd w:color="auto" w:fill="FBE4D5" w:val="clear"/>
            <w:vAlign w:val="bottom"/>
          </w:tcPr>
          <w:p>
            <w:pPr>
              <w:pStyle w:val="Normal"/>
              <w:spacing w:before="0" w:after="200"/>
              <w:rPr>
                <w:b/>
                <w:sz w:val="20"/>
                <w:szCs w:val="20"/>
              </w:rPr>
            </w:pPr>
            <w:r>
              <w:rPr>
                <w:b/>
                <w:sz w:val="20"/>
                <w:szCs w:val="20"/>
              </w:rPr>
              <w:t>Kapitálové  príjmy spolu</w:t>
            </w:r>
          </w:p>
        </w:tc>
        <w:tc>
          <w:tcPr>
            <w:tcW w:w="4723" w:type="dxa"/>
            <w:tcBorders>
              <w:left w:val="single" w:sz="8" w:space="0" w:color="000000"/>
              <w:bottom w:val="single" w:sz="8" w:space="0" w:color="000000"/>
              <w:right w:val="double" w:sz="6" w:space="0" w:color="000000"/>
            </w:tcBorders>
            <w:shd w:color="auto" w:fill="FBE4D5" w:val="clear"/>
            <w:vAlign w:val="bottom"/>
          </w:tcPr>
          <w:p>
            <w:pPr>
              <w:pStyle w:val="Normal"/>
              <w:spacing w:before="0" w:after="200"/>
              <w:jc w:val="right"/>
              <w:rPr>
                <w:b/>
              </w:rPr>
            </w:pPr>
            <w:r>
              <w:rPr>
                <w:b/>
              </w:rPr>
              <w:t>225,00</w:t>
            </w:r>
          </w:p>
        </w:tc>
      </w:tr>
      <w:tr>
        <w:trPr>
          <w:trHeight w:val="300" w:hRule="atLeast"/>
        </w:trPr>
        <w:tc>
          <w:tcPr>
            <w:tcW w:w="5953" w:type="dxa"/>
            <w:tcBorders>
              <w:top w:val="single" w:sz="8" w:space="0" w:color="000000"/>
              <w:left w:val="double" w:sz="6" w:space="0" w:color="000000"/>
              <w:bottom w:val="single" w:sz="8" w:space="0" w:color="000000"/>
            </w:tcBorders>
            <w:vAlign w:val="bottom"/>
          </w:tcPr>
          <w:p>
            <w:pPr>
              <w:pStyle w:val="Normal"/>
              <w:spacing w:before="0" w:after="200"/>
              <w:rPr>
                <w:sz w:val="20"/>
                <w:szCs w:val="20"/>
              </w:rPr>
            </w:pPr>
            <w:r>
              <w:rPr>
                <w:sz w:val="20"/>
                <w:szCs w:val="20"/>
              </w:rPr>
              <w:t>z toho : kapitálové  príjmy obce</w:t>
            </w:r>
          </w:p>
        </w:tc>
        <w:tc>
          <w:tcPr>
            <w:tcW w:w="4723" w:type="dxa"/>
            <w:tcBorders>
              <w:left w:val="single" w:sz="8" w:space="0" w:color="000000"/>
              <w:bottom w:val="single" w:sz="8" w:space="0" w:color="000000"/>
              <w:right w:val="double" w:sz="6" w:space="0" w:color="000000"/>
            </w:tcBorders>
            <w:vAlign w:val="bottom"/>
          </w:tcPr>
          <w:p>
            <w:pPr>
              <w:pStyle w:val="Normal"/>
              <w:spacing w:before="0" w:after="200"/>
              <w:jc w:val="right"/>
              <w:rPr/>
            </w:pPr>
            <w:r>
              <w:rPr>
                <w:rStyle w:val="Emphasis"/>
                <w:i w:val="false"/>
              </w:rPr>
              <w:t>225,00</w:t>
            </w:r>
          </w:p>
        </w:tc>
      </w:tr>
      <w:tr>
        <w:trPr>
          <w:trHeight w:val="300" w:hRule="atLeast"/>
        </w:trPr>
        <w:tc>
          <w:tcPr>
            <w:tcW w:w="5953" w:type="dxa"/>
            <w:tcBorders>
              <w:top w:val="single" w:sz="8" w:space="0" w:color="000000"/>
              <w:left w:val="double" w:sz="6" w:space="0" w:color="000000"/>
              <w:bottom w:val="single" w:sz="8" w:space="0" w:color="000000"/>
            </w:tcBorders>
            <w:vAlign w:val="bottom"/>
          </w:tcPr>
          <w:p>
            <w:pPr>
              <w:pStyle w:val="Normal"/>
              <w:widowControl/>
              <w:suppressAutoHyphens w:val="true"/>
              <w:bidi w:val="0"/>
              <w:spacing w:lineRule="auto" w:line="276" w:before="0" w:after="200"/>
              <w:jc w:val="left"/>
              <w:rPr/>
            </w:pPr>
            <w:r>
              <w:rPr>
                <w:sz w:val="20"/>
                <w:szCs w:val="20"/>
              </w:rPr>
              <w:t xml:space="preserve">             </w:t>
            </w:r>
            <w:r>
              <w:rPr>
                <w:sz w:val="20"/>
                <w:szCs w:val="20"/>
              </w:rPr>
              <w:t>kapitálové  príjmy ZŠ</w:t>
            </w:r>
          </w:p>
        </w:tc>
        <w:tc>
          <w:tcPr>
            <w:tcW w:w="4723" w:type="dxa"/>
            <w:tcBorders>
              <w:left w:val="single" w:sz="8" w:space="0" w:color="000000"/>
              <w:bottom w:val="single" w:sz="4" w:space="0" w:color="000000"/>
              <w:right w:val="double" w:sz="6" w:space="0" w:color="000000"/>
            </w:tcBorders>
            <w:vAlign w:val="bottom"/>
          </w:tcPr>
          <w:p>
            <w:pPr>
              <w:pStyle w:val="Normal"/>
              <w:spacing w:before="0" w:after="200"/>
              <w:jc w:val="right"/>
              <w:rPr/>
            </w:pPr>
            <w:r>
              <w:rPr>
                <w:rStyle w:val="Emphasis"/>
                <w:i w:val="false"/>
              </w:rPr>
              <w:t>0,00</w:t>
            </w:r>
          </w:p>
        </w:tc>
      </w:tr>
      <w:tr>
        <w:trPr>
          <w:trHeight w:val="300" w:hRule="atLeast"/>
        </w:trPr>
        <w:tc>
          <w:tcPr>
            <w:tcW w:w="5953" w:type="dxa"/>
            <w:tcBorders>
              <w:top w:val="single" w:sz="8" w:space="0" w:color="000000"/>
              <w:left w:val="double" w:sz="6" w:space="0" w:color="000000"/>
              <w:bottom w:val="single" w:sz="8" w:space="0" w:color="000000"/>
            </w:tcBorders>
            <w:vAlign w:val="bottom"/>
          </w:tcPr>
          <w:p>
            <w:pPr>
              <w:pStyle w:val="Normal"/>
              <w:widowControl/>
              <w:suppressAutoHyphens w:val="true"/>
              <w:bidi w:val="0"/>
              <w:spacing w:lineRule="auto" w:line="276" w:before="0" w:after="200"/>
              <w:jc w:val="left"/>
              <w:rPr/>
            </w:pPr>
            <w:r>
              <w:rPr>
                <w:sz w:val="20"/>
                <w:szCs w:val="20"/>
              </w:rPr>
              <w:t xml:space="preserve">             </w:t>
            </w:r>
            <w:r>
              <w:rPr>
                <w:sz w:val="20"/>
                <w:szCs w:val="20"/>
              </w:rPr>
              <w:t>kapitálové príjmy MŠ</w:t>
            </w:r>
          </w:p>
        </w:tc>
        <w:tc>
          <w:tcPr>
            <w:tcW w:w="4723" w:type="dxa"/>
            <w:tcBorders>
              <w:top w:val="single" w:sz="4" w:space="0" w:color="000000"/>
              <w:left w:val="single" w:sz="8" w:space="0" w:color="000000"/>
              <w:bottom w:val="single" w:sz="8" w:space="0" w:color="000000"/>
              <w:right w:val="double" w:sz="6" w:space="0" w:color="000000"/>
            </w:tcBorders>
            <w:vAlign w:val="bottom"/>
          </w:tcPr>
          <w:p>
            <w:pPr>
              <w:pStyle w:val="Normal"/>
              <w:spacing w:before="0" w:after="200"/>
              <w:jc w:val="right"/>
              <w:rPr/>
            </w:pPr>
            <w:r>
              <w:rPr>
                <w:rStyle w:val="Emphasis"/>
                <w:i w:val="false"/>
              </w:rPr>
              <w:t>0,00</w:t>
            </w:r>
          </w:p>
        </w:tc>
      </w:tr>
      <w:tr>
        <w:trPr>
          <w:trHeight w:val="300" w:hRule="atLeast"/>
        </w:trPr>
        <w:tc>
          <w:tcPr>
            <w:tcW w:w="5953" w:type="dxa"/>
            <w:tcBorders>
              <w:top w:val="single" w:sz="8" w:space="0" w:color="000000"/>
              <w:left w:val="double" w:sz="6" w:space="0" w:color="000000"/>
              <w:bottom w:val="single" w:sz="8" w:space="0" w:color="000000"/>
            </w:tcBorders>
            <w:shd w:color="auto" w:fill="FBE4D5" w:val="clear"/>
            <w:vAlign w:val="bottom"/>
          </w:tcPr>
          <w:p>
            <w:pPr>
              <w:pStyle w:val="Normal"/>
              <w:spacing w:before="0" w:after="200"/>
              <w:rPr>
                <w:b/>
                <w:sz w:val="20"/>
                <w:szCs w:val="20"/>
              </w:rPr>
            </w:pPr>
            <w:r>
              <w:rPr>
                <w:b/>
                <w:sz w:val="20"/>
                <w:szCs w:val="20"/>
              </w:rPr>
              <w:t>Kapitálové  výdavky spolu</w:t>
            </w:r>
          </w:p>
        </w:tc>
        <w:tc>
          <w:tcPr>
            <w:tcW w:w="4723" w:type="dxa"/>
            <w:tcBorders>
              <w:left w:val="single" w:sz="8" w:space="0" w:color="000000"/>
              <w:bottom w:val="single" w:sz="8" w:space="0" w:color="000000"/>
              <w:right w:val="double" w:sz="6" w:space="0" w:color="000000"/>
            </w:tcBorders>
            <w:shd w:color="auto" w:fill="FBE4D5" w:val="clear"/>
            <w:vAlign w:val="bottom"/>
          </w:tcPr>
          <w:p>
            <w:pPr>
              <w:pStyle w:val="Normal"/>
              <w:spacing w:before="0" w:after="200"/>
              <w:jc w:val="right"/>
              <w:rPr>
                <w:b/>
              </w:rPr>
            </w:pPr>
            <w:r>
              <w:rPr>
                <w:b/>
              </w:rPr>
              <w:t>124.467,74</w:t>
            </w:r>
          </w:p>
        </w:tc>
      </w:tr>
      <w:tr>
        <w:trPr>
          <w:trHeight w:val="300" w:hRule="atLeast"/>
        </w:trPr>
        <w:tc>
          <w:tcPr>
            <w:tcW w:w="5953" w:type="dxa"/>
            <w:tcBorders>
              <w:top w:val="single" w:sz="8" w:space="0" w:color="000000"/>
              <w:left w:val="double" w:sz="6" w:space="0" w:color="000000"/>
              <w:bottom w:val="single" w:sz="8" w:space="0" w:color="000000"/>
            </w:tcBorders>
            <w:vAlign w:val="bottom"/>
          </w:tcPr>
          <w:p>
            <w:pPr>
              <w:pStyle w:val="Normal"/>
              <w:spacing w:before="0" w:after="200"/>
              <w:rPr>
                <w:sz w:val="20"/>
                <w:szCs w:val="20"/>
              </w:rPr>
            </w:pPr>
            <w:r>
              <w:rPr>
                <w:sz w:val="20"/>
                <w:szCs w:val="20"/>
              </w:rPr>
              <w:t>z toho : kapitálové  výdavky  obce</w:t>
            </w:r>
          </w:p>
        </w:tc>
        <w:tc>
          <w:tcPr>
            <w:tcW w:w="4723" w:type="dxa"/>
            <w:tcBorders>
              <w:left w:val="single" w:sz="8" w:space="0" w:color="000000"/>
              <w:bottom w:val="single" w:sz="8" w:space="0" w:color="000000"/>
              <w:right w:val="double" w:sz="6" w:space="0" w:color="000000"/>
            </w:tcBorders>
            <w:vAlign w:val="bottom"/>
          </w:tcPr>
          <w:p>
            <w:pPr>
              <w:pStyle w:val="Normal"/>
              <w:spacing w:before="0" w:after="200"/>
              <w:jc w:val="right"/>
              <w:rPr/>
            </w:pPr>
            <w:r>
              <w:rPr>
                <w:rStyle w:val="Emphasis"/>
                <w:i w:val="false"/>
              </w:rPr>
              <w:t>123.167.74</w:t>
            </w:r>
          </w:p>
        </w:tc>
      </w:tr>
      <w:tr>
        <w:trPr>
          <w:trHeight w:val="300" w:hRule="atLeast"/>
        </w:trPr>
        <w:tc>
          <w:tcPr>
            <w:tcW w:w="5953" w:type="dxa"/>
            <w:tcBorders>
              <w:top w:val="single" w:sz="8" w:space="0" w:color="000000"/>
              <w:left w:val="double" w:sz="6" w:space="0" w:color="000000"/>
              <w:bottom w:val="single" w:sz="8" w:space="0" w:color="000000"/>
            </w:tcBorders>
            <w:vAlign w:val="bottom"/>
          </w:tcPr>
          <w:p>
            <w:pPr>
              <w:pStyle w:val="Normal"/>
              <w:widowControl/>
              <w:suppressAutoHyphens w:val="true"/>
              <w:bidi w:val="0"/>
              <w:spacing w:lineRule="auto" w:line="276" w:before="0" w:after="200"/>
              <w:jc w:val="left"/>
              <w:rPr/>
            </w:pPr>
            <w:r>
              <w:rPr>
                <w:sz w:val="20"/>
                <w:szCs w:val="20"/>
              </w:rPr>
              <w:t xml:space="preserve">             </w:t>
            </w:r>
            <w:r>
              <w:rPr>
                <w:sz w:val="20"/>
                <w:szCs w:val="20"/>
              </w:rPr>
              <w:t>kapitálové  výdavky ZŠ</w:t>
            </w:r>
          </w:p>
        </w:tc>
        <w:tc>
          <w:tcPr>
            <w:tcW w:w="4723" w:type="dxa"/>
            <w:tcBorders>
              <w:left w:val="single" w:sz="8" w:space="0" w:color="000000"/>
              <w:bottom w:val="single" w:sz="8" w:space="0" w:color="000000"/>
              <w:right w:val="double" w:sz="6" w:space="0" w:color="000000"/>
            </w:tcBorders>
            <w:vAlign w:val="bottom"/>
          </w:tcPr>
          <w:p>
            <w:pPr>
              <w:pStyle w:val="Normal"/>
              <w:spacing w:before="0" w:after="200"/>
              <w:jc w:val="right"/>
              <w:rPr/>
            </w:pPr>
            <w:r>
              <w:rPr>
                <w:rStyle w:val="Emphasis"/>
                <w:i w:val="false"/>
              </w:rPr>
              <w:t>0,00</w:t>
            </w:r>
          </w:p>
        </w:tc>
      </w:tr>
      <w:tr>
        <w:trPr>
          <w:trHeight w:val="300" w:hRule="atLeast"/>
        </w:trPr>
        <w:tc>
          <w:tcPr>
            <w:tcW w:w="5953" w:type="dxa"/>
            <w:tcBorders>
              <w:top w:val="single" w:sz="8" w:space="0" w:color="000000"/>
              <w:left w:val="double" w:sz="6" w:space="0" w:color="000000"/>
              <w:bottom w:val="single" w:sz="8" w:space="0" w:color="000000"/>
            </w:tcBorders>
            <w:vAlign w:val="bottom"/>
          </w:tcPr>
          <w:p>
            <w:pPr>
              <w:pStyle w:val="Normal"/>
              <w:widowControl/>
              <w:suppressAutoHyphens w:val="true"/>
              <w:bidi w:val="0"/>
              <w:spacing w:lineRule="auto" w:line="276" w:before="0" w:after="200"/>
              <w:jc w:val="left"/>
              <w:rPr/>
            </w:pPr>
            <w:r>
              <w:rPr>
                <w:sz w:val="20"/>
                <w:szCs w:val="20"/>
              </w:rPr>
              <w:t xml:space="preserve">             </w:t>
            </w:r>
            <w:r>
              <w:rPr>
                <w:sz w:val="20"/>
                <w:szCs w:val="20"/>
              </w:rPr>
              <w:t>kapitálové výdavky MŠ</w:t>
            </w:r>
          </w:p>
        </w:tc>
        <w:tc>
          <w:tcPr>
            <w:tcW w:w="4723" w:type="dxa"/>
            <w:tcBorders>
              <w:left w:val="single" w:sz="8" w:space="0" w:color="000000"/>
              <w:bottom w:val="single" w:sz="8" w:space="0" w:color="000000"/>
              <w:right w:val="double" w:sz="6" w:space="0" w:color="000000"/>
            </w:tcBorders>
            <w:vAlign w:val="bottom"/>
          </w:tcPr>
          <w:p>
            <w:pPr>
              <w:pStyle w:val="Normal"/>
              <w:spacing w:before="0" w:after="200"/>
              <w:jc w:val="right"/>
              <w:rPr/>
            </w:pPr>
            <w:r>
              <w:rPr>
                <w:rStyle w:val="Emphasis"/>
                <w:i w:val="false"/>
              </w:rPr>
              <w:t>1.300,00</w:t>
            </w:r>
          </w:p>
        </w:tc>
      </w:tr>
      <w:tr>
        <w:trPr>
          <w:trHeight w:val="285" w:hRule="atLeast"/>
        </w:trPr>
        <w:tc>
          <w:tcPr>
            <w:tcW w:w="5953" w:type="dxa"/>
            <w:tcBorders>
              <w:top w:val="single" w:sz="8" w:space="0" w:color="000000"/>
              <w:left w:val="double" w:sz="6" w:space="0" w:color="000000"/>
              <w:bottom w:val="single" w:sz="8" w:space="0" w:color="000000"/>
            </w:tcBorders>
            <w:shd w:color="auto" w:fill="FFF2CC" w:val="clear"/>
            <w:vAlign w:val="bottom"/>
          </w:tcPr>
          <w:p>
            <w:pPr>
              <w:pStyle w:val="Normal"/>
              <w:spacing w:before="0" w:after="200"/>
              <w:rPr>
                <w:rFonts w:ascii="Arial" w:hAnsi="Arial" w:cs="Arial"/>
                <w:b/>
                <w:sz w:val="20"/>
                <w:szCs w:val="20"/>
              </w:rPr>
            </w:pPr>
            <w:r>
              <w:rPr>
                <w:rFonts w:cs="Arial" w:ascii="Arial" w:hAnsi="Arial"/>
                <w:b/>
                <w:sz w:val="20"/>
                <w:szCs w:val="20"/>
              </w:rPr>
              <w:t>Kapitálový rozpočet - schodok</w:t>
            </w:r>
          </w:p>
        </w:tc>
        <w:tc>
          <w:tcPr>
            <w:tcW w:w="4723" w:type="dxa"/>
            <w:tcBorders>
              <w:left w:val="single" w:sz="8" w:space="0" w:color="000000"/>
              <w:bottom w:val="single" w:sz="8" w:space="0" w:color="000000"/>
              <w:right w:val="double" w:sz="6" w:space="0" w:color="000000"/>
            </w:tcBorders>
            <w:shd w:color="auto" w:fill="FFF2CC" w:val="clear"/>
            <w:vAlign w:val="bottom"/>
          </w:tcPr>
          <w:p>
            <w:pPr>
              <w:pStyle w:val="Normal"/>
              <w:numPr>
                <w:ilvl w:val="0"/>
                <w:numId w:val="5"/>
              </w:numPr>
              <w:spacing w:before="0" w:after="200"/>
              <w:jc w:val="right"/>
              <w:rPr>
                <w:rFonts w:ascii="Arial" w:hAnsi="Arial" w:cs="Arial"/>
                <w:b/>
              </w:rPr>
            </w:pPr>
            <w:r>
              <w:rPr>
                <w:rFonts w:cs="Arial" w:ascii="Arial" w:hAnsi="Arial"/>
                <w:b/>
              </w:rPr>
              <w:t>124.242,74</w:t>
            </w:r>
          </w:p>
        </w:tc>
      </w:tr>
      <w:tr>
        <w:trPr>
          <w:trHeight w:val="285" w:hRule="atLeast"/>
        </w:trPr>
        <w:tc>
          <w:tcPr>
            <w:tcW w:w="5953" w:type="dxa"/>
            <w:tcBorders>
              <w:top w:val="single" w:sz="8" w:space="0" w:color="000000"/>
              <w:left w:val="double" w:sz="6" w:space="0" w:color="000000"/>
              <w:bottom w:val="single" w:sz="8" w:space="0" w:color="000000"/>
            </w:tcBorders>
            <w:shd w:color="auto" w:fill="D9E2F3" w:val="clear"/>
            <w:vAlign w:val="bottom"/>
          </w:tcPr>
          <w:p>
            <w:pPr>
              <w:pStyle w:val="Normal"/>
              <w:widowControl/>
              <w:suppressAutoHyphens w:val="true"/>
              <w:bidi w:val="0"/>
              <w:spacing w:lineRule="auto" w:line="276" w:before="0" w:after="200"/>
              <w:jc w:val="left"/>
              <w:rPr/>
            </w:pPr>
            <w:r>
              <w:rPr>
                <w:rStyle w:val="Emphasis"/>
                <w:rFonts w:cs="Arial" w:ascii="Arial" w:hAnsi="Arial"/>
                <w:b/>
                <w:bCs/>
                <w:i w:val="false"/>
                <w:sz w:val="20"/>
                <w:szCs w:val="20"/>
              </w:rPr>
              <w:t>Prebytok/schodok bežného a kapitálového rozpočtu</w:t>
            </w:r>
          </w:p>
        </w:tc>
        <w:tc>
          <w:tcPr>
            <w:tcW w:w="4723" w:type="dxa"/>
            <w:tcBorders>
              <w:left w:val="single" w:sz="8" w:space="0" w:color="000000"/>
              <w:bottom w:val="single" w:sz="4" w:space="0" w:color="000000"/>
              <w:right w:val="double" w:sz="6" w:space="0" w:color="000000"/>
            </w:tcBorders>
            <w:shd w:color="auto" w:fill="D9E2F3" w:val="clear"/>
            <w:vAlign w:val="bottom"/>
          </w:tcPr>
          <w:p>
            <w:pPr>
              <w:pStyle w:val="Normal"/>
              <w:spacing w:before="0" w:after="200"/>
              <w:jc w:val="right"/>
              <w:rPr>
                <w:rFonts w:ascii="Arial" w:hAnsi="Arial" w:cs="Arial"/>
                <w:b/>
              </w:rPr>
            </w:pPr>
            <w:r>
              <w:rPr>
                <w:rFonts w:cs="Arial" w:ascii="Arial" w:hAnsi="Arial"/>
                <w:b/>
              </w:rPr>
              <w:t>132.026,74</w:t>
            </w:r>
          </w:p>
        </w:tc>
      </w:tr>
      <w:tr>
        <w:trPr>
          <w:trHeight w:val="285" w:hRule="atLeast"/>
        </w:trPr>
        <w:tc>
          <w:tcPr>
            <w:tcW w:w="5953" w:type="dxa"/>
            <w:tcBorders>
              <w:top w:val="single" w:sz="8" w:space="0" w:color="000000"/>
              <w:left w:val="double" w:sz="6" w:space="0" w:color="000000"/>
              <w:bottom w:val="single" w:sz="8" w:space="0" w:color="000000"/>
            </w:tcBorders>
            <w:shd w:color="auto" w:fill="FFFFFF" w:val="clear"/>
            <w:vAlign w:val="bottom"/>
          </w:tcPr>
          <w:p>
            <w:pPr>
              <w:pStyle w:val="Normal"/>
              <w:widowControl/>
              <w:suppressAutoHyphens w:val="true"/>
              <w:bidi w:val="0"/>
              <w:spacing w:lineRule="auto" w:line="276" w:before="0" w:after="200"/>
              <w:jc w:val="left"/>
              <w:rPr/>
            </w:pPr>
            <w:r>
              <w:rPr>
                <w:rStyle w:val="Emphasis"/>
                <w:b/>
                <w:i w:val="false"/>
                <w:sz w:val="20"/>
                <w:szCs w:val="20"/>
              </w:rPr>
              <w:t>Úprava prebytku – nevyčerpané finančné prostriedky obec</w:t>
            </w:r>
          </w:p>
        </w:tc>
        <w:tc>
          <w:tcPr>
            <w:tcW w:w="4723" w:type="dxa"/>
            <w:tcBorders>
              <w:top w:val="single" w:sz="4" w:space="0" w:color="000000"/>
              <w:left w:val="single" w:sz="8" w:space="0" w:color="000000"/>
              <w:bottom w:val="single" w:sz="4" w:space="0" w:color="000000"/>
              <w:right w:val="double" w:sz="6" w:space="0" w:color="000000"/>
            </w:tcBorders>
            <w:shd w:color="auto" w:fill="FFFFFF" w:val="clear"/>
            <w:vAlign w:val="bottom"/>
          </w:tcPr>
          <w:p>
            <w:pPr>
              <w:pStyle w:val="Normal"/>
              <w:spacing w:before="0" w:after="200"/>
              <w:jc w:val="right"/>
              <w:rPr>
                <w:color w:val="000000"/>
              </w:rPr>
            </w:pPr>
            <w:r>
              <w:rPr>
                <w:color w:val="000000"/>
              </w:rPr>
              <w:t>212.278,24</w:t>
            </w:r>
          </w:p>
        </w:tc>
      </w:tr>
      <w:tr>
        <w:trPr>
          <w:trHeight w:val="285" w:hRule="atLeast"/>
        </w:trPr>
        <w:tc>
          <w:tcPr>
            <w:tcW w:w="5953" w:type="dxa"/>
            <w:tcBorders>
              <w:top w:val="single" w:sz="8" w:space="0" w:color="000000"/>
              <w:left w:val="double" w:sz="6" w:space="0" w:color="000000"/>
              <w:bottom w:val="single" w:sz="8" w:space="0" w:color="000000"/>
            </w:tcBorders>
            <w:shd w:color="auto" w:fill="FFFFFF" w:val="clear"/>
            <w:vAlign w:val="bottom"/>
          </w:tcPr>
          <w:p>
            <w:pPr>
              <w:pStyle w:val="Normal"/>
              <w:rPr/>
            </w:pPr>
            <w:r>
              <w:rPr>
                <w:rStyle w:val="Emphasis"/>
                <w:b/>
                <w:i w:val="false"/>
                <w:sz w:val="20"/>
                <w:szCs w:val="20"/>
              </w:rPr>
              <w:t>Úprava prebytku – nevyčerpané finančné prostriedky</w:t>
            </w:r>
          </w:p>
          <w:p>
            <w:pPr>
              <w:pStyle w:val="Normal"/>
              <w:widowControl/>
              <w:suppressAutoHyphens w:val="true"/>
              <w:bidi w:val="0"/>
              <w:spacing w:lineRule="auto" w:line="276" w:before="0" w:after="200"/>
              <w:jc w:val="left"/>
              <w:rPr/>
            </w:pPr>
            <w:r>
              <w:rPr>
                <w:rStyle w:val="Emphasis"/>
                <w:b/>
                <w:i w:val="false"/>
                <w:sz w:val="20"/>
                <w:szCs w:val="20"/>
              </w:rPr>
              <w:t>RO ŠJ+SOU/6.120,49+9.661,59/</w:t>
            </w:r>
          </w:p>
        </w:tc>
        <w:tc>
          <w:tcPr>
            <w:tcW w:w="4723" w:type="dxa"/>
            <w:tcBorders>
              <w:top w:val="single" w:sz="4" w:space="0" w:color="000000"/>
              <w:left w:val="single" w:sz="8" w:space="0" w:color="000000"/>
              <w:bottom w:val="single" w:sz="4" w:space="0" w:color="000000"/>
              <w:right w:val="double" w:sz="6" w:space="0" w:color="000000"/>
            </w:tcBorders>
            <w:shd w:color="auto" w:fill="FFFFFF" w:val="clear"/>
            <w:vAlign w:val="bottom"/>
          </w:tcPr>
          <w:p>
            <w:pPr>
              <w:pStyle w:val="Normal"/>
              <w:snapToGrid w:val="false"/>
              <w:spacing w:before="0" w:after="200"/>
              <w:jc w:val="right"/>
              <w:rPr/>
            </w:pPr>
            <w:r>
              <w:rPr/>
              <w:t>15.782,08</w:t>
            </w:r>
          </w:p>
        </w:tc>
      </w:tr>
      <w:tr>
        <w:trPr>
          <w:trHeight w:val="285" w:hRule="atLeast"/>
        </w:trPr>
        <w:tc>
          <w:tcPr>
            <w:tcW w:w="5953" w:type="dxa"/>
            <w:tcBorders>
              <w:top w:val="single" w:sz="8" w:space="0" w:color="000000"/>
              <w:left w:val="double" w:sz="6" w:space="0" w:color="000000"/>
              <w:bottom w:val="single" w:sz="8" w:space="0" w:color="000000"/>
            </w:tcBorders>
            <w:shd w:color="auto" w:fill="D9E2F3" w:val="clear"/>
            <w:vAlign w:val="bottom"/>
          </w:tcPr>
          <w:p>
            <w:pPr>
              <w:pStyle w:val="Normal"/>
              <w:widowControl/>
              <w:suppressAutoHyphens w:val="true"/>
              <w:bidi w:val="0"/>
              <w:spacing w:lineRule="auto" w:line="276" w:before="0" w:after="200"/>
              <w:jc w:val="left"/>
              <w:rPr/>
            </w:pPr>
            <w:r>
              <w:rPr>
                <w:rStyle w:val="Emphasis"/>
                <w:b/>
                <w:i w:val="false"/>
                <w:sz w:val="20"/>
                <w:szCs w:val="20"/>
              </w:rPr>
              <w:t xml:space="preserve">Upravený prebytok/schodok </w:t>
            </w:r>
            <w:r>
              <w:rPr>
                <w:rStyle w:val="Emphasis"/>
                <w:b/>
                <w:bCs/>
                <w:i w:val="false"/>
                <w:sz w:val="20"/>
                <w:szCs w:val="20"/>
              </w:rPr>
              <w:t>bežného a kapitálového rozpočtu</w:t>
            </w:r>
          </w:p>
        </w:tc>
        <w:tc>
          <w:tcPr>
            <w:tcW w:w="4723" w:type="dxa"/>
            <w:tcBorders>
              <w:top w:val="single" w:sz="4" w:space="0" w:color="000000"/>
              <w:left w:val="single" w:sz="8" w:space="0" w:color="000000"/>
              <w:bottom w:val="single" w:sz="4" w:space="0" w:color="000000"/>
              <w:right w:val="double" w:sz="6" w:space="0" w:color="000000"/>
            </w:tcBorders>
            <w:shd w:color="auto" w:fill="D9E2F3" w:val="clear"/>
            <w:vAlign w:val="bottom"/>
          </w:tcPr>
          <w:p>
            <w:pPr>
              <w:pStyle w:val="Normal"/>
              <w:spacing w:before="0" w:after="200"/>
              <w:jc w:val="right"/>
              <w:rPr>
                <w:b/>
                <w:bCs/>
              </w:rPr>
            </w:pPr>
            <w:r>
              <w:rPr>
                <w:b/>
                <w:bCs/>
              </w:rPr>
              <w:t>-96.033,58</w:t>
            </w:r>
          </w:p>
        </w:tc>
      </w:tr>
      <w:tr>
        <w:trPr>
          <w:trHeight w:val="285" w:hRule="atLeast"/>
        </w:trPr>
        <w:tc>
          <w:tcPr>
            <w:tcW w:w="5953" w:type="dxa"/>
            <w:tcBorders>
              <w:top w:val="single" w:sz="8" w:space="0" w:color="000000"/>
              <w:left w:val="double" w:sz="6" w:space="0" w:color="000000"/>
              <w:bottom w:val="single" w:sz="8" w:space="0" w:color="000000"/>
            </w:tcBorders>
            <w:shd w:color="auto" w:fill="FBE4D5" w:val="clear"/>
            <w:vAlign w:val="bottom"/>
          </w:tcPr>
          <w:p>
            <w:pPr>
              <w:pStyle w:val="Normal"/>
              <w:spacing w:before="0" w:after="200"/>
              <w:rPr>
                <w:b/>
                <w:sz w:val="20"/>
                <w:szCs w:val="20"/>
              </w:rPr>
            </w:pPr>
            <w:r>
              <w:rPr>
                <w:b/>
                <w:sz w:val="20"/>
                <w:szCs w:val="20"/>
              </w:rPr>
              <w:t>Príjmy z finančných operácií</w:t>
            </w:r>
          </w:p>
        </w:tc>
        <w:tc>
          <w:tcPr>
            <w:tcW w:w="4723" w:type="dxa"/>
            <w:tcBorders>
              <w:top w:val="single" w:sz="4" w:space="0" w:color="000000"/>
              <w:left w:val="single" w:sz="8" w:space="0" w:color="000000"/>
              <w:bottom w:val="single" w:sz="4" w:space="0" w:color="000000"/>
              <w:right w:val="double" w:sz="6" w:space="0" w:color="000000"/>
            </w:tcBorders>
            <w:shd w:color="auto" w:fill="FBE4D5" w:val="clear"/>
            <w:vAlign w:val="bottom"/>
          </w:tcPr>
          <w:p>
            <w:pPr>
              <w:pStyle w:val="Normal"/>
              <w:spacing w:before="0" w:after="200"/>
              <w:jc w:val="right"/>
              <w:rPr/>
            </w:pPr>
            <w:r>
              <w:rPr/>
              <w:t>157.133,10</w:t>
            </w:r>
          </w:p>
        </w:tc>
      </w:tr>
      <w:tr>
        <w:trPr>
          <w:trHeight w:val="285" w:hRule="atLeast"/>
        </w:trPr>
        <w:tc>
          <w:tcPr>
            <w:tcW w:w="5953" w:type="dxa"/>
            <w:tcBorders>
              <w:top w:val="single" w:sz="8" w:space="0" w:color="000000"/>
              <w:left w:val="double" w:sz="6" w:space="0" w:color="000000"/>
              <w:bottom w:val="single" w:sz="8" w:space="0" w:color="000000"/>
            </w:tcBorders>
            <w:shd w:color="auto" w:fill="FFFFFF" w:val="clear"/>
            <w:vAlign w:val="bottom"/>
          </w:tcPr>
          <w:p>
            <w:pPr>
              <w:pStyle w:val="Normal"/>
              <w:spacing w:before="0" w:after="200"/>
              <w:rPr>
                <w:sz w:val="20"/>
                <w:szCs w:val="20"/>
              </w:rPr>
            </w:pPr>
            <w:r>
              <w:rPr>
                <w:sz w:val="20"/>
                <w:szCs w:val="20"/>
              </w:rPr>
              <w:t>z toho : príjmy z finančných operácií obce</w:t>
            </w:r>
          </w:p>
        </w:tc>
        <w:tc>
          <w:tcPr>
            <w:tcW w:w="4723" w:type="dxa"/>
            <w:tcBorders>
              <w:top w:val="single" w:sz="4" w:space="0" w:color="000000"/>
              <w:left w:val="single" w:sz="8" w:space="0" w:color="000000"/>
              <w:bottom w:val="single" w:sz="4" w:space="0" w:color="000000"/>
              <w:right w:val="double" w:sz="6" w:space="0" w:color="000000"/>
            </w:tcBorders>
            <w:shd w:color="auto" w:fill="FFFFFF" w:val="clear"/>
            <w:vAlign w:val="bottom"/>
          </w:tcPr>
          <w:p>
            <w:pPr>
              <w:pStyle w:val="Normal"/>
              <w:spacing w:before="0" w:after="200"/>
              <w:jc w:val="right"/>
              <w:rPr/>
            </w:pPr>
            <w:r>
              <w:rPr/>
              <w:t>148.834,26</w:t>
            </w:r>
          </w:p>
        </w:tc>
      </w:tr>
      <w:tr>
        <w:trPr>
          <w:trHeight w:val="285" w:hRule="atLeast"/>
        </w:trPr>
        <w:tc>
          <w:tcPr>
            <w:tcW w:w="5953" w:type="dxa"/>
            <w:tcBorders>
              <w:top w:val="single" w:sz="8" w:space="0" w:color="000000"/>
              <w:left w:val="double" w:sz="6" w:space="0" w:color="000000"/>
              <w:bottom w:val="single" w:sz="8" w:space="0" w:color="000000"/>
            </w:tcBorders>
            <w:shd w:color="auto" w:fill="FFFFFF" w:val="clear"/>
            <w:vAlign w:val="bottom"/>
          </w:tcPr>
          <w:p>
            <w:pPr>
              <w:pStyle w:val="Normal"/>
              <w:widowControl/>
              <w:suppressAutoHyphens w:val="true"/>
              <w:bidi w:val="0"/>
              <w:spacing w:lineRule="auto" w:line="276" w:before="0" w:after="200"/>
              <w:jc w:val="left"/>
              <w:rPr/>
            </w:pPr>
            <w:r>
              <w:rPr>
                <w:sz w:val="20"/>
                <w:szCs w:val="20"/>
              </w:rPr>
              <w:t xml:space="preserve">             </w:t>
            </w:r>
            <w:r>
              <w:rPr>
                <w:sz w:val="20"/>
                <w:szCs w:val="20"/>
              </w:rPr>
              <w:t>príjmy z finančných operácií MŠ</w:t>
            </w:r>
          </w:p>
        </w:tc>
        <w:tc>
          <w:tcPr>
            <w:tcW w:w="4723" w:type="dxa"/>
            <w:tcBorders>
              <w:top w:val="single" w:sz="4" w:space="0" w:color="000000"/>
              <w:left w:val="single" w:sz="8" w:space="0" w:color="000000"/>
              <w:bottom w:val="single" w:sz="4" w:space="0" w:color="000000"/>
              <w:right w:val="double" w:sz="6" w:space="0" w:color="000000"/>
            </w:tcBorders>
            <w:shd w:color="auto" w:fill="FFFFFF" w:val="clear"/>
            <w:vAlign w:val="bottom"/>
          </w:tcPr>
          <w:p>
            <w:pPr>
              <w:pStyle w:val="Normal"/>
              <w:spacing w:before="0" w:after="200"/>
              <w:jc w:val="right"/>
              <w:rPr/>
            </w:pPr>
            <w:r>
              <w:rPr/>
              <w:t>8.298,84</w:t>
            </w:r>
          </w:p>
        </w:tc>
      </w:tr>
      <w:tr>
        <w:trPr>
          <w:trHeight w:val="285" w:hRule="atLeast"/>
        </w:trPr>
        <w:tc>
          <w:tcPr>
            <w:tcW w:w="5953" w:type="dxa"/>
            <w:tcBorders>
              <w:top w:val="single" w:sz="8" w:space="0" w:color="000000"/>
              <w:left w:val="double" w:sz="6" w:space="0" w:color="000000"/>
              <w:bottom w:val="single" w:sz="8" w:space="0" w:color="000000"/>
            </w:tcBorders>
            <w:shd w:color="auto" w:fill="FBE4D5" w:val="clear"/>
            <w:vAlign w:val="bottom"/>
          </w:tcPr>
          <w:p>
            <w:pPr>
              <w:pStyle w:val="Normal"/>
              <w:spacing w:before="0" w:after="200"/>
              <w:rPr>
                <w:b/>
                <w:sz w:val="20"/>
                <w:szCs w:val="20"/>
              </w:rPr>
            </w:pPr>
            <w:r>
              <w:rPr>
                <w:b/>
                <w:sz w:val="20"/>
                <w:szCs w:val="20"/>
              </w:rPr>
              <w:t>Výdavky z finančných operácií</w:t>
            </w:r>
          </w:p>
        </w:tc>
        <w:tc>
          <w:tcPr>
            <w:tcW w:w="4723" w:type="dxa"/>
            <w:tcBorders>
              <w:top w:val="single" w:sz="4" w:space="0" w:color="000000"/>
              <w:left w:val="single" w:sz="8" w:space="0" w:color="000000"/>
              <w:bottom w:val="single" w:sz="4" w:space="0" w:color="000000"/>
              <w:right w:val="double" w:sz="6" w:space="0" w:color="000000"/>
            </w:tcBorders>
            <w:shd w:color="auto" w:fill="FBE4D5" w:val="clear"/>
            <w:vAlign w:val="bottom"/>
          </w:tcPr>
          <w:p>
            <w:pPr>
              <w:pStyle w:val="Normal"/>
              <w:spacing w:before="0" w:after="200"/>
              <w:jc w:val="right"/>
              <w:rPr/>
            </w:pPr>
            <w:r>
              <w:rPr/>
              <w:t>41.648,63</w:t>
            </w:r>
          </w:p>
        </w:tc>
      </w:tr>
      <w:tr>
        <w:trPr>
          <w:trHeight w:val="285" w:hRule="atLeast"/>
        </w:trPr>
        <w:tc>
          <w:tcPr>
            <w:tcW w:w="5953" w:type="dxa"/>
            <w:tcBorders>
              <w:top w:val="single" w:sz="8" w:space="0" w:color="000000"/>
              <w:left w:val="double" w:sz="6" w:space="0" w:color="000000"/>
              <w:bottom w:val="single" w:sz="8" w:space="0" w:color="000000"/>
            </w:tcBorders>
            <w:shd w:color="auto" w:fill="FFFFFF" w:val="clear"/>
            <w:vAlign w:val="bottom"/>
          </w:tcPr>
          <w:p>
            <w:pPr>
              <w:pStyle w:val="Normal"/>
              <w:spacing w:before="0" w:after="200"/>
              <w:rPr>
                <w:sz w:val="20"/>
                <w:szCs w:val="20"/>
              </w:rPr>
            </w:pPr>
            <w:r>
              <w:rPr>
                <w:sz w:val="20"/>
                <w:szCs w:val="20"/>
              </w:rPr>
              <w:t>z toho : výdavky z finančných operácií obce</w:t>
            </w:r>
          </w:p>
        </w:tc>
        <w:tc>
          <w:tcPr>
            <w:tcW w:w="4723" w:type="dxa"/>
            <w:tcBorders>
              <w:top w:val="single" w:sz="4" w:space="0" w:color="000000"/>
              <w:left w:val="single" w:sz="8" w:space="0" w:color="000000"/>
              <w:bottom w:val="single" w:sz="4" w:space="0" w:color="000000"/>
              <w:right w:val="double" w:sz="6" w:space="0" w:color="000000"/>
            </w:tcBorders>
            <w:shd w:color="auto" w:fill="FFFFFF" w:val="clear"/>
            <w:vAlign w:val="bottom"/>
          </w:tcPr>
          <w:p>
            <w:pPr>
              <w:pStyle w:val="Normal"/>
              <w:spacing w:before="0" w:after="200"/>
              <w:jc w:val="right"/>
              <w:rPr/>
            </w:pPr>
            <w:r>
              <w:rPr/>
              <w:t>41.648,63</w:t>
            </w:r>
          </w:p>
        </w:tc>
      </w:tr>
      <w:tr>
        <w:trPr>
          <w:trHeight w:val="285" w:hRule="atLeast"/>
        </w:trPr>
        <w:tc>
          <w:tcPr>
            <w:tcW w:w="5953" w:type="dxa"/>
            <w:tcBorders>
              <w:top w:val="single" w:sz="8" w:space="0" w:color="000000"/>
              <w:left w:val="double" w:sz="6" w:space="0" w:color="000000"/>
              <w:bottom w:val="single" w:sz="8" w:space="0" w:color="000000"/>
            </w:tcBorders>
            <w:shd w:color="auto" w:fill="FFF2CC" w:val="clear"/>
            <w:vAlign w:val="bottom"/>
          </w:tcPr>
          <w:p>
            <w:pPr>
              <w:pStyle w:val="Normal"/>
              <w:widowControl/>
              <w:suppressAutoHyphens w:val="true"/>
              <w:bidi w:val="0"/>
              <w:spacing w:lineRule="auto" w:line="276" w:before="0" w:after="200"/>
              <w:jc w:val="left"/>
              <w:rPr/>
            </w:pPr>
            <w:r>
              <w:rPr>
                <w:rStyle w:val="Emphasis"/>
                <w:b/>
                <w:bCs/>
                <w:i w:val="false"/>
                <w:sz w:val="20"/>
                <w:szCs w:val="20"/>
              </w:rPr>
              <w:t>Rozdiel finančných operácií</w:t>
            </w:r>
          </w:p>
        </w:tc>
        <w:tc>
          <w:tcPr>
            <w:tcW w:w="4723" w:type="dxa"/>
            <w:tcBorders>
              <w:top w:val="single" w:sz="4" w:space="0" w:color="000000"/>
              <w:left w:val="single" w:sz="8" w:space="0" w:color="000000"/>
              <w:bottom w:val="single" w:sz="4" w:space="0" w:color="000000"/>
              <w:right w:val="double" w:sz="6" w:space="0" w:color="000000"/>
            </w:tcBorders>
            <w:shd w:color="auto" w:fill="FFF2CC" w:val="clear"/>
            <w:vAlign w:val="bottom"/>
          </w:tcPr>
          <w:p>
            <w:pPr>
              <w:pStyle w:val="Normal"/>
              <w:spacing w:before="0" w:after="200"/>
              <w:jc w:val="right"/>
              <w:rPr/>
            </w:pPr>
            <w:r>
              <w:rPr/>
              <w:t>115.484,47</w:t>
            </w:r>
          </w:p>
        </w:tc>
      </w:tr>
      <w:tr>
        <w:trPr>
          <w:trHeight w:val="285" w:hRule="atLeast"/>
        </w:trPr>
        <w:tc>
          <w:tcPr>
            <w:tcW w:w="5953" w:type="dxa"/>
            <w:tcBorders>
              <w:left w:val="double" w:sz="6" w:space="0" w:color="000000"/>
              <w:bottom w:val="single" w:sz="8" w:space="0" w:color="000000"/>
            </w:tcBorders>
            <w:shd w:color="auto" w:fill="FFF2CC" w:val="clear"/>
            <w:vAlign w:val="bottom"/>
          </w:tcPr>
          <w:p>
            <w:pPr>
              <w:pStyle w:val="Normal"/>
              <w:widowControl/>
              <w:suppressAutoHyphens w:val="true"/>
              <w:bidi w:val="0"/>
              <w:spacing w:lineRule="auto" w:line="276" w:before="0" w:after="200"/>
              <w:jc w:val="left"/>
              <w:rPr/>
            </w:pPr>
            <w:r>
              <w:rPr>
                <w:rStyle w:val="Emphasis"/>
                <w:i w:val="false"/>
                <w:sz w:val="20"/>
                <w:szCs w:val="20"/>
              </w:rPr>
              <w:t>Úprava prebytku finančných operácií – čerpanie úveru</w:t>
            </w:r>
          </w:p>
        </w:tc>
        <w:tc>
          <w:tcPr>
            <w:tcW w:w="4723" w:type="dxa"/>
            <w:tcBorders>
              <w:left w:val="single" w:sz="8" w:space="0" w:color="000000"/>
              <w:bottom w:val="single" w:sz="4" w:space="0" w:color="000000"/>
              <w:right w:val="double" w:sz="6" w:space="0" w:color="000000"/>
            </w:tcBorders>
            <w:shd w:color="auto" w:fill="FFF2CC" w:val="clear"/>
            <w:vAlign w:val="bottom"/>
          </w:tcPr>
          <w:p>
            <w:pPr>
              <w:pStyle w:val="Normal"/>
              <w:spacing w:before="0" w:after="200"/>
              <w:jc w:val="right"/>
              <w:rPr/>
            </w:pPr>
            <w:r>
              <w:rPr/>
              <w:t>18.153,94</w:t>
            </w:r>
          </w:p>
        </w:tc>
      </w:tr>
      <w:tr>
        <w:trPr>
          <w:trHeight w:val="285" w:hRule="atLeast"/>
        </w:trPr>
        <w:tc>
          <w:tcPr>
            <w:tcW w:w="5953" w:type="dxa"/>
            <w:tcBorders>
              <w:left w:val="double" w:sz="6" w:space="0" w:color="000000"/>
              <w:bottom w:val="single" w:sz="8" w:space="0" w:color="000000"/>
            </w:tcBorders>
            <w:shd w:color="auto" w:fill="FFF2CC" w:val="clear"/>
            <w:vAlign w:val="bottom"/>
          </w:tcPr>
          <w:p>
            <w:pPr>
              <w:pStyle w:val="Normal"/>
              <w:widowControl/>
              <w:suppressAutoHyphens w:val="true"/>
              <w:bidi w:val="0"/>
              <w:spacing w:lineRule="auto" w:line="276" w:before="0" w:after="200"/>
              <w:jc w:val="left"/>
              <w:rPr/>
            </w:pPr>
            <w:r>
              <w:rPr>
                <w:rStyle w:val="Emphasis"/>
                <w:b/>
                <w:bCs/>
                <w:i w:val="false"/>
                <w:sz w:val="20"/>
                <w:szCs w:val="20"/>
              </w:rPr>
              <w:t>Upravený rozdiel finančných operácií</w:t>
            </w:r>
          </w:p>
        </w:tc>
        <w:tc>
          <w:tcPr>
            <w:tcW w:w="4723" w:type="dxa"/>
            <w:tcBorders>
              <w:left w:val="single" w:sz="8" w:space="0" w:color="000000"/>
              <w:bottom w:val="single" w:sz="4" w:space="0" w:color="000000"/>
              <w:right w:val="double" w:sz="6" w:space="0" w:color="000000"/>
            </w:tcBorders>
            <w:shd w:color="auto" w:fill="FFF2CC" w:val="clear"/>
            <w:vAlign w:val="bottom"/>
          </w:tcPr>
          <w:p>
            <w:pPr>
              <w:pStyle w:val="Normal"/>
              <w:spacing w:before="0" w:after="200"/>
              <w:jc w:val="right"/>
              <w:rPr>
                <w:b/>
                <w:bCs/>
              </w:rPr>
            </w:pPr>
            <w:r>
              <w:rPr>
                <w:b/>
                <w:bCs/>
              </w:rPr>
              <w:t>133.638,41</w:t>
            </w:r>
          </w:p>
        </w:tc>
      </w:tr>
      <w:tr>
        <w:trPr>
          <w:trHeight w:val="285" w:hRule="atLeast"/>
        </w:trPr>
        <w:tc>
          <w:tcPr>
            <w:tcW w:w="5953" w:type="dxa"/>
            <w:tcBorders>
              <w:top w:val="single" w:sz="8" w:space="0" w:color="000000"/>
              <w:left w:val="double" w:sz="6" w:space="0" w:color="000000"/>
              <w:bottom w:val="single" w:sz="8" w:space="0" w:color="000000"/>
            </w:tcBorders>
            <w:shd w:color="auto" w:fill="D9E2F3" w:val="clear"/>
            <w:vAlign w:val="bottom"/>
          </w:tcPr>
          <w:p>
            <w:pPr>
              <w:pStyle w:val="Normal"/>
              <w:spacing w:before="0" w:after="200"/>
              <w:ind w:left="-85"/>
              <w:rPr/>
            </w:pPr>
            <w:r>
              <w:rPr>
                <w:rStyle w:val="Emphasis"/>
                <w:b/>
                <w:bCs/>
                <w:i w:val="false"/>
                <w:sz w:val="20"/>
                <w:szCs w:val="20"/>
              </w:rPr>
              <w:t xml:space="preserve">  </w:t>
            </w:r>
            <w:r>
              <w:rPr>
                <w:rStyle w:val="Emphasis"/>
                <w:b/>
                <w:bCs/>
                <w:i w:val="false"/>
                <w:sz w:val="20"/>
                <w:szCs w:val="20"/>
              </w:rPr>
              <w:t>Upravené hospodárenie obce</w:t>
            </w:r>
          </w:p>
        </w:tc>
        <w:tc>
          <w:tcPr>
            <w:tcW w:w="4723" w:type="dxa"/>
            <w:tcBorders>
              <w:top w:val="single" w:sz="4" w:space="0" w:color="000000"/>
              <w:left w:val="single" w:sz="8" w:space="0" w:color="000000"/>
              <w:bottom w:val="single" w:sz="4" w:space="0" w:color="000000"/>
              <w:right w:val="double" w:sz="6" w:space="0" w:color="000000"/>
            </w:tcBorders>
            <w:shd w:color="auto" w:fill="D9E2F3" w:val="clear"/>
            <w:vAlign w:val="bottom"/>
          </w:tcPr>
          <w:p>
            <w:pPr>
              <w:pStyle w:val="Normal"/>
              <w:spacing w:before="0" w:after="200"/>
              <w:jc w:val="right"/>
              <w:rPr>
                <w:b/>
                <w:bCs/>
                <w:color w:val="000000"/>
              </w:rPr>
            </w:pPr>
            <w:r>
              <w:rPr>
                <w:b/>
                <w:bCs/>
                <w:color w:val="000000"/>
              </w:rPr>
              <w:t>37.604,83</w:t>
            </w:r>
          </w:p>
        </w:tc>
      </w:tr>
    </w:tbl>
    <w:p>
      <w:pPr>
        <w:pStyle w:val="Normal"/>
        <w:tabs>
          <w:tab w:val="clear" w:pos="708"/>
          <w:tab w:val="right" w:pos="7740" w:leader="none"/>
        </w:tabs>
        <w:rPr/>
      </w:pPr>
      <w:r>
        <w:rPr/>
      </w:r>
    </w:p>
    <w:p>
      <w:pPr>
        <w:pStyle w:val="Normal"/>
        <w:jc w:val="both"/>
        <w:rPr/>
      </w:pPr>
      <w:r>
        <w:rPr/>
        <w:t>Prebytok rozpočtu v sume  132.026,74 EUR zistený podľa ustanovenia § 10 ods.3 písm. a) a b) zákona           č. 583/2004 Z.z. o rozpočtových pravidlách územnej samosprávy a o  zmene a doplnení niektorých zákonov v z.n.p. , upravený o nevyčerpané prostriedky zo ŠR v sume 212.278,24 a zostatky na účtoch SOU + RO v sume 15.782,08 EUR vo výške – 96.033,58 EUR navrhujem použiť/vykryť takto:</w:t>
      </w:r>
    </w:p>
    <w:p>
      <w:pPr>
        <w:pStyle w:val="Normal"/>
        <w:numPr>
          <w:ilvl w:val="0"/>
          <w:numId w:val="4"/>
        </w:numPr>
        <w:jc w:val="both"/>
        <w:rPr/>
      </w:pPr>
      <w:r>
        <w:rPr>
          <w:rStyle w:val="Emphasis"/>
          <w:i w:val="false"/>
          <w:iCs w:val="false"/>
        </w:rPr>
        <w:t>Upravený schodok bežného a kapitálového rozpočtu vo výške 96.033,58 € vykryť z finančných operácií</w:t>
      </w:r>
    </w:p>
    <w:p>
      <w:pPr>
        <w:pStyle w:val="Normal"/>
        <w:numPr>
          <w:ilvl w:val="0"/>
          <w:numId w:val="4"/>
        </w:numPr>
        <w:jc w:val="both"/>
        <w:rPr/>
      </w:pPr>
      <w:r>
        <w:rPr/>
        <w:t>zostatok finančných operácií vo výške 37.604,83 € použiť na tvorbu rezervného fondu</w:t>
      </w:r>
    </w:p>
    <w:p>
      <w:pPr>
        <w:pStyle w:val="NormalWeb"/>
        <w:spacing w:before="280" w:afterAutospacing="0" w:after="0"/>
        <w:jc w:val="both"/>
        <w:rPr/>
      </w:pPr>
      <w:r>
        <w:rPr/>
      </w:r>
    </w:p>
    <w:p>
      <w:pPr>
        <w:pStyle w:val="NormalWeb"/>
        <w:spacing w:before="280" w:afterAutospacing="0" w:after="0"/>
        <w:jc w:val="both"/>
        <w:rPr/>
      </w:pPr>
      <w:r>
        <w:rPr/>
      </w:r>
    </w:p>
    <w:p>
      <w:pPr>
        <w:pStyle w:val="Normal"/>
        <w:spacing w:before="0" w:after="0"/>
        <w:rPr/>
      </w:pPr>
      <w:r>
        <w:rPr>
          <w:rFonts w:cs="Times New Roman" w:ascii="Times New Roman" w:hAnsi="Times New Roman"/>
          <w:b/>
          <w:sz w:val="24"/>
          <w:szCs w:val="24"/>
          <w:u w:val="single"/>
        </w:rPr>
        <w:t>Prehľad o stave a vývoji dlhu</w:t>
      </w:r>
    </w:p>
    <w:p>
      <w:pPr>
        <w:pStyle w:val="Normal"/>
        <w:spacing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jc w:val="both"/>
        <w:rPr/>
      </w:pPr>
      <w:r>
        <w:rPr/>
        <w:t xml:space="preserve">Obec má uzatvorené leasingové zmluvy s ČSOB Leasing, a.s. </w:t>
      </w:r>
    </w:p>
    <w:tbl>
      <w:tblPr>
        <w:tblW w:w="10378" w:type="dxa"/>
        <w:jc w:val="left"/>
        <w:tblInd w:w="-5" w:type="dxa"/>
        <w:tblLayout w:type="fixed"/>
        <w:tblCellMar>
          <w:top w:w="0" w:type="dxa"/>
          <w:left w:w="108" w:type="dxa"/>
          <w:bottom w:w="0" w:type="dxa"/>
          <w:right w:w="108" w:type="dxa"/>
        </w:tblCellMar>
        <w:tblLook w:firstRow="1" w:noVBand="1" w:lastRow="0" w:firstColumn="1" w:lastColumn="0" w:noHBand="0" w:val="04a0"/>
      </w:tblPr>
      <w:tblGrid>
        <w:gridCol w:w="4819"/>
        <w:gridCol w:w="1701"/>
        <w:gridCol w:w="1984"/>
        <w:gridCol w:w="1873"/>
      </w:tblGrid>
      <w:tr>
        <w:trPr/>
        <w:tc>
          <w:tcPr>
            <w:tcW w:w="4819"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sz w:val="20"/>
                <w:szCs w:val="20"/>
              </w:rPr>
            </w:pPr>
            <w:r>
              <w:rPr>
                <w:b/>
                <w:sz w:val="20"/>
                <w:szCs w:val="20"/>
              </w:rPr>
              <w:t>Spoločnosť</w:t>
            </w:r>
          </w:p>
        </w:tc>
        <w:tc>
          <w:tcPr>
            <w:tcW w:w="1701"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sz w:val="20"/>
                <w:szCs w:val="20"/>
              </w:rPr>
            </w:pPr>
            <w:r>
              <w:rPr>
                <w:b/>
                <w:sz w:val="20"/>
                <w:szCs w:val="20"/>
              </w:rPr>
              <w:t>Zostatok k 31.12.2023</w:t>
            </w:r>
          </w:p>
        </w:tc>
        <w:tc>
          <w:tcPr>
            <w:tcW w:w="1984"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sz w:val="20"/>
                <w:szCs w:val="20"/>
              </w:rPr>
            </w:pPr>
            <w:r>
              <w:rPr>
                <w:b/>
                <w:sz w:val="20"/>
                <w:szCs w:val="20"/>
              </w:rPr>
              <w:t>Zostatok k 31.12.2024</w:t>
            </w:r>
          </w:p>
        </w:tc>
        <w:tc>
          <w:tcPr>
            <w:tcW w:w="1873" w:type="dxa"/>
            <w:tcBorders>
              <w:top w:val="single" w:sz="4" w:space="0" w:color="000000"/>
              <w:left w:val="single" w:sz="4" w:space="0" w:color="000000"/>
              <w:bottom w:val="single" w:sz="4" w:space="0" w:color="000000"/>
              <w:right w:val="single" w:sz="4" w:space="0" w:color="000000"/>
            </w:tcBorders>
            <w:shd w:color="auto" w:fill="DEEAF6" w:val="clear"/>
          </w:tcPr>
          <w:p>
            <w:pPr>
              <w:pStyle w:val="Normal"/>
              <w:jc w:val="center"/>
              <w:rPr>
                <w:b/>
                <w:sz w:val="20"/>
                <w:szCs w:val="20"/>
              </w:rPr>
            </w:pPr>
            <w:r>
              <w:rPr>
                <w:b/>
                <w:sz w:val="20"/>
                <w:szCs w:val="20"/>
              </w:rPr>
              <w:t>Splatnosť</w:t>
            </w:r>
          </w:p>
          <w:p>
            <w:pPr>
              <w:pStyle w:val="Normal"/>
              <w:spacing w:before="0" w:after="200"/>
              <w:jc w:val="center"/>
              <w:rPr>
                <w:b/>
                <w:sz w:val="20"/>
                <w:szCs w:val="20"/>
              </w:rPr>
            </w:pPr>
            <w:r>
              <w:rPr>
                <w:b/>
                <w:sz w:val="20"/>
                <w:szCs w:val="20"/>
              </w:rPr>
            </w:r>
          </w:p>
        </w:tc>
      </w:tr>
      <w:tr>
        <w:trPr/>
        <w:tc>
          <w:tcPr>
            <w:tcW w:w="4819" w:type="dxa"/>
            <w:tcBorders>
              <w:top w:val="single" w:sz="4" w:space="0" w:color="000000"/>
              <w:left w:val="single" w:sz="4" w:space="0" w:color="000000"/>
              <w:bottom w:val="single" w:sz="4" w:space="0" w:color="000000"/>
            </w:tcBorders>
            <w:vAlign w:val="bottom"/>
          </w:tcPr>
          <w:p>
            <w:pPr>
              <w:pStyle w:val="Normal"/>
              <w:widowControl/>
              <w:suppressAutoHyphens w:val="true"/>
              <w:bidi w:val="0"/>
              <w:spacing w:lineRule="auto" w:line="276" w:before="0" w:after="200"/>
              <w:jc w:val="left"/>
              <w:rPr/>
            </w:pPr>
            <w:r>
              <w:rPr/>
              <w:t>ČSOB Leasing, a.s. zmluva 24/30626</w:t>
            </w:r>
          </w:p>
        </w:tc>
        <w:tc>
          <w:tcPr>
            <w:tcW w:w="1701" w:type="dxa"/>
            <w:tcBorders>
              <w:top w:val="single" w:sz="4" w:space="0" w:color="000000"/>
              <w:left w:val="single" w:sz="4" w:space="0" w:color="000000"/>
              <w:bottom w:val="single" w:sz="4" w:space="0" w:color="000000"/>
            </w:tcBorders>
            <w:vAlign w:val="bottom"/>
          </w:tcPr>
          <w:p>
            <w:pPr>
              <w:pStyle w:val="Normal"/>
              <w:spacing w:before="0" w:after="200"/>
              <w:jc w:val="right"/>
              <w:rPr/>
            </w:pPr>
            <w:r>
              <w:rPr/>
              <w:t>0</w:t>
            </w:r>
          </w:p>
        </w:tc>
        <w:tc>
          <w:tcPr>
            <w:tcW w:w="1984" w:type="dxa"/>
            <w:tcBorders>
              <w:top w:val="single" w:sz="4" w:space="0" w:color="000000"/>
              <w:left w:val="single" w:sz="4" w:space="0" w:color="000000"/>
              <w:bottom w:val="single" w:sz="4" w:space="0" w:color="000000"/>
            </w:tcBorders>
            <w:vAlign w:val="bottom"/>
          </w:tcPr>
          <w:p>
            <w:pPr>
              <w:pStyle w:val="Normal"/>
              <w:spacing w:before="0" w:after="200"/>
              <w:jc w:val="right"/>
              <w:rPr/>
            </w:pPr>
            <w:r>
              <w:rPr/>
              <w:t>21 999,33</w:t>
            </w:r>
          </w:p>
        </w:tc>
        <w:tc>
          <w:tcPr>
            <w:tcW w:w="1873" w:type="dxa"/>
            <w:tcBorders>
              <w:top w:val="single" w:sz="4" w:space="0" w:color="000000"/>
              <w:left w:val="single" w:sz="4" w:space="0" w:color="000000"/>
              <w:bottom w:val="single" w:sz="4" w:space="0" w:color="000000"/>
              <w:right w:val="single" w:sz="4" w:space="0" w:color="000000"/>
            </w:tcBorders>
            <w:vAlign w:val="bottom"/>
          </w:tcPr>
          <w:p>
            <w:pPr>
              <w:pStyle w:val="Normal"/>
              <w:spacing w:before="0" w:after="200"/>
              <w:jc w:val="right"/>
              <w:rPr/>
            </w:pPr>
            <w:r>
              <w:rPr/>
              <w:t>03.07.2028</w:t>
            </w:r>
          </w:p>
        </w:tc>
      </w:tr>
    </w:tbl>
    <w:p>
      <w:pPr>
        <w:pStyle w:val="Normal"/>
        <w:ind w:left="360"/>
        <w:jc w:val="both"/>
        <w:rPr>
          <w:rFonts w:ascii="Times New Roman" w:hAnsi="Times New Roman" w:cs="Times New Roman"/>
          <w:b/>
          <w:sz w:val="24"/>
          <w:szCs w:val="24"/>
          <w:u w:val="single"/>
        </w:rPr>
      </w:pPr>
      <w:r>
        <w:rPr>
          <w:rFonts w:cs="Times New Roman" w:ascii="Times New Roman" w:hAnsi="Times New Roman"/>
          <w:b/>
          <w:sz w:val="24"/>
          <w:szCs w:val="24"/>
          <w:u w:val="single"/>
        </w:rPr>
      </w:r>
    </w:p>
    <w:p>
      <w:pPr>
        <w:pStyle w:val="Normal"/>
        <w:jc w:val="both"/>
        <w:rPr/>
      </w:pPr>
      <w:r>
        <w:rPr/>
        <w:t>Obec ma uzatvorenú zmluvu o poskytnutí úveru</w:t>
      </w:r>
    </w:p>
    <w:tbl>
      <w:tblPr>
        <w:tblW w:w="10636" w:type="dxa"/>
        <w:jc w:val="left"/>
        <w:tblInd w:w="-128" w:type="dxa"/>
        <w:tblLayout w:type="fixed"/>
        <w:tblCellMar>
          <w:top w:w="0" w:type="dxa"/>
          <w:left w:w="108" w:type="dxa"/>
          <w:bottom w:w="0" w:type="dxa"/>
          <w:right w:w="108" w:type="dxa"/>
        </w:tblCellMar>
        <w:tblLook w:firstRow="1" w:noVBand="1" w:lastRow="0" w:firstColumn="1" w:lastColumn="0" w:noHBand="0" w:val="04a0"/>
      </w:tblPr>
      <w:tblGrid>
        <w:gridCol w:w="3508"/>
        <w:gridCol w:w="2411"/>
        <w:gridCol w:w="2347"/>
        <w:gridCol w:w="2369"/>
      </w:tblGrid>
      <w:tr>
        <w:trPr/>
        <w:tc>
          <w:tcPr>
            <w:tcW w:w="3508" w:type="dxa"/>
            <w:tcBorders>
              <w:top w:val="single" w:sz="4" w:space="0" w:color="000000"/>
              <w:left w:val="single" w:sz="4" w:space="0" w:color="000000"/>
              <w:bottom w:val="single" w:sz="4" w:space="0" w:color="000000"/>
            </w:tcBorders>
            <w:shd w:color="auto" w:fill="DEEAF6" w:val="clear"/>
          </w:tcPr>
          <w:p>
            <w:pPr>
              <w:pStyle w:val="Normal"/>
              <w:jc w:val="both"/>
              <w:rPr/>
            </w:pPr>
            <w:r>
              <w:rPr/>
              <w:t>Poskytovateľ</w:t>
            </w:r>
          </w:p>
          <w:p>
            <w:pPr>
              <w:pStyle w:val="Normal"/>
              <w:spacing w:before="0" w:after="200"/>
              <w:jc w:val="both"/>
              <w:rPr/>
            </w:pPr>
            <w:r>
              <w:rPr/>
              <w:t>Prima banka Slovensko a.s</w:t>
            </w:r>
          </w:p>
        </w:tc>
        <w:tc>
          <w:tcPr>
            <w:tcW w:w="2411" w:type="dxa"/>
            <w:tcBorders>
              <w:top w:val="single" w:sz="4" w:space="0" w:color="000000"/>
              <w:left w:val="single" w:sz="4" w:space="0" w:color="000000"/>
              <w:bottom w:val="single" w:sz="4" w:space="0" w:color="000000"/>
            </w:tcBorders>
            <w:shd w:color="auto" w:fill="DEEAF6" w:val="clear"/>
          </w:tcPr>
          <w:p>
            <w:pPr>
              <w:pStyle w:val="Normal"/>
              <w:spacing w:before="0" w:after="200"/>
              <w:jc w:val="both"/>
              <w:rPr>
                <w:b/>
                <w:sz w:val="20"/>
                <w:szCs w:val="20"/>
              </w:rPr>
            </w:pPr>
            <w:r>
              <w:rPr>
                <w:b/>
                <w:sz w:val="20"/>
                <w:szCs w:val="20"/>
              </w:rPr>
              <w:t>Zostatok k 31.12.2023</w:t>
            </w:r>
          </w:p>
        </w:tc>
        <w:tc>
          <w:tcPr>
            <w:tcW w:w="2347" w:type="dxa"/>
            <w:tcBorders>
              <w:top w:val="single" w:sz="4" w:space="0" w:color="000000"/>
              <w:left w:val="single" w:sz="4" w:space="0" w:color="000000"/>
              <w:bottom w:val="single" w:sz="4" w:space="0" w:color="000000"/>
            </w:tcBorders>
            <w:shd w:color="auto" w:fill="DEEAF6" w:val="clear"/>
          </w:tcPr>
          <w:p>
            <w:pPr>
              <w:pStyle w:val="Normal"/>
              <w:spacing w:before="0" w:after="200"/>
              <w:jc w:val="center"/>
              <w:rPr>
                <w:b/>
                <w:sz w:val="20"/>
                <w:szCs w:val="20"/>
              </w:rPr>
            </w:pPr>
            <w:r>
              <w:rPr>
                <w:b/>
                <w:sz w:val="20"/>
                <w:szCs w:val="20"/>
              </w:rPr>
              <w:t>Zostatok k 31.12.2024</w:t>
            </w:r>
          </w:p>
        </w:tc>
        <w:tc>
          <w:tcPr>
            <w:tcW w:w="2369" w:type="dxa"/>
            <w:tcBorders>
              <w:top w:val="single" w:sz="4" w:space="0" w:color="000000"/>
              <w:left w:val="single" w:sz="4" w:space="0" w:color="000000"/>
              <w:bottom w:val="single" w:sz="4" w:space="0" w:color="000000"/>
              <w:right w:val="single" w:sz="4" w:space="0" w:color="000000"/>
            </w:tcBorders>
            <w:shd w:color="auto" w:fill="DEEAF6" w:val="clear"/>
          </w:tcPr>
          <w:p>
            <w:pPr>
              <w:pStyle w:val="Normal"/>
              <w:jc w:val="center"/>
              <w:rPr>
                <w:b/>
                <w:sz w:val="20"/>
                <w:szCs w:val="20"/>
              </w:rPr>
            </w:pPr>
            <w:r>
              <w:rPr>
                <w:b/>
                <w:sz w:val="20"/>
                <w:szCs w:val="20"/>
              </w:rPr>
              <w:t>Splatnosť</w:t>
            </w:r>
          </w:p>
          <w:p>
            <w:pPr>
              <w:pStyle w:val="Normal"/>
              <w:spacing w:before="0" w:after="200"/>
              <w:jc w:val="both"/>
              <w:rPr>
                <w:b/>
                <w:sz w:val="20"/>
                <w:szCs w:val="20"/>
              </w:rPr>
            </w:pPr>
            <w:r>
              <w:rPr>
                <w:b/>
                <w:sz w:val="20"/>
                <w:szCs w:val="20"/>
              </w:rPr>
            </w:r>
          </w:p>
        </w:tc>
      </w:tr>
      <w:tr>
        <w:trPr/>
        <w:tc>
          <w:tcPr>
            <w:tcW w:w="3508" w:type="dxa"/>
            <w:tcBorders>
              <w:top w:val="single" w:sz="4" w:space="0" w:color="000000"/>
              <w:left w:val="single" w:sz="4" w:space="0" w:color="000000"/>
              <w:bottom w:val="single" w:sz="4" w:space="0" w:color="000000"/>
            </w:tcBorders>
          </w:tcPr>
          <w:p>
            <w:pPr>
              <w:pStyle w:val="Normal"/>
              <w:spacing w:before="0" w:after="200"/>
              <w:jc w:val="both"/>
              <w:rPr/>
            </w:pPr>
            <w:r>
              <w:rPr/>
              <w:t>Terminovaný úver č. 07/001/22</w:t>
            </w:r>
          </w:p>
        </w:tc>
        <w:tc>
          <w:tcPr>
            <w:tcW w:w="2411" w:type="dxa"/>
            <w:tcBorders>
              <w:top w:val="single" w:sz="4" w:space="0" w:color="000000"/>
              <w:left w:val="single" w:sz="4" w:space="0" w:color="000000"/>
              <w:bottom w:val="single" w:sz="4" w:space="0" w:color="000000"/>
            </w:tcBorders>
          </w:tcPr>
          <w:p>
            <w:pPr>
              <w:pStyle w:val="Normal"/>
              <w:spacing w:before="0" w:after="200"/>
              <w:jc w:val="right"/>
              <w:rPr/>
            </w:pPr>
            <w:r>
              <w:rPr/>
              <w:t>154 761,00</w:t>
            </w:r>
          </w:p>
        </w:tc>
        <w:tc>
          <w:tcPr>
            <w:tcW w:w="2347" w:type="dxa"/>
            <w:tcBorders>
              <w:top w:val="single" w:sz="4" w:space="0" w:color="000000"/>
              <w:left w:val="single" w:sz="4" w:space="0" w:color="000000"/>
              <w:bottom w:val="single" w:sz="4" w:space="0" w:color="000000"/>
            </w:tcBorders>
          </w:tcPr>
          <w:p>
            <w:pPr>
              <w:pStyle w:val="Normal"/>
              <w:spacing w:before="0" w:after="200"/>
              <w:jc w:val="right"/>
              <w:rPr/>
            </w:pPr>
            <w:r>
              <w:rPr/>
              <w:t>126 189,00</w:t>
            </w:r>
          </w:p>
        </w:tc>
        <w:tc>
          <w:tcPr>
            <w:tcW w:w="2369" w:type="dxa"/>
            <w:tcBorders>
              <w:top w:val="single" w:sz="4" w:space="0" w:color="000000"/>
              <w:left w:val="single" w:sz="4" w:space="0" w:color="000000"/>
              <w:bottom w:val="single" w:sz="4" w:space="0" w:color="000000"/>
              <w:right w:val="single" w:sz="4" w:space="0" w:color="000000"/>
            </w:tcBorders>
          </w:tcPr>
          <w:p>
            <w:pPr>
              <w:pStyle w:val="Normal"/>
              <w:spacing w:before="0" w:after="200"/>
              <w:jc w:val="right"/>
              <w:rPr/>
            </w:pPr>
            <w:r>
              <w:rPr/>
              <w:t>27.06.2029</w:t>
            </w:r>
          </w:p>
        </w:tc>
      </w:tr>
      <w:tr>
        <w:trPr/>
        <w:tc>
          <w:tcPr>
            <w:tcW w:w="3508" w:type="dxa"/>
            <w:tcBorders>
              <w:top w:val="single" w:sz="4" w:space="0" w:color="000000"/>
              <w:left w:val="single" w:sz="4" w:space="0" w:color="000000"/>
              <w:bottom w:val="single" w:sz="4" w:space="0" w:color="000000"/>
            </w:tcBorders>
          </w:tcPr>
          <w:p>
            <w:pPr>
              <w:pStyle w:val="Normal"/>
              <w:spacing w:before="0" w:after="200"/>
              <w:jc w:val="both"/>
              <w:rPr/>
            </w:pPr>
            <w:r>
              <w:rPr/>
              <w:t>Municipál</w:t>
            </w:r>
          </w:p>
        </w:tc>
        <w:tc>
          <w:tcPr>
            <w:tcW w:w="2411" w:type="dxa"/>
            <w:tcBorders>
              <w:top w:val="single" w:sz="4" w:space="0" w:color="000000"/>
              <w:left w:val="single" w:sz="4" w:space="0" w:color="000000"/>
              <w:bottom w:val="single" w:sz="4" w:space="0" w:color="000000"/>
            </w:tcBorders>
          </w:tcPr>
          <w:p>
            <w:pPr>
              <w:pStyle w:val="Normal"/>
              <w:snapToGrid w:val="false"/>
              <w:spacing w:before="0" w:after="200"/>
              <w:jc w:val="right"/>
              <w:rPr/>
            </w:pPr>
            <w:r>
              <w:rPr/>
            </w:r>
          </w:p>
        </w:tc>
        <w:tc>
          <w:tcPr>
            <w:tcW w:w="2347" w:type="dxa"/>
            <w:tcBorders>
              <w:top w:val="single" w:sz="4" w:space="0" w:color="000000"/>
              <w:left w:val="single" w:sz="4" w:space="0" w:color="000000"/>
              <w:bottom w:val="single" w:sz="4" w:space="0" w:color="000000"/>
            </w:tcBorders>
          </w:tcPr>
          <w:p>
            <w:pPr>
              <w:pStyle w:val="Normal"/>
              <w:spacing w:before="0" w:after="200"/>
              <w:jc w:val="right"/>
              <w:rPr/>
            </w:pPr>
            <w:r>
              <w:rPr/>
              <w:t>18 153,94</w:t>
            </w:r>
          </w:p>
        </w:tc>
        <w:tc>
          <w:tcPr>
            <w:tcW w:w="2369" w:type="dxa"/>
            <w:tcBorders>
              <w:top w:val="single" w:sz="4" w:space="0" w:color="000000"/>
              <w:left w:val="single" w:sz="4" w:space="0" w:color="000000"/>
              <w:bottom w:val="single" w:sz="4" w:space="0" w:color="000000"/>
              <w:right w:val="single" w:sz="4" w:space="0" w:color="000000"/>
            </w:tcBorders>
          </w:tcPr>
          <w:p>
            <w:pPr>
              <w:pStyle w:val="Normal"/>
              <w:snapToGrid w:val="false"/>
              <w:spacing w:before="0" w:after="200"/>
              <w:jc w:val="right"/>
              <w:rPr/>
            </w:pPr>
            <w:r>
              <w:rPr/>
            </w:r>
          </w:p>
        </w:tc>
      </w:tr>
    </w:tbl>
    <w:p>
      <w:pPr>
        <w:pStyle w:val="Normal"/>
        <w:jc w:val="both"/>
        <w:rPr>
          <w:rFonts w:ascii="Times New Roman" w:hAnsi="Times New Roman" w:cs="Times New Roman"/>
          <w:b/>
          <w:sz w:val="24"/>
          <w:szCs w:val="24"/>
          <w:u w:val="single"/>
        </w:rPr>
      </w:pPr>
      <w:r>
        <w:rPr>
          <w:rFonts w:cs="Times New Roman" w:ascii="Times New Roman" w:hAnsi="Times New Roman"/>
          <w:b/>
          <w:sz w:val="24"/>
          <w:szCs w:val="24"/>
          <w:u w:val="single"/>
        </w:rPr>
      </w:r>
    </w:p>
    <w:p>
      <w:pPr>
        <w:pStyle w:val="Normal"/>
        <w:spacing w:before="0" w:after="0"/>
        <w:rPr>
          <w:rFonts w:ascii="Times New Roman" w:hAnsi="Times New Roman" w:cs="Times New Roman"/>
          <w:b/>
          <w:sz w:val="24"/>
          <w:szCs w:val="24"/>
          <w:u w:val="single"/>
        </w:rPr>
      </w:pPr>
      <w:r>
        <w:rPr>
          <w:rFonts w:cs="Times New Roman" w:ascii="Times New Roman" w:hAnsi="Times New Roman"/>
          <w:b/>
          <w:sz w:val="24"/>
          <w:szCs w:val="24"/>
          <w:u w:val="single"/>
        </w:rPr>
      </w:r>
    </w:p>
    <w:p>
      <w:pPr>
        <w:pStyle w:val="Normal"/>
        <w:spacing w:before="0" w:after="0"/>
        <w:rPr>
          <w:rFonts w:ascii="Times New Roman" w:hAnsi="Times New Roman" w:cs="Times New Roman"/>
          <w:b/>
          <w:sz w:val="24"/>
          <w:szCs w:val="24"/>
          <w:u w:val="single"/>
        </w:rPr>
      </w:pPr>
      <w:r>
        <w:rPr>
          <w:rFonts w:cs="Times New Roman" w:ascii="Times New Roman" w:hAnsi="Times New Roman"/>
          <w:b/>
          <w:sz w:val="24"/>
          <w:szCs w:val="24"/>
          <w:u w:val="single"/>
        </w:rPr>
      </w:r>
    </w:p>
    <w:p>
      <w:pPr>
        <w:pStyle w:val="Normal"/>
        <w:spacing w:before="0" w:after="0"/>
        <w:rPr/>
      </w:pPr>
      <w:r>
        <w:rPr>
          <w:rFonts w:cs="Times New Roman" w:ascii="Times New Roman" w:hAnsi="Times New Roman"/>
          <w:b/>
          <w:sz w:val="24"/>
          <w:szCs w:val="24"/>
          <w:u w:val="single"/>
        </w:rPr>
        <w:t>Prehľad o poskytnutých zárukách podľa jednotlivých príjemcov</w:t>
      </w:r>
    </w:p>
    <w:p>
      <w:pPr>
        <w:pStyle w:val="Normal"/>
        <w:spacing w:lineRule="auto" w:line="240" w:before="0" w:after="0"/>
        <w:rPr/>
      </w:pPr>
      <w:r>
        <w:rPr>
          <w:rFonts w:cs="Times New Roman" w:ascii="Times New Roman" w:hAnsi="Times New Roman"/>
          <w:sz w:val="24"/>
          <w:szCs w:val="24"/>
        </w:rPr>
        <w:t>Obec Selce neposkytla k 31. 12. 2024 žiadne záruky.</w:t>
      </w:r>
    </w:p>
    <w:p>
      <w:pPr>
        <w:pStyle w:val="Normal"/>
        <w:spacing w:lineRule="auto" w:line="240" w:before="0" w:after="0"/>
        <w:rPr>
          <w:rFonts w:ascii="Times New Roman" w:hAnsi="Times New Roman" w:cs="Times New Roman"/>
          <w:sz w:val="24"/>
          <w:szCs w:val="24"/>
        </w:rPr>
      </w:pPr>
      <w:r>
        <w:rPr>
          <w:rFonts w:cs="Times New Roman" w:ascii="Times New Roman" w:hAnsi="Times New Roman"/>
          <w:sz w:val="24"/>
          <w:szCs w:val="24"/>
        </w:rPr>
      </w:r>
    </w:p>
    <w:p>
      <w:pPr>
        <w:pStyle w:val="Normal"/>
        <w:spacing w:before="0" w:after="0"/>
        <w:rPr/>
      </w:pPr>
      <w:r>
        <w:rPr>
          <w:rFonts w:cs="Times New Roman" w:ascii="Times New Roman" w:hAnsi="Times New Roman"/>
          <w:b/>
          <w:sz w:val="24"/>
          <w:szCs w:val="24"/>
          <w:u w:val="single"/>
        </w:rPr>
        <w:t>Údaje o hospodárení príspevkových organizácií vo svojej pôsobnosti</w:t>
      </w:r>
    </w:p>
    <w:p>
      <w:pPr>
        <w:pStyle w:val="Normal"/>
        <w:spacing w:before="0" w:after="0"/>
        <w:rPr/>
      </w:pPr>
      <w:r>
        <w:rPr>
          <w:rFonts w:cs="Times New Roman" w:ascii="Times New Roman" w:hAnsi="Times New Roman"/>
          <w:sz w:val="24"/>
          <w:szCs w:val="24"/>
        </w:rPr>
        <w:t>Obec Selce nemá k 31. 12. 2024 zriadené žiadne príspevkové organizácie.</w:t>
      </w:r>
    </w:p>
    <w:p>
      <w:pPr>
        <w:pStyle w:val="Normal"/>
        <w:spacing w:before="0" w:after="0"/>
        <w:rPr>
          <w:rFonts w:ascii="Times New Roman" w:hAnsi="Times New Roman" w:cs="Times New Roman"/>
          <w:sz w:val="24"/>
          <w:szCs w:val="24"/>
        </w:rPr>
      </w:pPr>
      <w:r>
        <w:rPr>
          <w:rFonts w:cs="Times New Roman" w:ascii="Times New Roman" w:hAnsi="Times New Roman"/>
          <w:sz w:val="24"/>
          <w:szCs w:val="24"/>
        </w:rPr>
      </w:r>
    </w:p>
    <w:p>
      <w:pPr>
        <w:pStyle w:val="Normal"/>
        <w:spacing w:before="0" w:after="0"/>
        <w:rPr/>
      </w:pPr>
      <w:r>
        <w:rPr>
          <w:rFonts w:cs="Times New Roman" w:ascii="Times New Roman" w:hAnsi="Times New Roman"/>
          <w:b/>
          <w:sz w:val="24"/>
          <w:szCs w:val="24"/>
          <w:u w:val="single"/>
        </w:rPr>
        <w:t>Údaje o nákladoch a výnosoch podnikateľskej činnosti,</w:t>
      </w:r>
    </w:p>
    <w:p>
      <w:pPr>
        <w:pStyle w:val="Normal"/>
        <w:spacing w:before="0" w:after="0"/>
        <w:rPr/>
      </w:pPr>
      <w:r>
        <w:rPr>
          <w:rFonts w:cs="Times New Roman" w:ascii="Times New Roman" w:hAnsi="Times New Roman"/>
          <w:sz w:val="24"/>
          <w:szCs w:val="24"/>
        </w:rPr>
        <w:t>Obec Selce nemá k 31. 12. 2024 zriadenú podnikateľskú činnosť.</w:t>
      </w:r>
    </w:p>
    <w:p>
      <w:pPr>
        <w:pStyle w:val="Normal"/>
        <w:rPr>
          <w:rFonts w:ascii="Times New Roman" w:hAnsi="Times New Roman" w:cs="Times New Roman"/>
          <w:b/>
          <w:color w:val="FF0000"/>
          <w:sz w:val="24"/>
          <w:szCs w:val="24"/>
          <w:u w:val="single"/>
        </w:rPr>
      </w:pPr>
      <w:r>
        <w:rPr>
          <w:rFonts w:cs="Times New Roman" w:ascii="Times New Roman" w:hAnsi="Times New Roman"/>
          <w:b/>
          <w:color w:val="FF0000"/>
          <w:sz w:val="24"/>
          <w:szCs w:val="24"/>
          <w:u w:val="single"/>
        </w:rPr>
      </w:r>
    </w:p>
    <w:p>
      <w:pPr>
        <w:pStyle w:val="Normal"/>
        <w:rPr>
          <w:rFonts w:ascii="Times New Roman" w:hAnsi="Times New Roman" w:cs="Times New Roman"/>
          <w:b/>
          <w:color w:val="FF0000"/>
          <w:sz w:val="24"/>
          <w:szCs w:val="24"/>
          <w:u w:val="single"/>
        </w:rPr>
      </w:pPr>
      <w:r>
        <w:rPr>
          <w:rFonts w:cs="Times New Roman" w:ascii="Times New Roman" w:hAnsi="Times New Roman"/>
          <w:b/>
          <w:color w:val="FF0000"/>
          <w:sz w:val="24"/>
          <w:szCs w:val="24"/>
          <w:u w:val="single"/>
        </w:rPr>
      </w:r>
    </w:p>
    <w:p>
      <w:pPr>
        <w:pStyle w:val="Normal"/>
        <w:rPr>
          <w:rFonts w:ascii="Times New Roman" w:hAnsi="Times New Roman" w:cs="Times New Roman"/>
          <w:b/>
          <w:color w:val="FF0000"/>
          <w:sz w:val="24"/>
          <w:szCs w:val="24"/>
          <w:u w:val="single"/>
        </w:rPr>
      </w:pPr>
      <w:r>
        <w:rPr>
          <w:rFonts w:cs="Times New Roman" w:ascii="Times New Roman" w:hAnsi="Times New Roman"/>
          <w:b/>
          <w:color w:val="FF0000"/>
          <w:sz w:val="24"/>
          <w:szCs w:val="24"/>
          <w:u w:val="single"/>
        </w:rPr>
      </w:r>
    </w:p>
    <w:p>
      <w:pPr>
        <w:pStyle w:val="Normal"/>
        <w:spacing w:lineRule="auto" w:line="240" w:before="0" w:after="0"/>
        <w:rPr>
          <w:color w:val="auto"/>
        </w:rPr>
      </w:pPr>
      <w:r>
        <w:rPr>
          <w:rFonts w:cs="Times New Roman" w:ascii="Times New Roman" w:hAnsi="Times New Roman"/>
          <w:b/>
          <w:color w:val="auto"/>
          <w:sz w:val="24"/>
          <w:szCs w:val="24"/>
        </w:rPr>
        <w:t>7.2 ÚČTOVNÝ POHĽAD</w:t>
      </w:r>
    </w:p>
    <w:p>
      <w:pPr>
        <w:pStyle w:val="NormalWeb"/>
        <w:spacing w:before="280" w:after="280"/>
        <w:jc w:val="both"/>
        <w:rPr>
          <w:color w:val="auto"/>
        </w:rPr>
      </w:pPr>
      <w:r>
        <w:rPr>
          <w:b/>
          <w:bCs/>
          <w:color w:val="auto"/>
          <w:u w:val="single"/>
        </w:rPr>
        <w:t>Konsolidovaný celok:</w:t>
      </w:r>
    </w:p>
    <w:p>
      <w:pPr>
        <w:pStyle w:val="NormalWeb"/>
        <w:spacing w:before="280" w:after="280"/>
        <w:jc w:val="both"/>
        <w:rPr>
          <w:color w:val="auto"/>
        </w:rPr>
      </w:pPr>
      <w:r>
        <w:rPr>
          <w:bCs/>
          <w:color w:val="auto"/>
        </w:rPr>
        <w:t>Obec Selce ako materská účtovná jednotka a Základná škola Selce a Materská škola Selce ako dcérske účtovné jednotky.</w:t>
      </w:r>
    </w:p>
    <w:p>
      <w:pPr>
        <w:pStyle w:val="Normal"/>
        <w:spacing w:lineRule="auto" w:line="240" w:before="0" w:after="0"/>
        <w:jc w:val="both"/>
        <w:rPr>
          <w:color w:val="auto"/>
        </w:rPr>
      </w:pPr>
      <w:r>
        <w:rPr>
          <w:rFonts w:cs="Times New Roman" w:ascii="Times New Roman" w:hAnsi="Times New Roman"/>
          <w:color w:val="auto"/>
          <w:sz w:val="24"/>
          <w:szCs w:val="24"/>
        </w:rPr>
        <w:t>Konsolidovaná účtovná závierka obce Selce bola zostavená v súlade so zákonom 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w:t>
      </w:r>
    </w:p>
    <w:p>
      <w:pPr>
        <w:pStyle w:val="NormalWeb"/>
        <w:spacing w:before="280" w:after="280"/>
        <w:jc w:val="both"/>
        <w:rPr>
          <w:color w:val="auto"/>
        </w:rPr>
      </w:pPr>
      <w:r>
        <w:rPr>
          <w:b/>
          <w:bCs/>
          <w:color w:val="auto"/>
          <w:u w:val="single"/>
        </w:rPr>
        <w:t>Metódy konsolidácie</w:t>
      </w:r>
    </w:p>
    <w:p>
      <w:pPr>
        <w:pStyle w:val="NormalWeb"/>
        <w:spacing w:beforeAutospacing="0" w:before="0" w:afterAutospacing="0" w:after="0"/>
        <w:jc w:val="both"/>
        <w:rPr>
          <w:color w:val="auto"/>
        </w:rPr>
      </w:pPr>
      <w:r>
        <w:rPr>
          <w:bCs/>
          <w:color w:val="auto"/>
        </w:rPr>
        <w:t>Základná škola Selce a Materská škola Selce boli konsolidované metódou úplnej konsolidácie v zmysle platnej legislatívy, pričom sa eliminovali vzájomné operácie, čo v prípade konsolidovaného celku obce Selce predstavovalo vylúčenie vzájomných bežných transferov a kapitálových transferov fakturácie poplatku za komunálny odpad a stravovanie zamestnancov v ŠJ pri Základnej škole Selce.</w:t>
      </w:r>
    </w:p>
    <w:p>
      <w:pPr>
        <w:pStyle w:val="NormalWeb"/>
        <w:spacing w:beforeAutospacing="0" w:before="0" w:afterAutospacing="0" w:after="0"/>
        <w:jc w:val="both"/>
        <w:rPr>
          <w:b/>
          <w:color w:val="FF0000"/>
          <w:u w:val="single"/>
        </w:rPr>
      </w:pPr>
      <w:r>
        <w:rPr>
          <w:b/>
          <w:color w:val="FF0000"/>
          <w:u w:val="single"/>
        </w:rPr>
      </w:r>
    </w:p>
    <w:p>
      <w:pPr>
        <w:pStyle w:val="NormalWeb"/>
        <w:spacing w:beforeAutospacing="0" w:before="0" w:afterAutospacing="0" w:after="0"/>
        <w:jc w:val="both"/>
        <w:rPr>
          <w:b/>
          <w:color w:val="FF0000"/>
          <w:u w:val="single"/>
        </w:rPr>
      </w:pPr>
      <w:r>
        <w:rPr>
          <w:b/>
          <w:color w:val="FF0000"/>
          <w:u w:val="single"/>
        </w:rPr>
      </w:r>
    </w:p>
    <w:p>
      <w:pPr>
        <w:pStyle w:val="NormalWeb"/>
        <w:spacing w:beforeAutospacing="0" w:before="0" w:afterAutospacing="0" w:after="0"/>
        <w:jc w:val="both"/>
        <w:rPr>
          <w:b/>
          <w:color w:val="FF0000"/>
          <w:u w:val="single"/>
        </w:rPr>
      </w:pPr>
      <w:r>
        <w:rPr>
          <w:b/>
          <w:color w:val="FF0000"/>
          <w:u w:val="single"/>
        </w:rPr>
      </w:r>
    </w:p>
    <w:p>
      <w:pPr>
        <w:pStyle w:val="NormalWeb"/>
        <w:spacing w:beforeAutospacing="0" w:before="0" w:afterAutospacing="0" w:after="0"/>
        <w:jc w:val="both"/>
        <w:rPr>
          <w:color w:val="auto"/>
          <w:highlight w:val="none"/>
          <w:shd w:fill="auto" w:val="clear"/>
        </w:rPr>
      </w:pPr>
      <w:r>
        <w:rPr>
          <w:b/>
          <w:color w:val="000000"/>
          <w:u w:val="single"/>
          <w:shd w:fill="auto" w:val="clear"/>
        </w:rPr>
        <w:t>Konsolidačné operácie</w:t>
      </w:r>
    </w:p>
    <w:p>
      <w:pPr>
        <w:pStyle w:val="Normal"/>
        <w:spacing w:lineRule="auto" w:line="240" w:before="0" w:after="0"/>
        <w:rPr>
          <w:rFonts w:ascii="Times New Roman" w:hAnsi="Times New Roman" w:cs="Times New Roman"/>
          <w:b/>
          <w:color w:val="FF0000"/>
          <w:sz w:val="24"/>
          <w:szCs w:val="24"/>
        </w:rPr>
      </w:pPr>
      <w:r>
        <w:rPr>
          <w:rFonts w:cs="Times New Roman" w:ascii="Times New Roman" w:hAnsi="Times New Roman"/>
          <w:b/>
          <w:color w:val="FF0000"/>
          <w:sz w:val="24"/>
          <w:szCs w:val="24"/>
        </w:rPr>
      </w:r>
    </w:p>
    <w:p>
      <w:pPr>
        <w:pStyle w:val="Normal"/>
        <w:spacing w:lineRule="auto" w:line="240" w:before="0" w:after="0"/>
        <w:rPr>
          <w:rFonts w:ascii="Times New Roman" w:hAnsi="Times New Roman" w:cs="Times New Roman"/>
          <w:b/>
          <w:color w:val="FF0000"/>
          <w:sz w:val="24"/>
          <w:szCs w:val="24"/>
        </w:rPr>
      </w:pPr>
      <w:r>
        <w:rPr>
          <w:rFonts w:cs="Times New Roman" w:ascii="Times New Roman" w:hAnsi="Times New Roman"/>
          <w:b/>
          <w:color w:val="FF0000"/>
          <w:sz w:val="24"/>
          <w:szCs w:val="24"/>
        </w:rPr>
      </w:r>
    </w:p>
    <w:tbl>
      <w:tblPr>
        <w:tblW w:w="9419" w:type="dxa"/>
        <w:jc w:val="left"/>
        <w:tblInd w:w="0" w:type="dxa"/>
        <w:tblLayout w:type="fixed"/>
        <w:tblCellMar>
          <w:top w:w="0" w:type="dxa"/>
          <w:left w:w="30" w:type="dxa"/>
          <w:bottom w:w="0" w:type="dxa"/>
          <w:right w:w="30" w:type="dxa"/>
        </w:tblCellMar>
      </w:tblPr>
      <w:tblGrid>
        <w:gridCol w:w="990"/>
        <w:gridCol w:w="966"/>
        <w:gridCol w:w="1188"/>
        <w:gridCol w:w="962"/>
        <w:gridCol w:w="964"/>
        <w:gridCol w:w="1220"/>
        <w:gridCol w:w="961"/>
        <w:gridCol w:w="966"/>
        <w:gridCol w:w="1201"/>
      </w:tblGrid>
      <w:tr>
        <w:trPr>
          <w:trHeight w:val="285" w:hRule="atLeast"/>
        </w:trPr>
        <w:tc>
          <w:tcPr>
            <w:tcW w:w="3144" w:type="dxa"/>
            <w:gridSpan w:val="3"/>
            <w:tcBorders/>
            <w:vAlign w:val="bottom"/>
          </w:tcPr>
          <w:p>
            <w:pPr>
              <w:pStyle w:val="Normal"/>
              <w:tabs>
                <w:tab w:val="clear" w:pos="708"/>
              </w:tabs>
              <w:spacing w:before="0" w:after="200"/>
              <w:jc w:val="center"/>
              <w:rPr>
                <w:b/>
                <w:bCs/>
              </w:rPr>
            </w:pPr>
            <w:r>
              <w:rPr>
                <w:b/>
                <w:bCs/>
              </w:rPr>
              <w:t>OBEC SELCE</w:t>
            </w:r>
          </w:p>
        </w:tc>
        <w:tc>
          <w:tcPr>
            <w:tcW w:w="3146" w:type="dxa"/>
            <w:gridSpan w:val="3"/>
            <w:tcBorders/>
            <w:vAlign w:val="bottom"/>
          </w:tcPr>
          <w:p>
            <w:pPr>
              <w:pStyle w:val="Normal"/>
              <w:tabs>
                <w:tab w:val="clear" w:pos="708"/>
              </w:tabs>
              <w:spacing w:before="0" w:after="200"/>
              <w:jc w:val="center"/>
              <w:rPr>
                <w:b/>
                <w:bCs/>
              </w:rPr>
            </w:pPr>
            <w:r>
              <w:rPr>
                <w:b/>
                <w:bCs/>
              </w:rPr>
              <w:t>ZÁKLADNÁ ŠKOLA</w:t>
            </w:r>
          </w:p>
        </w:tc>
        <w:tc>
          <w:tcPr>
            <w:tcW w:w="3128" w:type="dxa"/>
            <w:gridSpan w:val="3"/>
            <w:tcBorders/>
            <w:vAlign w:val="bottom"/>
          </w:tcPr>
          <w:p>
            <w:pPr>
              <w:pStyle w:val="Normal"/>
              <w:tabs>
                <w:tab w:val="clear" w:pos="708"/>
              </w:tabs>
              <w:spacing w:before="0" w:after="200"/>
              <w:jc w:val="center"/>
              <w:rPr>
                <w:b/>
                <w:bCs/>
              </w:rPr>
            </w:pPr>
            <w:r>
              <w:rPr>
                <w:b/>
                <w:bCs/>
              </w:rPr>
              <w:t>MATERSKÁ ŠKOLA</w:t>
            </w:r>
          </w:p>
        </w:tc>
      </w:tr>
      <w:tr>
        <w:trPr>
          <w:trHeight w:val="285" w:hRule="atLeast"/>
        </w:trPr>
        <w:tc>
          <w:tcPr>
            <w:tcW w:w="990" w:type="dxa"/>
            <w:tcBorders/>
            <w:vAlign w:val="bottom"/>
          </w:tcPr>
          <w:p>
            <w:pPr>
              <w:pStyle w:val="Normal"/>
              <w:tabs>
                <w:tab w:val="clear" w:pos="708"/>
              </w:tabs>
              <w:spacing w:before="0" w:after="200"/>
              <w:jc w:val="left"/>
              <w:rPr/>
            </w:pPr>
            <w:r>
              <w:rPr/>
              <w:t>Účet</w:t>
            </w:r>
          </w:p>
        </w:tc>
        <w:tc>
          <w:tcPr>
            <w:tcW w:w="966" w:type="dxa"/>
            <w:tcBorders/>
            <w:vAlign w:val="bottom"/>
          </w:tcPr>
          <w:p>
            <w:pPr>
              <w:pStyle w:val="Normal"/>
              <w:tabs>
                <w:tab w:val="clear" w:pos="708"/>
              </w:tabs>
              <w:spacing w:before="0" w:after="200"/>
              <w:jc w:val="left"/>
              <w:rPr/>
            </w:pPr>
            <w:r>
              <w:rPr/>
              <w:t>Riadok</w:t>
            </w:r>
          </w:p>
        </w:tc>
        <w:tc>
          <w:tcPr>
            <w:tcW w:w="1188" w:type="dxa"/>
            <w:tcBorders/>
            <w:vAlign w:val="bottom"/>
          </w:tcPr>
          <w:p>
            <w:pPr>
              <w:pStyle w:val="Normal"/>
              <w:tabs>
                <w:tab w:val="clear" w:pos="708"/>
              </w:tabs>
              <w:spacing w:before="0" w:after="200"/>
              <w:jc w:val="left"/>
              <w:rPr/>
            </w:pPr>
            <w:r>
              <w:rPr/>
              <w:t>Suma</w:t>
            </w:r>
          </w:p>
        </w:tc>
        <w:tc>
          <w:tcPr>
            <w:tcW w:w="962" w:type="dxa"/>
            <w:tcBorders/>
            <w:vAlign w:val="bottom"/>
          </w:tcPr>
          <w:p>
            <w:pPr>
              <w:pStyle w:val="Normal"/>
              <w:tabs>
                <w:tab w:val="clear" w:pos="708"/>
              </w:tabs>
              <w:spacing w:before="0" w:after="200"/>
              <w:jc w:val="left"/>
              <w:rPr/>
            </w:pPr>
            <w:r>
              <w:rPr/>
              <w:t>Účet</w:t>
            </w:r>
          </w:p>
        </w:tc>
        <w:tc>
          <w:tcPr>
            <w:tcW w:w="964" w:type="dxa"/>
            <w:tcBorders/>
            <w:vAlign w:val="bottom"/>
          </w:tcPr>
          <w:p>
            <w:pPr>
              <w:pStyle w:val="Normal"/>
              <w:tabs>
                <w:tab w:val="clear" w:pos="708"/>
              </w:tabs>
              <w:spacing w:before="0" w:after="200"/>
              <w:jc w:val="left"/>
              <w:rPr/>
            </w:pPr>
            <w:r>
              <w:rPr/>
              <w:t>Riadok</w:t>
            </w:r>
          </w:p>
        </w:tc>
        <w:tc>
          <w:tcPr>
            <w:tcW w:w="1220" w:type="dxa"/>
            <w:tcBorders/>
            <w:vAlign w:val="bottom"/>
          </w:tcPr>
          <w:p>
            <w:pPr>
              <w:pStyle w:val="Normal"/>
              <w:tabs>
                <w:tab w:val="clear" w:pos="708"/>
              </w:tabs>
              <w:spacing w:before="0" w:after="200"/>
              <w:jc w:val="left"/>
              <w:rPr/>
            </w:pPr>
            <w:r>
              <w:rPr/>
              <w:t>Suma</w:t>
            </w:r>
          </w:p>
        </w:tc>
        <w:tc>
          <w:tcPr>
            <w:tcW w:w="961" w:type="dxa"/>
            <w:tcBorders/>
            <w:vAlign w:val="bottom"/>
          </w:tcPr>
          <w:p>
            <w:pPr>
              <w:pStyle w:val="Normal"/>
              <w:tabs>
                <w:tab w:val="clear" w:pos="708"/>
              </w:tabs>
              <w:spacing w:before="0" w:after="200"/>
              <w:jc w:val="left"/>
              <w:rPr/>
            </w:pPr>
            <w:r>
              <w:rPr/>
              <w:t>Účet</w:t>
            </w:r>
          </w:p>
        </w:tc>
        <w:tc>
          <w:tcPr>
            <w:tcW w:w="966" w:type="dxa"/>
            <w:tcBorders/>
            <w:vAlign w:val="bottom"/>
          </w:tcPr>
          <w:p>
            <w:pPr>
              <w:pStyle w:val="Normal"/>
              <w:tabs>
                <w:tab w:val="clear" w:pos="708"/>
              </w:tabs>
              <w:spacing w:before="0" w:after="200"/>
              <w:jc w:val="left"/>
              <w:rPr/>
            </w:pPr>
            <w:r>
              <w:rPr/>
              <w:t>Riadok</w:t>
            </w:r>
          </w:p>
        </w:tc>
        <w:tc>
          <w:tcPr>
            <w:tcW w:w="1201" w:type="dxa"/>
            <w:tcBorders/>
            <w:vAlign w:val="bottom"/>
          </w:tcPr>
          <w:p>
            <w:pPr>
              <w:pStyle w:val="Normal"/>
              <w:tabs>
                <w:tab w:val="clear" w:pos="708"/>
              </w:tabs>
              <w:spacing w:before="0" w:after="200"/>
              <w:jc w:val="left"/>
              <w:rPr/>
            </w:pPr>
            <w:r>
              <w:rPr/>
              <w:t>Suma</w:t>
            </w:r>
          </w:p>
        </w:tc>
      </w:tr>
      <w:tr>
        <w:trPr>
          <w:trHeight w:val="285" w:hRule="atLeast"/>
        </w:trPr>
        <w:tc>
          <w:tcPr>
            <w:tcW w:w="990" w:type="dxa"/>
            <w:tcBorders/>
            <w:vAlign w:val="bottom"/>
          </w:tcPr>
          <w:p>
            <w:pPr>
              <w:pStyle w:val="Normal"/>
              <w:tabs>
                <w:tab w:val="clear" w:pos="708"/>
              </w:tabs>
              <w:spacing w:before="0" w:after="200"/>
              <w:jc w:val="left"/>
              <w:rPr/>
            </w:pPr>
            <w:r>
              <w:rPr/>
              <w:t>584</w:t>
            </w:r>
          </w:p>
        </w:tc>
        <w:tc>
          <w:tcPr>
            <w:tcW w:w="966" w:type="dxa"/>
            <w:tcBorders/>
            <w:vAlign w:val="bottom"/>
          </w:tcPr>
          <w:p>
            <w:pPr>
              <w:pStyle w:val="Normal"/>
              <w:tabs>
                <w:tab w:val="clear" w:pos="708"/>
              </w:tabs>
              <w:spacing w:before="0" w:after="200"/>
              <w:jc w:val="left"/>
              <w:rPr/>
            </w:pPr>
            <w:r>
              <w:rPr/>
              <w:t>058 V</w:t>
            </w:r>
          </w:p>
        </w:tc>
        <w:tc>
          <w:tcPr>
            <w:tcW w:w="1188" w:type="dxa"/>
            <w:tcBorders/>
            <w:vAlign w:val="bottom"/>
          </w:tcPr>
          <w:p>
            <w:pPr>
              <w:pStyle w:val="Normal"/>
              <w:tabs>
                <w:tab w:val="clear" w:pos="708"/>
              </w:tabs>
              <w:spacing w:before="0" w:after="200"/>
              <w:jc w:val="right"/>
              <w:rPr/>
            </w:pPr>
            <w:r>
              <w:rPr/>
              <w:t>498.979,74</w:t>
            </w:r>
          </w:p>
        </w:tc>
        <w:tc>
          <w:tcPr>
            <w:tcW w:w="962" w:type="dxa"/>
            <w:tcBorders/>
            <w:vAlign w:val="bottom"/>
          </w:tcPr>
          <w:p>
            <w:pPr>
              <w:pStyle w:val="Normal"/>
              <w:tabs>
                <w:tab w:val="clear" w:pos="708"/>
              </w:tabs>
              <w:spacing w:before="0" w:after="200"/>
              <w:jc w:val="left"/>
              <w:rPr/>
            </w:pPr>
            <w:r>
              <w:rPr/>
              <w:t>691</w:t>
            </w:r>
          </w:p>
        </w:tc>
        <w:tc>
          <w:tcPr>
            <w:tcW w:w="964" w:type="dxa"/>
            <w:tcBorders/>
            <w:vAlign w:val="bottom"/>
          </w:tcPr>
          <w:p>
            <w:pPr>
              <w:pStyle w:val="Normal"/>
              <w:tabs>
                <w:tab w:val="clear" w:pos="708"/>
              </w:tabs>
              <w:spacing w:before="0" w:after="200"/>
              <w:jc w:val="left"/>
              <w:rPr/>
            </w:pPr>
            <w:r>
              <w:rPr/>
              <w:t>125 V</w:t>
            </w:r>
          </w:p>
        </w:tc>
        <w:tc>
          <w:tcPr>
            <w:tcW w:w="1220" w:type="dxa"/>
            <w:tcBorders/>
            <w:vAlign w:val="bottom"/>
          </w:tcPr>
          <w:p>
            <w:pPr>
              <w:pStyle w:val="Normal"/>
              <w:tabs>
                <w:tab w:val="clear" w:pos="708"/>
              </w:tabs>
              <w:spacing w:before="0" w:after="200"/>
              <w:jc w:val="right"/>
              <w:rPr/>
            </w:pPr>
            <w:r>
              <w:rPr/>
              <w:t>99.496,45</w:t>
            </w:r>
          </w:p>
        </w:tc>
        <w:tc>
          <w:tcPr>
            <w:tcW w:w="961" w:type="dxa"/>
            <w:tcBorders/>
            <w:vAlign w:val="bottom"/>
          </w:tcPr>
          <w:p>
            <w:pPr>
              <w:pStyle w:val="Normal"/>
              <w:tabs>
                <w:tab w:val="clear" w:pos="708"/>
              </w:tabs>
              <w:spacing w:before="0" w:after="200"/>
              <w:jc w:val="right"/>
              <w:rPr/>
            </w:pPr>
            <w:r>
              <w:rPr/>
              <w:t>691</w:t>
            </w:r>
          </w:p>
        </w:tc>
        <w:tc>
          <w:tcPr>
            <w:tcW w:w="966" w:type="dxa"/>
            <w:tcBorders/>
            <w:vAlign w:val="bottom"/>
          </w:tcPr>
          <w:p>
            <w:pPr>
              <w:pStyle w:val="Normal"/>
              <w:tabs>
                <w:tab w:val="clear" w:pos="708"/>
              </w:tabs>
              <w:spacing w:before="0" w:after="200"/>
              <w:jc w:val="left"/>
              <w:rPr/>
            </w:pPr>
            <w:r>
              <w:rPr/>
              <w:t>125 V</w:t>
            </w:r>
          </w:p>
        </w:tc>
        <w:tc>
          <w:tcPr>
            <w:tcW w:w="1201" w:type="dxa"/>
            <w:tcBorders/>
            <w:vAlign w:val="bottom"/>
          </w:tcPr>
          <w:p>
            <w:pPr>
              <w:pStyle w:val="Normal"/>
              <w:tabs>
                <w:tab w:val="clear" w:pos="708"/>
              </w:tabs>
              <w:spacing w:before="0" w:after="200"/>
              <w:jc w:val="right"/>
              <w:rPr/>
            </w:pPr>
            <w:r>
              <w:rPr/>
              <w:t>369 004,09</w:t>
            </w:r>
          </w:p>
        </w:tc>
      </w:tr>
      <w:tr>
        <w:trPr>
          <w:trHeight w:val="285" w:hRule="atLeast"/>
        </w:trPr>
        <w:tc>
          <w:tcPr>
            <w:tcW w:w="990" w:type="dxa"/>
            <w:tcBorders/>
            <w:vAlign w:val="bottom"/>
          </w:tcPr>
          <w:p>
            <w:pPr>
              <w:pStyle w:val="Normal"/>
              <w:tabs>
                <w:tab w:val="clear" w:pos="708"/>
              </w:tabs>
              <w:spacing w:before="0" w:after="200"/>
              <w:jc w:val="left"/>
              <w:rPr/>
            </w:pPr>
            <w:r>
              <w:rPr/>
            </w:r>
          </w:p>
        </w:tc>
        <w:tc>
          <w:tcPr>
            <w:tcW w:w="966" w:type="dxa"/>
            <w:tcBorders/>
            <w:vAlign w:val="bottom"/>
          </w:tcPr>
          <w:p>
            <w:pPr>
              <w:pStyle w:val="Normal"/>
              <w:tabs>
                <w:tab w:val="clear" w:pos="708"/>
              </w:tabs>
              <w:spacing w:before="0" w:after="200"/>
              <w:jc w:val="left"/>
              <w:rPr/>
            </w:pPr>
            <w:r>
              <w:rPr/>
            </w:r>
          </w:p>
        </w:tc>
        <w:tc>
          <w:tcPr>
            <w:tcW w:w="1188" w:type="dxa"/>
            <w:tcBorders/>
            <w:vAlign w:val="bottom"/>
          </w:tcPr>
          <w:p>
            <w:pPr>
              <w:pStyle w:val="Normal"/>
              <w:tabs>
                <w:tab w:val="clear" w:pos="708"/>
              </w:tabs>
              <w:spacing w:before="0" w:after="200"/>
              <w:jc w:val="left"/>
              <w:rPr/>
            </w:pPr>
            <w:r>
              <w:rPr/>
            </w:r>
          </w:p>
        </w:tc>
        <w:tc>
          <w:tcPr>
            <w:tcW w:w="962" w:type="dxa"/>
            <w:tcBorders/>
            <w:vAlign w:val="bottom"/>
          </w:tcPr>
          <w:p>
            <w:pPr>
              <w:pStyle w:val="Normal"/>
              <w:tabs>
                <w:tab w:val="clear" w:pos="708"/>
              </w:tabs>
              <w:spacing w:before="0" w:after="200"/>
              <w:jc w:val="left"/>
              <w:rPr/>
            </w:pPr>
            <w:r>
              <w:rPr/>
              <w:t>692</w:t>
            </w:r>
          </w:p>
        </w:tc>
        <w:tc>
          <w:tcPr>
            <w:tcW w:w="964" w:type="dxa"/>
            <w:tcBorders/>
            <w:vAlign w:val="bottom"/>
          </w:tcPr>
          <w:p>
            <w:pPr>
              <w:pStyle w:val="Normal"/>
              <w:tabs>
                <w:tab w:val="clear" w:pos="708"/>
              </w:tabs>
              <w:spacing w:before="0" w:after="200"/>
              <w:jc w:val="left"/>
              <w:rPr/>
            </w:pPr>
            <w:r>
              <w:rPr/>
              <w:t>126 V</w:t>
            </w:r>
          </w:p>
        </w:tc>
        <w:tc>
          <w:tcPr>
            <w:tcW w:w="1220" w:type="dxa"/>
            <w:tcBorders/>
            <w:vAlign w:val="bottom"/>
          </w:tcPr>
          <w:p>
            <w:pPr>
              <w:pStyle w:val="Normal"/>
              <w:tabs>
                <w:tab w:val="clear" w:pos="708"/>
              </w:tabs>
              <w:spacing w:before="0" w:after="200"/>
              <w:jc w:val="right"/>
              <w:rPr/>
            </w:pPr>
            <w:r>
              <w:rPr/>
              <w:t>23.533,20</w:t>
            </w:r>
          </w:p>
        </w:tc>
        <w:tc>
          <w:tcPr>
            <w:tcW w:w="961" w:type="dxa"/>
            <w:tcBorders/>
            <w:vAlign w:val="bottom"/>
          </w:tcPr>
          <w:p>
            <w:pPr>
              <w:pStyle w:val="Normal"/>
              <w:tabs>
                <w:tab w:val="clear" w:pos="708"/>
              </w:tabs>
              <w:spacing w:before="0" w:after="200"/>
              <w:jc w:val="right"/>
              <w:rPr/>
            </w:pPr>
            <w:r>
              <w:rPr/>
              <w:t>692</w:t>
            </w:r>
          </w:p>
        </w:tc>
        <w:tc>
          <w:tcPr>
            <w:tcW w:w="966" w:type="dxa"/>
            <w:tcBorders/>
            <w:vAlign w:val="bottom"/>
          </w:tcPr>
          <w:p>
            <w:pPr>
              <w:pStyle w:val="Normal"/>
              <w:tabs>
                <w:tab w:val="clear" w:pos="708"/>
              </w:tabs>
              <w:spacing w:before="0" w:after="200"/>
              <w:jc w:val="left"/>
              <w:rPr/>
            </w:pPr>
            <w:r>
              <w:rPr/>
              <w:t>126 V</w:t>
            </w:r>
          </w:p>
        </w:tc>
        <w:tc>
          <w:tcPr>
            <w:tcW w:w="1201" w:type="dxa"/>
            <w:tcBorders/>
            <w:vAlign w:val="bottom"/>
          </w:tcPr>
          <w:p>
            <w:pPr>
              <w:pStyle w:val="Normal"/>
              <w:tabs>
                <w:tab w:val="clear" w:pos="708"/>
              </w:tabs>
              <w:spacing w:before="0" w:after="200"/>
              <w:jc w:val="right"/>
              <w:rPr/>
            </w:pPr>
            <w:r>
              <w:rPr/>
              <w:t>6 946,00</w:t>
            </w:r>
          </w:p>
        </w:tc>
      </w:tr>
      <w:tr>
        <w:trPr>
          <w:trHeight w:val="285" w:hRule="atLeast"/>
        </w:trPr>
        <w:tc>
          <w:tcPr>
            <w:tcW w:w="990" w:type="dxa"/>
            <w:tcBorders/>
            <w:vAlign w:val="bottom"/>
          </w:tcPr>
          <w:p>
            <w:pPr>
              <w:pStyle w:val="Normal"/>
              <w:tabs>
                <w:tab w:val="clear" w:pos="708"/>
              </w:tabs>
              <w:spacing w:before="0" w:after="200"/>
              <w:jc w:val="left"/>
              <w:rPr/>
            </w:pPr>
            <w:r>
              <w:rPr/>
            </w:r>
          </w:p>
        </w:tc>
        <w:tc>
          <w:tcPr>
            <w:tcW w:w="966" w:type="dxa"/>
            <w:tcBorders/>
            <w:vAlign w:val="bottom"/>
          </w:tcPr>
          <w:p>
            <w:pPr>
              <w:pStyle w:val="Normal"/>
              <w:tabs>
                <w:tab w:val="clear" w:pos="708"/>
              </w:tabs>
              <w:spacing w:before="0" w:after="200"/>
              <w:jc w:val="left"/>
              <w:rPr/>
            </w:pPr>
            <w:r>
              <w:rPr/>
            </w:r>
          </w:p>
        </w:tc>
        <w:tc>
          <w:tcPr>
            <w:tcW w:w="1188" w:type="dxa"/>
            <w:tcBorders/>
            <w:vAlign w:val="bottom"/>
          </w:tcPr>
          <w:p>
            <w:pPr>
              <w:pStyle w:val="Normal"/>
              <w:tabs>
                <w:tab w:val="clear" w:pos="708"/>
              </w:tabs>
              <w:spacing w:before="0" w:after="200"/>
              <w:jc w:val="right"/>
              <w:rPr/>
            </w:pPr>
            <w:r>
              <w:rPr/>
              <w:t>498.979,74</w:t>
            </w:r>
          </w:p>
        </w:tc>
        <w:tc>
          <w:tcPr>
            <w:tcW w:w="962" w:type="dxa"/>
            <w:tcBorders/>
            <w:vAlign w:val="bottom"/>
          </w:tcPr>
          <w:p>
            <w:pPr>
              <w:pStyle w:val="Normal"/>
              <w:tabs>
                <w:tab w:val="clear" w:pos="708"/>
              </w:tabs>
              <w:spacing w:before="0" w:after="200"/>
              <w:jc w:val="left"/>
              <w:rPr/>
            </w:pPr>
            <w:r>
              <w:rPr/>
            </w:r>
          </w:p>
        </w:tc>
        <w:tc>
          <w:tcPr>
            <w:tcW w:w="964" w:type="dxa"/>
            <w:tcBorders/>
            <w:vAlign w:val="bottom"/>
          </w:tcPr>
          <w:p>
            <w:pPr>
              <w:pStyle w:val="Normal"/>
              <w:tabs>
                <w:tab w:val="clear" w:pos="708"/>
              </w:tabs>
              <w:spacing w:before="0" w:after="200"/>
              <w:jc w:val="left"/>
              <w:rPr/>
            </w:pPr>
            <w:r>
              <w:rPr/>
            </w:r>
          </w:p>
        </w:tc>
        <w:tc>
          <w:tcPr>
            <w:tcW w:w="1220" w:type="dxa"/>
            <w:tcBorders/>
            <w:vAlign w:val="bottom"/>
          </w:tcPr>
          <w:p>
            <w:pPr>
              <w:pStyle w:val="Normal"/>
              <w:tabs>
                <w:tab w:val="clear" w:pos="708"/>
              </w:tabs>
              <w:spacing w:before="0" w:after="200"/>
              <w:jc w:val="right"/>
              <w:rPr/>
            </w:pPr>
            <w:r>
              <w:rPr/>
              <w:t>123.029,65</w:t>
            </w:r>
          </w:p>
        </w:tc>
        <w:tc>
          <w:tcPr>
            <w:tcW w:w="961" w:type="dxa"/>
            <w:tcBorders/>
            <w:vAlign w:val="bottom"/>
          </w:tcPr>
          <w:p>
            <w:pPr>
              <w:pStyle w:val="Normal"/>
              <w:tabs>
                <w:tab w:val="clear" w:pos="708"/>
              </w:tabs>
              <w:spacing w:before="0" w:after="200"/>
              <w:jc w:val="left"/>
              <w:rPr/>
            </w:pPr>
            <w:r>
              <w:rPr/>
            </w:r>
          </w:p>
        </w:tc>
        <w:tc>
          <w:tcPr>
            <w:tcW w:w="966" w:type="dxa"/>
            <w:tcBorders/>
            <w:vAlign w:val="bottom"/>
          </w:tcPr>
          <w:p>
            <w:pPr>
              <w:pStyle w:val="Normal"/>
              <w:tabs>
                <w:tab w:val="clear" w:pos="708"/>
              </w:tabs>
              <w:spacing w:before="0" w:after="200"/>
              <w:jc w:val="left"/>
              <w:rPr/>
            </w:pPr>
            <w:r>
              <w:rPr/>
            </w:r>
          </w:p>
        </w:tc>
        <w:tc>
          <w:tcPr>
            <w:tcW w:w="1201" w:type="dxa"/>
            <w:tcBorders/>
            <w:vAlign w:val="bottom"/>
          </w:tcPr>
          <w:p>
            <w:pPr>
              <w:pStyle w:val="Normal"/>
              <w:tabs>
                <w:tab w:val="clear" w:pos="708"/>
              </w:tabs>
              <w:spacing w:before="0" w:after="200"/>
              <w:jc w:val="right"/>
              <w:rPr/>
            </w:pPr>
            <w:r>
              <w:rPr/>
              <w:t>375 950,09</w:t>
            </w:r>
          </w:p>
        </w:tc>
      </w:tr>
      <w:tr>
        <w:trPr>
          <w:trHeight w:val="285" w:hRule="atLeast"/>
        </w:trPr>
        <w:tc>
          <w:tcPr>
            <w:tcW w:w="990" w:type="dxa"/>
            <w:tcBorders/>
            <w:vAlign w:val="bottom"/>
          </w:tcPr>
          <w:p>
            <w:pPr>
              <w:pStyle w:val="Normal"/>
              <w:tabs>
                <w:tab w:val="clear" w:pos="708"/>
              </w:tabs>
              <w:spacing w:before="0" w:after="200"/>
              <w:jc w:val="left"/>
              <w:rPr/>
            </w:pPr>
            <w:r>
              <w:rPr/>
              <w:t>699</w:t>
            </w:r>
          </w:p>
        </w:tc>
        <w:tc>
          <w:tcPr>
            <w:tcW w:w="966" w:type="dxa"/>
            <w:tcBorders/>
            <w:vAlign w:val="bottom"/>
          </w:tcPr>
          <w:p>
            <w:pPr>
              <w:pStyle w:val="Normal"/>
              <w:tabs>
                <w:tab w:val="clear" w:pos="708"/>
              </w:tabs>
              <w:spacing w:before="0" w:after="200"/>
              <w:jc w:val="left"/>
              <w:rPr/>
            </w:pPr>
            <w:r>
              <w:rPr/>
              <w:t>133 V</w:t>
            </w:r>
          </w:p>
        </w:tc>
        <w:tc>
          <w:tcPr>
            <w:tcW w:w="1188" w:type="dxa"/>
            <w:tcBorders/>
            <w:vAlign w:val="bottom"/>
          </w:tcPr>
          <w:p>
            <w:pPr>
              <w:pStyle w:val="Normal"/>
              <w:tabs>
                <w:tab w:val="clear" w:pos="708"/>
              </w:tabs>
              <w:spacing w:before="0" w:after="200"/>
              <w:jc w:val="right"/>
              <w:rPr/>
            </w:pPr>
            <w:r>
              <w:rPr/>
              <w:t>98.174,71</w:t>
            </w:r>
          </w:p>
        </w:tc>
        <w:tc>
          <w:tcPr>
            <w:tcW w:w="962" w:type="dxa"/>
            <w:tcBorders/>
            <w:vAlign w:val="bottom"/>
          </w:tcPr>
          <w:p>
            <w:pPr>
              <w:pStyle w:val="Normal"/>
              <w:tabs>
                <w:tab w:val="clear" w:pos="708"/>
              </w:tabs>
              <w:spacing w:before="0" w:after="200"/>
              <w:jc w:val="left"/>
              <w:rPr/>
            </w:pPr>
            <w:r>
              <w:rPr/>
              <w:t>588</w:t>
            </w:r>
          </w:p>
        </w:tc>
        <w:tc>
          <w:tcPr>
            <w:tcW w:w="964" w:type="dxa"/>
            <w:tcBorders/>
            <w:vAlign w:val="bottom"/>
          </w:tcPr>
          <w:p>
            <w:pPr>
              <w:pStyle w:val="Normal"/>
              <w:tabs>
                <w:tab w:val="clear" w:pos="708"/>
              </w:tabs>
              <w:spacing w:before="0" w:after="200"/>
              <w:jc w:val="left"/>
              <w:rPr/>
            </w:pPr>
            <w:r>
              <w:rPr/>
              <w:t>062 V</w:t>
            </w:r>
          </w:p>
        </w:tc>
        <w:tc>
          <w:tcPr>
            <w:tcW w:w="1220" w:type="dxa"/>
            <w:tcBorders/>
            <w:vAlign w:val="bottom"/>
          </w:tcPr>
          <w:p>
            <w:pPr>
              <w:pStyle w:val="Normal"/>
              <w:tabs>
                <w:tab w:val="clear" w:pos="708"/>
              </w:tabs>
              <w:spacing w:before="0" w:after="200"/>
              <w:jc w:val="right"/>
              <w:rPr/>
            </w:pPr>
            <w:r>
              <w:rPr/>
              <w:t>19.305,54</w:t>
            </w:r>
          </w:p>
        </w:tc>
        <w:tc>
          <w:tcPr>
            <w:tcW w:w="961" w:type="dxa"/>
            <w:tcBorders/>
            <w:vAlign w:val="bottom"/>
          </w:tcPr>
          <w:p>
            <w:pPr>
              <w:pStyle w:val="Normal"/>
              <w:tabs>
                <w:tab w:val="clear" w:pos="708"/>
              </w:tabs>
              <w:spacing w:before="0" w:after="200"/>
              <w:jc w:val="right"/>
              <w:rPr/>
            </w:pPr>
            <w:r>
              <w:rPr/>
              <w:t>588</w:t>
            </w:r>
          </w:p>
        </w:tc>
        <w:tc>
          <w:tcPr>
            <w:tcW w:w="966" w:type="dxa"/>
            <w:tcBorders/>
            <w:vAlign w:val="bottom"/>
          </w:tcPr>
          <w:p>
            <w:pPr>
              <w:pStyle w:val="Normal"/>
              <w:tabs>
                <w:tab w:val="clear" w:pos="708"/>
              </w:tabs>
              <w:spacing w:before="0" w:after="200"/>
              <w:jc w:val="left"/>
              <w:rPr/>
            </w:pPr>
            <w:r>
              <w:rPr/>
              <w:t>062 V</w:t>
            </w:r>
          </w:p>
        </w:tc>
        <w:tc>
          <w:tcPr>
            <w:tcW w:w="1201" w:type="dxa"/>
            <w:tcBorders/>
            <w:vAlign w:val="bottom"/>
          </w:tcPr>
          <w:p>
            <w:pPr>
              <w:pStyle w:val="Normal"/>
              <w:tabs>
                <w:tab w:val="clear" w:pos="708"/>
              </w:tabs>
              <w:spacing w:before="0" w:after="200"/>
              <w:jc w:val="right"/>
              <w:rPr/>
            </w:pPr>
            <w:r>
              <w:rPr/>
              <w:t>69 293,49</w:t>
            </w:r>
          </w:p>
        </w:tc>
      </w:tr>
      <w:tr>
        <w:trPr>
          <w:trHeight w:val="285" w:hRule="atLeast"/>
        </w:trPr>
        <w:tc>
          <w:tcPr>
            <w:tcW w:w="990" w:type="dxa"/>
            <w:tcBorders/>
            <w:vAlign w:val="bottom"/>
          </w:tcPr>
          <w:p>
            <w:pPr>
              <w:pStyle w:val="Normal"/>
              <w:tabs>
                <w:tab w:val="clear" w:pos="708"/>
              </w:tabs>
              <w:spacing w:before="0" w:after="200"/>
              <w:jc w:val="left"/>
              <w:rPr/>
            </w:pPr>
            <w:r>
              <w:rPr/>
            </w:r>
          </w:p>
        </w:tc>
        <w:tc>
          <w:tcPr>
            <w:tcW w:w="966" w:type="dxa"/>
            <w:tcBorders/>
            <w:vAlign w:val="bottom"/>
          </w:tcPr>
          <w:p>
            <w:pPr>
              <w:pStyle w:val="Normal"/>
              <w:tabs>
                <w:tab w:val="clear" w:pos="708"/>
              </w:tabs>
              <w:spacing w:before="0" w:after="200"/>
              <w:jc w:val="left"/>
              <w:rPr/>
            </w:pPr>
            <w:r>
              <w:rPr/>
            </w:r>
          </w:p>
        </w:tc>
        <w:tc>
          <w:tcPr>
            <w:tcW w:w="1188" w:type="dxa"/>
            <w:tcBorders/>
            <w:vAlign w:val="bottom"/>
          </w:tcPr>
          <w:p>
            <w:pPr>
              <w:pStyle w:val="Normal"/>
              <w:tabs>
                <w:tab w:val="clear" w:pos="708"/>
              </w:tabs>
              <w:spacing w:before="0" w:after="200"/>
              <w:jc w:val="left"/>
              <w:rPr/>
            </w:pPr>
            <w:r>
              <w:rPr/>
            </w:r>
          </w:p>
        </w:tc>
        <w:tc>
          <w:tcPr>
            <w:tcW w:w="962" w:type="dxa"/>
            <w:tcBorders/>
            <w:vAlign w:val="bottom"/>
          </w:tcPr>
          <w:p>
            <w:pPr>
              <w:pStyle w:val="Normal"/>
              <w:tabs>
                <w:tab w:val="clear" w:pos="708"/>
              </w:tabs>
              <w:spacing w:before="0" w:after="200"/>
              <w:jc w:val="left"/>
              <w:rPr/>
            </w:pPr>
            <w:r>
              <w:rPr/>
              <w:t>589</w:t>
            </w:r>
          </w:p>
        </w:tc>
        <w:tc>
          <w:tcPr>
            <w:tcW w:w="964" w:type="dxa"/>
            <w:tcBorders/>
            <w:vAlign w:val="bottom"/>
          </w:tcPr>
          <w:p>
            <w:pPr>
              <w:pStyle w:val="Normal"/>
              <w:tabs>
                <w:tab w:val="clear" w:pos="708"/>
              </w:tabs>
              <w:spacing w:before="0" w:after="200"/>
              <w:jc w:val="left"/>
              <w:rPr/>
            </w:pPr>
            <w:r>
              <w:rPr/>
              <w:t>063 V</w:t>
            </w:r>
          </w:p>
        </w:tc>
        <w:tc>
          <w:tcPr>
            <w:tcW w:w="1220" w:type="dxa"/>
            <w:tcBorders/>
            <w:vAlign w:val="bottom"/>
          </w:tcPr>
          <w:p>
            <w:pPr>
              <w:pStyle w:val="Normal"/>
              <w:tabs>
                <w:tab w:val="clear" w:pos="708"/>
              </w:tabs>
              <w:spacing w:before="0" w:after="200"/>
              <w:jc w:val="right"/>
              <w:rPr/>
            </w:pPr>
            <w:r>
              <w:rPr/>
              <w:t>6.771,21</w:t>
            </w:r>
          </w:p>
        </w:tc>
        <w:tc>
          <w:tcPr>
            <w:tcW w:w="961" w:type="dxa"/>
            <w:tcBorders/>
            <w:vAlign w:val="bottom"/>
          </w:tcPr>
          <w:p>
            <w:pPr>
              <w:pStyle w:val="Normal"/>
              <w:tabs>
                <w:tab w:val="clear" w:pos="708"/>
              </w:tabs>
              <w:spacing w:before="0" w:after="200"/>
              <w:jc w:val="right"/>
              <w:rPr/>
            </w:pPr>
            <w:r>
              <w:rPr/>
              <w:t>589</w:t>
            </w:r>
          </w:p>
        </w:tc>
        <w:tc>
          <w:tcPr>
            <w:tcW w:w="966" w:type="dxa"/>
            <w:tcBorders/>
            <w:vAlign w:val="bottom"/>
          </w:tcPr>
          <w:p>
            <w:pPr>
              <w:pStyle w:val="Normal"/>
              <w:tabs>
                <w:tab w:val="clear" w:pos="708"/>
              </w:tabs>
              <w:spacing w:before="0" w:after="200"/>
              <w:jc w:val="left"/>
              <w:rPr/>
            </w:pPr>
            <w:r>
              <w:rPr/>
              <w:t>063 V</w:t>
            </w:r>
          </w:p>
        </w:tc>
        <w:tc>
          <w:tcPr>
            <w:tcW w:w="1201" w:type="dxa"/>
            <w:tcBorders/>
            <w:vAlign w:val="bottom"/>
          </w:tcPr>
          <w:p>
            <w:pPr>
              <w:pStyle w:val="Normal"/>
              <w:tabs>
                <w:tab w:val="clear" w:pos="708"/>
              </w:tabs>
              <w:spacing w:before="0" w:after="200"/>
              <w:jc w:val="right"/>
              <w:rPr/>
            </w:pPr>
            <w:r>
              <w:rPr/>
              <w:t>2 804,47</w:t>
            </w:r>
          </w:p>
        </w:tc>
      </w:tr>
      <w:tr>
        <w:trPr>
          <w:trHeight w:val="285" w:hRule="atLeast"/>
        </w:trPr>
        <w:tc>
          <w:tcPr>
            <w:tcW w:w="990" w:type="dxa"/>
            <w:tcBorders/>
            <w:vAlign w:val="bottom"/>
          </w:tcPr>
          <w:p>
            <w:pPr>
              <w:pStyle w:val="Normal"/>
              <w:tabs>
                <w:tab w:val="clear" w:pos="708"/>
              </w:tabs>
              <w:spacing w:before="0" w:after="200"/>
              <w:jc w:val="left"/>
              <w:rPr/>
            </w:pPr>
            <w:r>
              <w:rPr/>
            </w:r>
          </w:p>
        </w:tc>
        <w:tc>
          <w:tcPr>
            <w:tcW w:w="966" w:type="dxa"/>
            <w:tcBorders/>
            <w:vAlign w:val="bottom"/>
          </w:tcPr>
          <w:p>
            <w:pPr>
              <w:pStyle w:val="Normal"/>
              <w:tabs>
                <w:tab w:val="clear" w:pos="708"/>
              </w:tabs>
              <w:spacing w:before="0" w:after="200"/>
              <w:jc w:val="left"/>
              <w:rPr/>
            </w:pPr>
            <w:r>
              <w:rPr/>
            </w:r>
          </w:p>
        </w:tc>
        <w:tc>
          <w:tcPr>
            <w:tcW w:w="1188" w:type="dxa"/>
            <w:tcBorders/>
            <w:vAlign w:val="bottom"/>
          </w:tcPr>
          <w:p>
            <w:pPr>
              <w:pStyle w:val="Normal"/>
              <w:tabs>
                <w:tab w:val="clear" w:pos="708"/>
              </w:tabs>
              <w:spacing w:before="0" w:after="200"/>
              <w:jc w:val="right"/>
              <w:rPr/>
            </w:pPr>
            <w:r>
              <w:rPr/>
              <w:t>98.174,71</w:t>
            </w:r>
          </w:p>
        </w:tc>
        <w:tc>
          <w:tcPr>
            <w:tcW w:w="962" w:type="dxa"/>
            <w:tcBorders/>
            <w:vAlign w:val="bottom"/>
          </w:tcPr>
          <w:p>
            <w:pPr>
              <w:pStyle w:val="Normal"/>
              <w:tabs>
                <w:tab w:val="clear" w:pos="708"/>
              </w:tabs>
              <w:spacing w:before="0" w:after="200"/>
              <w:jc w:val="left"/>
              <w:rPr/>
            </w:pPr>
            <w:r>
              <w:rPr/>
            </w:r>
          </w:p>
        </w:tc>
        <w:tc>
          <w:tcPr>
            <w:tcW w:w="964" w:type="dxa"/>
            <w:tcBorders/>
            <w:vAlign w:val="bottom"/>
          </w:tcPr>
          <w:p>
            <w:pPr>
              <w:pStyle w:val="Normal"/>
              <w:tabs>
                <w:tab w:val="clear" w:pos="708"/>
              </w:tabs>
              <w:spacing w:before="0" w:after="200"/>
              <w:jc w:val="left"/>
              <w:rPr/>
            </w:pPr>
            <w:r>
              <w:rPr/>
            </w:r>
          </w:p>
        </w:tc>
        <w:tc>
          <w:tcPr>
            <w:tcW w:w="1220" w:type="dxa"/>
            <w:tcBorders/>
            <w:vAlign w:val="bottom"/>
          </w:tcPr>
          <w:p>
            <w:pPr>
              <w:pStyle w:val="Normal"/>
              <w:tabs>
                <w:tab w:val="clear" w:pos="708"/>
              </w:tabs>
              <w:spacing w:before="0" w:after="200"/>
              <w:jc w:val="right"/>
              <w:rPr/>
            </w:pPr>
            <w:r>
              <w:rPr/>
              <w:t>26.076,75</w:t>
            </w:r>
          </w:p>
        </w:tc>
        <w:tc>
          <w:tcPr>
            <w:tcW w:w="961" w:type="dxa"/>
            <w:tcBorders/>
            <w:vAlign w:val="bottom"/>
          </w:tcPr>
          <w:p>
            <w:pPr>
              <w:pStyle w:val="Normal"/>
              <w:tabs>
                <w:tab w:val="clear" w:pos="708"/>
              </w:tabs>
              <w:spacing w:before="0" w:after="200"/>
              <w:jc w:val="left"/>
              <w:rPr/>
            </w:pPr>
            <w:r>
              <w:rPr/>
            </w:r>
          </w:p>
        </w:tc>
        <w:tc>
          <w:tcPr>
            <w:tcW w:w="966" w:type="dxa"/>
            <w:tcBorders/>
            <w:vAlign w:val="bottom"/>
          </w:tcPr>
          <w:p>
            <w:pPr>
              <w:pStyle w:val="Normal"/>
              <w:tabs>
                <w:tab w:val="clear" w:pos="708"/>
              </w:tabs>
              <w:spacing w:before="0" w:after="200"/>
              <w:jc w:val="left"/>
              <w:rPr/>
            </w:pPr>
            <w:r>
              <w:rPr/>
            </w:r>
          </w:p>
        </w:tc>
        <w:tc>
          <w:tcPr>
            <w:tcW w:w="1201" w:type="dxa"/>
            <w:tcBorders/>
            <w:vAlign w:val="bottom"/>
          </w:tcPr>
          <w:p>
            <w:pPr>
              <w:pStyle w:val="Normal"/>
              <w:tabs>
                <w:tab w:val="clear" w:pos="708"/>
              </w:tabs>
              <w:spacing w:before="0" w:after="200"/>
              <w:jc w:val="right"/>
              <w:rPr/>
            </w:pPr>
            <w:r>
              <w:rPr/>
              <w:t>72 097,96</w:t>
            </w:r>
          </w:p>
        </w:tc>
      </w:tr>
      <w:tr>
        <w:trPr>
          <w:trHeight w:val="285" w:hRule="atLeast"/>
        </w:trPr>
        <w:tc>
          <w:tcPr>
            <w:tcW w:w="990" w:type="dxa"/>
            <w:tcBorders/>
            <w:vAlign w:val="bottom"/>
          </w:tcPr>
          <w:p>
            <w:pPr>
              <w:pStyle w:val="Normal"/>
              <w:tabs>
                <w:tab w:val="clear" w:pos="708"/>
              </w:tabs>
              <w:spacing w:before="0" w:after="200"/>
              <w:jc w:val="left"/>
              <w:rPr/>
            </w:pPr>
            <w:r>
              <w:rPr/>
              <w:t>351</w:t>
            </w:r>
          </w:p>
        </w:tc>
        <w:tc>
          <w:tcPr>
            <w:tcW w:w="966" w:type="dxa"/>
            <w:tcBorders/>
            <w:vAlign w:val="bottom"/>
          </w:tcPr>
          <w:p>
            <w:pPr>
              <w:pStyle w:val="Normal"/>
              <w:tabs>
                <w:tab w:val="clear" w:pos="708"/>
              </w:tabs>
              <w:spacing w:before="0" w:after="200"/>
              <w:jc w:val="left"/>
              <w:rPr/>
            </w:pPr>
            <w:r>
              <w:rPr/>
              <w:t>041 S</w:t>
            </w:r>
          </w:p>
        </w:tc>
        <w:tc>
          <w:tcPr>
            <w:tcW w:w="1188" w:type="dxa"/>
            <w:tcBorders/>
            <w:vAlign w:val="bottom"/>
          </w:tcPr>
          <w:p>
            <w:pPr>
              <w:pStyle w:val="Normal"/>
              <w:tabs>
                <w:tab w:val="clear" w:pos="708"/>
              </w:tabs>
              <w:spacing w:before="0" w:after="200"/>
              <w:jc w:val="right"/>
              <w:rPr/>
            </w:pPr>
            <w:r>
              <w:rPr/>
              <w:t>9.575,68</w:t>
            </w:r>
          </w:p>
        </w:tc>
        <w:tc>
          <w:tcPr>
            <w:tcW w:w="962" w:type="dxa"/>
            <w:tcBorders/>
            <w:vAlign w:val="bottom"/>
          </w:tcPr>
          <w:p>
            <w:pPr>
              <w:pStyle w:val="Normal"/>
              <w:tabs>
                <w:tab w:val="clear" w:pos="708"/>
              </w:tabs>
              <w:spacing w:before="0" w:after="200"/>
              <w:jc w:val="left"/>
              <w:rPr/>
            </w:pPr>
            <w:r>
              <w:rPr/>
              <w:t>351</w:t>
            </w:r>
          </w:p>
        </w:tc>
        <w:tc>
          <w:tcPr>
            <w:tcW w:w="964" w:type="dxa"/>
            <w:tcBorders/>
            <w:vAlign w:val="bottom"/>
          </w:tcPr>
          <w:p>
            <w:pPr>
              <w:pStyle w:val="Normal"/>
              <w:tabs>
                <w:tab w:val="clear" w:pos="708"/>
              </w:tabs>
              <w:spacing w:before="0" w:after="200"/>
              <w:jc w:val="left"/>
              <w:rPr/>
            </w:pPr>
            <w:r>
              <w:rPr/>
              <w:t>133 S</w:t>
            </w:r>
          </w:p>
        </w:tc>
        <w:tc>
          <w:tcPr>
            <w:tcW w:w="1220" w:type="dxa"/>
            <w:tcBorders/>
            <w:vAlign w:val="bottom"/>
          </w:tcPr>
          <w:p>
            <w:pPr>
              <w:pStyle w:val="Normal"/>
              <w:tabs>
                <w:tab w:val="clear" w:pos="708"/>
              </w:tabs>
              <w:spacing w:before="0" w:after="200"/>
              <w:jc w:val="right"/>
              <w:rPr/>
            </w:pPr>
            <w:r>
              <w:rPr/>
              <w:t>6.771,21</w:t>
            </w:r>
          </w:p>
        </w:tc>
        <w:tc>
          <w:tcPr>
            <w:tcW w:w="961" w:type="dxa"/>
            <w:tcBorders/>
            <w:vAlign w:val="bottom"/>
          </w:tcPr>
          <w:p>
            <w:pPr>
              <w:pStyle w:val="Normal"/>
              <w:tabs>
                <w:tab w:val="clear" w:pos="708"/>
              </w:tabs>
              <w:spacing w:before="0" w:after="200"/>
              <w:jc w:val="right"/>
              <w:rPr/>
            </w:pPr>
            <w:r>
              <w:rPr/>
              <w:t>351</w:t>
            </w:r>
          </w:p>
        </w:tc>
        <w:tc>
          <w:tcPr>
            <w:tcW w:w="966" w:type="dxa"/>
            <w:tcBorders/>
            <w:vAlign w:val="bottom"/>
          </w:tcPr>
          <w:p>
            <w:pPr>
              <w:pStyle w:val="Normal"/>
              <w:tabs>
                <w:tab w:val="clear" w:pos="708"/>
              </w:tabs>
              <w:spacing w:before="0" w:after="200"/>
              <w:jc w:val="left"/>
              <w:rPr/>
            </w:pPr>
            <w:r>
              <w:rPr/>
              <w:t>133 S</w:t>
            </w:r>
          </w:p>
        </w:tc>
        <w:tc>
          <w:tcPr>
            <w:tcW w:w="1201" w:type="dxa"/>
            <w:tcBorders/>
            <w:vAlign w:val="bottom"/>
          </w:tcPr>
          <w:p>
            <w:pPr>
              <w:pStyle w:val="Normal"/>
              <w:tabs>
                <w:tab w:val="clear" w:pos="708"/>
              </w:tabs>
              <w:spacing w:before="0" w:after="200"/>
              <w:jc w:val="right"/>
              <w:rPr/>
            </w:pPr>
            <w:r>
              <w:rPr/>
              <w:t>2 804,47</w:t>
            </w:r>
          </w:p>
        </w:tc>
      </w:tr>
      <w:tr>
        <w:trPr>
          <w:trHeight w:val="285" w:hRule="atLeast"/>
        </w:trPr>
        <w:tc>
          <w:tcPr>
            <w:tcW w:w="990" w:type="dxa"/>
            <w:tcBorders/>
            <w:vAlign w:val="bottom"/>
          </w:tcPr>
          <w:p>
            <w:pPr>
              <w:pStyle w:val="Normal"/>
              <w:tabs>
                <w:tab w:val="clear" w:pos="708"/>
              </w:tabs>
              <w:spacing w:before="0" w:after="200"/>
              <w:jc w:val="left"/>
              <w:rPr/>
            </w:pPr>
            <w:r>
              <w:rPr/>
              <w:t>355</w:t>
            </w:r>
          </w:p>
        </w:tc>
        <w:tc>
          <w:tcPr>
            <w:tcW w:w="966" w:type="dxa"/>
            <w:tcBorders/>
            <w:vAlign w:val="bottom"/>
          </w:tcPr>
          <w:p>
            <w:pPr>
              <w:pStyle w:val="Normal"/>
              <w:tabs>
                <w:tab w:val="clear" w:pos="708"/>
              </w:tabs>
              <w:spacing w:before="0" w:after="200"/>
              <w:jc w:val="left"/>
              <w:rPr/>
            </w:pPr>
            <w:r>
              <w:rPr/>
              <w:t>043 S</w:t>
            </w:r>
          </w:p>
        </w:tc>
        <w:tc>
          <w:tcPr>
            <w:tcW w:w="1188" w:type="dxa"/>
            <w:tcBorders/>
            <w:vAlign w:val="bottom"/>
          </w:tcPr>
          <w:p>
            <w:pPr>
              <w:pStyle w:val="Normal"/>
              <w:tabs>
                <w:tab w:val="clear" w:pos="708"/>
              </w:tabs>
              <w:spacing w:before="0" w:after="200"/>
              <w:jc w:val="right"/>
              <w:rPr/>
            </w:pPr>
            <w:r>
              <w:rPr/>
              <w:t>198.080,20</w:t>
            </w:r>
          </w:p>
        </w:tc>
        <w:tc>
          <w:tcPr>
            <w:tcW w:w="962" w:type="dxa"/>
            <w:tcBorders/>
            <w:vAlign w:val="bottom"/>
          </w:tcPr>
          <w:p>
            <w:pPr>
              <w:pStyle w:val="Normal"/>
              <w:tabs>
                <w:tab w:val="clear" w:pos="708"/>
              </w:tabs>
              <w:spacing w:before="0" w:after="200"/>
              <w:jc w:val="left"/>
              <w:rPr/>
            </w:pPr>
            <w:r>
              <w:rPr/>
              <w:t>355</w:t>
            </w:r>
          </w:p>
        </w:tc>
        <w:tc>
          <w:tcPr>
            <w:tcW w:w="964" w:type="dxa"/>
            <w:tcBorders/>
            <w:vAlign w:val="bottom"/>
          </w:tcPr>
          <w:p>
            <w:pPr>
              <w:pStyle w:val="Normal"/>
              <w:tabs>
                <w:tab w:val="clear" w:pos="708"/>
              </w:tabs>
              <w:spacing w:before="0" w:after="200"/>
              <w:jc w:val="left"/>
              <w:rPr/>
            </w:pPr>
            <w:r>
              <w:rPr/>
              <w:t>135 S</w:t>
            </w:r>
          </w:p>
        </w:tc>
        <w:tc>
          <w:tcPr>
            <w:tcW w:w="1220" w:type="dxa"/>
            <w:tcBorders/>
            <w:vAlign w:val="bottom"/>
          </w:tcPr>
          <w:p>
            <w:pPr>
              <w:pStyle w:val="Normal"/>
              <w:tabs>
                <w:tab w:val="clear" w:pos="708"/>
              </w:tabs>
              <w:spacing w:before="0" w:after="200"/>
              <w:jc w:val="right"/>
              <w:rPr/>
            </w:pPr>
            <w:r>
              <w:rPr/>
              <w:t>162.771,75</w:t>
            </w:r>
          </w:p>
        </w:tc>
        <w:tc>
          <w:tcPr>
            <w:tcW w:w="961" w:type="dxa"/>
            <w:tcBorders/>
            <w:vAlign w:val="bottom"/>
          </w:tcPr>
          <w:p>
            <w:pPr>
              <w:pStyle w:val="Normal"/>
              <w:tabs>
                <w:tab w:val="clear" w:pos="708"/>
              </w:tabs>
              <w:spacing w:before="0" w:after="200"/>
              <w:jc w:val="right"/>
              <w:rPr/>
            </w:pPr>
            <w:r>
              <w:rPr/>
              <w:t>355</w:t>
            </w:r>
          </w:p>
        </w:tc>
        <w:tc>
          <w:tcPr>
            <w:tcW w:w="966" w:type="dxa"/>
            <w:tcBorders/>
            <w:vAlign w:val="bottom"/>
          </w:tcPr>
          <w:p>
            <w:pPr>
              <w:pStyle w:val="Normal"/>
              <w:tabs>
                <w:tab w:val="clear" w:pos="708"/>
              </w:tabs>
              <w:spacing w:before="0" w:after="200"/>
              <w:jc w:val="left"/>
              <w:rPr/>
            </w:pPr>
            <w:r>
              <w:rPr/>
              <w:t>135 S</w:t>
            </w:r>
          </w:p>
        </w:tc>
        <w:tc>
          <w:tcPr>
            <w:tcW w:w="1201" w:type="dxa"/>
            <w:tcBorders/>
            <w:vAlign w:val="bottom"/>
          </w:tcPr>
          <w:p>
            <w:pPr>
              <w:pStyle w:val="Normal"/>
              <w:tabs>
                <w:tab w:val="clear" w:pos="708"/>
              </w:tabs>
              <w:spacing w:before="0" w:after="200"/>
              <w:jc w:val="right"/>
              <w:rPr/>
            </w:pPr>
            <w:r>
              <w:rPr/>
              <w:t>35 308,45</w:t>
            </w:r>
          </w:p>
        </w:tc>
      </w:tr>
    </w:tbl>
    <w:p>
      <w:pPr>
        <w:pStyle w:val="Normal"/>
        <w:rPr/>
      </w:pPr>
      <w:r>
        <w:rPr/>
      </w:r>
    </w:p>
    <w:p>
      <w:pPr>
        <w:pStyle w:val="Normal"/>
        <w:spacing w:lineRule="auto" w:line="240" w:before="0" w:after="0"/>
        <w:rPr>
          <w:rFonts w:ascii="Times New Roman" w:hAnsi="Times New Roman" w:cs="Times New Roman"/>
          <w:b/>
          <w:color w:val="FF0000"/>
          <w:sz w:val="24"/>
          <w:szCs w:val="24"/>
        </w:rPr>
      </w:pPr>
      <w:r>
        <w:rPr>
          <w:rFonts w:cs="Times New Roman" w:ascii="Times New Roman" w:hAnsi="Times New Roman"/>
          <w:b/>
          <w:color w:val="FF0000"/>
          <w:sz w:val="24"/>
          <w:szCs w:val="24"/>
        </w:rPr>
      </w:r>
    </w:p>
    <w:p>
      <w:pPr>
        <w:pStyle w:val="Normal"/>
        <w:spacing w:lineRule="auto" w:line="240" w:before="0" w:after="0"/>
        <w:rPr/>
      </w:pPr>
      <w:r>
        <w:rPr>
          <w:rFonts w:cs="Times New Roman" w:ascii="Times New Roman" w:hAnsi="Times New Roman"/>
          <w:b/>
          <w:sz w:val="24"/>
          <w:szCs w:val="24"/>
        </w:rPr>
        <w:t>7.2.1 NÁKLADY KONSOLIDOVANÉHO CELKU</w:t>
      </w:r>
    </w:p>
    <w:tbl>
      <w:tblPr>
        <w:tblStyle w:val="Mriekatabuky"/>
        <w:tblW w:w="9606"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1097"/>
        <w:gridCol w:w="4681"/>
        <w:gridCol w:w="2126"/>
        <w:gridCol w:w="1701"/>
      </w:tblGrid>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Times New Roman" w:hAnsi="Times New Roman"/>
                <w:kern w:val="0"/>
                <w:sz w:val="24"/>
                <w:szCs w:val="24"/>
                <w:lang w:val="sk-SK" w:eastAsia="en-US" w:bidi="ar-SA"/>
              </w:rPr>
              <w:t>Č</w:t>
            </w:r>
            <w:r>
              <w:rPr>
                <w:rFonts w:eastAsia="Calibri" w:cs="Bodoni MT Condensed" w:ascii="Bodoni MT Condensed" w:hAnsi="Bodoni MT Condensed"/>
                <w:kern w:val="0"/>
                <w:sz w:val="24"/>
                <w:szCs w:val="24"/>
                <w:lang w:val="sk-SK" w:eastAsia="en-US" w:bidi="ar-SA"/>
              </w:rPr>
              <w:t>í</w:t>
            </w:r>
            <w:r>
              <w:rPr>
                <w:rFonts w:eastAsia="Calibri" w:cs="Times New Roman" w:ascii="Bodoni MT Condensed" w:hAnsi="Bodoni MT Condensed"/>
                <w:kern w:val="0"/>
                <w:sz w:val="24"/>
                <w:szCs w:val="24"/>
                <w:lang w:val="sk-SK" w:eastAsia="en-US" w:bidi="ar-SA"/>
              </w:rPr>
              <w:t xml:space="preserve">slo </w:t>
            </w:r>
            <w:r>
              <w:rPr>
                <w:rFonts w:eastAsia="Calibri" w:cs="Bodoni MT Condensed" w:ascii="Bodoni MT Condensed" w:hAnsi="Bodoni MT Condensed"/>
                <w:kern w:val="0"/>
                <w:sz w:val="24"/>
                <w:szCs w:val="24"/>
                <w:lang w:val="sk-SK" w:eastAsia="en-US" w:bidi="ar-SA"/>
              </w:rPr>
              <w:t>ú</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tu alebo skupiny</w:t>
            </w:r>
          </w:p>
        </w:tc>
        <w:tc>
          <w:tcPr>
            <w:tcW w:w="4681" w:type="dxa"/>
            <w:tcBorders/>
          </w:tcPr>
          <w:p>
            <w:pPr>
              <w:pStyle w:val="Normal"/>
              <w:widowControl/>
              <w:suppressAutoHyphens w:val="true"/>
              <w:spacing w:lineRule="auto" w:line="240" w:before="0" w:after="0"/>
              <w:jc w:val="center"/>
              <w:rPr>
                <w:rFonts w:ascii="Calibri" w:hAnsi="Calibri" w:eastAsia="Calibri"/>
              </w:rPr>
            </w:pPr>
            <w:r>
              <w:rPr>
                <w:rFonts w:eastAsia="Calibri" w:cs="Times New Roman" w:ascii="Bodoni MT Condensed" w:hAnsi="Bodoni MT Condensed"/>
                <w:kern w:val="0"/>
                <w:sz w:val="24"/>
                <w:szCs w:val="24"/>
                <w:lang w:val="sk-SK" w:eastAsia="en-US" w:bidi="ar-SA"/>
              </w:rPr>
              <w:t>Náklady</w:t>
            </w:r>
          </w:p>
        </w:tc>
        <w:tc>
          <w:tcPr>
            <w:tcW w:w="2126" w:type="dxa"/>
            <w:tcBorders/>
          </w:tcPr>
          <w:p>
            <w:pPr>
              <w:pStyle w:val="Normal"/>
              <w:widowControl/>
              <w:suppressAutoHyphens w:val="true"/>
              <w:spacing w:lineRule="auto" w:line="240" w:before="0" w:after="0"/>
              <w:jc w:val="center"/>
              <w:rPr>
                <w:rFonts w:ascii="Calibri" w:hAnsi="Calibri" w:eastAsia="Calibri"/>
              </w:rPr>
            </w:pPr>
            <w:r>
              <w:rPr>
                <w:rFonts w:eastAsia="Calibri" w:cs="Times New Roman" w:ascii="Bodoni MT Condensed" w:hAnsi="Bodoni MT Condensed"/>
                <w:kern w:val="0"/>
                <w:sz w:val="24"/>
                <w:szCs w:val="24"/>
                <w:lang w:val="sk-SK" w:eastAsia="en-US" w:bidi="ar-SA"/>
              </w:rPr>
              <w:t>Bežné ú</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tovn</w:t>
            </w:r>
            <w:r>
              <w:rPr>
                <w:rFonts w:eastAsia="Calibri" w:cs="Bodoni MT Condensed" w:ascii="Bodoni MT Condensed" w:hAnsi="Bodoni MT Condensed"/>
                <w:kern w:val="0"/>
                <w:sz w:val="24"/>
                <w:szCs w:val="24"/>
                <w:lang w:val="sk-SK" w:eastAsia="en-US" w:bidi="ar-SA"/>
              </w:rPr>
              <w:t>é</w:t>
            </w:r>
            <w:r>
              <w:rPr>
                <w:rFonts w:eastAsia="Calibri" w:cs="Times New Roman" w:ascii="Bodoni MT Condensed" w:hAnsi="Bodoni MT Condensed"/>
                <w:kern w:val="0"/>
                <w:sz w:val="24"/>
                <w:szCs w:val="24"/>
                <w:lang w:val="sk-SK" w:eastAsia="en-US" w:bidi="ar-SA"/>
              </w:rPr>
              <w:t xml:space="preserve"> obdobie</w:t>
            </w:r>
          </w:p>
        </w:tc>
        <w:tc>
          <w:tcPr>
            <w:tcW w:w="170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Bezprostredne predchádzajúce ú</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tovn</w:t>
            </w:r>
            <w:r>
              <w:rPr>
                <w:rFonts w:eastAsia="Calibri" w:cs="Bodoni MT Condensed" w:ascii="Bodoni MT Condensed" w:hAnsi="Bodoni MT Condensed"/>
                <w:kern w:val="0"/>
                <w:sz w:val="24"/>
                <w:szCs w:val="24"/>
                <w:lang w:val="sk-SK" w:eastAsia="en-US" w:bidi="ar-SA"/>
              </w:rPr>
              <w:t>é</w:t>
            </w:r>
            <w:r>
              <w:rPr>
                <w:rFonts w:eastAsia="Calibri" w:cs="Times New Roman" w:ascii="Bodoni MT Condensed" w:hAnsi="Bodoni MT Condensed"/>
                <w:kern w:val="0"/>
                <w:sz w:val="24"/>
                <w:szCs w:val="24"/>
                <w:lang w:val="sk-SK" w:eastAsia="en-US" w:bidi="ar-SA"/>
              </w:rPr>
              <w:t xml:space="preserve"> obdobie</w:t>
            </w:r>
          </w:p>
        </w:tc>
      </w:tr>
      <w:tr>
        <w:trPr/>
        <w:tc>
          <w:tcPr>
            <w:tcW w:w="109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50</w:t>
            </w:r>
          </w:p>
        </w:tc>
        <w:tc>
          <w:tcPr>
            <w:tcW w:w="4681"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Spotrebované nákupy</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292.154,55</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337.530,39</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501</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Spotreba materiálu</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175.261,32</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183.412,91</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502</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Spotreba energie</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114.923,68</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145.194,63</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504,507</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Predaný tovar, predaná nehnute</w:t>
            </w:r>
            <w:r>
              <w:rPr>
                <w:rFonts w:eastAsia="Calibri" w:cs="Times New Roman" w:ascii="Times New Roman" w:hAnsi="Times New Roman"/>
                <w:kern w:val="0"/>
                <w:sz w:val="24"/>
                <w:szCs w:val="24"/>
                <w:lang w:val="sk-SK" w:eastAsia="en-US" w:bidi="ar-SA"/>
              </w:rPr>
              <w:t>ľ</w:t>
            </w:r>
            <w:r>
              <w:rPr>
                <w:rFonts w:eastAsia="Calibri" w:cs="Times New Roman" w:ascii="Bodoni MT Condensed" w:hAnsi="Bodoni MT Condensed"/>
                <w:kern w:val="0"/>
                <w:sz w:val="24"/>
                <w:szCs w:val="24"/>
                <w:lang w:val="sk-SK" w:eastAsia="en-US" w:bidi="ar-SA"/>
              </w:rPr>
              <w:t>nos</w:t>
            </w:r>
            <w:r>
              <w:rPr>
                <w:rFonts w:eastAsia="Calibri" w:cs="Times New Roman" w:ascii="Times New Roman" w:hAnsi="Times New Roman"/>
                <w:kern w:val="0"/>
                <w:sz w:val="24"/>
                <w:szCs w:val="24"/>
                <w:lang w:val="sk-SK" w:eastAsia="en-US" w:bidi="ar-SA"/>
              </w:rPr>
              <w:t>ť</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1.969,55</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8.922,85</w:t>
            </w:r>
          </w:p>
        </w:tc>
      </w:tr>
      <w:tr>
        <w:trPr/>
        <w:tc>
          <w:tcPr>
            <w:tcW w:w="109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51</w:t>
            </w:r>
          </w:p>
        </w:tc>
        <w:tc>
          <w:tcPr>
            <w:tcW w:w="4681"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Služby</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287.850,96</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288.323,97</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511</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Opravy a udržiavanie</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38.063,75</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44.756,93</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512</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Cestovné</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1.786,90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1.761,36</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513</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Náklady na prezentáciu</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26.721,45</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20.504,27</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518</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Ostatné služby</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221.278,86</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221.301,41</w:t>
            </w:r>
          </w:p>
        </w:tc>
      </w:tr>
      <w:tr>
        <w:trPr/>
        <w:tc>
          <w:tcPr>
            <w:tcW w:w="109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52</w:t>
            </w:r>
          </w:p>
        </w:tc>
        <w:tc>
          <w:tcPr>
            <w:tcW w:w="4681"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Osobné náklady</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1.483.208,31</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1.301.813,25</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521</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Mzdové náklady</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1.050.692,27</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931.981,39</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524</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Zákonné sociálne poistenie</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373.808,05</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324.520,38</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525</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Ostatné sociálne poistenie</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8.724,11</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8.144,72</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527</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Zákonné sociálne náklady</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49.983,88</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37.166,76</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528</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Ostatné sociálne náklady</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0,00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0,00</w:t>
            </w:r>
          </w:p>
        </w:tc>
      </w:tr>
      <w:tr>
        <w:trPr/>
        <w:tc>
          <w:tcPr>
            <w:tcW w:w="109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53</w:t>
            </w:r>
          </w:p>
        </w:tc>
        <w:tc>
          <w:tcPr>
            <w:tcW w:w="4681"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Dane a poplatky</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9.252,09</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10.958,49</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538</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Ostatné dane a poplatky</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9.252,09</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10.958,49</w:t>
            </w:r>
          </w:p>
        </w:tc>
      </w:tr>
      <w:tr>
        <w:trPr/>
        <w:tc>
          <w:tcPr>
            <w:tcW w:w="109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54</w:t>
            </w:r>
          </w:p>
        </w:tc>
        <w:tc>
          <w:tcPr>
            <w:tcW w:w="4681"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 xml:space="preserve">Ostatné náklady na prevádzkovú </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innos</w:t>
            </w:r>
            <w:r>
              <w:rPr>
                <w:rFonts w:eastAsia="Calibri" w:cs="Times New Roman" w:ascii="Times New Roman" w:hAnsi="Times New Roman"/>
                <w:b/>
                <w:bCs/>
                <w:kern w:val="0"/>
                <w:sz w:val="24"/>
                <w:szCs w:val="24"/>
                <w:lang w:val="sk-SK" w:eastAsia="en-US" w:bidi="ar-SA"/>
              </w:rPr>
              <w:t>ť</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18.950,48</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26.031,92</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541</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Zostatková cena predaného dlhodobého nehmotného a dlhodobého hmotného majetku</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0,00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3,29</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544</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Ostatné pokuty, penále a úroky z omeškania</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55,00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0,00</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546</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Odpis poh</w:t>
            </w:r>
            <w:r>
              <w:rPr>
                <w:rFonts w:eastAsia="Calibri" w:cs="Times New Roman" w:ascii="Times New Roman" w:hAnsi="Times New Roman"/>
                <w:kern w:val="0"/>
                <w:sz w:val="24"/>
                <w:szCs w:val="24"/>
                <w:lang w:val="sk-SK" w:eastAsia="en-US" w:bidi="ar-SA"/>
              </w:rPr>
              <w:t>ľ</w:t>
            </w:r>
            <w:r>
              <w:rPr>
                <w:rFonts w:eastAsia="Calibri" w:cs="Times New Roman" w:ascii="Bodoni MT Condensed" w:hAnsi="Bodoni MT Condensed"/>
                <w:kern w:val="0"/>
                <w:sz w:val="24"/>
                <w:szCs w:val="24"/>
                <w:lang w:val="sk-SK" w:eastAsia="en-US" w:bidi="ar-SA"/>
              </w:rPr>
              <w:t>ad</w:t>
            </w:r>
            <w:r>
              <w:rPr>
                <w:rFonts w:eastAsia="Calibri" w:cs="Bodoni MT Condensed" w:ascii="Bodoni MT Condensed" w:hAnsi="Bodoni MT Condensed"/>
                <w:kern w:val="0"/>
                <w:sz w:val="24"/>
                <w:szCs w:val="24"/>
                <w:lang w:val="sk-SK" w:eastAsia="en-US" w:bidi="ar-SA"/>
              </w:rPr>
              <w:t>á</w:t>
            </w:r>
            <w:r>
              <w:rPr>
                <w:rFonts w:eastAsia="Calibri" w:cs="Times New Roman" w:ascii="Bodoni MT Condensed" w:hAnsi="Bodoni MT Condensed"/>
                <w:kern w:val="0"/>
                <w:sz w:val="24"/>
                <w:szCs w:val="24"/>
                <w:lang w:val="sk-SK" w:eastAsia="en-US" w:bidi="ar-SA"/>
              </w:rPr>
              <w:t>vky</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2.142,00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1.695,14</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548</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 xml:space="preserve">Ostatné náklady na prevádzkovú </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innos</w:t>
            </w:r>
            <w:r>
              <w:rPr>
                <w:rFonts w:eastAsia="Calibri" w:cs="Times New Roman" w:ascii="Times New Roman" w:hAnsi="Times New Roman"/>
                <w:kern w:val="0"/>
                <w:sz w:val="24"/>
                <w:szCs w:val="24"/>
                <w:lang w:val="sk-SK" w:eastAsia="en-US" w:bidi="ar-SA"/>
              </w:rPr>
              <w:t>ť</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16.753,48</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24.333,49</w:t>
            </w:r>
          </w:p>
        </w:tc>
      </w:tr>
      <w:tr>
        <w:trPr/>
        <w:tc>
          <w:tcPr>
            <w:tcW w:w="109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55</w:t>
            </w:r>
          </w:p>
        </w:tc>
        <w:tc>
          <w:tcPr>
            <w:tcW w:w="4681"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 xml:space="preserve">Odpisy, rezervy a opravné položky z prevádzkovej </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innosti a finan</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 xml:space="preserve">nej </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innosti a</w:t>
            </w:r>
            <w:r>
              <w:rPr>
                <w:rFonts w:eastAsia="Calibri" w:cs="Bodoni MT Condensed" w:ascii="Bodoni MT Condensed" w:hAnsi="Bodoni MT Condensed"/>
                <w:b/>
                <w:bCs/>
                <w:kern w:val="0"/>
                <w:sz w:val="24"/>
                <w:szCs w:val="24"/>
                <w:lang w:val="sk-SK" w:eastAsia="en-US" w:bidi="ar-SA"/>
              </w:rPr>
              <w:t> </w:t>
            </w:r>
            <w:r>
              <w:rPr>
                <w:rFonts w:eastAsia="Calibri" w:cs="Times New Roman" w:ascii="Bodoni MT Condensed" w:hAnsi="Bodoni MT Condensed"/>
                <w:b/>
                <w:bCs/>
                <w:kern w:val="0"/>
                <w:sz w:val="24"/>
                <w:szCs w:val="24"/>
                <w:lang w:val="sk-SK" w:eastAsia="en-US" w:bidi="ar-SA"/>
              </w:rPr>
              <w:t>z</w:t>
            </w:r>
            <w:r>
              <w:rPr>
                <w:rFonts w:eastAsia="Calibri" w:cs="Bodoni MT Condensed" w:ascii="Bodoni MT Condensed" w:hAnsi="Bodoni MT Condensed"/>
                <w:b/>
                <w:bCs/>
                <w:kern w:val="0"/>
                <w:sz w:val="24"/>
                <w:szCs w:val="24"/>
                <w:lang w:val="sk-SK" w:eastAsia="en-US" w:bidi="ar-SA"/>
              </w:rPr>
              <w:t>ú</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 xml:space="preserve">tovanie </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asov</w:t>
            </w:r>
            <w:r>
              <w:rPr>
                <w:rFonts w:eastAsia="Calibri" w:cs="Bodoni MT Condensed" w:ascii="Bodoni MT Condensed" w:hAnsi="Bodoni MT Condensed"/>
                <w:b/>
                <w:bCs/>
                <w:kern w:val="0"/>
                <w:sz w:val="24"/>
                <w:szCs w:val="24"/>
                <w:lang w:val="sk-SK" w:eastAsia="en-US" w:bidi="ar-SA"/>
              </w:rPr>
              <w:t>é</w:t>
            </w:r>
            <w:r>
              <w:rPr>
                <w:rFonts w:eastAsia="Calibri" w:cs="Times New Roman" w:ascii="Bodoni MT Condensed" w:hAnsi="Bodoni MT Condensed"/>
                <w:b/>
                <w:bCs/>
                <w:kern w:val="0"/>
                <w:sz w:val="24"/>
                <w:szCs w:val="24"/>
                <w:lang w:val="sk-SK" w:eastAsia="en-US" w:bidi="ar-SA"/>
              </w:rPr>
              <w:t>ho rozl</w:t>
            </w:r>
            <w:r>
              <w:rPr>
                <w:rFonts w:eastAsia="Calibri" w:cs="Bodoni MT Condensed" w:ascii="Bodoni MT Condensed" w:hAnsi="Bodoni MT Condensed"/>
                <w:b/>
                <w:bCs/>
                <w:kern w:val="0"/>
                <w:sz w:val="24"/>
                <w:szCs w:val="24"/>
                <w:lang w:val="sk-SK" w:eastAsia="en-US" w:bidi="ar-SA"/>
              </w:rPr>
              <w:t>íš</w:t>
            </w:r>
            <w:r>
              <w:rPr>
                <w:rFonts w:eastAsia="Calibri" w:cs="Times New Roman" w:ascii="Bodoni MT Condensed" w:hAnsi="Bodoni MT Condensed"/>
                <w:b/>
                <w:bCs/>
                <w:kern w:val="0"/>
                <w:sz w:val="24"/>
                <w:szCs w:val="24"/>
                <w:lang w:val="sk-SK" w:eastAsia="en-US" w:bidi="ar-SA"/>
              </w:rPr>
              <w:t>enia</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202.284,54</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198.419,87</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551</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Odpisy dlhodobého nehmotného a dlhodobého hmotného majetku</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198.938,69</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192.844,09</w:t>
            </w:r>
          </w:p>
        </w:tc>
      </w:tr>
      <w:tr>
        <w:trPr/>
        <w:tc>
          <w:tcPr>
            <w:tcW w:w="1097" w:type="dxa"/>
            <w:tcBorders/>
          </w:tcPr>
          <w:p>
            <w:pPr>
              <w:pStyle w:val="Normal"/>
              <w:widowControl/>
              <w:suppressAutoHyphens w:val="true"/>
              <w:spacing w:lineRule="auto" w:line="240" w:before="0" w:after="0"/>
              <w:jc w:val="left"/>
              <w:rPr>
                <w:rFonts w:ascii="Bodoni MT Condensed" w:hAnsi="Bodoni MT Condensed" w:eastAsia="Calibri" w:cs="Times New Roman"/>
                <w:sz w:val="24"/>
                <w:szCs w:val="24"/>
              </w:rPr>
            </w:pPr>
            <w:r>
              <w:rPr>
                <w:rFonts w:eastAsia="Calibri" w:cs="Times New Roman" w:ascii="Bodoni MT Condensed" w:hAnsi="Bodoni MT Condensed"/>
                <w:sz w:val="24"/>
                <w:szCs w:val="24"/>
              </w:rPr>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 xml:space="preserve">Rezervy a opravné položky z prevádzkovej </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innosti</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3.345,85</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b/>
                <w:kern w:val="0"/>
                <w:sz w:val="24"/>
                <w:szCs w:val="24"/>
                <w:lang w:val="sk-SK" w:eastAsia="en-US" w:bidi="ar-SA"/>
              </w:rPr>
              <w:t>5.575,78</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553</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 xml:space="preserve">Tvorba ostatných rezerv z prevádzkovej </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innosti</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3.144,80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3.144,80</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558</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 xml:space="preserve">Tvorba ostatných opravných položiek z prevádzkovej </w:t>
            </w:r>
            <w:r>
              <w:rPr>
                <w:rFonts w:eastAsia="Calibri" w:cs="Cambria" w:ascii="Cambria" w:hAnsi="Cambria"/>
                <w:kern w:val="0"/>
                <w:sz w:val="24"/>
                <w:szCs w:val="24"/>
                <w:lang w:val="sk-SK" w:eastAsia="en-US" w:bidi="ar-SA"/>
              </w:rPr>
              <w:t>či</w:t>
            </w:r>
            <w:r>
              <w:rPr>
                <w:rFonts w:eastAsia="Calibri" w:cs="Times New Roman" w:ascii="Bodoni MT Condensed" w:hAnsi="Bodoni MT Condensed"/>
                <w:kern w:val="0"/>
                <w:sz w:val="24"/>
                <w:szCs w:val="24"/>
                <w:lang w:val="sk-SK" w:eastAsia="en-US" w:bidi="ar-SA"/>
              </w:rPr>
              <w:t>nnosti</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201,05</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2.430,98</w:t>
            </w:r>
          </w:p>
        </w:tc>
      </w:tr>
      <w:tr>
        <w:trPr/>
        <w:tc>
          <w:tcPr>
            <w:tcW w:w="109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56</w:t>
            </w:r>
          </w:p>
        </w:tc>
        <w:tc>
          <w:tcPr>
            <w:tcW w:w="4681"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Finan</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n</w:t>
            </w:r>
            <w:r>
              <w:rPr>
                <w:rFonts w:eastAsia="Calibri" w:cs="Bodoni MT Condensed" w:ascii="Bodoni MT Condensed" w:hAnsi="Bodoni MT Condensed"/>
                <w:b/>
                <w:bCs/>
                <w:kern w:val="0"/>
                <w:sz w:val="24"/>
                <w:szCs w:val="24"/>
                <w:lang w:val="sk-SK" w:eastAsia="en-US" w:bidi="ar-SA"/>
              </w:rPr>
              <w:t>é</w:t>
            </w:r>
            <w:r>
              <w:rPr>
                <w:rFonts w:eastAsia="Calibri" w:cs="Times New Roman" w:ascii="Bodoni MT Condensed" w:hAnsi="Bodoni MT Condensed"/>
                <w:b/>
                <w:bCs/>
                <w:kern w:val="0"/>
                <w:sz w:val="24"/>
                <w:szCs w:val="24"/>
                <w:lang w:val="sk-SK" w:eastAsia="en-US" w:bidi="ar-SA"/>
              </w:rPr>
              <w:t xml:space="preserve"> n</w:t>
            </w:r>
            <w:r>
              <w:rPr>
                <w:rFonts w:eastAsia="Calibri" w:cs="Bodoni MT Condensed" w:ascii="Bodoni MT Condensed" w:hAnsi="Bodoni MT Condensed"/>
                <w:b/>
                <w:bCs/>
                <w:kern w:val="0"/>
                <w:sz w:val="24"/>
                <w:szCs w:val="24"/>
                <w:lang w:val="sk-SK" w:eastAsia="en-US" w:bidi="ar-SA"/>
              </w:rPr>
              <w:t>á</w:t>
            </w:r>
            <w:r>
              <w:rPr>
                <w:rFonts w:eastAsia="Calibri" w:cs="Times New Roman" w:ascii="Bodoni MT Condensed" w:hAnsi="Bodoni MT Condensed"/>
                <w:b/>
                <w:bCs/>
                <w:kern w:val="0"/>
                <w:sz w:val="24"/>
                <w:szCs w:val="24"/>
                <w:lang w:val="sk-SK" w:eastAsia="en-US" w:bidi="ar-SA"/>
              </w:rPr>
              <w:t>klady</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20.072,54</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10.203,99</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562</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Úroky</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6.747,40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4.825,88</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568</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Ostatné finan</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n</w:t>
            </w:r>
            <w:r>
              <w:rPr>
                <w:rFonts w:eastAsia="Calibri" w:cs="Bodoni MT Condensed" w:ascii="Bodoni MT Condensed" w:hAnsi="Bodoni MT Condensed"/>
                <w:kern w:val="0"/>
                <w:sz w:val="24"/>
                <w:szCs w:val="24"/>
                <w:lang w:val="sk-SK" w:eastAsia="en-US" w:bidi="ar-SA"/>
              </w:rPr>
              <w:t>é</w:t>
            </w:r>
            <w:r>
              <w:rPr>
                <w:rFonts w:eastAsia="Calibri" w:cs="Times New Roman" w:ascii="Bodoni MT Condensed" w:hAnsi="Bodoni MT Condensed"/>
                <w:kern w:val="0"/>
                <w:sz w:val="24"/>
                <w:szCs w:val="24"/>
                <w:lang w:val="sk-SK" w:eastAsia="en-US" w:bidi="ar-SA"/>
              </w:rPr>
              <w:t xml:space="preserve"> n</w:t>
            </w:r>
            <w:r>
              <w:rPr>
                <w:rFonts w:eastAsia="Calibri" w:cs="Bodoni MT Condensed" w:ascii="Bodoni MT Condensed" w:hAnsi="Bodoni MT Condensed"/>
                <w:kern w:val="0"/>
                <w:sz w:val="24"/>
                <w:szCs w:val="24"/>
                <w:lang w:val="sk-SK" w:eastAsia="en-US" w:bidi="ar-SA"/>
              </w:rPr>
              <w:t>á</w:t>
            </w:r>
            <w:r>
              <w:rPr>
                <w:rFonts w:eastAsia="Calibri" w:cs="Times New Roman" w:ascii="Bodoni MT Condensed" w:hAnsi="Bodoni MT Condensed"/>
                <w:kern w:val="0"/>
                <w:sz w:val="24"/>
                <w:szCs w:val="24"/>
                <w:lang w:val="sk-SK" w:eastAsia="en-US" w:bidi="ar-SA"/>
              </w:rPr>
              <w:t>klady</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13.325,12</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5.378,11</w:t>
            </w:r>
          </w:p>
        </w:tc>
      </w:tr>
      <w:tr>
        <w:trPr/>
        <w:tc>
          <w:tcPr>
            <w:tcW w:w="109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57</w:t>
            </w:r>
          </w:p>
        </w:tc>
        <w:tc>
          <w:tcPr>
            <w:tcW w:w="4681"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Mimoriadne náklady</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0,00</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0,00</w:t>
            </w:r>
          </w:p>
        </w:tc>
      </w:tr>
      <w:tr>
        <w:trPr/>
        <w:tc>
          <w:tcPr>
            <w:tcW w:w="109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58</w:t>
            </w:r>
          </w:p>
        </w:tc>
        <w:tc>
          <w:tcPr>
            <w:tcW w:w="4681"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Náklady na transfery a náklady z odvodu príjmov</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3.000,00</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13.781,67</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585</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Náklady na transfery z rozpo</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tu obce alebo z</w:t>
            </w:r>
            <w:r>
              <w:rPr>
                <w:rFonts w:eastAsia="Calibri" w:cs="Bodoni MT Condensed" w:ascii="Bodoni MT Condensed" w:hAnsi="Bodoni MT Condensed"/>
                <w:kern w:val="0"/>
                <w:sz w:val="24"/>
                <w:szCs w:val="24"/>
                <w:lang w:val="sk-SK" w:eastAsia="en-US" w:bidi="ar-SA"/>
              </w:rPr>
              <w:t> </w:t>
            </w:r>
            <w:r>
              <w:rPr>
                <w:rFonts w:eastAsia="Calibri" w:cs="Times New Roman" w:ascii="Bodoni MT Condensed" w:hAnsi="Bodoni MT Condensed"/>
                <w:kern w:val="0"/>
                <w:sz w:val="24"/>
                <w:szCs w:val="24"/>
                <w:lang w:val="sk-SK" w:eastAsia="en-US" w:bidi="ar-SA"/>
              </w:rPr>
              <w:t>rozpo</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tu vy</w:t>
            </w:r>
            <w:r>
              <w:rPr>
                <w:rFonts w:eastAsia="Calibri" w:cs="Bodoni MT Condensed" w:ascii="Bodoni MT Condensed" w:hAnsi="Bodoni MT Condensed"/>
                <w:kern w:val="0"/>
                <w:sz w:val="24"/>
                <w:szCs w:val="24"/>
                <w:lang w:val="sk-SK" w:eastAsia="en-US" w:bidi="ar-SA"/>
              </w:rPr>
              <w:t>šš</w:t>
            </w:r>
            <w:r>
              <w:rPr>
                <w:rFonts w:eastAsia="Calibri" w:cs="Times New Roman" w:ascii="Bodoni MT Condensed" w:hAnsi="Bodoni MT Condensed"/>
                <w:kern w:val="0"/>
                <w:sz w:val="24"/>
                <w:szCs w:val="24"/>
                <w:lang w:val="sk-SK" w:eastAsia="en-US" w:bidi="ar-SA"/>
              </w:rPr>
              <w:t xml:space="preserve">ieho </w:t>
            </w:r>
            <w:r>
              <w:rPr>
                <w:rFonts w:eastAsia="Calibri" w:cs="Bodoni MT Condensed" w:ascii="Bodoni MT Condensed" w:hAnsi="Bodoni MT Condensed"/>
                <w:kern w:val="0"/>
                <w:sz w:val="24"/>
                <w:szCs w:val="24"/>
                <w:lang w:val="sk-SK" w:eastAsia="en-US" w:bidi="ar-SA"/>
              </w:rPr>
              <w:t>ú</w:t>
            </w:r>
            <w:r>
              <w:rPr>
                <w:rFonts w:eastAsia="Calibri" w:cs="Times New Roman" w:ascii="Bodoni MT Condensed" w:hAnsi="Bodoni MT Condensed"/>
                <w:kern w:val="0"/>
                <w:sz w:val="24"/>
                <w:szCs w:val="24"/>
                <w:lang w:val="sk-SK" w:eastAsia="en-US" w:bidi="ar-SA"/>
              </w:rPr>
              <w:t>zemn</w:t>
            </w:r>
            <w:r>
              <w:rPr>
                <w:rFonts w:eastAsia="Calibri" w:cs="Bodoni MT Condensed" w:ascii="Bodoni MT Condensed" w:hAnsi="Bodoni MT Condensed"/>
                <w:kern w:val="0"/>
                <w:sz w:val="24"/>
                <w:szCs w:val="24"/>
                <w:lang w:val="sk-SK" w:eastAsia="en-US" w:bidi="ar-SA"/>
              </w:rPr>
              <w:t>é</w:t>
            </w:r>
            <w:r>
              <w:rPr>
                <w:rFonts w:eastAsia="Calibri" w:cs="Times New Roman" w:ascii="Bodoni MT Condensed" w:hAnsi="Bodoni MT Condensed"/>
                <w:kern w:val="0"/>
                <w:sz w:val="24"/>
                <w:szCs w:val="24"/>
                <w:lang w:val="sk-SK" w:eastAsia="en-US" w:bidi="ar-SA"/>
              </w:rPr>
              <w:t>ho celku ostatn</w:t>
            </w:r>
            <w:r>
              <w:rPr>
                <w:rFonts w:eastAsia="Calibri" w:cs="Bodoni MT Condensed" w:ascii="Bodoni MT Condensed" w:hAnsi="Bodoni MT Condensed"/>
                <w:kern w:val="0"/>
                <w:sz w:val="24"/>
                <w:szCs w:val="24"/>
                <w:lang w:val="sk-SK" w:eastAsia="en-US" w:bidi="ar-SA"/>
              </w:rPr>
              <w:t>ý</w:t>
            </w:r>
            <w:r>
              <w:rPr>
                <w:rFonts w:eastAsia="Calibri" w:cs="Times New Roman" w:ascii="Bodoni MT Condensed" w:hAnsi="Bodoni MT Condensed"/>
                <w:kern w:val="0"/>
                <w:sz w:val="24"/>
                <w:szCs w:val="24"/>
                <w:lang w:val="sk-SK" w:eastAsia="en-US" w:bidi="ar-SA"/>
              </w:rPr>
              <w:t>m subjektom verejnej spr</w:t>
            </w:r>
            <w:r>
              <w:rPr>
                <w:rFonts w:eastAsia="Calibri" w:cs="Bodoni MT Condensed" w:ascii="Bodoni MT Condensed" w:hAnsi="Bodoni MT Condensed"/>
                <w:kern w:val="0"/>
                <w:sz w:val="24"/>
                <w:szCs w:val="24"/>
                <w:lang w:val="sk-SK" w:eastAsia="en-US" w:bidi="ar-SA"/>
              </w:rPr>
              <w:t>á</w:t>
            </w:r>
            <w:r>
              <w:rPr>
                <w:rFonts w:eastAsia="Calibri" w:cs="Times New Roman" w:ascii="Bodoni MT Condensed" w:hAnsi="Bodoni MT Condensed"/>
                <w:kern w:val="0"/>
                <w:sz w:val="24"/>
                <w:szCs w:val="24"/>
                <w:lang w:val="sk-SK" w:eastAsia="en-US" w:bidi="ar-SA"/>
              </w:rPr>
              <w:t>vy</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0,00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0,00</w:t>
            </w:r>
          </w:p>
        </w:tc>
      </w:tr>
      <w:tr>
        <w:trPr/>
        <w:tc>
          <w:tcPr>
            <w:tcW w:w="109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586</w:t>
            </w:r>
          </w:p>
        </w:tc>
        <w:tc>
          <w:tcPr>
            <w:tcW w:w="468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Náklady na transfery z rozpo</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tu obce alebo z</w:t>
            </w:r>
            <w:r>
              <w:rPr>
                <w:rFonts w:eastAsia="Calibri" w:cs="Bodoni MT Condensed" w:ascii="Bodoni MT Condensed" w:hAnsi="Bodoni MT Condensed"/>
                <w:kern w:val="0"/>
                <w:sz w:val="24"/>
                <w:szCs w:val="24"/>
                <w:lang w:val="sk-SK" w:eastAsia="en-US" w:bidi="ar-SA"/>
              </w:rPr>
              <w:t> </w:t>
            </w:r>
            <w:r>
              <w:rPr>
                <w:rFonts w:eastAsia="Calibri" w:cs="Times New Roman" w:ascii="Bodoni MT Condensed" w:hAnsi="Bodoni MT Condensed"/>
                <w:kern w:val="0"/>
                <w:sz w:val="24"/>
                <w:szCs w:val="24"/>
                <w:lang w:val="sk-SK" w:eastAsia="en-US" w:bidi="ar-SA"/>
              </w:rPr>
              <w:t>rozpo</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tu vy</w:t>
            </w:r>
            <w:r>
              <w:rPr>
                <w:rFonts w:eastAsia="Calibri" w:cs="Bodoni MT Condensed" w:ascii="Bodoni MT Condensed" w:hAnsi="Bodoni MT Condensed"/>
                <w:kern w:val="0"/>
                <w:sz w:val="24"/>
                <w:szCs w:val="24"/>
                <w:lang w:val="sk-SK" w:eastAsia="en-US" w:bidi="ar-SA"/>
              </w:rPr>
              <w:t>šš</w:t>
            </w:r>
            <w:r>
              <w:rPr>
                <w:rFonts w:eastAsia="Calibri" w:cs="Times New Roman" w:ascii="Bodoni MT Condensed" w:hAnsi="Bodoni MT Condensed"/>
                <w:kern w:val="0"/>
                <w:sz w:val="24"/>
                <w:szCs w:val="24"/>
                <w:lang w:val="sk-SK" w:eastAsia="en-US" w:bidi="ar-SA"/>
              </w:rPr>
              <w:t xml:space="preserve">ieho </w:t>
            </w:r>
            <w:r>
              <w:rPr>
                <w:rFonts w:eastAsia="Calibri" w:cs="Bodoni MT Condensed" w:ascii="Bodoni MT Condensed" w:hAnsi="Bodoni MT Condensed"/>
                <w:kern w:val="0"/>
                <w:sz w:val="24"/>
                <w:szCs w:val="24"/>
                <w:lang w:val="sk-SK" w:eastAsia="en-US" w:bidi="ar-SA"/>
              </w:rPr>
              <w:t>ú</w:t>
            </w:r>
            <w:r>
              <w:rPr>
                <w:rFonts w:eastAsia="Calibri" w:cs="Times New Roman" w:ascii="Bodoni MT Condensed" w:hAnsi="Bodoni MT Condensed"/>
                <w:kern w:val="0"/>
                <w:sz w:val="24"/>
                <w:szCs w:val="24"/>
                <w:lang w:val="sk-SK" w:eastAsia="en-US" w:bidi="ar-SA"/>
              </w:rPr>
              <w:t>zemn</w:t>
            </w:r>
            <w:r>
              <w:rPr>
                <w:rFonts w:eastAsia="Calibri" w:cs="Bodoni MT Condensed" w:ascii="Bodoni MT Condensed" w:hAnsi="Bodoni MT Condensed"/>
                <w:kern w:val="0"/>
                <w:sz w:val="24"/>
                <w:szCs w:val="24"/>
                <w:lang w:val="sk-SK" w:eastAsia="en-US" w:bidi="ar-SA"/>
              </w:rPr>
              <w:t>é</w:t>
            </w:r>
            <w:r>
              <w:rPr>
                <w:rFonts w:eastAsia="Calibri" w:cs="Times New Roman" w:ascii="Bodoni MT Condensed" w:hAnsi="Bodoni MT Condensed"/>
                <w:kern w:val="0"/>
                <w:sz w:val="24"/>
                <w:szCs w:val="24"/>
                <w:lang w:val="sk-SK" w:eastAsia="en-US" w:bidi="ar-SA"/>
              </w:rPr>
              <w:t>ho celku subjektom  mimo verejnej správy</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3.000,00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13.781,67</w:t>
            </w:r>
          </w:p>
        </w:tc>
      </w:tr>
      <w:tr>
        <w:trPr/>
        <w:tc>
          <w:tcPr>
            <w:tcW w:w="5778" w:type="dxa"/>
            <w:gridSpan w:val="2"/>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Ú</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tovn</w:t>
            </w:r>
            <w:r>
              <w:rPr>
                <w:rFonts w:eastAsia="Calibri" w:cs="Bodoni MT Condensed" w:ascii="Bodoni MT Condensed" w:hAnsi="Bodoni MT Condensed"/>
                <w:b/>
                <w:bCs/>
                <w:kern w:val="0"/>
                <w:sz w:val="24"/>
                <w:szCs w:val="24"/>
                <w:lang w:val="sk-SK" w:eastAsia="en-US" w:bidi="ar-SA"/>
              </w:rPr>
              <w:t>é</w:t>
            </w:r>
            <w:r>
              <w:rPr>
                <w:rFonts w:eastAsia="Calibri" w:cs="Times New Roman" w:ascii="Bodoni MT Condensed" w:hAnsi="Bodoni MT Condensed"/>
                <w:b/>
                <w:bCs/>
                <w:kern w:val="0"/>
                <w:sz w:val="24"/>
                <w:szCs w:val="24"/>
                <w:lang w:val="sk-SK" w:eastAsia="en-US" w:bidi="ar-SA"/>
              </w:rPr>
              <w:t xml:space="preserve"> skupiny 50-58 celkom</w:t>
            </w:r>
          </w:p>
        </w:tc>
        <w:tc>
          <w:tcPr>
            <w:tcW w:w="2126"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2.316.773,47</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2.187.063,55</w:t>
            </w:r>
          </w:p>
        </w:tc>
      </w:tr>
    </w:tbl>
    <w:p>
      <w:pPr>
        <w:pStyle w:val="Normal"/>
        <w:spacing w:lineRule="auto" w:line="240" w:before="0" w:after="0"/>
        <w:rPr/>
      </w:pPr>
      <w:r>
        <w:rPr>
          <w:rFonts w:cs="Times New Roman" w:ascii="Times New Roman" w:hAnsi="Times New Roman"/>
          <w:b/>
          <w:sz w:val="24"/>
          <w:szCs w:val="24"/>
        </w:rPr>
        <w:t>7.2.2 VÝNOSY KONSOLIDOVANÉHO CELKU</w:t>
      </w:r>
    </w:p>
    <w:tbl>
      <w:tblPr>
        <w:tblStyle w:val="Mriekatabuky"/>
        <w:tblW w:w="9687"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1102"/>
        <w:gridCol w:w="4677"/>
        <w:gridCol w:w="2174"/>
        <w:gridCol w:w="1733"/>
      </w:tblGrid>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Times New Roman" w:hAnsi="Times New Roman"/>
                <w:kern w:val="0"/>
                <w:sz w:val="24"/>
                <w:szCs w:val="24"/>
                <w:lang w:val="sk-SK" w:eastAsia="en-US" w:bidi="ar-SA"/>
              </w:rPr>
              <w:t>Č</w:t>
            </w:r>
            <w:r>
              <w:rPr>
                <w:rFonts w:eastAsia="Calibri" w:cs="Bodoni MT Condensed" w:ascii="Bodoni MT Condensed" w:hAnsi="Bodoni MT Condensed"/>
                <w:kern w:val="0"/>
                <w:sz w:val="24"/>
                <w:szCs w:val="24"/>
                <w:lang w:val="sk-SK" w:eastAsia="en-US" w:bidi="ar-SA"/>
              </w:rPr>
              <w:t>í</w:t>
            </w:r>
            <w:r>
              <w:rPr>
                <w:rFonts w:eastAsia="Calibri" w:cs="Times New Roman" w:ascii="Bodoni MT Condensed" w:hAnsi="Bodoni MT Condensed"/>
                <w:kern w:val="0"/>
                <w:sz w:val="24"/>
                <w:szCs w:val="24"/>
                <w:lang w:val="sk-SK" w:eastAsia="en-US" w:bidi="ar-SA"/>
              </w:rPr>
              <w:t xml:space="preserve">slo </w:t>
            </w:r>
            <w:r>
              <w:rPr>
                <w:rFonts w:eastAsia="Calibri" w:cs="Bodoni MT Condensed" w:ascii="Bodoni MT Condensed" w:hAnsi="Bodoni MT Condensed"/>
                <w:kern w:val="0"/>
                <w:sz w:val="24"/>
                <w:szCs w:val="24"/>
                <w:lang w:val="sk-SK" w:eastAsia="en-US" w:bidi="ar-SA"/>
              </w:rPr>
              <w:t>ú</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tu alebo skupiny</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Výnosy, da</w:t>
            </w:r>
            <w:r>
              <w:rPr>
                <w:rFonts w:eastAsia="Calibri" w:cs="Times New Roman" w:ascii="Times New Roman" w:hAnsi="Times New Roman"/>
                <w:kern w:val="0"/>
                <w:sz w:val="24"/>
                <w:szCs w:val="24"/>
                <w:lang w:val="sk-SK" w:eastAsia="en-US" w:bidi="ar-SA"/>
              </w:rPr>
              <w:t>ň</w:t>
            </w:r>
            <w:r>
              <w:rPr>
                <w:rFonts w:eastAsia="Calibri" w:cs="Times New Roman" w:ascii="Bodoni MT Condensed" w:hAnsi="Bodoni MT Condensed"/>
                <w:kern w:val="0"/>
                <w:sz w:val="24"/>
                <w:szCs w:val="24"/>
                <w:lang w:val="sk-SK" w:eastAsia="en-US" w:bidi="ar-SA"/>
              </w:rPr>
              <w:t xml:space="preserve"> z</w:t>
            </w:r>
            <w:r>
              <w:rPr>
                <w:rFonts w:eastAsia="Calibri" w:cs="Bodoni MT Condensed" w:ascii="Bodoni MT Condensed" w:hAnsi="Bodoni MT Condensed"/>
                <w:kern w:val="0"/>
                <w:sz w:val="24"/>
                <w:szCs w:val="24"/>
                <w:lang w:val="sk-SK" w:eastAsia="en-US" w:bidi="ar-SA"/>
              </w:rPr>
              <w:t> </w:t>
            </w:r>
            <w:r>
              <w:rPr>
                <w:rFonts w:eastAsia="Calibri" w:cs="Times New Roman" w:ascii="Bodoni MT Condensed" w:hAnsi="Bodoni MT Condensed"/>
                <w:kern w:val="0"/>
                <w:sz w:val="24"/>
                <w:szCs w:val="24"/>
                <w:lang w:val="sk-SK" w:eastAsia="en-US" w:bidi="ar-SA"/>
              </w:rPr>
              <w:t>pr</w:t>
            </w:r>
            <w:r>
              <w:rPr>
                <w:rFonts w:eastAsia="Calibri" w:cs="Bodoni MT Condensed" w:ascii="Bodoni MT Condensed" w:hAnsi="Bodoni MT Condensed"/>
                <w:kern w:val="0"/>
                <w:sz w:val="24"/>
                <w:szCs w:val="24"/>
                <w:lang w:val="sk-SK" w:eastAsia="en-US" w:bidi="ar-SA"/>
              </w:rPr>
              <w:t>í</w:t>
            </w:r>
            <w:r>
              <w:rPr>
                <w:rFonts w:eastAsia="Calibri" w:cs="Times New Roman" w:ascii="Bodoni MT Condensed" w:hAnsi="Bodoni MT Condensed"/>
                <w:kern w:val="0"/>
                <w:sz w:val="24"/>
                <w:szCs w:val="24"/>
                <w:lang w:val="sk-SK" w:eastAsia="en-US" w:bidi="ar-SA"/>
              </w:rPr>
              <w:t>jmov a</w:t>
            </w:r>
            <w:r>
              <w:rPr>
                <w:rFonts w:eastAsia="Calibri" w:cs="Bodoni MT Condensed" w:ascii="Bodoni MT Condensed" w:hAnsi="Bodoni MT Condensed"/>
                <w:kern w:val="0"/>
                <w:sz w:val="24"/>
                <w:szCs w:val="24"/>
                <w:lang w:val="sk-SK" w:eastAsia="en-US" w:bidi="ar-SA"/>
              </w:rPr>
              <w:t> </w:t>
            </w:r>
            <w:r>
              <w:rPr>
                <w:rFonts w:eastAsia="Calibri" w:cs="Times New Roman" w:ascii="Bodoni MT Condensed" w:hAnsi="Bodoni MT Condensed"/>
                <w:kern w:val="0"/>
                <w:sz w:val="24"/>
                <w:szCs w:val="24"/>
                <w:lang w:val="sk-SK" w:eastAsia="en-US" w:bidi="ar-SA"/>
              </w:rPr>
              <w:t>v</w:t>
            </w:r>
            <w:r>
              <w:rPr>
                <w:rFonts w:eastAsia="Calibri" w:cs="Bodoni MT Condensed" w:ascii="Bodoni MT Condensed" w:hAnsi="Bodoni MT Condensed"/>
                <w:kern w:val="0"/>
                <w:sz w:val="24"/>
                <w:szCs w:val="24"/>
                <w:lang w:val="sk-SK" w:eastAsia="en-US" w:bidi="ar-SA"/>
              </w:rPr>
              <w:t>ý</w:t>
            </w:r>
            <w:r>
              <w:rPr>
                <w:rFonts w:eastAsia="Calibri" w:cs="Times New Roman" w:ascii="Bodoni MT Condensed" w:hAnsi="Bodoni MT Condensed"/>
                <w:kern w:val="0"/>
                <w:sz w:val="24"/>
                <w:szCs w:val="24"/>
                <w:lang w:val="sk-SK" w:eastAsia="en-US" w:bidi="ar-SA"/>
              </w:rPr>
              <w:t>sledok hospod</w:t>
            </w:r>
            <w:r>
              <w:rPr>
                <w:rFonts w:eastAsia="Calibri" w:cs="Bodoni MT Condensed" w:ascii="Bodoni MT Condensed" w:hAnsi="Bodoni MT Condensed"/>
                <w:kern w:val="0"/>
                <w:sz w:val="24"/>
                <w:szCs w:val="24"/>
                <w:lang w:val="sk-SK" w:eastAsia="en-US" w:bidi="ar-SA"/>
              </w:rPr>
              <w:t>á</w:t>
            </w:r>
            <w:r>
              <w:rPr>
                <w:rFonts w:eastAsia="Calibri" w:cs="Times New Roman" w:ascii="Bodoni MT Condensed" w:hAnsi="Bodoni MT Condensed"/>
                <w:kern w:val="0"/>
                <w:sz w:val="24"/>
                <w:szCs w:val="24"/>
                <w:lang w:val="sk-SK" w:eastAsia="en-US" w:bidi="ar-SA"/>
              </w:rPr>
              <w:t>renia</w:t>
            </w:r>
          </w:p>
        </w:tc>
        <w:tc>
          <w:tcPr>
            <w:tcW w:w="2174" w:type="dxa"/>
            <w:tcBorders/>
          </w:tcPr>
          <w:p>
            <w:pPr>
              <w:pStyle w:val="Normal"/>
              <w:widowControl/>
              <w:suppressAutoHyphens w:val="true"/>
              <w:spacing w:lineRule="auto" w:line="240" w:before="0" w:after="0"/>
              <w:jc w:val="center"/>
              <w:rPr>
                <w:rFonts w:ascii="Calibri" w:hAnsi="Calibri" w:eastAsia="Calibri"/>
              </w:rPr>
            </w:pPr>
            <w:r>
              <w:rPr>
                <w:rFonts w:eastAsia="Calibri" w:cs="Times New Roman" w:ascii="Bodoni MT Condensed" w:hAnsi="Bodoni MT Condensed"/>
                <w:kern w:val="0"/>
                <w:sz w:val="24"/>
                <w:szCs w:val="24"/>
                <w:lang w:val="sk-SK" w:eastAsia="en-US" w:bidi="ar-SA"/>
              </w:rPr>
              <w:t>Bežné ú</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tovn</w:t>
            </w:r>
            <w:r>
              <w:rPr>
                <w:rFonts w:eastAsia="Calibri" w:cs="Bodoni MT Condensed" w:ascii="Bodoni MT Condensed" w:hAnsi="Bodoni MT Condensed"/>
                <w:kern w:val="0"/>
                <w:sz w:val="24"/>
                <w:szCs w:val="24"/>
                <w:lang w:val="sk-SK" w:eastAsia="en-US" w:bidi="ar-SA"/>
              </w:rPr>
              <w:t>é</w:t>
            </w:r>
            <w:r>
              <w:rPr>
                <w:rFonts w:eastAsia="Calibri" w:cs="Times New Roman" w:ascii="Bodoni MT Condensed" w:hAnsi="Bodoni MT Condensed"/>
                <w:kern w:val="0"/>
                <w:sz w:val="24"/>
                <w:szCs w:val="24"/>
                <w:lang w:val="sk-SK" w:eastAsia="en-US" w:bidi="ar-SA"/>
              </w:rPr>
              <w:t xml:space="preserve"> obdobie</w:t>
            </w:r>
          </w:p>
        </w:tc>
        <w:tc>
          <w:tcPr>
            <w:tcW w:w="1733"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Bezprostredne predchádzajúce ú</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tovn</w:t>
            </w:r>
            <w:r>
              <w:rPr>
                <w:rFonts w:eastAsia="Calibri" w:cs="Bodoni MT Condensed" w:ascii="Bodoni MT Condensed" w:hAnsi="Bodoni MT Condensed"/>
                <w:kern w:val="0"/>
                <w:sz w:val="24"/>
                <w:szCs w:val="24"/>
                <w:lang w:val="sk-SK" w:eastAsia="en-US" w:bidi="ar-SA"/>
              </w:rPr>
              <w:t>é</w:t>
            </w:r>
            <w:r>
              <w:rPr>
                <w:rFonts w:eastAsia="Calibri" w:cs="Times New Roman" w:ascii="Bodoni MT Condensed" w:hAnsi="Bodoni MT Condensed"/>
                <w:kern w:val="0"/>
                <w:sz w:val="24"/>
                <w:szCs w:val="24"/>
                <w:lang w:val="sk-SK" w:eastAsia="en-US" w:bidi="ar-SA"/>
              </w:rPr>
              <w:t xml:space="preserve"> obdobie</w:t>
            </w:r>
          </w:p>
        </w:tc>
      </w:tr>
      <w:tr>
        <w:trPr/>
        <w:tc>
          <w:tcPr>
            <w:tcW w:w="1102"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60</w:t>
            </w:r>
          </w:p>
        </w:tc>
        <w:tc>
          <w:tcPr>
            <w:tcW w:w="467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Tržby za vlastné výkony a tovar</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58.831,96</w:t>
            </w:r>
          </w:p>
        </w:tc>
        <w:tc>
          <w:tcPr>
            <w:tcW w:w="1733"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70.461,72</w:t>
            </w:r>
          </w:p>
        </w:tc>
      </w:tr>
      <w:tr>
        <w:trPr/>
        <w:tc>
          <w:tcPr>
            <w:tcW w:w="1102" w:type="dxa"/>
            <w:tcBorders/>
          </w:tcPr>
          <w:p>
            <w:pPr>
              <w:pStyle w:val="Normal"/>
              <w:widowControl/>
              <w:suppressAutoHyphens w:val="true"/>
              <w:spacing w:lineRule="auto" w:line="240" w:before="0" w:after="0"/>
              <w:jc w:val="lef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601</w:t>
            </w:r>
          </w:p>
        </w:tc>
        <w:tc>
          <w:tcPr>
            <w:tcW w:w="4677" w:type="dxa"/>
            <w:tcBorders/>
          </w:tcPr>
          <w:p>
            <w:pPr>
              <w:pStyle w:val="Normal"/>
              <w:widowControl/>
              <w:suppressAutoHyphens w:val="true"/>
              <w:spacing w:lineRule="auto" w:line="240" w:before="0" w:after="0"/>
              <w:jc w:val="lef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Tržby za vlastné výrobky</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865,00</w:t>
            </w:r>
          </w:p>
        </w:tc>
        <w:tc>
          <w:tcPr>
            <w:tcW w:w="1733"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0,00</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602</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Tržby z predaja služieb</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55.676,86</w:t>
            </w:r>
          </w:p>
        </w:tc>
        <w:tc>
          <w:tcPr>
            <w:tcW w:w="1733"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63.163,87</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604,607</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Tržby za tovar, výnosy z nehnute</w:t>
            </w:r>
            <w:r>
              <w:rPr>
                <w:rFonts w:eastAsia="Calibri" w:cs="Times New Roman" w:ascii="Times New Roman" w:hAnsi="Times New Roman"/>
                <w:kern w:val="0"/>
                <w:sz w:val="24"/>
                <w:szCs w:val="24"/>
                <w:lang w:val="sk-SK" w:eastAsia="en-US" w:bidi="ar-SA"/>
              </w:rPr>
              <w:t>ľ</w:t>
            </w:r>
            <w:r>
              <w:rPr>
                <w:rFonts w:eastAsia="Calibri" w:cs="Times New Roman" w:ascii="Bodoni MT Condensed" w:hAnsi="Bodoni MT Condensed"/>
                <w:kern w:val="0"/>
                <w:sz w:val="24"/>
                <w:szCs w:val="24"/>
                <w:lang w:val="sk-SK" w:eastAsia="en-US" w:bidi="ar-SA"/>
              </w:rPr>
              <w:t>nosti na predaj</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2.290,10</w:t>
            </w:r>
          </w:p>
        </w:tc>
        <w:tc>
          <w:tcPr>
            <w:tcW w:w="1733"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7.297,85</w:t>
            </w:r>
          </w:p>
        </w:tc>
      </w:tr>
      <w:tr>
        <w:trPr/>
        <w:tc>
          <w:tcPr>
            <w:tcW w:w="1102"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61</w:t>
            </w:r>
          </w:p>
        </w:tc>
        <w:tc>
          <w:tcPr>
            <w:tcW w:w="467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Zmena stavu vnútroorganiza</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n</w:t>
            </w:r>
            <w:r>
              <w:rPr>
                <w:rFonts w:eastAsia="Calibri" w:cs="Bodoni MT Condensed" w:ascii="Bodoni MT Condensed" w:hAnsi="Bodoni MT Condensed"/>
                <w:b/>
                <w:bCs/>
                <w:kern w:val="0"/>
                <w:sz w:val="24"/>
                <w:szCs w:val="24"/>
                <w:lang w:val="sk-SK" w:eastAsia="en-US" w:bidi="ar-SA"/>
              </w:rPr>
              <w:t>ý</w:t>
            </w:r>
            <w:r>
              <w:rPr>
                <w:rFonts w:eastAsia="Calibri" w:cs="Times New Roman" w:ascii="Bodoni MT Condensed" w:hAnsi="Bodoni MT Condensed"/>
                <w:b/>
                <w:bCs/>
                <w:kern w:val="0"/>
                <w:sz w:val="24"/>
                <w:szCs w:val="24"/>
                <w:lang w:val="sk-SK" w:eastAsia="en-US" w:bidi="ar-SA"/>
              </w:rPr>
              <w:t>ch z</w:t>
            </w:r>
            <w:r>
              <w:rPr>
                <w:rFonts w:eastAsia="Calibri" w:cs="Bodoni MT Condensed" w:ascii="Bodoni MT Condensed" w:hAnsi="Bodoni MT Condensed"/>
                <w:b/>
                <w:bCs/>
                <w:kern w:val="0"/>
                <w:sz w:val="24"/>
                <w:szCs w:val="24"/>
                <w:lang w:val="sk-SK" w:eastAsia="en-US" w:bidi="ar-SA"/>
              </w:rPr>
              <w:t>á</w:t>
            </w:r>
            <w:r>
              <w:rPr>
                <w:rFonts w:eastAsia="Calibri" w:cs="Times New Roman" w:ascii="Bodoni MT Condensed" w:hAnsi="Bodoni MT Condensed"/>
                <w:b/>
                <w:bCs/>
                <w:kern w:val="0"/>
                <w:sz w:val="24"/>
                <w:szCs w:val="24"/>
                <w:lang w:val="sk-SK" w:eastAsia="en-US" w:bidi="ar-SA"/>
              </w:rPr>
              <w:t>sob</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0,00</w:t>
            </w:r>
          </w:p>
        </w:tc>
        <w:tc>
          <w:tcPr>
            <w:tcW w:w="1733"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0,00</w:t>
            </w:r>
          </w:p>
        </w:tc>
      </w:tr>
      <w:tr>
        <w:trPr/>
        <w:tc>
          <w:tcPr>
            <w:tcW w:w="1102"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62</w:t>
            </w:r>
          </w:p>
        </w:tc>
        <w:tc>
          <w:tcPr>
            <w:tcW w:w="467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Aktivácia</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0,00</w:t>
            </w:r>
          </w:p>
        </w:tc>
        <w:tc>
          <w:tcPr>
            <w:tcW w:w="1733"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0,00</w:t>
            </w:r>
          </w:p>
        </w:tc>
      </w:tr>
      <w:tr>
        <w:trPr/>
        <w:tc>
          <w:tcPr>
            <w:tcW w:w="1102"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63</w:t>
            </w:r>
          </w:p>
        </w:tc>
        <w:tc>
          <w:tcPr>
            <w:tcW w:w="467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Da</w:t>
            </w:r>
            <w:r>
              <w:rPr>
                <w:rFonts w:eastAsia="Calibri" w:cs="Times New Roman" w:ascii="Times New Roman" w:hAnsi="Times New Roman"/>
                <w:b/>
                <w:bCs/>
                <w:kern w:val="0"/>
                <w:sz w:val="24"/>
                <w:szCs w:val="24"/>
                <w:lang w:val="sk-SK" w:eastAsia="en-US" w:bidi="ar-SA"/>
              </w:rPr>
              <w:t>ň</w:t>
            </w:r>
            <w:r>
              <w:rPr>
                <w:rFonts w:eastAsia="Calibri" w:cs="Times New Roman" w:ascii="Bodoni MT Condensed" w:hAnsi="Bodoni MT Condensed"/>
                <w:b/>
                <w:bCs/>
                <w:kern w:val="0"/>
                <w:sz w:val="24"/>
                <w:szCs w:val="24"/>
                <w:lang w:val="sk-SK" w:eastAsia="en-US" w:bidi="ar-SA"/>
              </w:rPr>
              <w:t>ov</w:t>
            </w:r>
            <w:r>
              <w:rPr>
                <w:rFonts w:eastAsia="Calibri" w:cs="Bodoni MT Condensed" w:ascii="Bodoni MT Condensed" w:hAnsi="Bodoni MT Condensed"/>
                <w:b/>
                <w:bCs/>
                <w:kern w:val="0"/>
                <w:sz w:val="24"/>
                <w:szCs w:val="24"/>
                <w:lang w:val="sk-SK" w:eastAsia="en-US" w:bidi="ar-SA"/>
              </w:rPr>
              <w:t>é</w:t>
            </w:r>
            <w:r>
              <w:rPr>
                <w:rFonts w:eastAsia="Calibri" w:cs="Times New Roman" w:ascii="Bodoni MT Condensed" w:hAnsi="Bodoni MT Condensed"/>
                <w:b/>
                <w:bCs/>
                <w:kern w:val="0"/>
                <w:sz w:val="24"/>
                <w:szCs w:val="24"/>
                <w:lang w:val="sk-SK" w:eastAsia="en-US" w:bidi="ar-SA"/>
              </w:rPr>
              <w:t xml:space="preserve"> a</w:t>
            </w:r>
            <w:r>
              <w:rPr>
                <w:rFonts w:eastAsia="Calibri" w:cs="Bodoni MT Condensed" w:ascii="Bodoni MT Condensed" w:hAnsi="Bodoni MT Condensed"/>
                <w:b/>
                <w:bCs/>
                <w:kern w:val="0"/>
                <w:sz w:val="24"/>
                <w:szCs w:val="24"/>
                <w:lang w:val="sk-SK" w:eastAsia="en-US" w:bidi="ar-SA"/>
              </w:rPr>
              <w:t> </w:t>
            </w:r>
            <w:r>
              <w:rPr>
                <w:rFonts w:eastAsia="Calibri" w:cs="Times New Roman" w:ascii="Bodoni MT Condensed" w:hAnsi="Bodoni MT Condensed"/>
                <w:b/>
                <w:bCs/>
                <w:kern w:val="0"/>
                <w:sz w:val="24"/>
                <w:szCs w:val="24"/>
                <w:lang w:val="sk-SK" w:eastAsia="en-US" w:bidi="ar-SA"/>
              </w:rPr>
              <w:t>coln</w:t>
            </w:r>
            <w:r>
              <w:rPr>
                <w:rFonts w:eastAsia="Calibri" w:cs="Bodoni MT Condensed" w:ascii="Bodoni MT Condensed" w:hAnsi="Bodoni MT Condensed"/>
                <w:b/>
                <w:bCs/>
                <w:kern w:val="0"/>
                <w:sz w:val="24"/>
                <w:szCs w:val="24"/>
                <w:lang w:val="sk-SK" w:eastAsia="en-US" w:bidi="ar-SA"/>
              </w:rPr>
              <w:t>é</w:t>
            </w:r>
            <w:r>
              <w:rPr>
                <w:rFonts w:eastAsia="Calibri" w:cs="Times New Roman" w:ascii="Bodoni MT Condensed" w:hAnsi="Bodoni MT Condensed"/>
                <w:b/>
                <w:bCs/>
                <w:kern w:val="0"/>
                <w:sz w:val="24"/>
                <w:szCs w:val="24"/>
                <w:lang w:val="sk-SK" w:eastAsia="en-US" w:bidi="ar-SA"/>
              </w:rPr>
              <w:t xml:space="preserve"> v</w:t>
            </w:r>
            <w:r>
              <w:rPr>
                <w:rFonts w:eastAsia="Calibri" w:cs="Bodoni MT Condensed" w:ascii="Bodoni MT Condensed" w:hAnsi="Bodoni MT Condensed"/>
                <w:b/>
                <w:bCs/>
                <w:kern w:val="0"/>
                <w:sz w:val="24"/>
                <w:szCs w:val="24"/>
                <w:lang w:val="sk-SK" w:eastAsia="en-US" w:bidi="ar-SA"/>
              </w:rPr>
              <w:t>ý</w:t>
            </w:r>
            <w:r>
              <w:rPr>
                <w:rFonts w:eastAsia="Calibri" w:cs="Times New Roman" w:ascii="Bodoni MT Condensed" w:hAnsi="Bodoni MT Condensed"/>
                <w:b/>
                <w:bCs/>
                <w:kern w:val="0"/>
                <w:sz w:val="24"/>
                <w:szCs w:val="24"/>
                <w:lang w:val="sk-SK" w:eastAsia="en-US" w:bidi="ar-SA"/>
              </w:rPr>
              <w:t>nosy a</w:t>
            </w:r>
            <w:r>
              <w:rPr>
                <w:rFonts w:eastAsia="Calibri" w:cs="Bodoni MT Condensed" w:ascii="Bodoni MT Condensed" w:hAnsi="Bodoni MT Condensed"/>
                <w:b/>
                <w:bCs/>
                <w:kern w:val="0"/>
                <w:sz w:val="24"/>
                <w:szCs w:val="24"/>
                <w:lang w:val="sk-SK" w:eastAsia="en-US" w:bidi="ar-SA"/>
              </w:rPr>
              <w:t> </w:t>
            </w:r>
            <w:r>
              <w:rPr>
                <w:rFonts w:eastAsia="Calibri" w:cs="Times New Roman" w:ascii="Bodoni MT Condensed" w:hAnsi="Bodoni MT Condensed"/>
                <w:b/>
                <w:bCs/>
                <w:kern w:val="0"/>
                <w:sz w:val="24"/>
                <w:szCs w:val="24"/>
                <w:lang w:val="sk-SK" w:eastAsia="en-US" w:bidi="ar-SA"/>
              </w:rPr>
              <w:t>v</w:t>
            </w:r>
            <w:r>
              <w:rPr>
                <w:rFonts w:eastAsia="Calibri" w:cs="Bodoni MT Condensed" w:ascii="Bodoni MT Condensed" w:hAnsi="Bodoni MT Condensed"/>
                <w:b/>
                <w:bCs/>
                <w:kern w:val="0"/>
                <w:sz w:val="24"/>
                <w:szCs w:val="24"/>
                <w:lang w:val="sk-SK" w:eastAsia="en-US" w:bidi="ar-SA"/>
              </w:rPr>
              <w:t>ý</w:t>
            </w:r>
            <w:r>
              <w:rPr>
                <w:rFonts w:eastAsia="Calibri" w:cs="Times New Roman" w:ascii="Bodoni MT Condensed" w:hAnsi="Bodoni MT Condensed"/>
                <w:b/>
                <w:bCs/>
                <w:kern w:val="0"/>
                <w:sz w:val="24"/>
                <w:szCs w:val="24"/>
                <w:lang w:val="sk-SK" w:eastAsia="en-US" w:bidi="ar-SA"/>
              </w:rPr>
              <w:t>nosy z</w:t>
            </w:r>
            <w:r>
              <w:rPr>
                <w:rFonts w:eastAsia="Calibri" w:cs="Bodoni MT Condensed" w:ascii="Bodoni MT Condensed" w:hAnsi="Bodoni MT Condensed"/>
                <w:b/>
                <w:bCs/>
                <w:kern w:val="0"/>
                <w:sz w:val="24"/>
                <w:szCs w:val="24"/>
                <w:lang w:val="sk-SK" w:eastAsia="en-US" w:bidi="ar-SA"/>
              </w:rPr>
              <w:t> </w:t>
            </w:r>
            <w:r>
              <w:rPr>
                <w:rFonts w:eastAsia="Calibri" w:cs="Times New Roman" w:ascii="Bodoni MT Condensed" w:hAnsi="Bodoni MT Condensed"/>
                <w:b/>
                <w:bCs/>
                <w:kern w:val="0"/>
                <w:sz w:val="24"/>
                <w:szCs w:val="24"/>
                <w:lang w:val="sk-SK" w:eastAsia="en-US" w:bidi="ar-SA"/>
              </w:rPr>
              <w:t>poplatkov</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1.128.816,36</w:t>
            </w:r>
          </w:p>
        </w:tc>
        <w:tc>
          <w:tcPr>
            <w:tcW w:w="1733"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1.113.901,30</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632</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Da</w:t>
            </w:r>
            <w:r>
              <w:rPr>
                <w:rFonts w:eastAsia="Calibri" w:cs="Times New Roman" w:ascii="Times New Roman" w:hAnsi="Times New Roman"/>
                <w:kern w:val="0"/>
                <w:sz w:val="24"/>
                <w:szCs w:val="24"/>
                <w:lang w:val="sk-SK" w:eastAsia="en-US" w:bidi="ar-SA"/>
              </w:rPr>
              <w:t>ň</w:t>
            </w:r>
            <w:r>
              <w:rPr>
                <w:rFonts w:eastAsia="Calibri" w:cs="Times New Roman" w:ascii="Bodoni MT Condensed" w:hAnsi="Bodoni MT Condensed"/>
                <w:kern w:val="0"/>
                <w:sz w:val="24"/>
                <w:szCs w:val="24"/>
                <w:lang w:val="sk-SK" w:eastAsia="en-US" w:bidi="ar-SA"/>
              </w:rPr>
              <w:t>ov</w:t>
            </w:r>
            <w:r>
              <w:rPr>
                <w:rFonts w:eastAsia="Calibri" w:cs="Bodoni MT Condensed" w:ascii="Bodoni MT Condensed" w:hAnsi="Bodoni MT Condensed"/>
                <w:kern w:val="0"/>
                <w:sz w:val="24"/>
                <w:szCs w:val="24"/>
                <w:lang w:val="sk-SK" w:eastAsia="en-US" w:bidi="ar-SA"/>
              </w:rPr>
              <w:t>é</w:t>
            </w:r>
            <w:r>
              <w:rPr>
                <w:rFonts w:eastAsia="Calibri" w:cs="Times New Roman" w:ascii="Bodoni MT Condensed" w:hAnsi="Bodoni MT Condensed"/>
                <w:kern w:val="0"/>
                <w:sz w:val="24"/>
                <w:szCs w:val="24"/>
                <w:lang w:val="sk-SK" w:eastAsia="en-US" w:bidi="ar-SA"/>
              </w:rPr>
              <w:t xml:space="preserve"> v</w:t>
            </w:r>
            <w:r>
              <w:rPr>
                <w:rFonts w:eastAsia="Calibri" w:cs="Bodoni MT Condensed" w:ascii="Bodoni MT Condensed" w:hAnsi="Bodoni MT Condensed"/>
                <w:kern w:val="0"/>
                <w:sz w:val="24"/>
                <w:szCs w:val="24"/>
                <w:lang w:val="sk-SK" w:eastAsia="en-US" w:bidi="ar-SA"/>
              </w:rPr>
              <w:t>ý</w:t>
            </w:r>
            <w:r>
              <w:rPr>
                <w:rFonts w:eastAsia="Calibri" w:cs="Times New Roman" w:ascii="Bodoni MT Condensed" w:hAnsi="Bodoni MT Condensed"/>
                <w:kern w:val="0"/>
                <w:sz w:val="24"/>
                <w:szCs w:val="24"/>
                <w:lang w:val="sk-SK" w:eastAsia="en-US" w:bidi="ar-SA"/>
              </w:rPr>
              <w:t>nosy samospr</w:t>
            </w:r>
            <w:r>
              <w:rPr>
                <w:rFonts w:eastAsia="Calibri" w:cs="Bodoni MT Condensed" w:ascii="Bodoni MT Condensed" w:hAnsi="Bodoni MT Condensed"/>
                <w:kern w:val="0"/>
                <w:sz w:val="24"/>
                <w:szCs w:val="24"/>
                <w:lang w:val="sk-SK" w:eastAsia="en-US" w:bidi="ar-SA"/>
              </w:rPr>
              <w:t>á</w:t>
            </w:r>
            <w:r>
              <w:rPr>
                <w:rFonts w:eastAsia="Calibri" w:cs="Times New Roman" w:ascii="Bodoni MT Condensed" w:hAnsi="Bodoni MT Condensed"/>
                <w:kern w:val="0"/>
                <w:sz w:val="24"/>
                <w:szCs w:val="24"/>
                <w:lang w:val="sk-SK" w:eastAsia="en-US" w:bidi="ar-SA"/>
              </w:rPr>
              <w:t>vy</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1.033.588,51</w:t>
            </w:r>
          </w:p>
        </w:tc>
        <w:tc>
          <w:tcPr>
            <w:tcW w:w="1733"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1.030.267,68</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633</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Výnosy z poplatkov</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95.227,85</w:t>
            </w:r>
          </w:p>
        </w:tc>
        <w:tc>
          <w:tcPr>
            <w:tcW w:w="1733"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83.633,62</w:t>
            </w:r>
          </w:p>
        </w:tc>
      </w:tr>
      <w:tr>
        <w:trPr/>
        <w:tc>
          <w:tcPr>
            <w:tcW w:w="1102"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64</w:t>
            </w:r>
          </w:p>
        </w:tc>
        <w:tc>
          <w:tcPr>
            <w:tcW w:w="467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 xml:space="preserve">Ostatné výnosy z prevádzkovej </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innosti</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107.070,59</w:t>
            </w:r>
          </w:p>
        </w:tc>
        <w:tc>
          <w:tcPr>
            <w:tcW w:w="1733"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135.413,45</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641</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Tržby z predaja dlhodobého nehmotného a dlhodobého hmotného majetku</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225,00</w:t>
            </w:r>
          </w:p>
        </w:tc>
        <w:tc>
          <w:tcPr>
            <w:tcW w:w="1733"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145,00</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642</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Tržby z predaja materiálu</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0,00</w:t>
            </w:r>
          </w:p>
        </w:tc>
        <w:tc>
          <w:tcPr>
            <w:tcW w:w="1733"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0,00</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645</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Ostatné pokuty, penále a úroky z omeškania</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0,00</w:t>
            </w:r>
          </w:p>
        </w:tc>
        <w:tc>
          <w:tcPr>
            <w:tcW w:w="1733"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0,00</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648</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 xml:space="preserve">Ostatné výnosy z prevádzkovej </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innosti</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106.845,59</w:t>
            </w:r>
          </w:p>
        </w:tc>
        <w:tc>
          <w:tcPr>
            <w:tcW w:w="1733"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135.268,45</w:t>
            </w:r>
          </w:p>
        </w:tc>
      </w:tr>
      <w:tr>
        <w:trPr/>
        <w:tc>
          <w:tcPr>
            <w:tcW w:w="1102"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65</w:t>
            </w:r>
          </w:p>
        </w:tc>
        <w:tc>
          <w:tcPr>
            <w:tcW w:w="467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Zú</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tovanie rezerv a</w:t>
            </w:r>
            <w:r>
              <w:rPr>
                <w:rFonts w:eastAsia="Calibri" w:cs="Bodoni MT Condensed" w:ascii="Bodoni MT Condensed" w:hAnsi="Bodoni MT Condensed"/>
                <w:b/>
                <w:bCs/>
                <w:kern w:val="0"/>
                <w:sz w:val="24"/>
                <w:szCs w:val="24"/>
                <w:lang w:val="sk-SK" w:eastAsia="en-US" w:bidi="ar-SA"/>
              </w:rPr>
              <w:t> </w:t>
            </w:r>
            <w:r>
              <w:rPr>
                <w:rFonts w:eastAsia="Calibri" w:cs="Times New Roman" w:ascii="Bodoni MT Condensed" w:hAnsi="Bodoni MT Condensed"/>
                <w:b/>
                <w:bCs/>
                <w:kern w:val="0"/>
                <w:sz w:val="24"/>
                <w:szCs w:val="24"/>
                <w:lang w:val="sk-SK" w:eastAsia="en-US" w:bidi="ar-SA"/>
              </w:rPr>
              <w:t>opravn</w:t>
            </w:r>
            <w:r>
              <w:rPr>
                <w:rFonts w:eastAsia="Calibri" w:cs="Bodoni MT Condensed" w:ascii="Bodoni MT Condensed" w:hAnsi="Bodoni MT Condensed"/>
                <w:b/>
                <w:bCs/>
                <w:kern w:val="0"/>
                <w:sz w:val="24"/>
                <w:szCs w:val="24"/>
                <w:lang w:val="sk-SK" w:eastAsia="en-US" w:bidi="ar-SA"/>
              </w:rPr>
              <w:t>ý</w:t>
            </w:r>
            <w:r>
              <w:rPr>
                <w:rFonts w:eastAsia="Calibri" w:cs="Times New Roman" w:ascii="Bodoni MT Condensed" w:hAnsi="Bodoni MT Condensed"/>
                <w:b/>
                <w:bCs/>
                <w:kern w:val="0"/>
                <w:sz w:val="24"/>
                <w:szCs w:val="24"/>
                <w:lang w:val="sk-SK" w:eastAsia="en-US" w:bidi="ar-SA"/>
              </w:rPr>
              <w:t>ch polo</w:t>
            </w:r>
            <w:r>
              <w:rPr>
                <w:rFonts w:eastAsia="Calibri" w:cs="Bodoni MT Condensed" w:ascii="Bodoni MT Condensed" w:hAnsi="Bodoni MT Condensed"/>
                <w:b/>
                <w:bCs/>
                <w:kern w:val="0"/>
                <w:sz w:val="24"/>
                <w:szCs w:val="24"/>
                <w:lang w:val="sk-SK" w:eastAsia="en-US" w:bidi="ar-SA"/>
              </w:rPr>
              <w:t>ž</w:t>
            </w:r>
            <w:r>
              <w:rPr>
                <w:rFonts w:eastAsia="Calibri" w:cs="Times New Roman" w:ascii="Bodoni MT Condensed" w:hAnsi="Bodoni MT Condensed"/>
                <w:b/>
                <w:bCs/>
                <w:kern w:val="0"/>
                <w:sz w:val="24"/>
                <w:szCs w:val="24"/>
                <w:lang w:val="sk-SK" w:eastAsia="en-US" w:bidi="ar-SA"/>
              </w:rPr>
              <w:t>iek z</w:t>
            </w:r>
            <w:r>
              <w:rPr>
                <w:rFonts w:eastAsia="Calibri" w:cs="Bodoni MT Condensed" w:ascii="Bodoni MT Condensed" w:hAnsi="Bodoni MT Condensed"/>
                <w:b/>
                <w:bCs/>
                <w:kern w:val="0"/>
                <w:sz w:val="24"/>
                <w:szCs w:val="24"/>
                <w:lang w:val="sk-SK" w:eastAsia="en-US" w:bidi="ar-SA"/>
              </w:rPr>
              <w:t> </w:t>
            </w:r>
            <w:r>
              <w:rPr>
                <w:rFonts w:eastAsia="Calibri" w:cs="Times New Roman" w:ascii="Bodoni MT Condensed" w:hAnsi="Bodoni MT Condensed"/>
                <w:b/>
                <w:bCs/>
                <w:kern w:val="0"/>
                <w:sz w:val="24"/>
                <w:szCs w:val="24"/>
                <w:lang w:val="sk-SK" w:eastAsia="en-US" w:bidi="ar-SA"/>
              </w:rPr>
              <w:t>prev</w:t>
            </w:r>
            <w:r>
              <w:rPr>
                <w:rFonts w:eastAsia="Calibri" w:cs="Bodoni MT Condensed" w:ascii="Bodoni MT Condensed" w:hAnsi="Bodoni MT Condensed"/>
                <w:b/>
                <w:bCs/>
                <w:kern w:val="0"/>
                <w:sz w:val="24"/>
                <w:szCs w:val="24"/>
                <w:lang w:val="sk-SK" w:eastAsia="en-US" w:bidi="ar-SA"/>
              </w:rPr>
              <w:t>á</w:t>
            </w:r>
            <w:r>
              <w:rPr>
                <w:rFonts w:eastAsia="Calibri" w:cs="Times New Roman" w:ascii="Bodoni MT Condensed" w:hAnsi="Bodoni MT Condensed"/>
                <w:b/>
                <w:bCs/>
                <w:kern w:val="0"/>
                <w:sz w:val="24"/>
                <w:szCs w:val="24"/>
                <w:lang w:val="sk-SK" w:eastAsia="en-US" w:bidi="ar-SA"/>
              </w:rPr>
              <w:t>dzkovej a</w:t>
            </w:r>
            <w:r>
              <w:rPr>
                <w:rFonts w:eastAsia="Calibri" w:cs="Bodoni MT Condensed" w:ascii="Bodoni MT Condensed" w:hAnsi="Bodoni MT Condensed"/>
                <w:b/>
                <w:bCs/>
                <w:kern w:val="0"/>
                <w:sz w:val="24"/>
                <w:szCs w:val="24"/>
                <w:lang w:val="sk-SK" w:eastAsia="en-US" w:bidi="ar-SA"/>
              </w:rPr>
              <w:t> </w:t>
            </w:r>
            <w:r>
              <w:rPr>
                <w:rFonts w:eastAsia="Calibri" w:cs="Times New Roman" w:ascii="Bodoni MT Condensed" w:hAnsi="Bodoni MT Condensed"/>
                <w:b/>
                <w:bCs/>
                <w:kern w:val="0"/>
                <w:sz w:val="24"/>
                <w:szCs w:val="24"/>
                <w:lang w:val="sk-SK" w:eastAsia="en-US" w:bidi="ar-SA"/>
              </w:rPr>
              <w:t>finan</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 xml:space="preserve">nej </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innosti a zú</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 xml:space="preserve">tovanie </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asov</w:t>
            </w:r>
            <w:r>
              <w:rPr>
                <w:rFonts w:eastAsia="Calibri" w:cs="Bodoni MT Condensed" w:ascii="Bodoni MT Condensed" w:hAnsi="Bodoni MT Condensed"/>
                <w:b/>
                <w:bCs/>
                <w:kern w:val="0"/>
                <w:sz w:val="24"/>
                <w:szCs w:val="24"/>
                <w:lang w:val="sk-SK" w:eastAsia="en-US" w:bidi="ar-SA"/>
              </w:rPr>
              <w:t>é</w:t>
            </w:r>
            <w:r>
              <w:rPr>
                <w:rFonts w:eastAsia="Calibri" w:cs="Times New Roman" w:ascii="Bodoni MT Condensed" w:hAnsi="Bodoni MT Condensed"/>
                <w:b/>
                <w:bCs/>
                <w:kern w:val="0"/>
                <w:sz w:val="24"/>
                <w:szCs w:val="24"/>
                <w:lang w:val="sk-SK" w:eastAsia="en-US" w:bidi="ar-SA"/>
              </w:rPr>
              <w:t>ho rozl</w:t>
            </w:r>
            <w:r>
              <w:rPr>
                <w:rFonts w:eastAsia="Calibri" w:cs="Bodoni MT Condensed" w:ascii="Bodoni MT Condensed" w:hAnsi="Bodoni MT Condensed"/>
                <w:b/>
                <w:bCs/>
                <w:kern w:val="0"/>
                <w:sz w:val="24"/>
                <w:szCs w:val="24"/>
                <w:lang w:val="sk-SK" w:eastAsia="en-US" w:bidi="ar-SA"/>
              </w:rPr>
              <w:t>íš</w:t>
            </w:r>
            <w:r>
              <w:rPr>
                <w:rFonts w:eastAsia="Calibri" w:cs="Times New Roman" w:ascii="Bodoni MT Condensed" w:hAnsi="Bodoni MT Condensed"/>
                <w:b/>
                <w:bCs/>
                <w:kern w:val="0"/>
                <w:sz w:val="24"/>
                <w:szCs w:val="24"/>
                <w:lang w:val="sk-SK" w:eastAsia="en-US" w:bidi="ar-SA"/>
              </w:rPr>
              <w:t>enia</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3.660,67</w:t>
            </w:r>
          </w:p>
        </w:tc>
        <w:tc>
          <w:tcPr>
            <w:tcW w:w="1733"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1.170,00</w:t>
            </w:r>
          </w:p>
        </w:tc>
      </w:tr>
      <w:tr>
        <w:trPr/>
        <w:tc>
          <w:tcPr>
            <w:tcW w:w="1102" w:type="dxa"/>
            <w:tcBorders/>
          </w:tcPr>
          <w:p>
            <w:pPr>
              <w:pStyle w:val="Normal"/>
              <w:widowControl/>
              <w:suppressAutoHyphens w:val="true"/>
              <w:spacing w:lineRule="auto" w:line="240" w:before="0" w:after="0"/>
              <w:jc w:val="left"/>
              <w:rPr>
                <w:rFonts w:ascii="Bodoni MT Condensed" w:hAnsi="Bodoni MT Condensed" w:eastAsia="Calibri" w:cs="Times New Roman"/>
                <w:sz w:val="24"/>
                <w:szCs w:val="24"/>
              </w:rPr>
            </w:pPr>
            <w:r>
              <w:rPr>
                <w:rFonts w:eastAsia="Calibri" w:cs="Times New Roman" w:ascii="Bodoni MT Condensed" w:hAnsi="Bodoni MT Condensed"/>
                <w:sz w:val="24"/>
                <w:szCs w:val="24"/>
              </w:rPr>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Zú</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tovanie rezerv a</w:t>
            </w:r>
            <w:r>
              <w:rPr>
                <w:rFonts w:eastAsia="Calibri" w:cs="Bodoni MT Condensed" w:ascii="Bodoni MT Condensed" w:hAnsi="Bodoni MT Condensed"/>
                <w:kern w:val="0"/>
                <w:sz w:val="24"/>
                <w:szCs w:val="24"/>
                <w:lang w:val="sk-SK" w:eastAsia="en-US" w:bidi="ar-SA"/>
              </w:rPr>
              <w:t> </w:t>
            </w:r>
            <w:r>
              <w:rPr>
                <w:rFonts w:eastAsia="Calibri" w:cs="Times New Roman" w:ascii="Bodoni MT Condensed" w:hAnsi="Bodoni MT Condensed"/>
                <w:kern w:val="0"/>
                <w:sz w:val="24"/>
                <w:szCs w:val="24"/>
                <w:lang w:val="sk-SK" w:eastAsia="en-US" w:bidi="ar-SA"/>
              </w:rPr>
              <w:t>opravn</w:t>
            </w:r>
            <w:r>
              <w:rPr>
                <w:rFonts w:eastAsia="Calibri" w:cs="Bodoni MT Condensed" w:ascii="Bodoni MT Condensed" w:hAnsi="Bodoni MT Condensed"/>
                <w:kern w:val="0"/>
                <w:sz w:val="24"/>
                <w:szCs w:val="24"/>
                <w:lang w:val="sk-SK" w:eastAsia="en-US" w:bidi="ar-SA"/>
              </w:rPr>
              <w:t>ý</w:t>
            </w:r>
            <w:r>
              <w:rPr>
                <w:rFonts w:eastAsia="Calibri" w:cs="Times New Roman" w:ascii="Bodoni MT Condensed" w:hAnsi="Bodoni MT Condensed"/>
                <w:kern w:val="0"/>
                <w:sz w:val="24"/>
                <w:szCs w:val="24"/>
                <w:lang w:val="sk-SK" w:eastAsia="en-US" w:bidi="ar-SA"/>
              </w:rPr>
              <w:t>ch polo</w:t>
            </w:r>
            <w:r>
              <w:rPr>
                <w:rFonts w:eastAsia="Calibri" w:cs="Bodoni MT Condensed" w:ascii="Bodoni MT Condensed" w:hAnsi="Bodoni MT Condensed"/>
                <w:kern w:val="0"/>
                <w:sz w:val="24"/>
                <w:szCs w:val="24"/>
                <w:lang w:val="sk-SK" w:eastAsia="en-US" w:bidi="ar-SA"/>
              </w:rPr>
              <w:t>ž</w:t>
            </w:r>
            <w:r>
              <w:rPr>
                <w:rFonts w:eastAsia="Calibri" w:cs="Times New Roman" w:ascii="Bodoni MT Condensed" w:hAnsi="Bodoni MT Condensed"/>
                <w:kern w:val="0"/>
                <w:sz w:val="24"/>
                <w:szCs w:val="24"/>
                <w:lang w:val="sk-SK" w:eastAsia="en-US" w:bidi="ar-SA"/>
              </w:rPr>
              <w:t>iek z</w:t>
            </w:r>
            <w:r>
              <w:rPr>
                <w:rFonts w:eastAsia="Calibri" w:cs="Bodoni MT Condensed" w:ascii="Bodoni MT Condensed" w:hAnsi="Bodoni MT Condensed"/>
                <w:kern w:val="0"/>
                <w:sz w:val="24"/>
                <w:szCs w:val="24"/>
                <w:lang w:val="sk-SK" w:eastAsia="en-US" w:bidi="ar-SA"/>
              </w:rPr>
              <w:t> </w:t>
            </w:r>
            <w:r>
              <w:rPr>
                <w:rFonts w:eastAsia="Calibri" w:cs="Times New Roman" w:ascii="Bodoni MT Condensed" w:hAnsi="Bodoni MT Condensed"/>
                <w:kern w:val="0"/>
                <w:sz w:val="24"/>
                <w:szCs w:val="24"/>
                <w:lang w:val="sk-SK" w:eastAsia="en-US" w:bidi="ar-SA"/>
              </w:rPr>
              <w:t>prev</w:t>
            </w:r>
            <w:r>
              <w:rPr>
                <w:rFonts w:eastAsia="Calibri" w:cs="Bodoni MT Condensed" w:ascii="Bodoni MT Condensed" w:hAnsi="Bodoni MT Condensed"/>
                <w:kern w:val="0"/>
                <w:sz w:val="24"/>
                <w:szCs w:val="24"/>
                <w:lang w:val="sk-SK" w:eastAsia="en-US" w:bidi="ar-SA"/>
              </w:rPr>
              <w:t>á</w:t>
            </w:r>
            <w:r>
              <w:rPr>
                <w:rFonts w:eastAsia="Calibri" w:cs="Times New Roman" w:ascii="Bodoni MT Condensed" w:hAnsi="Bodoni MT Condensed"/>
                <w:kern w:val="0"/>
                <w:sz w:val="24"/>
                <w:szCs w:val="24"/>
                <w:lang w:val="sk-SK" w:eastAsia="en-US" w:bidi="ar-SA"/>
              </w:rPr>
              <w:t xml:space="preserve">dzkovej </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innosti</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3.660,67</w:t>
            </w:r>
          </w:p>
        </w:tc>
        <w:tc>
          <w:tcPr>
            <w:tcW w:w="1733"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1.170,00</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652</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Zú</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tovanie z</w:t>
            </w:r>
            <w:r>
              <w:rPr>
                <w:rFonts w:eastAsia="Calibri" w:cs="Bodoni MT Condensed" w:ascii="Bodoni MT Condensed" w:hAnsi="Bodoni MT Condensed"/>
                <w:kern w:val="0"/>
                <w:sz w:val="24"/>
                <w:szCs w:val="24"/>
                <w:lang w:val="sk-SK" w:eastAsia="en-US" w:bidi="ar-SA"/>
              </w:rPr>
              <w:t>á</w:t>
            </w:r>
            <w:r>
              <w:rPr>
                <w:rFonts w:eastAsia="Calibri" w:cs="Times New Roman" w:ascii="Bodoni MT Condensed" w:hAnsi="Bodoni MT Condensed"/>
                <w:kern w:val="0"/>
                <w:sz w:val="24"/>
                <w:szCs w:val="24"/>
                <w:lang w:val="sk-SK" w:eastAsia="en-US" w:bidi="ar-SA"/>
              </w:rPr>
              <w:t>konn</w:t>
            </w:r>
            <w:r>
              <w:rPr>
                <w:rFonts w:eastAsia="Calibri" w:cs="Bodoni MT Condensed" w:ascii="Bodoni MT Condensed" w:hAnsi="Bodoni MT Condensed"/>
                <w:kern w:val="0"/>
                <w:sz w:val="24"/>
                <w:szCs w:val="24"/>
                <w:lang w:val="sk-SK" w:eastAsia="en-US" w:bidi="ar-SA"/>
              </w:rPr>
              <w:t>ý</w:t>
            </w:r>
            <w:r>
              <w:rPr>
                <w:rFonts w:eastAsia="Calibri" w:cs="Times New Roman" w:ascii="Bodoni MT Condensed" w:hAnsi="Bodoni MT Condensed"/>
                <w:kern w:val="0"/>
                <w:sz w:val="24"/>
                <w:szCs w:val="24"/>
                <w:lang w:val="sk-SK" w:eastAsia="en-US" w:bidi="ar-SA"/>
              </w:rPr>
              <w:t>ch rezerv z</w:t>
            </w:r>
            <w:r>
              <w:rPr>
                <w:rFonts w:eastAsia="Calibri" w:cs="Bodoni MT Condensed" w:ascii="Bodoni MT Condensed" w:hAnsi="Bodoni MT Condensed"/>
                <w:kern w:val="0"/>
                <w:sz w:val="24"/>
                <w:szCs w:val="24"/>
                <w:lang w:val="sk-SK" w:eastAsia="en-US" w:bidi="ar-SA"/>
              </w:rPr>
              <w:t> </w:t>
            </w:r>
            <w:r>
              <w:rPr>
                <w:rFonts w:eastAsia="Calibri" w:cs="Times New Roman" w:ascii="Bodoni MT Condensed" w:hAnsi="Bodoni MT Condensed"/>
                <w:kern w:val="0"/>
                <w:sz w:val="24"/>
                <w:szCs w:val="24"/>
                <w:lang w:val="sk-SK" w:eastAsia="en-US" w:bidi="ar-SA"/>
              </w:rPr>
              <w:t>prev</w:t>
            </w:r>
            <w:r>
              <w:rPr>
                <w:rFonts w:eastAsia="Calibri" w:cs="Bodoni MT Condensed" w:ascii="Bodoni MT Condensed" w:hAnsi="Bodoni MT Condensed"/>
                <w:kern w:val="0"/>
                <w:sz w:val="24"/>
                <w:szCs w:val="24"/>
                <w:lang w:val="sk-SK" w:eastAsia="en-US" w:bidi="ar-SA"/>
              </w:rPr>
              <w:t>á</w:t>
            </w:r>
            <w:r>
              <w:rPr>
                <w:rFonts w:eastAsia="Calibri" w:cs="Times New Roman" w:ascii="Bodoni MT Condensed" w:hAnsi="Bodoni MT Condensed"/>
                <w:kern w:val="0"/>
                <w:sz w:val="24"/>
                <w:szCs w:val="24"/>
                <w:lang w:val="sk-SK" w:eastAsia="en-US" w:bidi="ar-SA"/>
              </w:rPr>
              <w:t xml:space="preserve">dzkovej </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innosti</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0,00</w:t>
            </w:r>
          </w:p>
        </w:tc>
        <w:tc>
          <w:tcPr>
            <w:tcW w:w="1733"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0,00</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653</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Zú</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tovanie ostatn</w:t>
            </w:r>
            <w:r>
              <w:rPr>
                <w:rFonts w:eastAsia="Calibri" w:cs="Bodoni MT Condensed" w:ascii="Bodoni MT Condensed" w:hAnsi="Bodoni MT Condensed"/>
                <w:kern w:val="0"/>
                <w:sz w:val="24"/>
                <w:szCs w:val="24"/>
                <w:lang w:val="sk-SK" w:eastAsia="en-US" w:bidi="ar-SA"/>
              </w:rPr>
              <w:t>ý</w:t>
            </w:r>
            <w:r>
              <w:rPr>
                <w:rFonts w:eastAsia="Calibri" w:cs="Times New Roman" w:ascii="Bodoni MT Condensed" w:hAnsi="Bodoni MT Condensed"/>
                <w:kern w:val="0"/>
                <w:sz w:val="24"/>
                <w:szCs w:val="24"/>
                <w:lang w:val="sk-SK" w:eastAsia="en-US" w:bidi="ar-SA"/>
              </w:rPr>
              <w:t>ch rezerv z</w:t>
            </w:r>
            <w:r>
              <w:rPr>
                <w:rFonts w:eastAsia="Calibri" w:cs="Bodoni MT Condensed" w:ascii="Bodoni MT Condensed" w:hAnsi="Bodoni MT Condensed"/>
                <w:kern w:val="0"/>
                <w:sz w:val="24"/>
                <w:szCs w:val="24"/>
                <w:lang w:val="sk-SK" w:eastAsia="en-US" w:bidi="ar-SA"/>
              </w:rPr>
              <w:t> </w:t>
            </w:r>
            <w:r>
              <w:rPr>
                <w:rFonts w:eastAsia="Calibri" w:cs="Times New Roman" w:ascii="Bodoni MT Condensed" w:hAnsi="Bodoni MT Condensed"/>
                <w:kern w:val="0"/>
                <w:sz w:val="24"/>
                <w:szCs w:val="24"/>
                <w:lang w:val="sk-SK" w:eastAsia="en-US" w:bidi="ar-SA"/>
              </w:rPr>
              <w:t>prev</w:t>
            </w:r>
            <w:r>
              <w:rPr>
                <w:rFonts w:eastAsia="Calibri" w:cs="Bodoni MT Condensed" w:ascii="Bodoni MT Condensed" w:hAnsi="Bodoni MT Condensed"/>
                <w:kern w:val="0"/>
                <w:sz w:val="24"/>
                <w:szCs w:val="24"/>
                <w:lang w:val="sk-SK" w:eastAsia="en-US" w:bidi="ar-SA"/>
              </w:rPr>
              <w:t>á</w:t>
            </w:r>
            <w:r>
              <w:rPr>
                <w:rFonts w:eastAsia="Calibri" w:cs="Times New Roman" w:ascii="Bodoni MT Condensed" w:hAnsi="Bodoni MT Condensed"/>
                <w:kern w:val="0"/>
                <w:sz w:val="24"/>
                <w:szCs w:val="24"/>
                <w:lang w:val="sk-SK" w:eastAsia="en-US" w:bidi="ar-SA"/>
              </w:rPr>
              <w:t xml:space="preserve">dzkovej </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innosti</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3.660,67</w:t>
            </w:r>
          </w:p>
        </w:tc>
        <w:tc>
          <w:tcPr>
            <w:tcW w:w="1733"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1.170,00</w:t>
            </w:r>
          </w:p>
        </w:tc>
      </w:tr>
      <w:tr>
        <w:trPr/>
        <w:tc>
          <w:tcPr>
            <w:tcW w:w="1102"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66</w:t>
            </w:r>
          </w:p>
        </w:tc>
        <w:tc>
          <w:tcPr>
            <w:tcW w:w="467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Finan</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n</w:t>
            </w:r>
            <w:r>
              <w:rPr>
                <w:rFonts w:eastAsia="Calibri" w:cs="Bodoni MT Condensed" w:ascii="Bodoni MT Condensed" w:hAnsi="Bodoni MT Condensed"/>
                <w:b/>
                <w:bCs/>
                <w:kern w:val="0"/>
                <w:sz w:val="24"/>
                <w:szCs w:val="24"/>
                <w:lang w:val="sk-SK" w:eastAsia="en-US" w:bidi="ar-SA"/>
              </w:rPr>
              <w:t>é</w:t>
            </w:r>
            <w:r>
              <w:rPr>
                <w:rFonts w:eastAsia="Calibri" w:cs="Times New Roman" w:ascii="Bodoni MT Condensed" w:hAnsi="Bodoni MT Condensed"/>
                <w:b/>
                <w:bCs/>
                <w:kern w:val="0"/>
                <w:sz w:val="24"/>
                <w:szCs w:val="24"/>
                <w:lang w:val="sk-SK" w:eastAsia="en-US" w:bidi="ar-SA"/>
              </w:rPr>
              <w:t xml:space="preserve"> v</w:t>
            </w:r>
            <w:r>
              <w:rPr>
                <w:rFonts w:eastAsia="Calibri" w:cs="Bodoni MT Condensed" w:ascii="Bodoni MT Condensed" w:hAnsi="Bodoni MT Condensed"/>
                <w:b/>
                <w:bCs/>
                <w:kern w:val="0"/>
                <w:sz w:val="24"/>
                <w:szCs w:val="24"/>
                <w:lang w:val="sk-SK" w:eastAsia="en-US" w:bidi="ar-SA"/>
              </w:rPr>
              <w:t>ý</w:t>
            </w:r>
            <w:r>
              <w:rPr>
                <w:rFonts w:eastAsia="Calibri" w:cs="Times New Roman" w:ascii="Bodoni MT Condensed" w:hAnsi="Bodoni MT Condensed"/>
                <w:b/>
                <w:bCs/>
                <w:kern w:val="0"/>
                <w:sz w:val="24"/>
                <w:szCs w:val="24"/>
                <w:lang w:val="sk-SK" w:eastAsia="en-US" w:bidi="ar-SA"/>
              </w:rPr>
              <w:t>nosy</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0,00</w:t>
            </w:r>
          </w:p>
        </w:tc>
        <w:tc>
          <w:tcPr>
            <w:tcW w:w="1733"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78.939,00</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662</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Úroky</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0,00</w:t>
            </w:r>
          </w:p>
        </w:tc>
        <w:tc>
          <w:tcPr>
            <w:tcW w:w="1733"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0,00</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665</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Výnosy z dlhodobého finan</w:t>
            </w:r>
            <w:r>
              <w:rPr>
                <w:rFonts w:eastAsia="Calibri" w:cs="Calibri"/>
                <w:kern w:val="0"/>
                <w:sz w:val="24"/>
                <w:szCs w:val="24"/>
                <w:lang w:val="sk-SK" w:eastAsia="en-US" w:bidi="ar-SA"/>
              </w:rPr>
              <w:t>č</w:t>
            </w:r>
            <w:r>
              <w:rPr>
                <w:rFonts w:eastAsia="Calibri" w:cs="Times New Roman" w:ascii="Bodoni MT Condensed" w:hAnsi="Bodoni MT Condensed"/>
                <w:kern w:val="0"/>
                <w:sz w:val="24"/>
                <w:szCs w:val="24"/>
                <w:lang w:val="sk-SK" w:eastAsia="en-US" w:bidi="ar-SA"/>
              </w:rPr>
              <w:t>ného majetku</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0,00</w:t>
            </w:r>
          </w:p>
        </w:tc>
        <w:tc>
          <w:tcPr>
            <w:tcW w:w="1733"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78.939,00</w:t>
            </w:r>
          </w:p>
        </w:tc>
      </w:tr>
      <w:tr>
        <w:trPr/>
        <w:tc>
          <w:tcPr>
            <w:tcW w:w="1102"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67</w:t>
            </w:r>
          </w:p>
        </w:tc>
        <w:tc>
          <w:tcPr>
            <w:tcW w:w="467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Mimoriadne výnosy</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0,00</w:t>
            </w:r>
          </w:p>
        </w:tc>
        <w:tc>
          <w:tcPr>
            <w:tcW w:w="1733"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0,00</w:t>
            </w:r>
          </w:p>
        </w:tc>
      </w:tr>
      <w:tr>
        <w:trPr/>
        <w:tc>
          <w:tcPr>
            <w:tcW w:w="1102"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68</w:t>
            </w:r>
          </w:p>
        </w:tc>
        <w:tc>
          <w:tcPr>
            <w:tcW w:w="467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Výnosy z transferov a rozpo</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tov</w:t>
            </w:r>
            <w:r>
              <w:rPr>
                <w:rFonts w:eastAsia="Calibri" w:cs="Bodoni MT Condensed" w:ascii="Bodoni MT Condensed" w:hAnsi="Bodoni MT Condensed"/>
                <w:b/>
                <w:bCs/>
                <w:kern w:val="0"/>
                <w:sz w:val="24"/>
                <w:szCs w:val="24"/>
                <w:lang w:val="sk-SK" w:eastAsia="en-US" w:bidi="ar-SA"/>
              </w:rPr>
              <w:t>ý</w:t>
            </w:r>
            <w:r>
              <w:rPr>
                <w:rFonts w:eastAsia="Calibri" w:cs="Times New Roman" w:ascii="Bodoni MT Condensed" w:hAnsi="Bodoni MT Condensed"/>
                <w:b/>
                <w:bCs/>
                <w:kern w:val="0"/>
                <w:sz w:val="24"/>
                <w:szCs w:val="24"/>
                <w:lang w:val="sk-SK" w:eastAsia="en-US" w:bidi="ar-SA"/>
              </w:rPr>
              <w:t>ch pr</w:t>
            </w:r>
            <w:r>
              <w:rPr>
                <w:rFonts w:eastAsia="Calibri" w:cs="Bodoni MT Condensed" w:ascii="Bodoni MT Condensed" w:hAnsi="Bodoni MT Condensed"/>
                <w:b/>
                <w:bCs/>
                <w:kern w:val="0"/>
                <w:sz w:val="24"/>
                <w:szCs w:val="24"/>
                <w:lang w:val="sk-SK" w:eastAsia="en-US" w:bidi="ar-SA"/>
              </w:rPr>
              <w:t>í</w:t>
            </w:r>
            <w:r>
              <w:rPr>
                <w:rFonts w:eastAsia="Calibri" w:cs="Times New Roman" w:ascii="Bodoni MT Condensed" w:hAnsi="Bodoni MT Condensed"/>
                <w:b/>
                <w:bCs/>
                <w:kern w:val="0"/>
                <w:sz w:val="24"/>
                <w:szCs w:val="24"/>
                <w:lang w:val="sk-SK" w:eastAsia="en-US" w:bidi="ar-SA"/>
              </w:rPr>
              <w:t>jmov v</w:t>
            </w:r>
            <w:r>
              <w:rPr>
                <w:rFonts w:eastAsia="Calibri" w:cs="Bodoni MT Condensed" w:ascii="Bodoni MT Condensed" w:hAnsi="Bodoni MT Condensed"/>
                <w:b/>
                <w:bCs/>
                <w:kern w:val="0"/>
                <w:sz w:val="24"/>
                <w:szCs w:val="24"/>
                <w:lang w:val="sk-SK" w:eastAsia="en-US" w:bidi="ar-SA"/>
              </w:rPr>
              <w:t> š</w:t>
            </w:r>
            <w:r>
              <w:rPr>
                <w:rFonts w:eastAsia="Calibri" w:cs="Times New Roman" w:ascii="Bodoni MT Condensed" w:hAnsi="Bodoni MT Condensed"/>
                <w:b/>
                <w:bCs/>
                <w:kern w:val="0"/>
                <w:sz w:val="24"/>
                <w:szCs w:val="24"/>
                <w:lang w:val="sk-SK" w:eastAsia="en-US" w:bidi="ar-SA"/>
              </w:rPr>
              <w:t>t</w:t>
            </w:r>
            <w:r>
              <w:rPr>
                <w:rFonts w:eastAsia="Calibri" w:cs="Bodoni MT Condensed" w:ascii="Bodoni MT Condensed" w:hAnsi="Bodoni MT Condensed"/>
                <w:b/>
                <w:bCs/>
                <w:kern w:val="0"/>
                <w:sz w:val="24"/>
                <w:szCs w:val="24"/>
                <w:lang w:val="sk-SK" w:eastAsia="en-US" w:bidi="ar-SA"/>
              </w:rPr>
              <w:t>á</w:t>
            </w:r>
            <w:r>
              <w:rPr>
                <w:rFonts w:eastAsia="Calibri" w:cs="Times New Roman" w:ascii="Bodoni MT Condensed" w:hAnsi="Bodoni MT Condensed"/>
                <w:b/>
                <w:bCs/>
                <w:kern w:val="0"/>
                <w:sz w:val="24"/>
                <w:szCs w:val="24"/>
                <w:lang w:val="sk-SK" w:eastAsia="en-US" w:bidi="ar-SA"/>
              </w:rPr>
              <w:t>tnych rozpo</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tov</w:t>
            </w:r>
            <w:r>
              <w:rPr>
                <w:rFonts w:eastAsia="Calibri" w:cs="Bodoni MT Condensed" w:ascii="Bodoni MT Condensed" w:hAnsi="Bodoni MT Condensed"/>
                <w:b/>
                <w:bCs/>
                <w:kern w:val="0"/>
                <w:sz w:val="24"/>
                <w:szCs w:val="24"/>
                <w:lang w:val="sk-SK" w:eastAsia="en-US" w:bidi="ar-SA"/>
              </w:rPr>
              <w:t>ý</w:t>
            </w:r>
            <w:r>
              <w:rPr>
                <w:rFonts w:eastAsia="Calibri" w:cs="Times New Roman" w:ascii="Bodoni MT Condensed" w:hAnsi="Bodoni MT Condensed"/>
                <w:b/>
                <w:bCs/>
                <w:kern w:val="0"/>
                <w:sz w:val="24"/>
                <w:szCs w:val="24"/>
                <w:lang w:val="sk-SK" w:eastAsia="en-US" w:bidi="ar-SA"/>
              </w:rPr>
              <w:t>ch organizáciách a príspevkových organizáciách</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0,00</w:t>
            </w:r>
          </w:p>
        </w:tc>
        <w:tc>
          <w:tcPr>
            <w:tcW w:w="1733"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0,00</w:t>
            </w:r>
          </w:p>
        </w:tc>
      </w:tr>
      <w:tr>
        <w:trPr/>
        <w:tc>
          <w:tcPr>
            <w:tcW w:w="1102"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69</w:t>
            </w:r>
          </w:p>
        </w:tc>
        <w:tc>
          <w:tcPr>
            <w:tcW w:w="4677"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Výnosy z transferov a rozpo</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tov</w:t>
            </w:r>
            <w:r>
              <w:rPr>
                <w:rFonts w:eastAsia="Calibri" w:cs="Bodoni MT Condensed" w:ascii="Bodoni MT Condensed" w:hAnsi="Bodoni MT Condensed"/>
                <w:b/>
                <w:bCs/>
                <w:kern w:val="0"/>
                <w:sz w:val="24"/>
                <w:szCs w:val="24"/>
                <w:lang w:val="sk-SK" w:eastAsia="en-US" w:bidi="ar-SA"/>
              </w:rPr>
              <w:t>ý</w:t>
            </w:r>
            <w:r>
              <w:rPr>
                <w:rFonts w:eastAsia="Calibri" w:cs="Times New Roman" w:ascii="Bodoni MT Condensed" w:hAnsi="Bodoni MT Condensed"/>
                <w:b/>
                <w:bCs/>
                <w:kern w:val="0"/>
                <w:sz w:val="24"/>
                <w:szCs w:val="24"/>
                <w:lang w:val="sk-SK" w:eastAsia="en-US" w:bidi="ar-SA"/>
              </w:rPr>
              <w:t>ch pr</w:t>
            </w:r>
            <w:r>
              <w:rPr>
                <w:rFonts w:eastAsia="Calibri" w:cs="Bodoni MT Condensed" w:ascii="Bodoni MT Condensed" w:hAnsi="Bodoni MT Condensed"/>
                <w:b/>
                <w:bCs/>
                <w:kern w:val="0"/>
                <w:sz w:val="24"/>
                <w:szCs w:val="24"/>
                <w:lang w:val="sk-SK" w:eastAsia="en-US" w:bidi="ar-SA"/>
              </w:rPr>
              <w:t>í</w:t>
            </w:r>
            <w:r>
              <w:rPr>
                <w:rFonts w:eastAsia="Calibri" w:cs="Times New Roman" w:ascii="Bodoni MT Condensed" w:hAnsi="Bodoni MT Condensed"/>
                <w:b/>
                <w:bCs/>
                <w:kern w:val="0"/>
                <w:sz w:val="24"/>
                <w:szCs w:val="24"/>
                <w:lang w:val="sk-SK" w:eastAsia="en-US" w:bidi="ar-SA"/>
              </w:rPr>
              <w:t>jmov v</w:t>
            </w:r>
            <w:r>
              <w:rPr>
                <w:rFonts w:eastAsia="Calibri" w:cs="Bodoni MT Condensed" w:ascii="Bodoni MT Condensed" w:hAnsi="Bodoni MT Condensed"/>
                <w:b/>
                <w:bCs/>
                <w:kern w:val="0"/>
                <w:sz w:val="24"/>
                <w:szCs w:val="24"/>
                <w:lang w:val="sk-SK" w:eastAsia="en-US" w:bidi="ar-SA"/>
              </w:rPr>
              <w:t> </w:t>
            </w:r>
            <w:r>
              <w:rPr>
                <w:rFonts w:eastAsia="Calibri" w:cs="Times New Roman" w:ascii="Bodoni MT Condensed" w:hAnsi="Bodoni MT Condensed"/>
                <w:b/>
                <w:bCs/>
                <w:kern w:val="0"/>
                <w:sz w:val="24"/>
                <w:szCs w:val="24"/>
                <w:lang w:val="sk-SK" w:eastAsia="en-US" w:bidi="ar-SA"/>
              </w:rPr>
              <w:t>obciach, vy</w:t>
            </w:r>
            <w:r>
              <w:rPr>
                <w:rFonts w:eastAsia="Calibri" w:cs="Bodoni MT Condensed" w:ascii="Bodoni MT Condensed" w:hAnsi="Bodoni MT Condensed"/>
                <w:b/>
                <w:bCs/>
                <w:kern w:val="0"/>
                <w:sz w:val="24"/>
                <w:szCs w:val="24"/>
                <w:lang w:val="sk-SK" w:eastAsia="en-US" w:bidi="ar-SA"/>
              </w:rPr>
              <w:t>šší</w:t>
            </w:r>
            <w:r>
              <w:rPr>
                <w:rFonts w:eastAsia="Calibri" w:cs="Times New Roman" w:ascii="Bodoni MT Condensed" w:hAnsi="Bodoni MT Condensed"/>
                <w:b/>
                <w:bCs/>
                <w:kern w:val="0"/>
                <w:sz w:val="24"/>
                <w:szCs w:val="24"/>
                <w:lang w:val="sk-SK" w:eastAsia="en-US" w:bidi="ar-SA"/>
              </w:rPr>
              <w:t xml:space="preserve">ch </w:t>
            </w:r>
            <w:r>
              <w:rPr>
                <w:rFonts w:eastAsia="Calibri" w:cs="Bodoni MT Condensed" w:ascii="Bodoni MT Condensed" w:hAnsi="Bodoni MT Condensed"/>
                <w:b/>
                <w:bCs/>
                <w:kern w:val="0"/>
                <w:sz w:val="24"/>
                <w:szCs w:val="24"/>
                <w:lang w:val="sk-SK" w:eastAsia="en-US" w:bidi="ar-SA"/>
              </w:rPr>
              <w:t>ú</w:t>
            </w:r>
            <w:r>
              <w:rPr>
                <w:rFonts w:eastAsia="Calibri" w:cs="Times New Roman" w:ascii="Bodoni MT Condensed" w:hAnsi="Bodoni MT Condensed"/>
                <w:b/>
                <w:bCs/>
                <w:kern w:val="0"/>
                <w:sz w:val="24"/>
                <w:szCs w:val="24"/>
                <w:lang w:val="sk-SK" w:eastAsia="en-US" w:bidi="ar-SA"/>
              </w:rPr>
              <w:t>zemn</w:t>
            </w:r>
            <w:r>
              <w:rPr>
                <w:rFonts w:eastAsia="Calibri" w:cs="Bodoni MT Condensed" w:ascii="Bodoni MT Condensed" w:hAnsi="Bodoni MT Condensed"/>
                <w:b/>
                <w:bCs/>
                <w:kern w:val="0"/>
                <w:sz w:val="24"/>
                <w:szCs w:val="24"/>
                <w:lang w:val="sk-SK" w:eastAsia="en-US" w:bidi="ar-SA"/>
              </w:rPr>
              <w:t>ý</w:t>
            </w:r>
            <w:r>
              <w:rPr>
                <w:rFonts w:eastAsia="Calibri" w:cs="Times New Roman" w:ascii="Bodoni MT Condensed" w:hAnsi="Bodoni MT Condensed"/>
                <w:b/>
                <w:bCs/>
                <w:kern w:val="0"/>
                <w:sz w:val="24"/>
                <w:szCs w:val="24"/>
                <w:lang w:val="sk-SK" w:eastAsia="en-US" w:bidi="ar-SA"/>
              </w:rPr>
              <w:t>ch celkov a</w:t>
            </w:r>
            <w:r>
              <w:rPr>
                <w:rFonts w:eastAsia="Calibri" w:cs="Bodoni MT Condensed" w:ascii="Bodoni MT Condensed" w:hAnsi="Bodoni MT Condensed"/>
                <w:b/>
                <w:bCs/>
                <w:kern w:val="0"/>
                <w:sz w:val="24"/>
                <w:szCs w:val="24"/>
                <w:lang w:val="sk-SK" w:eastAsia="en-US" w:bidi="ar-SA"/>
              </w:rPr>
              <w:t> </w:t>
            </w:r>
            <w:r>
              <w:rPr>
                <w:rFonts w:eastAsia="Calibri" w:cs="Times New Roman" w:ascii="Bodoni MT Condensed" w:hAnsi="Bodoni MT Condensed"/>
                <w:b/>
                <w:bCs/>
                <w:kern w:val="0"/>
                <w:sz w:val="24"/>
                <w:szCs w:val="24"/>
                <w:lang w:val="sk-SK" w:eastAsia="en-US" w:bidi="ar-SA"/>
              </w:rPr>
              <w:t>v</w:t>
            </w:r>
            <w:r>
              <w:rPr>
                <w:rFonts w:eastAsia="Calibri" w:cs="Bodoni MT Condensed" w:ascii="Bodoni MT Condensed" w:hAnsi="Bodoni MT Condensed"/>
                <w:b/>
                <w:bCs/>
                <w:kern w:val="0"/>
                <w:sz w:val="24"/>
                <w:szCs w:val="24"/>
                <w:lang w:val="sk-SK" w:eastAsia="en-US" w:bidi="ar-SA"/>
              </w:rPr>
              <w:t> </w:t>
            </w:r>
            <w:r>
              <w:rPr>
                <w:rFonts w:eastAsia="Calibri" w:cs="Times New Roman" w:ascii="Bodoni MT Condensed" w:hAnsi="Bodoni MT Condensed"/>
                <w:b/>
                <w:bCs/>
                <w:kern w:val="0"/>
                <w:sz w:val="24"/>
                <w:szCs w:val="24"/>
                <w:lang w:val="sk-SK" w:eastAsia="en-US" w:bidi="ar-SA"/>
              </w:rPr>
              <w:t>rozpo</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tov</w:t>
            </w:r>
            <w:r>
              <w:rPr>
                <w:rFonts w:eastAsia="Calibri" w:cs="Bodoni MT Condensed" w:ascii="Bodoni MT Condensed" w:hAnsi="Bodoni MT Condensed"/>
                <w:b/>
                <w:bCs/>
                <w:kern w:val="0"/>
                <w:sz w:val="24"/>
                <w:szCs w:val="24"/>
                <w:lang w:val="sk-SK" w:eastAsia="en-US" w:bidi="ar-SA"/>
              </w:rPr>
              <w:t>ý</w:t>
            </w:r>
            <w:r>
              <w:rPr>
                <w:rFonts w:eastAsia="Calibri" w:cs="Times New Roman" w:ascii="Bodoni MT Condensed" w:hAnsi="Bodoni MT Condensed"/>
                <w:b/>
                <w:bCs/>
                <w:kern w:val="0"/>
                <w:sz w:val="24"/>
                <w:szCs w:val="24"/>
                <w:lang w:val="sk-SK" w:eastAsia="en-US" w:bidi="ar-SA"/>
              </w:rPr>
              <w:t>ch organiz</w:t>
            </w:r>
            <w:r>
              <w:rPr>
                <w:rFonts w:eastAsia="Calibri" w:cs="Bodoni MT Condensed" w:ascii="Bodoni MT Condensed" w:hAnsi="Bodoni MT Condensed"/>
                <w:b/>
                <w:bCs/>
                <w:kern w:val="0"/>
                <w:sz w:val="24"/>
                <w:szCs w:val="24"/>
                <w:lang w:val="sk-SK" w:eastAsia="en-US" w:bidi="ar-SA"/>
              </w:rPr>
              <w:t>á</w:t>
            </w:r>
            <w:r>
              <w:rPr>
                <w:rFonts w:eastAsia="Calibri" w:cs="Times New Roman" w:ascii="Bodoni MT Condensed" w:hAnsi="Bodoni MT Condensed"/>
                <w:b/>
                <w:bCs/>
                <w:kern w:val="0"/>
                <w:sz w:val="24"/>
                <w:szCs w:val="24"/>
                <w:lang w:val="sk-SK" w:eastAsia="en-US" w:bidi="ar-SA"/>
              </w:rPr>
              <w:t>ci</w:t>
            </w:r>
            <w:r>
              <w:rPr>
                <w:rFonts w:eastAsia="Calibri" w:cs="Bodoni MT Condensed" w:ascii="Bodoni MT Condensed" w:hAnsi="Bodoni MT Condensed"/>
                <w:b/>
                <w:bCs/>
                <w:kern w:val="0"/>
                <w:sz w:val="24"/>
                <w:szCs w:val="24"/>
                <w:lang w:val="sk-SK" w:eastAsia="en-US" w:bidi="ar-SA"/>
              </w:rPr>
              <w:t>á</w:t>
            </w:r>
            <w:r>
              <w:rPr>
                <w:rFonts w:eastAsia="Calibri" w:cs="Times New Roman" w:ascii="Bodoni MT Condensed" w:hAnsi="Bodoni MT Condensed"/>
                <w:b/>
                <w:bCs/>
                <w:kern w:val="0"/>
                <w:sz w:val="24"/>
                <w:szCs w:val="24"/>
                <w:lang w:val="sk-SK" w:eastAsia="en-US" w:bidi="ar-SA"/>
              </w:rPr>
              <w:t>ch a</w:t>
            </w:r>
            <w:r>
              <w:rPr>
                <w:rFonts w:eastAsia="Calibri" w:cs="Bodoni MT Condensed" w:ascii="Bodoni MT Condensed" w:hAnsi="Bodoni MT Condensed"/>
                <w:b/>
                <w:bCs/>
                <w:kern w:val="0"/>
                <w:sz w:val="24"/>
                <w:szCs w:val="24"/>
                <w:lang w:val="sk-SK" w:eastAsia="en-US" w:bidi="ar-SA"/>
              </w:rPr>
              <w:t> </w:t>
            </w:r>
            <w:r>
              <w:rPr>
                <w:rFonts w:eastAsia="Calibri" w:cs="Times New Roman" w:ascii="Bodoni MT Condensed" w:hAnsi="Bodoni MT Condensed"/>
                <w:b/>
                <w:bCs/>
                <w:kern w:val="0"/>
                <w:sz w:val="24"/>
                <w:szCs w:val="24"/>
                <w:lang w:val="sk-SK" w:eastAsia="en-US" w:bidi="ar-SA"/>
              </w:rPr>
              <w:t>pr</w:t>
            </w:r>
            <w:r>
              <w:rPr>
                <w:rFonts w:eastAsia="Calibri" w:cs="Bodoni MT Condensed" w:ascii="Bodoni MT Condensed" w:hAnsi="Bodoni MT Condensed"/>
                <w:b/>
                <w:bCs/>
                <w:kern w:val="0"/>
                <w:sz w:val="24"/>
                <w:szCs w:val="24"/>
                <w:lang w:val="sk-SK" w:eastAsia="en-US" w:bidi="ar-SA"/>
              </w:rPr>
              <w:t>í</w:t>
            </w:r>
            <w:r>
              <w:rPr>
                <w:rFonts w:eastAsia="Calibri" w:cs="Times New Roman" w:ascii="Bodoni MT Condensed" w:hAnsi="Bodoni MT Condensed"/>
                <w:b/>
                <w:bCs/>
                <w:kern w:val="0"/>
                <w:sz w:val="24"/>
                <w:szCs w:val="24"/>
                <w:lang w:val="sk-SK" w:eastAsia="en-US" w:bidi="ar-SA"/>
              </w:rPr>
              <w:t>spevkov</w:t>
            </w:r>
            <w:r>
              <w:rPr>
                <w:rFonts w:eastAsia="Calibri" w:cs="Bodoni MT Condensed" w:ascii="Bodoni MT Condensed" w:hAnsi="Bodoni MT Condensed"/>
                <w:b/>
                <w:bCs/>
                <w:kern w:val="0"/>
                <w:sz w:val="24"/>
                <w:szCs w:val="24"/>
                <w:lang w:val="sk-SK" w:eastAsia="en-US" w:bidi="ar-SA"/>
              </w:rPr>
              <w:t>ý</w:t>
            </w:r>
            <w:r>
              <w:rPr>
                <w:rFonts w:eastAsia="Calibri" w:cs="Times New Roman" w:ascii="Bodoni MT Condensed" w:hAnsi="Bodoni MT Condensed"/>
                <w:b/>
                <w:bCs/>
                <w:kern w:val="0"/>
                <w:sz w:val="24"/>
                <w:szCs w:val="24"/>
                <w:lang w:val="sk-SK" w:eastAsia="en-US" w:bidi="ar-SA"/>
              </w:rPr>
              <w:t>ch organiz</w:t>
            </w:r>
            <w:r>
              <w:rPr>
                <w:rFonts w:eastAsia="Calibri" w:cs="Bodoni MT Condensed" w:ascii="Bodoni MT Condensed" w:hAnsi="Bodoni MT Condensed"/>
                <w:b/>
                <w:bCs/>
                <w:kern w:val="0"/>
                <w:sz w:val="24"/>
                <w:szCs w:val="24"/>
                <w:lang w:val="sk-SK" w:eastAsia="en-US" w:bidi="ar-SA"/>
              </w:rPr>
              <w:t>á</w:t>
            </w:r>
            <w:r>
              <w:rPr>
                <w:rFonts w:eastAsia="Calibri" w:cs="Times New Roman" w:ascii="Bodoni MT Condensed" w:hAnsi="Bodoni MT Condensed"/>
                <w:b/>
                <w:bCs/>
                <w:kern w:val="0"/>
                <w:sz w:val="24"/>
                <w:szCs w:val="24"/>
                <w:lang w:val="sk-SK" w:eastAsia="en-US" w:bidi="ar-SA"/>
              </w:rPr>
              <w:t>ci</w:t>
            </w:r>
            <w:r>
              <w:rPr>
                <w:rFonts w:eastAsia="Calibri" w:cs="Bodoni MT Condensed" w:ascii="Bodoni MT Condensed" w:hAnsi="Bodoni MT Condensed"/>
                <w:b/>
                <w:bCs/>
                <w:kern w:val="0"/>
                <w:sz w:val="24"/>
                <w:szCs w:val="24"/>
                <w:lang w:val="sk-SK" w:eastAsia="en-US" w:bidi="ar-SA"/>
              </w:rPr>
              <w:t>á</w:t>
            </w:r>
            <w:r>
              <w:rPr>
                <w:rFonts w:eastAsia="Calibri" w:cs="Times New Roman" w:ascii="Bodoni MT Condensed" w:hAnsi="Bodoni MT Condensed"/>
                <w:b/>
                <w:bCs/>
                <w:kern w:val="0"/>
                <w:sz w:val="24"/>
                <w:szCs w:val="24"/>
                <w:lang w:val="sk-SK" w:eastAsia="en-US" w:bidi="ar-SA"/>
              </w:rPr>
              <w:t>ch zriaden</w:t>
            </w:r>
            <w:r>
              <w:rPr>
                <w:rFonts w:eastAsia="Calibri" w:cs="Bodoni MT Condensed" w:ascii="Bodoni MT Condensed" w:hAnsi="Bodoni MT Condensed"/>
                <w:b/>
                <w:bCs/>
                <w:kern w:val="0"/>
                <w:sz w:val="24"/>
                <w:szCs w:val="24"/>
                <w:lang w:val="sk-SK" w:eastAsia="en-US" w:bidi="ar-SA"/>
              </w:rPr>
              <w:t>ý</w:t>
            </w:r>
            <w:r>
              <w:rPr>
                <w:rFonts w:eastAsia="Calibri" w:cs="Times New Roman" w:ascii="Bodoni MT Condensed" w:hAnsi="Bodoni MT Condensed"/>
                <w:b/>
                <w:bCs/>
                <w:kern w:val="0"/>
                <w:sz w:val="24"/>
                <w:szCs w:val="24"/>
                <w:lang w:val="sk-SK" w:eastAsia="en-US" w:bidi="ar-SA"/>
              </w:rPr>
              <w:t>ch obcou alebo vy</w:t>
            </w:r>
            <w:r>
              <w:rPr>
                <w:rFonts w:eastAsia="Calibri" w:cs="Bodoni MT Condensed" w:ascii="Bodoni MT Condensed" w:hAnsi="Bodoni MT Condensed"/>
                <w:b/>
                <w:bCs/>
                <w:kern w:val="0"/>
                <w:sz w:val="24"/>
                <w:szCs w:val="24"/>
                <w:lang w:val="sk-SK" w:eastAsia="en-US" w:bidi="ar-SA"/>
              </w:rPr>
              <w:t>šší</w:t>
            </w:r>
            <w:r>
              <w:rPr>
                <w:rFonts w:eastAsia="Calibri" w:cs="Times New Roman" w:ascii="Bodoni MT Condensed" w:hAnsi="Bodoni MT Condensed"/>
                <w:b/>
                <w:bCs/>
                <w:kern w:val="0"/>
                <w:sz w:val="24"/>
                <w:szCs w:val="24"/>
                <w:lang w:val="sk-SK" w:eastAsia="en-US" w:bidi="ar-SA"/>
              </w:rPr>
              <w:t xml:space="preserve">m </w:t>
            </w:r>
            <w:r>
              <w:rPr>
                <w:rFonts w:eastAsia="Calibri" w:cs="Bodoni MT Condensed" w:ascii="Bodoni MT Condensed" w:hAnsi="Bodoni MT Condensed"/>
                <w:b/>
                <w:bCs/>
                <w:kern w:val="0"/>
                <w:sz w:val="24"/>
                <w:szCs w:val="24"/>
                <w:lang w:val="sk-SK" w:eastAsia="en-US" w:bidi="ar-SA"/>
              </w:rPr>
              <w:t>ú</w:t>
            </w:r>
            <w:r>
              <w:rPr>
                <w:rFonts w:eastAsia="Calibri" w:cs="Times New Roman" w:ascii="Bodoni MT Condensed" w:hAnsi="Bodoni MT Condensed"/>
                <w:b/>
                <w:bCs/>
                <w:kern w:val="0"/>
                <w:sz w:val="24"/>
                <w:szCs w:val="24"/>
                <w:lang w:val="sk-SK" w:eastAsia="en-US" w:bidi="ar-SA"/>
              </w:rPr>
              <w:t>zemn</w:t>
            </w:r>
            <w:r>
              <w:rPr>
                <w:rFonts w:eastAsia="Calibri" w:cs="Bodoni MT Condensed" w:ascii="Bodoni MT Condensed" w:hAnsi="Bodoni MT Condensed"/>
                <w:b/>
                <w:bCs/>
                <w:kern w:val="0"/>
                <w:sz w:val="24"/>
                <w:szCs w:val="24"/>
                <w:lang w:val="sk-SK" w:eastAsia="en-US" w:bidi="ar-SA"/>
              </w:rPr>
              <w:t>ý</w:t>
            </w:r>
            <w:r>
              <w:rPr>
                <w:rFonts w:eastAsia="Calibri" w:cs="Times New Roman" w:ascii="Bodoni MT Condensed" w:hAnsi="Bodoni MT Condensed"/>
                <w:b/>
                <w:bCs/>
                <w:kern w:val="0"/>
                <w:sz w:val="24"/>
                <w:szCs w:val="24"/>
                <w:lang w:val="sk-SK" w:eastAsia="en-US" w:bidi="ar-SA"/>
              </w:rPr>
              <w:t>m celkom</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979.097,60</w:t>
            </w:r>
          </w:p>
        </w:tc>
        <w:tc>
          <w:tcPr>
            <w:tcW w:w="1733"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4"/>
                <w:szCs w:val="24"/>
                <w:lang w:val="sk-SK" w:eastAsia="en-US" w:bidi="ar-SA"/>
              </w:rPr>
              <w:t>948.938,07</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693</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Výnosy samosprávy z bežných transferov zo štátneho rozpo</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tu a</w:t>
            </w:r>
            <w:r>
              <w:rPr>
                <w:rFonts w:eastAsia="Calibri" w:cs="Bodoni MT Condensed" w:ascii="Bodoni MT Condensed" w:hAnsi="Bodoni MT Condensed"/>
                <w:kern w:val="0"/>
                <w:sz w:val="24"/>
                <w:szCs w:val="24"/>
                <w:lang w:val="sk-SK" w:eastAsia="en-US" w:bidi="ar-SA"/>
              </w:rPr>
              <w:t> </w:t>
            </w:r>
            <w:r>
              <w:rPr>
                <w:rFonts w:eastAsia="Calibri" w:cs="Times New Roman" w:ascii="Bodoni MT Condensed" w:hAnsi="Bodoni MT Condensed"/>
                <w:kern w:val="0"/>
                <w:sz w:val="24"/>
                <w:szCs w:val="24"/>
                <w:lang w:val="sk-SK" w:eastAsia="en-US" w:bidi="ar-SA"/>
              </w:rPr>
              <w:t>od in</w:t>
            </w:r>
            <w:r>
              <w:rPr>
                <w:rFonts w:eastAsia="Calibri" w:cs="Bodoni MT Condensed" w:ascii="Bodoni MT Condensed" w:hAnsi="Bodoni MT Condensed"/>
                <w:kern w:val="0"/>
                <w:sz w:val="24"/>
                <w:szCs w:val="24"/>
                <w:lang w:val="sk-SK" w:eastAsia="en-US" w:bidi="ar-SA"/>
              </w:rPr>
              <w:t>ý</w:t>
            </w:r>
            <w:r>
              <w:rPr>
                <w:rFonts w:eastAsia="Calibri" w:cs="Times New Roman" w:ascii="Bodoni MT Condensed" w:hAnsi="Bodoni MT Condensed"/>
                <w:kern w:val="0"/>
                <w:sz w:val="24"/>
                <w:szCs w:val="24"/>
                <w:lang w:val="sk-SK" w:eastAsia="en-US" w:bidi="ar-SA"/>
              </w:rPr>
              <w:t>ch subjektov verejnej spr</w:t>
            </w:r>
            <w:r>
              <w:rPr>
                <w:rFonts w:eastAsia="Calibri" w:cs="Bodoni MT Condensed" w:ascii="Bodoni MT Condensed" w:hAnsi="Bodoni MT Condensed"/>
                <w:kern w:val="0"/>
                <w:sz w:val="24"/>
                <w:szCs w:val="24"/>
                <w:lang w:val="sk-SK" w:eastAsia="en-US" w:bidi="ar-SA"/>
              </w:rPr>
              <w:t>á</w:t>
            </w:r>
            <w:r>
              <w:rPr>
                <w:rFonts w:eastAsia="Calibri" w:cs="Times New Roman" w:ascii="Bodoni MT Condensed" w:hAnsi="Bodoni MT Condensed"/>
                <w:kern w:val="0"/>
                <w:sz w:val="24"/>
                <w:szCs w:val="24"/>
                <w:lang w:val="sk-SK" w:eastAsia="en-US" w:bidi="ar-SA"/>
              </w:rPr>
              <w:t>vy</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915.753,12</w:t>
            </w:r>
          </w:p>
        </w:tc>
        <w:tc>
          <w:tcPr>
            <w:tcW w:w="1733"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873.751 25</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694</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Výnosy samosprávy z kapitálových transferov zo štátneho rozpo</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tu a</w:t>
            </w:r>
            <w:r>
              <w:rPr>
                <w:rFonts w:eastAsia="Calibri" w:cs="Bodoni MT Condensed" w:ascii="Bodoni MT Condensed" w:hAnsi="Bodoni MT Condensed"/>
                <w:kern w:val="0"/>
                <w:sz w:val="24"/>
                <w:szCs w:val="24"/>
                <w:lang w:val="sk-SK" w:eastAsia="en-US" w:bidi="ar-SA"/>
              </w:rPr>
              <w:t> </w:t>
            </w:r>
            <w:r>
              <w:rPr>
                <w:rFonts w:eastAsia="Calibri" w:cs="Times New Roman" w:ascii="Bodoni MT Condensed" w:hAnsi="Bodoni MT Condensed"/>
                <w:kern w:val="0"/>
                <w:sz w:val="24"/>
                <w:szCs w:val="24"/>
                <w:lang w:val="sk-SK" w:eastAsia="en-US" w:bidi="ar-SA"/>
              </w:rPr>
              <w:t>od in</w:t>
            </w:r>
            <w:r>
              <w:rPr>
                <w:rFonts w:eastAsia="Calibri" w:cs="Bodoni MT Condensed" w:ascii="Bodoni MT Condensed" w:hAnsi="Bodoni MT Condensed"/>
                <w:kern w:val="0"/>
                <w:sz w:val="24"/>
                <w:szCs w:val="24"/>
                <w:lang w:val="sk-SK" w:eastAsia="en-US" w:bidi="ar-SA"/>
              </w:rPr>
              <w:t>ý</w:t>
            </w:r>
            <w:r>
              <w:rPr>
                <w:rFonts w:eastAsia="Calibri" w:cs="Times New Roman" w:ascii="Bodoni MT Condensed" w:hAnsi="Bodoni MT Condensed"/>
                <w:kern w:val="0"/>
                <w:sz w:val="24"/>
                <w:szCs w:val="24"/>
                <w:lang w:val="sk-SK" w:eastAsia="en-US" w:bidi="ar-SA"/>
              </w:rPr>
              <w:t>ch subjektov verejnej spr</w:t>
            </w:r>
            <w:r>
              <w:rPr>
                <w:rFonts w:eastAsia="Calibri" w:cs="Bodoni MT Condensed" w:ascii="Bodoni MT Condensed" w:hAnsi="Bodoni MT Condensed"/>
                <w:kern w:val="0"/>
                <w:sz w:val="24"/>
                <w:szCs w:val="24"/>
                <w:lang w:val="sk-SK" w:eastAsia="en-US" w:bidi="ar-SA"/>
              </w:rPr>
              <w:t>á</w:t>
            </w:r>
            <w:r>
              <w:rPr>
                <w:rFonts w:eastAsia="Calibri" w:cs="Times New Roman" w:ascii="Bodoni MT Condensed" w:hAnsi="Bodoni MT Condensed"/>
                <w:kern w:val="0"/>
                <w:sz w:val="24"/>
                <w:szCs w:val="24"/>
                <w:lang w:val="sk-SK" w:eastAsia="en-US" w:bidi="ar-SA"/>
              </w:rPr>
              <w:t>vy</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57.602,48</w:t>
            </w:r>
          </w:p>
        </w:tc>
        <w:tc>
          <w:tcPr>
            <w:tcW w:w="1733"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70.934 82</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697</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Výnosy samosprávy z bežných transferov od ostatných subjektov mimo verejnej správy</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3.200,00</w:t>
            </w:r>
          </w:p>
        </w:tc>
        <w:tc>
          <w:tcPr>
            <w:tcW w:w="1733"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4"/>
                <w:szCs w:val="24"/>
                <w:lang w:val="sk-SK" w:eastAsia="en-US" w:bidi="ar-SA"/>
              </w:rPr>
              <w:t>1.710,00</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698</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Výnosy samosprávy z kapitálových transferov od ostatných subjektov mimo verejnej správy</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2.542,00</w:t>
            </w:r>
          </w:p>
        </w:tc>
        <w:tc>
          <w:tcPr>
            <w:tcW w:w="1733"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2.542,00</w:t>
            </w:r>
          </w:p>
        </w:tc>
      </w:tr>
      <w:tr>
        <w:trPr/>
        <w:tc>
          <w:tcPr>
            <w:tcW w:w="5779" w:type="dxa"/>
            <w:gridSpan w:val="2"/>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Ú</w:t>
            </w:r>
            <w:r>
              <w:rPr>
                <w:rFonts w:eastAsia="Calibri" w:cs="Times New Roman" w:ascii="Times New Roman" w:hAnsi="Times New Roman"/>
                <w:b/>
                <w:bCs/>
                <w:kern w:val="0"/>
                <w:sz w:val="24"/>
                <w:szCs w:val="24"/>
                <w:lang w:val="sk-SK" w:eastAsia="en-US" w:bidi="ar-SA"/>
              </w:rPr>
              <w:t>č</w:t>
            </w:r>
            <w:r>
              <w:rPr>
                <w:rFonts w:eastAsia="Calibri" w:cs="Times New Roman" w:ascii="Bodoni MT Condensed" w:hAnsi="Bodoni MT Condensed"/>
                <w:b/>
                <w:bCs/>
                <w:kern w:val="0"/>
                <w:sz w:val="24"/>
                <w:szCs w:val="24"/>
                <w:lang w:val="sk-SK" w:eastAsia="en-US" w:bidi="ar-SA"/>
              </w:rPr>
              <w:t>tovn</w:t>
            </w:r>
            <w:r>
              <w:rPr>
                <w:rFonts w:eastAsia="Calibri" w:cs="Bodoni MT Condensed" w:ascii="Bodoni MT Condensed" w:hAnsi="Bodoni MT Condensed"/>
                <w:b/>
                <w:bCs/>
                <w:kern w:val="0"/>
                <w:sz w:val="24"/>
                <w:szCs w:val="24"/>
                <w:lang w:val="sk-SK" w:eastAsia="en-US" w:bidi="ar-SA"/>
              </w:rPr>
              <w:t>á</w:t>
            </w:r>
            <w:r>
              <w:rPr>
                <w:rFonts w:eastAsia="Calibri" w:cs="Times New Roman" w:ascii="Bodoni MT Condensed" w:hAnsi="Bodoni MT Condensed"/>
                <w:b/>
                <w:bCs/>
                <w:kern w:val="0"/>
                <w:sz w:val="24"/>
                <w:szCs w:val="24"/>
                <w:lang w:val="sk-SK" w:eastAsia="en-US" w:bidi="ar-SA"/>
              </w:rPr>
              <w:t xml:space="preserve"> trieda 6 celkom</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2.277.477,18</w:t>
            </w:r>
          </w:p>
        </w:tc>
        <w:tc>
          <w:tcPr>
            <w:tcW w:w="1733"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2.348.823,54</w:t>
            </w:r>
          </w:p>
        </w:tc>
      </w:tr>
      <w:tr>
        <w:trPr/>
        <w:tc>
          <w:tcPr>
            <w:tcW w:w="5779" w:type="dxa"/>
            <w:gridSpan w:val="2"/>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4"/>
                <w:szCs w:val="24"/>
                <w:lang w:val="sk-SK" w:eastAsia="en-US" w:bidi="ar-SA"/>
              </w:rPr>
              <w:t>Výsledok hospodárenia pred zdanením</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-39.296,29</w:t>
            </w:r>
          </w:p>
        </w:tc>
        <w:tc>
          <w:tcPr>
            <w:tcW w:w="1733"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161.759,99</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591</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Splatná da</w:t>
            </w:r>
            <w:r>
              <w:rPr>
                <w:rFonts w:eastAsia="Calibri" w:cs="Times New Roman" w:ascii="Times New Roman" w:hAnsi="Times New Roman"/>
                <w:kern w:val="0"/>
                <w:sz w:val="24"/>
                <w:szCs w:val="24"/>
                <w:lang w:val="sk-SK" w:eastAsia="en-US" w:bidi="ar-SA"/>
              </w:rPr>
              <w:t>ň</w:t>
            </w:r>
            <w:r>
              <w:rPr>
                <w:rFonts w:eastAsia="Calibri" w:cs="Times New Roman" w:ascii="Bodoni MT Condensed" w:hAnsi="Bodoni MT Condensed"/>
                <w:kern w:val="0"/>
                <w:sz w:val="24"/>
                <w:szCs w:val="24"/>
                <w:lang w:val="sk-SK" w:eastAsia="en-US" w:bidi="ar-SA"/>
              </w:rPr>
              <w:t xml:space="preserve"> z pr</w:t>
            </w:r>
            <w:r>
              <w:rPr>
                <w:rFonts w:eastAsia="Calibri" w:cs="Bodoni MT Condensed" w:ascii="Bodoni MT Condensed" w:hAnsi="Bodoni MT Condensed"/>
                <w:kern w:val="0"/>
                <w:sz w:val="24"/>
                <w:szCs w:val="24"/>
                <w:lang w:val="sk-SK" w:eastAsia="en-US" w:bidi="ar-SA"/>
              </w:rPr>
              <w:t>í</w:t>
            </w:r>
            <w:r>
              <w:rPr>
                <w:rFonts w:eastAsia="Calibri" w:cs="Times New Roman" w:ascii="Bodoni MT Condensed" w:hAnsi="Bodoni MT Condensed"/>
                <w:kern w:val="0"/>
                <w:sz w:val="24"/>
                <w:szCs w:val="24"/>
                <w:lang w:val="sk-SK" w:eastAsia="en-US" w:bidi="ar-SA"/>
              </w:rPr>
              <w:t>jmov</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0,00</w:t>
            </w:r>
          </w:p>
        </w:tc>
        <w:tc>
          <w:tcPr>
            <w:tcW w:w="1733"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0,00</w:t>
            </w:r>
          </w:p>
        </w:tc>
      </w:tr>
      <w:tr>
        <w:trPr/>
        <w:tc>
          <w:tcPr>
            <w:tcW w:w="1102"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595</w:t>
            </w:r>
          </w:p>
        </w:tc>
        <w:tc>
          <w:tcPr>
            <w:tcW w:w="4677"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4"/>
                <w:szCs w:val="24"/>
                <w:lang w:val="sk-SK" w:eastAsia="en-US" w:bidi="ar-SA"/>
              </w:rPr>
              <w:t>Dodato</w:t>
            </w:r>
            <w:r>
              <w:rPr>
                <w:rFonts w:eastAsia="Calibri" w:cs="Times New Roman" w:ascii="Times New Roman" w:hAnsi="Times New Roman"/>
                <w:kern w:val="0"/>
                <w:sz w:val="24"/>
                <w:szCs w:val="24"/>
                <w:lang w:val="sk-SK" w:eastAsia="en-US" w:bidi="ar-SA"/>
              </w:rPr>
              <w:t>č</w:t>
            </w:r>
            <w:r>
              <w:rPr>
                <w:rFonts w:eastAsia="Calibri" w:cs="Times New Roman" w:ascii="Bodoni MT Condensed" w:hAnsi="Bodoni MT Condensed"/>
                <w:kern w:val="0"/>
                <w:sz w:val="24"/>
                <w:szCs w:val="24"/>
                <w:lang w:val="sk-SK" w:eastAsia="en-US" w:bidi="ar-SA"/>
              </w:rPr>
              <w:t>ne platen</w:t>
            </w:r>
            <w:r>
              <w:rPr>
                <w:rFonts w:eastAsia="Calibri" w:cs="Bodoni MT Condensed" w:ascii="Bodoni MT Condensed" w:hAnsi="Bodoni MT Condensed"/>
                <w:kern w:val="0"/>
                <w:sz w:val="24"/>
                <w:szCs w:val="24"/>
                <w:lang w:val="sk-SK" w:eastAsia="en-US" w:bidi="ar-SA"/>
              </w:rPr>
              <w:t>á</w:t>
            </w:r>
            <w:r>
              <w:rPr>
                <w:rFonts w:eastAsia="Calibri" w:cs="Times New Roman" w:ascii="Bodoni MT Condensed" w:hAnsi="Bodoni MT Condensed"/>
                <w:kern w:val="0"/>
                <w:sz w:val="24"/>
                <w:szCs w:val="24"/>
                <w:lang w:val="sk-SK" w:eastAsia="en-US" w:bidi="ar-SA"/>
              </w:rPr>
              <w:t xml:space="preserve"> da</w:t>
            </w:r>
            <w:r>
              <w:rPr>
                <w:rFonts w:eastAsia="Calibri" w:cs="Times New Roman" w:ascii="Times New Roman" w:hAnsi="Times New Roman"/>
                <w:kern w:val="0"/>
                <w:sz w:val="24"/>
                <w:szCs w:val="24"/>
                <w:lang w:val="sk-SK" w:eastAsia="en-US" w:bidi="ar-SA"/>
              </w:rPr>
              <w:t>ň</w:t>
            </w:r>
            <w:r>
              <w:rPr>
                <w:rFonts w:eastAsia="Calibri" w:cs="Times New Roman" w:ascii="Bodoni MT Condensed" w:hAnsi="Bodoni MT Condensed"/>
                <w:kern w:val="0"/>
                <w:sz w:val="24"/>
                <w:szCs w:val="24"/>
                <w:lang w:val="sk-SK" w:eastAsia="en-US" w:bidi="ar-SA"/>
              </w:rPr>
              <w:t xml:space="preserve"> z pr</w:t>
            </w:r>
            <w:r>
              <w:rPr>
                <w:rFonts w:eastAsia="Calibri" w:cs="Bodoni MT Condensed" w:ascii="Bodoni MT Condensed" w:hAnsi="Bodoni MT Condensed"/>
                <w:kern w:val="0"/>
                <w:sz w:val="24"/>
                <w:szCs w:val="24"/>
                <w:lang w:val="sk-SK" w:eastAsia="en-US" w:bidi="ar-SA"/>
              </w:rPr>
              <w:t>í</w:t>
            </w:r>
            <w:r>
              <w:rPr>
                <w:rFonts w:eastAsia="Calibri" w:cs="Times New Roman" w:ascii="Bodoni MT Condensed" w:hAnsi="Bodoni MT Condensed"/>
                <w:kern w:val="0"/>
                <w:sz w:val="24"/>
                <w:szCs w:val="24"/>
                <w:lang w:val="sk-SK" w:eastAsia="en-US" w:bidi="ar-SA"/>
              </w:rPr>
              <w:t>jmov</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0,00</w:t>
            </w:r>
          </w:p>
        </w:tc>
        <w:tc>
          <w:tcPr>
            <w:tcW w:w="1733" w:type="dxa"/>
            <w:tcBorders/>
          </w:tcPr>
          <w:p>
            <w:pPr>
              <w:pStyle w:val="Normal"/>
              <w:widowControl/>
              <w:suppressAutoHyphens w:val="true"/>
              <w:spacing w:lineRule="auto" w:line="240" w:before="0" w:after="0"/>
              <w:jc w:val="right"/>
              <w:rPr>
                <w:rFonts w:ascii="Bodoni MT Condensed" w:hAnsi="Bodoni MT Condensed" w:eastAsia="Calibri" w:cs="Times New Roman"/>
                <w:sz w:val="24"/>
                <w:szCs w:val="24"/>
              </w:rPr>
            </w:pPr>
            <w:r>
              <w:rPr>
                <w:rFonts w:eastAsia="Calibri" w:cs="Times New Roman" w:ascii="Bodoni MT Condensed" w:hAnsi="Bodoni MT Condensed"/>
                <w:kern w:val="0"/>
                <w:sz w:val="24"/>
                <w:szCs w:val="24"/>
                <w:lang w:val="sk-SK" w:eastAsia="en-US" w:bidi="ar-SA"/>
              </w:rPr>
              <w:t>0,00</w:t>
            </w:r>
          </w:p>
        </w:tc>
      </w:tr>
      <w:tr>
        <w:trPr/>
        <w:tc>
          <w:tcPr>
            <w:tcW w:w="5779" w:type="dxa"/>
            <w:gridSpan w:val="2"/>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b/>
                <w:kern w:val="0"/>
                <w:sz w:val="24"/>
                <w:szCs w:val="24"/>
                <w:lang w:val="sk-SK" w:eastAsia="en-US" w:bidi="ar-SA"/>
              </w:rPr>
              <w:t>Výsledok hospodárenia po zdanení</w:t>
            </w:r>
          </w:p>
        </w:tc>
        <w:tc>
          <w:tcPr>
            <w:tcW w:w="2174"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-39.296,29</w:t>
            </w:r>
          </w:p>
        </w:tc>
        <w:tc>
          <w:tcPr>
            <w:tcW w:w="1733" w:type="dxa"/>
            <w:tcBorders/>
          </w:tcPr>
          <w:p>
            <w:pPr>
              <w:pStyle w:val="Normal"/>
              <w:widowControl/>
              <w:suppressAutoHyphens w:val="true"/>
              <w:spacing w:lineRule="auto" w:line="240" w:before="0" w:after="0"/>
              <w:jc w:val="right"/>
              <w:rPr>
                <w:rFonts w:ascii="Bodoni MT Condensed" w:hAnsi="Bodoni MT Condensed" w:eastAsia="Calibri" w:cs="Times New Roman"/>
                <w:b/>
                <w:bCs/>
                <w:sz w:val="24"/>
                <w:szCs w:val="24"/>
              </w:rPr>
            </w:pPr>
            <w:r>
              <w:rPr>
                <w:rFonts w:eastAsia="Calibri" w:cs="Times New Roman" w:ascii="Bodoni MT Condensed" w:hAnsi="Bodoni MT Condensed"/>
                <w:b/>
                <w:bCs/>
                <w:kern w:val="0"/>
                <w:sz w:val="24"/>
                <w:szCs w:val="24"/>
                <w:lang w:val="sk-SK" w:eastAsia="en-US" w:bidi="ar-SA"/>
              </w:rPr>
              <w:t>161.759,99</w:t>
            </w:r>
          </w:p>
        </w:tc>
      </w:tr>
    </w:tbl>
    <w:p>
      <w:pPr>
        <w:pStyle w:val="Normal"/>
        <w:spacing w:lineRule="auto" w:line="240" w:before="0" w:after="0"/>
        <w:jc w:val="both"/>
        <w:rPr>
          <w:rFonts w:ascii="Times New Roman" w:hAnsi="Times New Roman" w:cs="Times New Roman"/>
          <w:b/>
          <w:caps/>
          <w:color w:val="81D41A"/>
          <w:sz w:val="24"/>
          <w:szCs w:val="24"/>
          <w:lang w:eastAsia="sk-SK"/>
        </w:rPr>
      </w:pPr>
      <w:r>
        <w:rPr>
          <w:rFonts w:cs="Times New Roman" w:ascii="Times New Roman" w:hAnsi="Times New Roman"/>
          <w:b/>
          <w:caps/>
          <w:color w:val="81D41A"/>
          <w:sz w:val="24"/>
          <w:szCs w:val="24"/>
          <w:lang w:eastAsia="sk-SK"/>
        </w:rPr>
      </w:r>
    </w:p>
    <w:p>
      <w:pPr>
        <w:pStyle w:val="Normal"/>
        <w:spacing w:before="0" w:after="0"/>
        <w:jc w:val="both"/>
        <w:rPr/>
      </w:pPr>
      <w:r>
        <w:rPr>
          <w:rFonts w:cs="Times New Roman" w:ascii="Times New Roman" w:hAnsi="Times New Roman"/>
          <w:b/>
          <w:sz w:val="24"/>
          <w:szCs w:val="24"/>
        </w:rPr>
        <w:t xml:space="preserve">7.2.3 </w:t>
      </w:r>
      <w:r>
        <w:rPr>
          <w:rFonts w:cs="Times New Roman" w:ascii="Times New Roman" w:hAnsi="Times New Roman"/>
          <w:b/>
          <w:sz w:val="24"/>
          <w:szCs w:val="24"/>
          <w:lang w:eastAsia="sk-SK"/>
        </w:rPr>
        <w:t>PREHĽAD AKTÍV A PASÍV ZA KONSOLIDOVANÝ CELOK - NETTO</w:t>
      </w:r>
    </w:p>
    <w:tbl>
      <w:tblPr>
        <w:tblStyle w:val="Mriekatabuky"/>
        <w:tblW w:w="9606"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1199"/>
        <w:gridCol w:w="4680"/>
        <w:gridCol w:w="2025"/>
        <w:gridCol w:w="1701"/>
      </w:tblGrid>
      <w:tr>
        <w:trPr/>
        <w:tc>
          <w:tcPr>
            <w:tcW w:w="1199" w:type="dxa"/>
            <w:tcBorders/>
          </w:tcPr>
          <w:p>
            <w:pPr>
              <w:pStyle w:val="Normal"/>
              <w:widowControl/>
              <w:suppressAutoHyphens w:val="true"/>
              <w:spacing w:lineRule="auto" w:line="240" w:before="0" w:after="0"/>
              <w:jc w:val="center"/>
              <w:rPr>
                <w:rFonts w:ascii="Calibri" w:hAnsi="Calibri" w:eastAsia="Calibri"/>
              </w:rPr>
            </w:pPr>
            <w:r>
              <w:rPr>
                <w:rFonts w:eastAsia="Calibri" w:cs="Times New Roman" w:ascii="Bodoni MT Condensed" w:hAnsi="Bodoni MT Condensed"/>
                <w:b/>
                <w:kern w:val="0"/>
                <w:sz w:val="22"/>
                <w:szCs w:val="22"/>
                <w:lang w:val="sk-SK" w:eastAsia="en-US" w:bidi="ar-SA"/>
              </w:rPr>
              <w:t>Ozna</w:t>
            </w:r>
            <w:r>
              <w:rPr>
                <w:rFonts w:eastAsia="Calibri" w:cs="Times New Roman" w:ascii="Times New Roman" w:hAnsi="Times New Roman"/>
                <w:b/>
                <w:kern w:val="0"/>
                <w:sz w:val="22"/>
                <w:szCs w:val="22"/>
                <w:lang w:val="sk-SK" w:eastAsia="en-US" w:bidi="ar-SA"/>
              </w:rPr>
              <w:t>č</w:t>
            </w:r>
            <w:r>
              <w:rPr>
                <w:rFonts w:eastAsia="Calibri" w:cs="Times New Roman" w:ascii="Bodoni MT Condensed" w:hAnsi="Bodoni MT Condensed"/>
                <w:b/>
                <w:kern w:val="0"/>
                <w:sz w:val="22"/>
                <w:szCs w:val="22"/>
                <w:lang w:val="sk-SK" w:eastAsia="en-US" w:bidi="ar-SA"/>
              </w:rPr>
              <w:t>enie</w:t>
            </w:r>
          </w:p>
        </w:tc>
        <w:tc>
          <w:tcPr>
            <w:tcW w:w="4680" w:type="dxa"/>
            <w:tcBorders/>
          </w:tcPr>
          <w:p>
            <w:pPr>
              <w:pStyle w:val="Normal"/>
              <w:widowControl/>
              <w:suppressAutoHyphens w:val="true"/>
              <w:spacing w:lineRule="auto" w:line="240" w:before="0" w:after="0"/>
              <w:jc w:val="center"/>
              <w:rPr>
                <w:rFonts w:ascii="Calibri" w:hAnsi="Calibri" w:eastAsia="Calibri"/>
              </w:rPr>
            </w:pPr>
            <w:r>
              <w:rPr>
                <w:rFonts w:eastAsia="Calibri" w:cs="Times New Roman" w:ascii="Bodoni MT Condensed" w:hAnsi="Bodoni MT Condensed"/>
                <w:b/>
                <w:kern w:val="0"/>
                <w:sz w:val="22"/>
                <w:szCs w:val="22"/>
                <w:lang w:val="sk-SK" w:eastAsia="en-US" w:bidi="ar-SA"/>
              </w:rPr>
              <w:t>Strana aktív</w:t>
            </w:r>
          </w:p>
        </w:tc>
        <w:tc>
          <w:tcPr>
            <w:tcW w:w="2025" w:type="dxa"/>
            <w:tcBorders/>
          </w:tcPr>
          <w:p>
            <w:pPr>
              <w:pStyle w:val="Normal"/>
              <w:widowControl/>
              <w:suppressAutoHyphens w:val="true"/>
              <w:spacing w:lineRule="auto" w:line="240" w:before="0" w:after="0"/>
              <w:jc w:val="center"/>
              <w:rPr>
                <w:rFonts w:ascii="Calibri" w:hAnsi="Calibri" w:eastAsia="Calibri"/>
              </w:rPr>
            </w:pPr>
            <w:r>
              <w:rPr>
                <w:rFonts w:eastAsia="Calibri" w:cs="Times New Roman" w:ascii="Bodoni MT Condensed" w:hAnsi="Bodoni MT Condensed"/>
                <w:b/>
                <w:kern w:val="0"/>
                <w:sz w:val="22"/>
                <w:szCs w:val="22"/>
                <w:lang w:val="sk-SK" w:eastAsia="en-US" w:bidi="ar-SA"/>
              </w:rPr>
              <w:t>Bežné ú</w:t>
            </w:r>
            <w:r>
              <w:rPr>
                <w:rFonts w:eastAsia="Calibri" w:cs="Times New Roman" w:ascii="Times New Roman" w:hAnsi="Times New Roman"/>
                <w:b/>
                <w:kern w:val="0"/>
                <w:sz w:val="22"/>
                <w:szCs w:val="22"/>
                <w:lang w:val="sk-SK" w:eastAsia="en-US" w:bidi="ar-SA"/>
              </w:rPr>
              <w:t>č</w:t>
            </w:r>
            <w:r>
              <w:rPr>
                <w:rFonts w:eastAsia="Calibri" w:cs="Times New Roman" w:ascii="Bodoni MT Condensed" w:hAnsi="Bodoni MT Condensed"/>
                <w:b/>
                <w:kern w:val="0"/>
                <w:sz w:val="22"/>
                <w:szCs w:val="22"/>
                <w:lang w:val="sk-SK" w:eastAsia="en-US" w:bidi="ar-SA"/>
              </w:rPr>
              <w:t>tovn</w:t>
            </w:r>
            <w:r>
              <w:rPr>
                <w:rFonts w:eastAsia="Calibri" w:cs="Bodoni MT Condensed" w:ascii="Bodoni MT Condensed" w:hAnsi="Bodoni MT Condensed"/>
                <w:b/>
                <w:kern w:val="0"/>
                <w:sz w:val="22"/>
                <w:szCs w:val="22"/>
                <w:lang w:val="sk-SK" w:eastAsia="en-US" w:bidi="ar-SA"/>
              </w:rPr>
              <w:t>é</w:t>
            </w:r>
            <w:r>
              <w:rPr>
                <w:rFonts w:eastAsia="Calibri" w:cs="Times New Roman" w:ascii="Bodoni MT Condensed" w:hAnsi="Bodoni MT Condensed"/>
                <w:b/>
                <w:kern w:val="0"/>
                <w:sz w:val="22"/>
                <w:szCs w:val="22"/>
                <w:lang w:val="sk-SK" w:eastAsia="en-US" w:bidi="ar-SA"/>
              </w:rPr>
              <w:t xml:space="preserve"> obdobie</w:t>
            </w:r>
          </w:p>
        </w:tc>
        <w:tc>
          <w:tcPr>
            <w:tcW w:w="170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b/>
                <w:kern w:val="0"/>
                <w:sz w:val="22"/>
                <w:szCs w:val="22"/>
                <w:lang w:val="sk-SK" w:eastAsia="en-US" w:bidi="ar-SA"/>
              </w:rPr>
              <w:t>Bezprostredne predchádzajúce ú</w:t>
            </w:r>
            <w:r>
              <w:rPr>
                <w:rFonts w:eastAsia="Calibri" w:cs="Times New Roman" w:ascii="Times New Roman" w:hAnsi="Times New Roman"/>
                <w:b/>
                <w:kern w:val="0"/>
                <w:sz w:val="22"/>
                <w:szCs w:val="22"/>
                <w:lang w:val="sk-SK" w:eastAsia="en-US" w:bidi="ar-SA"/>
              </w:rPr>
              <w:t>č</w:t>
            </w:r>
            <w:r>
              <w:rPr>
                <w:rFonts w:eastAsia="Calibri" w:cs="Times New Roman" w:ascii="Bodoni MT Condensed" w:hAnsi="Bodoni MT Condensed"/>
                <w:b/>
                <w:kern w:val="0"/>
                <w:sz w:val="22"/>
                <w:szCs w:val="22"/>
                <w:lang w:val="sk-SK" w:eastAsia="en-US" w:bidi="ar-SA"/>
              </w:rPr>
              <w:t>tovn</w:t>
            </w:r>
            <w:r>
              <w:rPr>
                <w:rFonts w:eastAsia="Calibri" w:cs="Bodoni MT Condensed" w:ascii="Bodoni MT Condensed" w:hAnsi="Bodoni MT Condensed"/>
                <w:b/>
                <w:kern w:val="0"/>
                <w:sz w:val="22"/>
                <w:szCs w:val="22"/>
                <w:lang w:val="sk-SK" w:eastAsia="en-US" w:bidi="ar-SA"/>
              </w:rPr>
              <w:t>é</w:t>
            </w:r>
            <w:r>
              <w:rPr>
                <w:rFonts w:eastAsia="Calibri" w:cs="Times New Roman" w:ascii="Bodoni MT Condensed" w:hAnsi="Bodoni MT Condensed"/>
                <w:b/>
                <w:kern w:val="0"/>
                <w:sz w:val="22"/>
                <w:szCs w:val="22"/>
                <w:lang w:val="sk-SK" w:eastAsia="en-US" w:bidi="ar-SA"/>
              </w:rPr>
              <w:t xml:space="preserve"> obdobie</w:t>
            </w:r>
          </w:p>
        </w:tc>
      </w:tr>
      <w:tr>
        <w:trPr>
          <w:trHeight w:val="166" w:hRule="atLeast"/>
        </w:trPr>
        <w:tc>
          <w:tcPr>
            <w:tcW w:w="1199" w:type="dxa"/>
            <w:tcBorders/>
          </w:tcPr>
          <w:p>
            <w:pPr>
              <w:pStyle w:val="Normal"/>
              <w:widowControl/>
              <w:suppressAutoHyphens w:val="true"/>
              <w:spacing w:lineRule="auto" w:line="240" w:before="0" w:after="0"/>
              <w:jc w:val="left"/>
              <w:rPr>
                <w:rFonts w:ascii="Bodoni MT Condensed" w:hAnsi="Bodoni MT Condensed" w:eastAsia="Calibri" w:cs="Times New Roman"/>
                <w:b/>
                <w:bCs/>
              </w:rPr>
            </w:pPr>
            <w:r>
              <w:rPr>
                <w:rFonts w:eastAsia="Calibri" w:cs="Times New Roman" w:ascii="Bodoni MT Condensed" w:hAnsi="Bodoni MT Condensed"/>
                <w:b/>
                <w:bCs/>
                <w:sz w:val="22"/>
              </w:rPr>
            </w:r>
          </w:p>
        </w:tc>
        <w:tc>
          <w:tcPr>
            <w:tcW w:w="4680"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2"/>
                <w:szCs w:val="22"/>
                <w:lang w:val="sk-SK" w:eastAsia="en-US" w:bidi="ar-SA"/>
              </w:rPr>
              <w:t>SPOLU  MAJETOK</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b/>
                <w:bCs/>
              </w:rPr>
            </w:pPr>
            <w:r>
              <w:rPr>
                <w:rFonts w:eastAsia="Calibri" w:cs="Times New Roman" w:ascii="Bodoni MT Condensed" w:hAnsi="Bodoni MT Condensed"/>
                <w:b/>
                <w:bCs/>
                <w:kern w:val="0"/>
                <w:sz w:val="22"/>
                <w:szCs w:val="22"/>
                <w:lang w:val="sk-SK" w:eastAsia="en-US" w:bidi="ar-SA"/>
              </w:rPr>
              <w:t>3.536.264,16</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2"/>
                <w:szCs w:val="22"/>
                <w:lang w:val="sk-SK" w:eastAsia="en-US" w:bidi="ar-SA"/>
              </w:rPr>
              <w:t>3.456.435,80</w:t>
            </w:r>
          </w:p>
        </w:tc>
      </w:tr>
      <w:tr>
        <w:trPr/>
        <w:tc>
          <w:tcPr>
            <w:tcW w:w="1199"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2"/>
                <w:szCs w:val="22"/>
                <w:lang w:val="sk-SK" w:eastAsia="en-US" w:bidi="ar-SA"/>
              </w:rPr>
              <w:t>A.</w:t>
            </w:r>
          </w:p>
        </w:tc>
        <w:tc>
          <w:tcPr>
            <w:tcW w:w="4680"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2"/>
                <w:szCs w:val="22"/>
                <w:lang w:val="sk-SK" w:eastAsia="en-US" w:bidi="ar-SA"/>
              </w:rPr>
              <w:t>Neobežný majetok</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b/>
                <w:bCs/>
              </w:rPr>
            </w:pPr>
            <w:r>
              <w:rPr>
                <w:rFonts w:eastAsia="Calibri" w:cs="Times New Roman" w:ascii="Bodoni MT Condensed" w:hAnsi="Bodoni MT Condensed"/>
                <w:b/>
                <w:bCs/>
                <w:kern w:val="0"/>
                <w:sz w:val="22"/>
                <w:szCs w:val="22"/>
                <w:lang w:val="sk-SK" w:eastAsia="en-US" w:bidi="ar-SA"/>
              </w:rPr>
              <w:t>3.071.540,01</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2"/>
                <w:szCs w:val="22"/>
                <w:lang w:val="sk-SK" w:eastAsia="en-US" w:bidi="ar-SA"/>
              </w:rPr>
              <w:t>3 .110.531,46</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A.I.</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Dlhodobý nehmotný majetok</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124.437,21</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129.695,29</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A.II.</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Dlhodobý hmotný majetok</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2.484.745,80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2.518.479,17</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A.III.</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Dlhodobý finan</w:t>
            </w:r>
            <w:r>
              <w:rPr>
                <w:rFonts w:eastAsia="Calibri" w:cs="Times New Roman" w:ascii="Times New Roman" w:hAnsi="Times New Roman"/>
                <w:kern w:val="0"/>
                <w:sz w:val="22"/>
                <w:szCs w:val="22"/>
                <w:lang w:val="sk-SK" w:eastAsia="en-US" w:bidi="ar-SA"/>
              </w:rPr>
              <w:t>č</w:t>
            </w:r>
            <w:r>
              <w:rPr>
                <w:rFonts w:eastAsia="Calibri" w:cs="Times New Roman" w:ascii="Bodoni MT Condensed" w:hAnsi="Bodoni MT Condensed"/>
                <w:kern w:val="0"/>
                <w:sz w:val="22"/>
                <w:szCs w:val="22"/>
                <w:lang w:val="sk-SK" w:eastAsia="en-US" w:bidi="ar-SA"/>
              </w:rPr>
              <w:t>n</w:t>
            </w:r>
            <w:r>
              <w:rPr>
                <w:rFonts w:eastAsia="Calibri" w:cs="Bodoni MT Condensed" w:ascii="Bodoni MT Condensed" w:hAnsi="Bodoni MT Condensed"/>
                <w:kern w:val="0"/>
                <w:sz w:val="22"/>
                <w:szCs w:val="22"/>
                <w:lang w:val="sk-SK" w:eastAsia="en-US" w:bidi="ar-SA"/>
              </w:rPr>
              <w:t>ý</w:t>
            </w:r>
            <w:r>
              <w:rPr>
                <w:rFonts w:eastAsia="Calibri" w:cs="Times New Roman" w:ascii="Bodoni MT Condensed" w:hAnsi="Bodoni MT Condensed"/>
                <w:kern w:val="0"/>
                <w:sz w:val="22"/>
                <w:szCs w:val="22"/>
                <w:lang w:val="sk-SK" w:eastAsia="en-US" w:bidi="ar-SA"/>
              </w:rPr>
              <w:t xml:space="preserve"> majetok</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462.357,00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462.357,00</w:t>
            </w:r>
          </w:p>
        </w:tc>
      </w:tr>
      <w:tr>
        <w:trPr/>
        <w:tc>
          <w:tcPr>
            <w:tcW w:w="1199"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2"/>
                <w:szCs w:val="22"/>
                <w:lang w:val="sk-SK" w:eastAsia="en-US" w:bidi="ar-SA"/>
              </w:rPr>
              <w:t>B.</w:t>
            </w:r>
          </w:p>
        </w:tc>
        <w:tc>
          <w:tcPr>
            <w:tcW w:w="4680"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2"/>
                <w:szCs w:val="22"/>
                <w:lang w:val="sk-SK" w:eastAsia="en-US" w:bidi="ar-SA"/>
              </w:rPr>
              <w:t>Obežný majetok</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b/>
                <w:bCs/>
              </w:rPr>
            </w:pPr>
            <w:r>
              <w:rPr>
                <w:rFonts w:eastAsia="Calibri" w:cs="Times New Roman" w:ascii="Bodoni MT Condensed" w:hAnsi="Bodoni MT Condensed"/>
                <w:b/>
                <w:bCs/>
                <w:kern w:val="0"/>
                <w:sz w:val="22"/>
                <w:szCs w:val="22"/>
                <w:lang w:val="sk-SK" w:eastAsia="en-US" w:bidi="ar-SA"/>
              </w:rPr>
              <w:t>462.546,59</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2"/>
                <w:szCs w:val="22"/>
                <w:lang w:val="sk-SK" w:eastAsia="en-US" w:bidi="ar-SA"/>
              </w:rPr>
              <w:t>343.427,96</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B.I.</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Zásoby</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34.283,72</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15.938,56</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B.II.</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Zú</w:t>
            </w:r>
            <w:r>
              <w:rPr>
                <w:rFonts w:eastAsia="Calibri" w:cs="Times New Roman" w:ascii="Times New Roman" w:hAnsi="Times New Roman"/>
                <w:kern w:val="0"/>
                <w:sz w:val="22"/>
                <w:szCs w:val="22"/>
                <w:lang w:val="sk-SK" w:eastAsia="en-US" w:bidi="ar-SA"/>
              </w:rPr>
              <w:t>č</w:t>
            </w:r>
            <w:r>
              <w:rPr>
                <w:rFonts w:eastAsia="Calibri" w:cs="Times New Roman" w:ascii="Bodoni MT Condensed" w:hAnsi="Bodoni MT Condensed"/>
                <w:kern w:val="0"/>
                <w:sz w:val="22"/>
                <w:szCs w:val="22"/>
                <w:lang w:val="sk-SK" w:eastAsia="en-US" w:bidi="ar-SA"/>
              </w:rPr>
              <w:t>tovanie medzi subjektmi verejnej spr</w:t>
            </w:r>
            <w:r>
              <w:rPr>
                <w:rFonts w:eastAsia="Calibri" w:cs="Bodoni MT Condensed" w:ascii="Bodoni MT Condensed" w:hAnsi="Bodoni MT Condensed"/>
                <w:kern w:val="0"/>
                <w:sz w:val="22"/>
                <w:szCs w:val="22"/>
                <w:lang w:val="sk-SK" w:eastAsia="en-US" w:bidi="ar-SA"/>
              </w:rPr>
              <w:t>á</w:t>
            </w:r>
            <w:r>
              <w:rPr>
                <w:rFonts w:eastAsia="Calibri" w:cs="Times New Roman" w:ascii="Bodoni MT Condensed" w:hAnsi="Bodoni MT Condensed"/>
                <w:kern w:val="0"/>
                <w:sz w:val="22"/>
                <w:szCs w:val="22"/>
                <w:lang w:val="sk-SK" w:eastAsia="en-US" w:bidi="ar-SA"/>
              </w:rPr>
              <w:t>vy</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0,00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0,00</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B.III.</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Dlhodobé poh</w:t>
            </w:r>
            <w:r>
              <w:rPr>
                <w:rFonts w:eastAsia="Calibri" w:cs="Times New Roman" w:ascii="Times New Roman" w:hAnsi="Times New Roman"/>
                <w:kern w:val="0"/>
                <w:sz w:val="22"/>
                <w:szCs w:val="22"/>
                <w:lang w:val="sk-SK" w:eastAsia="en-US" w:bidi="ar-SA"/>
              </w:rPr>
              <w:t>ľ</w:t>
            </w:r>
            <w:r>
              <w:rPr>
                <w:rFonts w:eastAsia="Calibri" w:cs="Times New Roman" w:ascii="Bodoni MT Condensed" w:hAnsi="Bodoni MT Condensed"/>
                <w:kern w:val="0"/>
                <w:sz w:val="22"/>
                <w:szCs w:val="22"/>
                <w:lang w:val="sk-SK" w:eastAsia="en-US" w:bidi="ar-SA"/>
              </w:rPr>
              <w:t>adávky</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0,00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0,00</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B.IV.</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Krátkodobé poh</w:t>
            </w:r>
            <w:r>
              <w:rPr>
                <w:rFonts w:eastAsia="Calibri" w:cs="Times New Roman" w:ascii="Times New Roman" w:hAnsi="Times New Roman"/>
                <w:kern w:val="0"/>
                <w:sz w:val="22"/>
                <w:szCs w:val="22"/>
                <w:lang w:val="sk-SK" w:eastAsia="en-US" w:bidi="ar-SA"/>
              </w:rPr>
              <w:t>ľ</w:t>
            </w:r>
            <w:r>
              <w:rPr>
                <w:rFonts w:eastAsia="Calibri" w:cs="Times New Roman" w:ascii="Bodoni MT Condensed" w:hAnsi="Bodoni MT Condensed"/>
                <w:kern w:val="0"/>
                <w:sz w:val="22"/>
                <w:szCs w:val="22"/>
                <w:lang w:val="sk-SK" w:eastAsia="en-US" w:bidi="ar-SA"/>
              </w:rPr>
              <w:t>ad</w:t>
            </w:r>
            <w:r>
              <w:rPr>
                <w:rFonts w:eastAsia="Calibri" w:cs="Bodoni MT Condensed" w:ascii="Bodoni MT Condensed" w:hAnsi="Bodoni MT Condensed"/>
                <w:kern w:val="0"/>
                <w:sz w:val="22"/>
                <w:szCs w:val="22"/>
                <w:lang w:val="sk-SK" w:eastAsia="en-US" w:bidi="ar-SA"/>
              </w:rPr>
              <w:t>á</w:t>
            </w:r>
            <w:r>
              <w:rPr>
                <w:rFonts w:eastAsia="Calibri" w:cs="Times New Roman" w:ascii="Bodoni MT Condensed" w:hAnsi="Bodoni MT Condensed"/>
                <w:kern w:val="0"/>
                <w:sz w:val="22"/>
                <w:szCs w:val="22"/>
                <w:lang w:val="sk-SK" w:eastAsia="en-US" w:bidi="ar-SA"/>
              </w:rPr>
              <w:t>vky</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43.977,81</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58.517,53</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B.V.</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Finan</w:t>
            </w:r>
            <w:r>
              <w:rPr>
                <w:rFonts w:eastAsia="Calibri" w:cs="Times New Roman" w:ascii="Times New Roman" w:hAnsi="Times New Roman"/>
                <w:kern w:val="0"/>
                <w:sz w:val="22"/>
                <w:szCs w:val="22"/>
                <w:lang w:val="sk-SK" w:eastAsia="en-US" w:bidi="ar-SA"/>
              </w:rPr>
              <w:t>č</w:t>
            </w:r>
            <w:r>
              <w:rPr>
                <w:rFonts w:eastAsia="Calibri" w:cs="Times New Roman" w:ascii="Bodoni MT Condensed" w:hAnsi="Bodoni MT Condensed"/>
                <w:kern w:val="0"/>
                <w:sz w:val="22"/>
                <w:szCs w:val="22"/>
                <w:lang w:val="sk-SK" w:eastAsia="en-US" w:bidi="ar-SA"/>
              </w:rPr>
              <w:t>n</w:t>
            </w:r>
            <w:r>
              <w:rPr>
                <w:rFonts w:eastAsia="Calibri" w:cs="Bodoni MT Condensed" w:ascii="Bodoni MT Condensed" w:hAnsi="Bodoni MT Condensed"/>
                <w:kern w:val="0"/>
                <w:sz w:val="22"/>
                <w:szCs w:val="22"/>
                <w:lang w:val="sk-SK" w:eastAsia="en-US" w:bidi="ar-SA"/>
              </w:rPr>
              <w:t>é</w:t>
            </w:r>
            <w:r>
              <w:rPr>
                <w:rFonts w:eastAsia="Calibri" w:cs="Times New Roman" w:ascii="Bodoni MT Condensed" w:hAnsi="Bodoni MT Condensed"/>
                <w:kern w:val="0"/>
                <w:sz w:val="22"/>
                <w:szCs w:val="22"/>
                <w:lang w:val="sk-SK" w:eastAsia="en-US" w:bidi="ar-SA"/>
              </w:rPr>
              <w:t xml:space="preserve"> </w:t>
            </w:r>
            <w:r>
              <w:rPr>
                <w:rFonts w:eastAsia="Calibri" w:cs="Bodoni MT Condensed" w:ascii="Bodoni MT Condensed" w:hAnsi="Bodoni MT Condensed"/>
                <w:kern w:val="0"/>
                <w:sz w:val="22"/>
                <w:szCs w:val="22"/>
                <w:lang w:val="sk-SK" w:eastAsia="en-US" w:bidi="ar-SA"/>
              </w:rPr>
              <w:t>ú</w:t>
            </w:r>
            <w:r>
              <w:rPr>
                <w:rFonts w:eastAsia="Calibri" w:cs="Times New Roman" w:ascii="Times New Roman" w:hAnsi="Times New Roman"/>
                <w:kern w:val="0"/>
                <w:sz w:val="22"/>
                <w:szCs w:val="22"/>
                <w:lang w:val="sk-SK" w:eastAsia="en-US" w:bidi="ar-SA"/>
              </w:rPr>
              <w:t>č</w:t>
            </w:r>
            <w:r>
              <w:rPr>
                <w:rFonts w:eastAsia="Calibri" w:cs="Times New Roman" w:ascii="Bodoni MT Condensed" w:hAnsi="Bodoni MT Condensed"/>
                <w:kern w:val="0"/>
                <w:sz w:val="22"/>
                <w:szCs w:val="22"/>
                <w:lang w:val="sk-SK" w:eastAsia="en-US" w:bidi="ar-SA"/>
              </w:rPr>
              <w:t>ty</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384.285,06</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268.971,87</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B.VI.</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Poskytnuté návratné finan</w:t>
            </w:r>
            <w:r>
              <w:rPr>
                <w:rFonts w:eastAsia="Calibri" w:cs="Times New Roman" w:ascii="Times New Roman" w:hAnsi="Times New Roman"/>
                <w:kern w:val="0"/>
                <w:sz w:val="22"/>
                <w:szCs w:val="22"/>
                <w:lang w:val="sk-SK" w:eastAsia="en-US" w:bidi="ar-SA"/>
              </w:rPr>
              <w:t>č</w:t>
            </w:r>
            <w:r>
              <w:rPr>
                <w:rFonts w:eastAsia="Calibri" w:cs="Times New Roman" w:ascii="Bodoni MT Condensed" w:hAnsi="Bodoni MT Condensed"/>
                <w:kern w:val="0"/>
                <w:sz w:val="22"/>
                <w:szCs w:val="22"/>
                <w:lang w:val="sk-SK" w:eastAsia="en-US" w:bidi="ar-SA"/>
              </w:rPr>
              <w:t>n</w:t>
            </w:r>
            <w:r>
              <w:rPr>
                <w:rFonts w:eastAsia="Calibri" w:cs="Bodoni MT Condensed" w:ascii="Bodoni MT Condensed" w:hAnsi="Bodoni MT Condensed"/>
                <w:kern w:val="0"/>
                <w:sz w:val="22"/>
                <w:szCs w:val="22"/>
                <w:lang w:val="sk-SK" w:eastAsia="en-US" w:bidi="ar-SA"/>
              </w:rPr>
              <w:t>é</w:t>
            </w:r>
            <w:r>
              <w:rPr>
                <w:rFonts w:eastAsia="Calibri" w:cs="Times New Roman" w:ascii="Bodoni MT Condensed" w:hAnsi="Bodoni MT Condensed"/>
                <w:kern w:val="0"/>
                <w:sz w:val="22"/>
                <w:szCs w:val="22"/>
                <w:lang w:val="sk-SK" w:eastAsia="en-US" w:bidi="ar-SA"/>
              </w:rPr>
              <w:t xml:space="preserve"> v</w:t>
            </w:r>
            <w:r>
              <w:rPr>
                <w:rFonts w:eastAsia="Calibri" w:cs="Bodoni MT Condensed" w:ascii="Bodoni MT Condensed" w:hAnsi="Bodoni MT Condensed"/>
                <w:kern w:val="0"/>
                <w:sz w:val="22"/>
                <w:szCs w:val="22"/>
                <w:lang w:val="sk-SK" w:eastAsia="en-US" w:bidi="ar-SA"/>
              </w:rPr>
              <w:t>ý</w:t>
            </w:r>
            <w:r>
              <w:rPr>
                <w:rFonts w:eastAsia="Calibri" w:cs="Times New Roman" w:ascii="Bodoni MT Condensed" w:hAnsi="Bodoni MT Condensed"/>
                <w:kern w:val="0"/>
                <w:sz w:val="22"/>
                <w:szCs w:val="22"/>
                <w:lang w:val="sk-SK" w:eastAsia="en-US" w:bidi="ar-SA"/>
              </w:rPr>
              <w:t>pomoci dlhodob</w:t>
            </w:r>
            <w:r>
              <w:rPr>
                <w:rFonts w:eastAsia="Calibri" w:cs="Bodoni MT Condensed" w:ascii="Bodoni MT Condensed" w:hAnsi="Bodoni MT Condensed"/>
                <w:kern w:val="0"/>
                <w:sz w:val="22"/>
                <w:szCs w:val="22"/>
                <w:lang w:val="sk-SK" w:eastAsia="en-US" w:bidi="ar-SA"/>
              </w:rPr>
              <w:t>é</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0,00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0,00</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B.VII.</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Poskytnuté návratné finan</w:t>
            </w:r>
            <w:r>
              <w:rPr>
                <w:rFonts w:eastAsia="Calibri" w:cs="Times New Roman" w:ascii="Times New Roman" w:hAnsi="Times New Roman"/>
                <w:kern w:val="0"/>
                <w:sz w:val="22"/>
                <w:szCs w:val="22"/>
                <w:lang w:val="sk-SK" w:eastAsia="en-US" w:bidi="ar-SA"/>
              </w:rPr>
              <w:t>č</w:t>
            </w:r>
            <w:r>
              <w:rPr>
                <w:rFonts w:eastAsia="Calibri" w:cs="Times New Roman" w:ascii="Bodoni MT Condensed" w:hAnsi="Bodoni MT Condensed"/>
                <w:kern w:val="0"/>
                <w:sz w:val="22"/>
                <w:szCs w:val="22"/>
                <w:lang w:val="sk-SK" w:eastAsia="en-US" w:bidi="ar-SA"/>
              </w:rPr>
              <w:t>n</w:t>
            </w:r>
            <w:r>
              <w:rPr>
                <w:rFonts w:eastAsia="Calibri" w:cs="Bodoni MT Condensed" w:ascii="Bodoni MT Condensed" w:hAnsi="Bodoni MT Condensed"/>
                <w:kern w:val="0"/>
                <w:sz w:val="22"/>
                <w:szCs w:val="22"/>
                <w:lang w:val="sk-SK" w:eastAsia="en-US" w:bidi="ar-SA"/>
              </w:rPr>
              <w:t>é</w:t>
            </w:r>
            <w:r>
              <w:rPr>
                <w:rFonts w:eastAsia="Calibri" w:cs="Times New Roman" w:ascii="Bodoni MT Condensed" w:hAnsi="Bodoni MT Condensed"/>
                <w:kern w:val="0"/>
                <w:sz w:val="22"/>
                <w:szCs w:val="22"/>
                <w:lang w:val="sk-SK" w:eastAsia="en-US" w:bidi="ar-SA"/>
              </w:rPr>
              <w:t xml:space="preserve"> v</w:t>
            </w:r>
            <w:r>
              <w:rPr>
                <w:rFonts w:eastAsia="Calibri" w:cs="Bodoni MT Condensed" w:ascii="Bodoni MT Condensed" w:hAnsi="Bodoni MT Condensed"/>
                <w:kern w:val="0"/>
                <w:sz w:val="22"/>
                <w:szCs w:val="22"/>
                <w:lang w:val="sk-SK" w:eastAsia="en-US" w:bidi="ar-SA"/>
              </w:rPr>
              <w:t>ý</w:t>
            </w:r>
            <w:r>
              <w:rPr>
                <w:rFonts w:eastAsia="Calibri" w:cs="Times New Roman" w:ascii="Bodoni MT Condensed" w:hAnsi="Bodoni MT Condensed"/>
                <w:kern w:val="0"/>
                <w:sz w:val="22"/>
                <w:szCs w:val="22"/>
                <w:lang w:val="sk-SK" w:eastAsia="en-US" w:bidi="ar-SA"/>
              </w:rPr>
              <w:t>pomoci kr</w:t>
            </w:r>
            <w:r>
              <w:rPr>
                <w:rFonts w:eastAsia="Calibri" w:cs="Bodoni MT Condensed" w:ascii="Bodoni MT Condensed" w:hAnsi="Bodoni MT Condensed"/>
                <w:kern w:val="0"/>
                <w:sz w:val="22"/>
                <w:szCs w:val="22"/>
                <w:lang w:val="sk-SK" w:eastAsia="en-US" w:bidi="ar-SA"/>
              </w:rPr>
              <w:t>á</w:t>
            </w:r>
            <w:r>
              <w:rPr>
                <w:rFonts w:eastAsia="Calibri" w:cs="Times New Roman" w:ascii="Bodoni MT Condensed" w:hAnsi="Bodoni MT Condensed"/>
                <w:kern w:val="0"/>
                <w:sz w:val="22"/>
                <w:szCs w:val="22"/>
                <w:lang w:val="sk-SK" w:eastAsia="en-US" w:bidi="ar-SA"/>
              </w:rPr>
              <w:t>tkodob</w:t>
            </w:r>
            <w:r>
              <w:rPr>
                <w:rFonts w:eastAsia="Calibri" w:cs="Bodoni MT Condensed" w:ascii="Bodoni MT Condensed" w:hAnsi="Bodoni MT Condensed"/>
                <w:kern w:val="0"/>
                <w:sz w:val="22"/>
                <w:szCs w:val="22"/>
                <w:lang w:val="sk-SK" w:eastAsia="en-US" w:bidi="ar-SA"/>
              </w:rPr>
              <w:t>é</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0,00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0,00</w:t>
            </w:r>
          </w:p>
        </w:tc>
      </w:tr>
      <w:tr>
        <w:trPr/>
        <w:tc>
          <w:tcPr>
            <w:tcW w:w="1199"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2"/>
                <w:szCs w:val="22"/>
                <w:lang w:val="sk-SK" w:eastAsia="en-US" w:bidi="ar-SA"/>
              </w:rPr>
              <w:t>C.</w:t>
            </w:r>
          </w:p>
        </w:tc>
        <w:tc>
          <w:tcPr>
            <w:tcW w:w="4680"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Times New Roman" w:hAnsi="Times New Roman"/>
                <w:b/>
                <w:bCs/>
                <w:kern w:val="0"/>
                <w:sz w:val="22"/>
                <w:szCs w:val="22"/>
                <w:lang w:val="sk-SK" w:eastAsia="en-US" w:bidi="ar-SA"/>
              </w:rPr>
              <w:t>Č</w:t>
            </w:r>
            <w:r>
              <w:rPr>
                <w:rFonts w:eastAsia="Calibri" w:cs="Times New Roman" w:ascii="Bodoni MT Condensed" w:hAnsi="Bodoni MT Condensed"/>
                <w:b/>
                <w:bCs/>
                <w:kern w:val="0"/>
                <w:sz w:val="22"/>
                <w:szCs w:val="22"/>
                <w:lang w:val="sk-SK" w:eastAsia="en-US" w:bidi="ar-SA"/>
              </w:rPr>
              <w:t>asov</w:t>
            </w:r>
            <w:r>
              <w:rPr>
                <w:rFonts w:eastAsia="Calibri" w:cs="Bodoni MT Condensed" w:ascii="Bodoni MT Condensed" w:hAnsi="Bodoni MT Condensed"/>
                <w:b/>
                <w:bCs/>
                <w:kern w:val="0"/>
                <w:sz w:val="22"/>
                <w:szCs w:val="22"/>
                <w:lang w:val="sk-SK" w:eastAsia="en-US" w:bidi="ar-SA"/>
              </w:rPr>
              <w:t>é</w:t>
            </w:r>
            <w:r>
              <w:rPr>
                <w:rFonts w:eastAsia="Calibri" w:cs="Times New Roman" w:ascii="Bodoni MT Condensed" w:hAnsi="Bodoni MT Condensed"/>
                <w:b/>
                <w:bCs/>
                <w:kern w:val="0"/>
                <w:sz w:val="22"/>
                <w:szCs w:val="22"/>
                <w:lang w:val="sk-SK" w:eastAsia="en-US" w:bidi="ar-SA"/>
              </w:rPr>
              <w:t xml:space="preserve"> rozl</w:t>
            </w:r>
            <w:r>
              <w:rPr>
                <w:rFonts w:eastAsia="Calibri" w:cs="Bodoni MT Condensed" w:ascii="Bodoni MT Condensed" w:hAnsi="Bodoni MT Condensed"/>
                <w:b/>
                <w:bCs/>
                <w:kern w:val="0"/>
                <w:sz w:val="22"/>
                <w:szCs w:val="22"/>
                <w:lang w:val="sk-SK" w:eastAsia="en-US" w:bidi="ar-SA"/>
              </w:rPr>
              <w:t>íš</w:t>
            </w:r>
            <w:r>
              <w:rPr>
                <w:rFonts w:eastAsia="Calibri" w:cs="Times New Roman" w:ascii="Bodoni MT Condensed" w:hAnsi="Bodoni MT Condensed"/>
                <w:b/>
                <w:bCs/>
                <w:kern w:val="0"/>
                <w:sz w:val="22"/>
                <w:szCs w:val="22"/>
                <w:lang w:val="sk-SK" w:eastAsia="en-US" w:bidi="ar-SA"/>
              </w:rPr>
              <w:t>enie</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b/>
                <w:bCs/>
              </w:rPr>
            </w:pPr>
            <w:r>
              <w:rPr>
                <w:rFonts w:eastAsia="Calibri" w:cs="Times New Roman" w:ascii="Bodoni MT Condensed" w:hAnsi="Bodoni MT Condensed"/>
                <w:b/>
                <w:bCs/>
                <w:kern w:val="0"/>
                <w:sz w:val="22"/>
                <w:szCs w:val="22"/>
                <w:lang w:val="sk-SK" w:eastAsia="en-US" w:bidi="ar-SA"/>
              </w:rPr>
              <w:t>2.177,56</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2"/>
                <w:szCs w:val="22"/>
                <w:lang w:val="sk-SK" w:eastAsia="en-US" w:bidi="ar-SA"/>
              </w:rPr>
              <w:t>2.476,38</w:t>
            </w:r>
          </w:p>
        </w:tc>
      </w:tr>
      <w:tr>
        <w:trPr/>
        <w:tc>
          <w:tcPr>
            <w:tcW w:w="1199"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2"/>
                <w:szCs w:val="22"/>
                <w:lang w:val="sk-SK" w:eastAsia="en-US" w:bidi="ar-SA"/>
              </w:rPr>
              <w:t>D.</w:t>
            </w:r>
          </w:p>
        </w:tc>
        <w:tc>
          <w:tcPr>
            <w:tcW w:w="4680"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2"/>
                <w:szCs w:val="22"/>
                <w:lang w:val="sk-SK" w:eastAsia="en-US" w:bidi="ar-SA"/>
              </w:rPr>
              <w:t>Vz</w:t>
            </w:r>
            <w:r>
              <w:rPr>
                <w:rFonts w:eastAsia="Calibri" w:cs="Times New Roman" w:ascii="Times New Roman" w:hAnsi="Times New Roman"/>
                <w:b/>
                <w:bCs/>
                <w:kern w:val="0"/>
                <w:sz w:val="22"/>
                <w:szCs w:val="22"/>
                <w:lang w:val="sk-SK" w:eastAsia="en-US" w:bidi="ar-SA"/>
              </w:rPr>
              <w:t>ť</w:t>
            </w:r>
            <w:r>
              <w:rPr>
                <w:rFonts w:eastAsia="Calibri" w:cs="Times New Roman" w:ascii="Bodoni MT Condensed" w:hAnsi="Bodoni MT Condensed"/>
                <w:b/>
                <w:bCs/>
                <w:kern w:val="0"/>
                <w:sz w:val="22"/>
                <w:szCs w:val="22"/>
                <w:lang w:val="sk-SK" w:eastAsia="en-US" w:bidi="ar-SA"/>
              </w:rPr>
              <w:t>ahy k</w:t>
            </w:r>
            <w:r>
              <w:rPr>
                <w:rFonts w:eastAsia="Calibri" w:cs="Bodoni MT Condensed" w:ascii="Bodoni MT Condensed" w:hAnsi="Bodoni MT Condensed"/>
                <w:b/>
                <w:bCs/>
                <w:kern w:val="0"/>
                <w:sz w:val="22"/>
                <w:szCs w:val="22"/>
                <w:lang w:val="sk-SK" w:eastAsia="en-US" w:bidi="ar-SA"/>
              </w:rPr>
              <w:t> ú</w:t>
            </w:r>
            <w:r>
              <w:rPr>
                <w:rFonts w:eastAsia="Calibri" w:cs="Times New Roman" w:ascii="Times New Roman" w:hAnsi="Times New Roman"/>
                <w:b/>
                <w:bCs/>
                <w:kern w:val="0"/>
                <w:sz w:val="22"/>
                <w:szCs w:val="22"/>
                <w:lang w:val="sk-SK" w:eastAsia="en-US" w:bidi="ar-SA"/>
              </w:rPr>
              <w:t>č</w:t>
            </w:r>
            <w:r>
              <w:rPr>
                <w:rFonts w:eastAsia="Calibri" w:cs="Times New Roman" w:ascii="Bodoni MT Condensed" w:hAnsi="Bodoni MT Condensed"/>
                <w:b/>
                <w:bCs/>
                <w:kern w:val="0"/>
                <w:sz w:val="22"/>
                <w:szCs w:val="22"/>
                <w:lang w:val="sk-SK" w:eastAsia="en-US" w:bidi="ar-SA"/>
              </w:rPr>
              <w:t xml:space="preserve">tom klientov </w:t>
            </w:r>
            <w:r>
              <w:rPr>
                <w:rFonts w:eastAsia="Calibri" w:cs="Bodoni MT Condensed" w:ascii="Bodoni MT Condensed" w:hAnsi="Bodoni MT Condensed"/>
                <w:b/>
                <w:bCs/>
                <w:kern w:val="0"/>
                <w:sz w:val="22"/>
                <w:szCs w:val="22"/>
                <w:lang w:val="sk-SK" w:eastAsia="en-US" w:bidi="ar-SA"/>
              </w:rPr>
              <w:t>š</w:t>
            </w:r>
            <w:r>
              <w:rPr>
                <w:rFonts w:eastAsia="Calibri" w:cs="Times New Roman" w:ascii="Bodoni MT Condensed" w:hAnsi="Bodoni MT Condensed"/>
                <w:b/>
                <w:bCs/>
                <w:kern w:val="0"/>
                <w:sz w:val="22"/>
                <w:szCs w:val="22"/>
                <w:lang w:val="sk-SK" w:eastAsia="en-US" w:bidi="ar-SA"/>
              </w:rPr>
              <w:t>t</w:t>
            </w:r>
            <w:r>
              <w:rPr>
                <w:rFonts w:eastAsia="Calibri" w:cs="Bodoni MT Condensed" w:ascii="Bodoni MT Condensed" w:hAnsi="Bodoni MT Condensed"/>
                <w:b/>
                <w:bCs/>
                <w:kern w:val="0"/>
                <w:sz w:val="22"/>
                <w:szCs w:val="22"/>
                <w:lang w:val="sk-SK" w:eastAsia="en-US" w:bidi="ar-SA"/>
              </w:rPr>
              <w:t>á</w:t>
            </w:r>
            <w:r>
              <w:rPr>
                <w:rFonts w:eastAsia="Calibri" w:cs="Times New Roman" w:ascii="Bodoni MT Condensed" w:hAnsi="Bodoni MT Condensed"/>
                <w:b/>
                <w:bCs/>
                <w:kern w:val="0"/>
                <w:sz w:val="22"/>
                <w:szCs w:val="22"/>
                <w:lang w:val="sk-SK" w:eastAsia="en-US" w:bidi="ar-SA"/>
              </w:rPr>
              <w:t>tnej pokladnice</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b/>
                <w:bCs/>
              </w:rPr>
            </w:pPr>
            <w:r>
              <w:rPr>
                <w:rFonts w:eastAsia="Calibri" w:cs="Times New Roman" w:ascii="Bodoni MT Condensed" w:hAnsi="Bodoni MT Condensed"/>
                <w:b/>
                <w:bCs/>
                <w:kern w:val="0"/>
                <w:sz w:val="22"/>
                <w:szCs w:val="22"/>
                <w:lang w:val="sk-SK" w:eastAsia="en-US" w:bidi="ar-SA"/>
              </w:rPr>
              <w:t>0,00</w:t>
            </w:r>
          </w:p>
        </w:tc>
        <w:tc>
          <w:tcPr>
            <w:tcW w:w="1701" w:type="dxa"/>
            <w:tcBorders/>
          </w:tcPr>
          <w:p>
            <w:pPr>
              <w:pStyle w:val="Normal"/>
              <w:widowControl/>
              <w:suppressAutoHyphens w:val="true"/>
              <w:spacing w:lineRule="auto" w:line="240" w:before="0" w:after="0"/>
              <w:jc w:val="right"/>
              <w:rPr>
                <w:rFonts w:ascii="Bodoni MT Condensed" w:hAnsi="Bodoni MT Condensed" w:eastAsia="Calibri" w:cs="Times New Roman"/>
                <w:b/>
                <w:bCs/>
              </w:rPr>
            </w:pPr>
            <w:r>
              <w:rPr>
                <w:rFonts w:eastAsia="Calibri" w:cs="Times New Roman" w:ascii="Bodoni MT Condensed" w:hAnsi="Bodoni MT Condensed"/>
                <w:b/>
                <w:bCs/>
                <w:kern w:val="0"/>
                <w:sz w:val="22"/>
                <w:szCs w:val="22"/>
                <w:lang w:val="sk-SK" w:eastAsia="en-US" w:bidi="ar-SA"/>
              </w:rPr>
              <w:t>0,00</w:t>
            </w:r>
          </w:p>
        </w:tc>
      </w:tr>
      <w:tr>
        <w:trPr/>
        <w:tc>
          <w:tcPr>
            <w:tcW w:w="9605" w:type="dxa"/>
            <w:gridSpan w:val="4"/>
            <w:tcBorders/>
          </w:tcPr>
          <w:p>
            <w:pPr>
              <w:pStyle w:val="Normal"/>
              <w:widowControl/>
              <w:suppressAutoHyphens w:val="true"/>
              <w:spacing w:lineRule="auto" w:line="240" w:before="0" w:after="0"/>
              <w:jc w:val="both"/>
              <w:rPr>
                <w:rFonts w:ascii="Calibri" w:hAnsi="Calibri" w:eastAsia="Calibri"/>
              </w:rPr>
            </w:pPr>
            <w:r>
              <w:rPr>
                <w:rFonts w:eastAsia="Calibri" w:cs="Times New Roman" w:ascii="Bodoni MT Condensed" w:hAnsi="Bodoni MT Condensed"/>
                <w:kern w:val="0"/>
                <w:sz w:val="22"/>
                <w:szCs w:val="22"/>
                <w:lang w:val="sk-SK" w:eastAsia="en-US" w:bidi="ar-SA"/>
              </w:rPr>
              <w:t>Majetok znížený o odpisy na majetku a opravné položky k poh</w:t>
            </w:r>
            <w:r>
              <w:rPr>
                <w:rFonts w:eastAsia="Calibri" w:cs="Calibri"/>
                <w:kern w:val="0"/>
                <w:sz w:val="22"/>
                <w:szCs w:val="22"/>
                <w:lang w:val="sk-SK" w:eastAsia="en-US" w:bidi="ar-SA"/>
              </w:rPr>
              <w:t>ľ</w:t>
            </w:r>
            <w:r>
              <w:rPr>
                <w:rFonts w:eastAsia="Calibri" w:cs="Times New Roman" w:ascii="Bodoni MT Condensed" w:hAnsi="Bodoni MT Condensed"/>
                <w:kern w:val="0"/>
                <w:sz w:val="22"/>
                <w:szCs w:val="22"/>
                <w:lang w:val="sk-SK" w:eastAsia="en-US" w:bidi="ar-SA"/>
              </w:rPr>
              <w:t>adávkam</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b/>
                <w:kern w:val="0"/>
                <w:sz w:val="22"/>
                <w:szCs w:val="22"/>
                <w:lang w:val="sk-SK" w:eastAsia="en-US" w:bidi="ar-SA"/>
              </w:rPr>
              <w:t>Ozna</w:t>
            </w:r>
            <w:r>
              <w:rPr>
                <w:rFonts w:eastAsia="Calibri" w:cs="Times New Roman" w:ascii="Times New Roman" w:hAnsi="Times New Roman"/>
                <w:b/>
                <w:kern w:val="0"/>
                <w:sz w:val="22"/>
                <w:szCs w:val="22"/>
                <w:lang w:val="sk-SK" w:eastAsia="en-US" w:bidi="ar-SA"/>
              </w:rPr>
              <w:t>č</w:t>
            </w:r>
            <w:r>
              <w:rPr>
                <w:rFonts w:eastAsia="Calibri" w:cs="Times New Roman" w:ascii="Bodoni MT Condensed" w:hAnsi="Bodoni MT Condensed"/>
                <w:b/>
                <w:kern w:val="0"/>
                <w:sz w:val="22"/>
                <w:szCs w:val="22"/>
                <w:lang w:val="sk-SK" w:eastAsia="en-US" w:bidi="ar-SA"/>
              </w:rPr>
              <w:t>enie</w:t>
            </w:r>
          </w:p>
        </w:tc>
        <w:tc>
          <w:tcPr>
            <w:tcW w:w="4680" w:type="dxa"/>
            <w:tcBorders/>
          </w:tcPr>
          <w:p>
            <w:pPr>
              <w:pStyle w:val="Normal"/>
              <w:widowControl/>
              <w:suppressAutoHyphens w:val="true"/>
              <w:spacing w:lineRule="auto" w:line="240" w:before="0" w:after="0"/>
              <w:jc w:val="center"/>
              <w:rPr>
                <w:rFonts w:ascii="Calibri" w:hAnsi="Calibri" w:eastAsia="Calibri"/>
              </w:rPr>
            </w:pPr>
            <w:r>
              <w:rPr>
                <w:rFonts w:eastAsia="Calibri" w:cs="Times New Roman" w:ascii="Bodoni MT Condensed" w:hAnsi="Bodoni MT Condensed"/>
                <w:b/>
                <w:kern w:val="0"/>
                <w:sz w:val="22"/>
                <w:szCs w:val="22"/>
                <w:lang w:val="sk-SK" w:eastAsia="en-US" w:bidi="ar-SA"/>
              </w:rPr>
              <w:t>Strana pasív</w:t>
            </w:r>
          </w:p>
        </w:tc>
        <w:tc>
          <w:tcPr>
            <w:tcW w:w="2025"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b/>
                <w:kern w:val="0"/>
                <w:sz w:val="22"/>
                <w:szCs w:val="22"/>
                <w:lang w:val="sk-SK" w:eastAsia="en-US" w:bidi="ar-SA"/>
              </w:rPr>
              <w:t>Bežné ú</w:t>
            </w:r>
            <w:r>
              <w:rPr>
                <w:rFonts w:eastAsia="Calibri" w:cs="Times New Roman" w:ascii="Times New Roman" w:hAnsi="Times New Roman"/>
                <w:b/>
                <w:kern w:val="0"/>
                <w:sz w:val="22"/>
                <w:szCs w:val="22"/>
                <w:lang w:val="sk-SK" w:eastAsia="en-US" w:bidi="ar-SA"/>
              </w:rPr>
              <w:t>č</w:t>
            </w:r>
            <w:r>
              <w:rPr>
                <w:rFonts w:eastAsia="Calibri" w:cs="Times New Roman" w:ascii="Bodoni MT Condensed" w:hAnsi="Bodoni MT Condensed"/>
                <w:b/>
                <w:kern w:val="0"/>
                <w:sz w:val="22"/>
                <w:szCs w:val="22"/>
                <w:lang w:val="sk-SK" w:eastAsia="en-US" w:bidi="ar-SA"/>
              </w:rPr>
              <w:t>tovn</w:t>
            </w:r>
            <w:r>
              <w:rPr>
                <w:rFonts w:eastAsia="Calibri" w:cs="Bodoni MT Condensed" w:ascii="Bodoni MT Condensed" w:hAnsi="Bodoni MT Condensed"/>
                <w:b/>
                <w:kern w:val="0"/>
                <w:sz w:val="22"/>
                <w:szCs w:val="22"/>
                <w:lang w:val="sk-SK" w:eastAsia="en-US" w:bidi="ar-SA"/>
              </w:rPr>
              <w:t>é</w:t>
            </w:r>
            <w:r>
              <w:rPr>
                <w:rFonts w:eastAsia="Calibri" w:cs="Times New Roman" w:ascii="Bodoni MT Condensed" w:hAnsi="Bodoni MT Condensed"/>
                <w:b/>
                <w:kern w:val="0"/>
                <w:sz w:val="22"/>
                <w:szCs w:val="22"/>
                <w:lang w:val="sk-SK" w:eastAsia="en-US" w:bidi="ar-SA"/>
              </w:rPr>
              <w:t xml:space="preserve"> obdobie</w:t>
            </w:r>
          </w:p>
        </w:tc>
        <w:tc>
          <w:tcPr>
            <w:tcW w:w="1701"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b/>
                <w:kern w:val="0"/>
                <w:sz w:val="22"/>
                <w:szCs w:val="22"/>
                <w:lang w:val="sk-SK" w:eastAsia="en-US" w:bidi="ar-SA"/>
              </w:rPr>
              <w:t>Bezprostredne predchádzajúce ú</w:t>
            </w:r>
            <w:r>
              <w:rPr>
                <w:rFonts w:eastAsia="Calibri" w:cs="Times New Roman" w:ascii="Times New Roman" w:hAnsi="Times New Roman"/>
                <w:b/>
                <w:kern w:val="0"/>
                <w:sz w:val="22"/>
                <w:szCs w:val="22"/>
                <w:lang w:val="sk-SK" w:eastAsia="en-US" w:bidi="ar-SA"/>
              </w:rPr>
              <w:t>č</w:t>
            </w:r>
            <w:r>
              <w:rPr>
                <w:rFonts w:eastAsia="Calibri" w:cs="Times New Roman" w:ascii="Bodoni MT Condensed" w:hAnsi="Bodoni MT Condensed"/>
                <w:b/>
                <w:kern w:val="0"/>
                <w:sz w:val="22"/>
                <w:szCs w:val="22"/>
                <w:lang w:val="sk-SK" w:eastAsia="en-US" w:bidi="ar-SA"/>
              </w:rPr>
              <w:t>tovn</w:t>
            </w:r>
            <w:r>
              <w:rPr>
                <w:rFonts w:eastAsia="Calibri" w:cs="Bodoni MT Condensed" w:ascii="Bodoni MT Condensed" w:hAnsi="Bodoni MT Condensed"/>
                <w:b/>
                <w:kern w:val="0"/>
                <w:sz w:val="22"/>
                <w:szCs w:val="22"/>
                <w:lang w:val="sk-SK" w:eastAsia="en-US" w:bidi="ar-SA"/>
              </w:rPr>
              <w:t>é</w:t>
            </w:r>
            <w:r>
              <w:rPr>
                <w:rFonts w:eastAsia="Calibri" w:cs="Times New Roman" w:ascii="Bodoni MT Condensed" w:hAnsi="Bodoni MT Condensed"/>
                <w:b/>
                <w:kern w:val="0"/>
                <w:sz w:val="22"/>
                <w:szCs w:val="22"/>
                <w:lang w:val="sk-SK" w:eastAsia="en-US" w:bidi="ar-SA"/>
              </w:rPr>
              <w:t xml:space="preserve"> obdobie</w:t>
            </w:r>
          </w:p>
        </w:tc>
      </w:tr>
      <w:tr>
        <w:trPr/>
        <w:tc>
          <w:tcPr>
            <w:tcW w:w="1199" w:type="dxa"/>
            <w:tcBorders/>
          </w:tcPr>
          <w:p>
            <w:pPr>
              <w:pStyle w:val="Normal"/>
              <w:widowControl/>
              <w:suppressAutoHyphens w:val="true"/>
              <w:spacing w:lineRule="auto" w:line="240" w:before="0" w:after="0"/>
              <w:jc w:val="left"/>
              <w:rPr>
                <w:rFonts w:ascii="Bodoni MT Condensed" w:hAnsi="Bodoni MT Condensed" w:eastAsia="Calibri" w:cs="Times New Roman"/>
                <w:b/>
                <w:bCs/>
              </w:rPr>
            </w:pPr>
            <w:r>
              <w:rPr>
                <w:rFonts w:eastAsia="Calibri" w:cs="Times New Roman" w:ascii="Bodoni MT Condensed" w:hAnsi="Bodoni MT Condensed"/>
                <w:b/>
                <w:bCs/>
                <w:sz w:val="22"/>
              </w:rPr>
            </w:r>
          </w:p>
        </w:tc>
        <w:tc>
          <w:tcPr>
            <w:tcW w:w="4680"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2"/>
                <w:szCs w:val="22"/>
                <w:lang w:val="sk-SK" w:eastAsia="en-US" w:bidi="ar-SA"/>
              </w:rPr>
              <w:t>VLASTNÉ IMANIE A ZÁVÄZKY</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b/>
                <w:bCs/>
              </w:rPr>
            </w:pPr>
            <w:r>
              <w:rPr>
                <w:rFonts w:eastAsia="Calibri" w:cs="Times New Roman" w:ascii="Bodoni MT Condensed" w:hAnsi="Bodoni MT Condensed"/>
                <w:b/>
                <w:bCs/>
                <w:kern w:val="0"/>
                <w:sz w:val="22"/>
                <w:szCs w:val="22"/>
                <w:lang w:val="sk-SK" w:eastAsia="en-US" w:bidi="ar-SA"/>
              </w:rPr>
              <w:t>3.536.264,16</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2"/>
                <w:szCs w:val="22"/>
                <w:lang w:val="sk-SK" w:eastAsia="en-US" w:bidi="ar-SA"/>
              </w:rPr>
              <w:t>3.456.435,80</w:t>
            </w:r>
          </w:p>
        </w:tc>
      </w:tr>
      <w:tr>
        <w:trPr/>
        <w:tc>
          <w:tcPr>
            <w:tcW w:w="1199"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2"/>
                <w:szCs w:val="22"/>
                <w:lang w:val="sk-SK" w:eastAsia="en-US" w:bidi="ar-SA"/>
              </w:rPr>
              <w:t>A.</w:t>
            </w:r>
          </w:p>
        </w:tc>
        <w:tc>
          <w:tcPr>
            <w:tcW w:w="4680"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2"/>
                <w:szCs w:val="22"/>
                <w:lang w:val="sk-SK" w:eastAsia="en-US" w:bidi="ar-SA"/>
              </w:rPr>
              <w:t>Vlastné imanie</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b/>
                <w:bCs/>
              </w:rPr>
            </w:pPr>
            <w:r>
              <w:rPr>
                <w:rFonts w:eastAsia="Calibri" w:cs="Times New Roman" w:ascii="Bodoni MT Condensed" w:hAnsi="Bodoni MT Condensed"/>
                <w:b/>
                <w:bCs/>
                <w:kern w:val="0"/>
                <w:sz w:val="22"/>
                <w:szCs w:val="22"/>
                <w:lang w:val="sk-SK" w:eastAsia="en-US" w:bidi="ar-SA"/>
              </w:rPr>
              <w:t>2.275.115,47</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2"/>
                <w:szCs w:val="22"/>
                <w:lang w:val="sk-SK" w:eastAsia="en-US" w:bidi="ar-SA"/>
              </w:rPr>
              <w:t>2.314.411,76</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A.I.</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Oce</w:t>
            </w:r>
            <w:r>
              <w:rPr>
                <w:rFonts w:eastAsia="Calibri" w:cs="Times New Roman" w:ascii="Times New Roman" w:hAnsi="Times New Roman"/>
                <w:kern w:val="0"/>
                <w:sz w:val="22"/>
                <w:szCs w:val="22"/>
                <w:lang w:val="sk-SK" w:eastAsia="en-US" w:bidi="ar-SA"/>
              </w:rPr>
              <w:t>ň</w:t>
            </w:r>
            <w:r>
              <w:rPr>
                <w:rFonts w:eastAsia="Calibri" w:cs="Times New Roman" w:ascii="Bodoni MT Condensed" w:hAnsi="Bodoni MT Condensed"/>
                <w:kern w:val="0"/>
                <w:sz w:val="22"/>
                <w:szCs w:val="22"/>
                <w:lang w:val="sk-SK" w:eastAsia="en-US" w:bidi="ar-SA"/>
              </w:rPr>
              <w:t>ovacie rozdiely</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0,00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0,00</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A.II.</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Fondy</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0,00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0,00</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A.III.</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Výsledok hospodárenia  /ú</w:t>
            </w:r>
            <w:r>
              <w:rPr>
                <w:rFonts w:eastAsia="Calibri" w:cs="Times New Roman" w:ascii="Times New Roman" w:hAnsi="Times New Roman"/>
                <w:kern w:val="0"/>
                <w:sz w:val="22"/>
                <w:szCs w:val="22"/>
                <w:lang w:val="sk-SK" w:eastAsia="en-US" w:bidi="ar-SA"/>
              </w:rPr>
              <w:t>č</w:t>
            </w:r>
            <w:r>
              <w:rPr>
                <w:rFonts w:eastAsia="Calibri" w:cs="Times New Roman" w:ascii="Bodoni MT Condensed" w:hAnsi="Bodoni MT Condensed"/>
                <w:kern w:val="0"/>
                <w:sz w:val="22"/>
                <w:szCs w:val="22"/>
                <w:lang w:val="sk-SK" w:eastAsia="en-US" w:bidi="ar-SA"/>
              </w:rPr>
              <w:t>et 428 + 431/</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2.275.115,47</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2.314.411,76</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A.III.2.</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Výsledok hospodárenia /ú</w:t>
            </w:r>
            <w:r>
              <w:rPr>
                <w:rFonts w:eastAsia="Calibri" w:cs="Times New Roman" w:ascii="Times New Roman" w:hAnsi="Times New Roman"/>
                <w:kern w:val="0"/>
                <w:sz w:val="22"/>
                <w:szCs w:val="22"/>
                <w:lang w:val="sk-SK" w:eastAsia="en-US" w:bidi="ar-SA"/>
              </w:rPr>
              <w:t>č</w:t>
            </w:r>
            <w:r>
              <w:rPr>
                <w:rFonts w:eastAsia="Calibri" w:cs="Times New Roman" w:ascii="Bodoni MT Condensed" w:hAnsi="Bodoni MT Condensed"/>
                <w:kern w:val="0"/>
                <w:sz w:val="22"/>
                <w:szCs w:val="22"/>
                <w:lang w:val="sk-SK" w:eastAsia="en-US" w:bidi="ar-SA"/>
              </w:rPr>
              <w:t>et 431/</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-39.296,29</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161.759,99</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A.IV.</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Podiely iných ú</w:t>
            </w:r>
            <w:r>
              <w:rPr>
                <w:rFonts w:eastAsia="Calibri" w:cs="Times New Roman" w:ascii="Times New Roman" w:hAnsi="Times New Roman"/>
                <w:kern w:val="0"/>
                <w:sz w:val="22"/>
                <w:szCs w:val="22"/>
                <w:lang w:val="sk-SK" w:eastAsia="en-US" w:bidi="ar-SA"/>
              </w:rPr>
              <w:t>č</w:t>
            </w:r>
            <w:r>
              <w:rPr>
                <w:rFonts w:eastAsia="Calibri" w:cs="Times New Roman" w:ascii="Bodoni MT Condensed" w:hAnsi="Bodoni MT Condensed"/>
                <w:kern w:val="0"/>
                <w:sz w:val="22"/>
                <w:szCs w:val="22"/>
                <w:lang w:val="sk-SK" w:eastAsia="en-US" w:bidi="ar-SA"/>
              </w:rPr>
              <w:t>tovn</w:t>
            </w:r>
            <w:r>
              <w:rPr>
                <w:rFonts w:eastAsia="Calibri" w:cs="Bodoni MT Condensed" w:ascii="Bodoni MT Condensed" w:hAnsi="Bodoni MT Condensed"/>
                <w:kern w:val="0"/>
                <w:sz w:val="22"/>
                <w:szCs w:val="22"/>
                <w:lang w:val="sk-SK" w:eastAsia="en-US" w:bidi="ar-SA"/>
              </w:rPr>
              <w:t>ý</w:t>
            </w:r>
            <w:r>
              <w:rPr>
                <w:rFonts w:eastAsia="Calibri" w:cs="Times New Roman" w:ascii="Bodoni MT Condensed" w:hAnsi="Bodoni MT Condensed"/>
                <w:kern w:val="0"/>
                <w:sz w:val="22"/>
                <w:szCs w:val="22"/>
                <w:lang w:val="sk-SK" w:eastAsia="en-US" w:bidi="ar-SA"/>
              </w:rPr>
              <w:t>ch jednotiek</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0,00</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0,00</w:t>
            </w:r>
          </w:p>
        </w:tc>
      </w:tr>
      <w:tr>
        <w:trPr/>
        <w:tc>
          <w:tcPr>
            <w:tcW w:w="1199"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2"/>
                <w:szCs w:val="22"/>
                <w:lang w:val="sk-SK" w:eastAsia="en-US" w:bidi="ar-SA"/>
              </w:rPr>
              <w:t>B.</w:t>
            </w:r>
          </w:p>
        </w:tc>
        <w:tc>
          <w:tcPr>
            <w:tcW w:w="4680"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2"/>
                <w:szCs w:val="22"/>
                <w:lang w:val="sk-SK" w:eastAsia="en-US" w:bidi="ar-SA"/>
              </w:rPr>
              <w:t>Záväzky</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b/>
                <w:bCs/>
              </w:rPr>
            </w:pPr>
            <w:r>
              <w:rPr>
                <w:rFonts w:eastAsia="Calibri" w:cs="Times New Roman" w:ascii="Bodoni MT Condensed" w:hAnsi="Bodoni MT Condensed"/>
                <w:b/>
                <w:bCs/>
                <w:kern w:val="0"/>
                <w:sz w:val="22"/>
                <w:szCs w:val="22"/>
                <w:lang w:val="sk-SK" w:eastAsia="en-US" w:bidi="ar-SA"/>
              </w:rPr>
              <w:t>544.514,66</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2"/>
                <w:szCs w:val="22"/>
                <w:lang w:val="sk-SK" w:eastAsia="en-US" w:bidi="ar-SA"/>
              </w:rPr>
              <w:t>337.745,28</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B.I.</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Rezervy</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2.628,93</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3.144,80</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B.II.</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Zú</w:t>
            </w:r>
            <w:r>
              <w:rPr>
                <w:rFonts w:eastAsia="Calibri" w:cs="Times New Roman" w:ascii="Times New Roman" w:hAnsi="Times New Roman"/>
                <w:kern w:val="0"/>
                <w:sz w:val="22"/>
                <w:szCs w:val="22"/>
                <w:lang w:val="sk-SK" w:eastAsia="en-US" w:bidi="ar-SA"/>
              </w:rPr>
              <w:t>č</w:t>
            </w:r>
            <w:r>
              <w:rPr>
                <w:rFonts w:eastAsia="Calibri" w:cs="Times New Roman" w:ascii="Bodoni MT Condensed" w:hAnsi="Bodoni MT Condensed"/>
                <w:kern w:val="0"/>
                <w:sz w:val="22"/>
                <w:szCs w:val="22"/>
                <w:lang w:val="sk-SK" w:eastAsia="en-US" w:bidi="ar-SA"/>
              </w:rPr>
              <w:t>tovanie medzi subjektmi verejnej spr</w:t>
            </w:r>
            <w:r>
              <w:rPr>
                <w:rFonts w:eastAsia="Calibri" w:cs="Bodoni MT Condensed" w:ascii="Bodoni MT Condensed" w:hAnsi="Bodoni MT Condensed"/>
                <w:kern w:val="0"/>
                <w:sz w:val="22"/>
                <w:szCs w:val="22"/>
                <w:lang w:val="sk-SK" w:eastAsia="en-US" w:bidi="ar-SA"/>
              </w:rPr>
              <w:t>á</w:t>
            </w:r>
            <w:r>
              <w:rPr>
                <w:rFonts w:eastAsia="Calibri" w:cs="Times New Roman" w:ascii="Bodoni MT Condensed" w:hAnsi="Bodoni MT Condensed"/>
                <w:kern w:val="0"/>
                <w:sz w:val="22"/>
                <w:szCs w:val="22"/>
                <w:lang w:val="sk-SK" w:eastAsia="en-US" w:bidi="ar-SA"/>
              </w:rPr>
              <w:t>vy</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221.893,32</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43.253,82</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B.III.</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Dlhodobé záväzky</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13.334,36</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10.782,37</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B.IV.</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Krátkodobé záväzky</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162.315,11</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125.803,29</w:t>
            </w:r>
          </w:p>
        </w:tc>
      </w:tr>
      <w:tr>
        <w:trPr/>
        <w:tc>
          <w:tcPr>
            <w:tcW w:w="1199"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B.V.</w:t>
            </w:r>
          </w:p>
        </w:tc>
        <w:tc>
          <w:tcPr>
            <w:tcW w:w="4680" w:type="dxa"/>
            <w:tcBorders/>
          </w:tcPr>
          <w:p>
            <w:pPr>
              <w:pStyle w:val="Normal"/>
              <w:widowControl/>
              <w:suppressAutoHyphens w:val="true"/>
              <w:spacing w:lineRule="auto" w:line="240" w:before="0" w:after="0"/>
              <w:jc w:val="left"/>
              <w:rPr>
                <w:rFonts w:ascii="Calibri" w:hAnsi="Calibri" w:eastAsia="Calibri"/>
              </w:rPr>
            </w:pPr>
            <w:r>
              <w:rPr>
                <w:rFonts w:eastAsia="Calibri" w:cs="Times New Roman" w:ascii="Bodoni MT Condensed" w:hAnsi="Bodoni MT Condensed"/>
                <w:kern w:val="0"/>
                <w:sz w:val="22"/>
                <w:szCs w:val="22"/>
                <w:lang w:val="sk-SK" w:eastAsia="en-US" w:bidi="ar-SA"/>
              </w:rPr>
              <w:t>Bankové úvery a výpomoci</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rPr>
            </w:pPr>
            <w:r>
              <w:rPr>
                <w:rFonts w:eastAsia="Calibri" w:cs="Times New Roman" w:ascii="Bodoni MT Condensed" w:hAnsi="Bodoni MT Condensed"/>
                <w:kern w:val="0"/>
                <w:sz w:val="22"/>
                <w:szCs w:val="22"/>
                <w:lang w:val="sk-SK" w:eastAsia="en-US" w:bidi="ar-SA"/>
              </w:rPr>
              <w:t>144.342,94</w:t>
            </w:r>
          </w:p>
        </w:tc>
        <w:tc>
          <w:tcPr>
            <w:tcW w:w="1701" w:type="dxa"/>
            <w:tcBorders/>
          </w:tcPr>
          <w:p>
            <w:pPr>
              <w:pStyle w:val="Normal"/>
              <w:widowControl/>
              <w:suppressAutoHyphens w:val="true"/>
              <w:spacing w:lineRule="auto" w:line="240" w:before="0" w:after="0"/>
              <w:jc w:val="right"/>
              <w:rPr>
                <w:rFonts w:ascii="Calibri" w:hAnsi="Calibri" w:eastAsia="Calibri"/>
              </w:rPr>
            </w:pPr>
            <w:r>
              <w:rPr>
                <w:rFonts w:eastAsia="Calibri" w:cs="Times New Roman" w:ascii="Bodoni MT Condensed" w:hAnsi="Bodoni MT Condensed"/>
                <w:kern w:val="0"/>
                <w:sz w:val="22"/>
                <w:szCs w:val="22"/>
                <w:lang w:val="sk-SK" w:eastAsia="en-US" w:bidi="ar-SA"/>
              </w:rPr>
              <w:t>154.761,00</w:t>
            </w:r>
          </w:p>
        </w:tc>
      </w:tr>
      <w:tr>
        <w:trPr/>
        <w:tc>
          <w:tcPr>
            <w:tcW w:w="1199"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2"/>
                <w:szCs w:val="22"/>
                <w:lang w:val="sk-SK" w:eastAsia="en-US" w:bidi="ar-SA"/>
              </w:rPr>
              <w:t>C.</w:t>
            </w:r>
          </w:p>
        </w:tc>
        <w:tc>
          <w:tcPr>
            <w:tcW w:w="4680"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Times New Roman" w:hAnsi="Times New Roman"/>
                <w:b/>
                <w:bCs/>
                <w:kern w:val="0"/>
                <w:sz w:val="22"/>
                <w:szCs w:val="22"/>
                <w:lang w:val="sk-SK" w:eastAsia="en-US" w:bidi="ar-SA"/>
              </w:rPr>
              <w:t>Č</w:t>
            </w:r>
            <w:r>
              <w:rPr>
                <w:rFonts w:eastAsia="Calibri" w:cs="Times New Roman" w:ascii="Bodoni MT Condensed" w:hAnsi="Bodoni MT Condensed"/>
                <w:b/>
                <w:bCs/>
                <w:kern w:val="0"/>
                <w:sz w:val="22"/>
                <w:szCs w:val="22"/>
                <w:lang w:val="sk-SK" w:eastAsia="en-US" w:bidi="ar-SA"/>
              </w:rPr>
              <w:t>asov</w:t>
            </w:r>
            <w:r>
              <w:rPr>
                <w:rFonts w:eastAsia="Calibri" w:cs="Bodoni MT Condensed" w:ascii="Bodoni MT Condensed" w:hAnsi="Bodoni MT Condensed"/>
                <w:b/>
                <w:bCs/>
                <w:kern w:val="0"/>
                <w:sz w:val="22"/>
                <w:szCs w:val="22"/>
                <w:lang w:val="sk-SK" w:eastAsia="en-US" w:bidi="ar-SA"/>
              </w:rPr>
              <w:t>é</w:t>
            </w:r>
            <w:r>
              <w:rPr>
                <w:rFonts w:eastAsia="Calibri" w:cs="Times New Roman" w:ascii="Bodoni MT Condensed" w:hAnsi="Bodoni MT Condensed"/>
                <w:b/>
                <w:bCs/>
                <w:kern w:val="0"/>
                <w:sz w:val="22"/>
                <w:szCs w:val="22"/>
                <w:lang w:val="sk-SK" w:eastAsia="en-US" w:bidi="ar-SA"/>
              </w:rPr>
              <w:t xml:space="preserve"> rozl</w:t>
            </w:r>
            <w:r>
              <w:rPr>
                <w:rFonts w:eastAsia="Calibri" w:cs="Bodoni MT Condensed" w:ascii="Bodoni MT Condensed" w:hAnsi="Bodoni MT Condensed"/>
                <w:b/>
                <w:bCs/>
                <w:kern w:val="0"/>
                <w:sz w:val="22"/>
                <w:szCs w:val="22"/>
                <w:lang w:val="sk-SK" w:eastAsia="en-US" w:bidi="ar-SA"/>
              </w:rPr>
              <w:t>íš</w:t>
            </w:r>
            <w:r>
              <w:rPr>
                <w:rFonts w:eastAsia="Calibri" w:cs="Times New Roman" w:ascii="Bodoni MT Condensed" w:hAnsi="Bodoni MT Condensed"/>
                <w:b/>
                <w:bCs/>
                <w:kern w:val="0"/>
                <w:sz w:val="22"/>
                <w:szCs w:val="22"/>
                <w:lang w:val="sk-SK" w:eastAsia="en-US" w:bidi="ar-SA"/>
              </w:rPr>
              <w:t>enie – zostatková hodnota majetku, obstaraný z cudzích zdrojov</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b/>
                <w:bCs/>
              </w:rPr>
            </w:pPr>
            <w:r>
              <w:rPr>
                <w:rFonts w:eastAsia="Calibri" w:cs="Times New Roman" w:ascii="Bodoni MT Condensed" w:hAnsi="Bodoni MT Condensed"/>
                <w:b/>
                <w:bCs/>
                <w:kern w:val="0"/>
                <w:sz w:val="22"/>
                <w:szCs w:val="22"/>
                <w:lang w:val="sk-SK" w:eastAsia="en-US" w:bidi="ar-SA"/>
              </w:rPr>
              <w:t>716.634,03</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2"/>
                <w:szCs w:val="22"/>
                <w:lang w:val="sk-SK" w:eastAsia="en-US" w:bidi="ar-SA"/>
              </w:rPr>
              <w:t>804.278,76</w:t>
            </w:r>
          </w:p>
        </w:tc>
      </w:tr>
      <w:tr>
        <w:trPr/>
        <w:tc>
          <w:tcPr>
            <w:tcW w:w="1199"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2"/>
                <w:szCs w:val="22"/>
                <w:lang w:val="sk-SK" w:eastAsia="en-US" w:bidi="ar-SA"/>
              </w:rPr>
              <w:t>D.</w:t>
            </w:r>
          </w:p>
        </w:tc>
        <w:tc>
          <w:tcPr>
            <w:tcW w:w="4680" w:type="dxa"/>
            <w:tcBorders/>
          </w:tcPr>
          <w:p>
            <w:pPr>
              <w:pStyle w:val="Normal"/>
              <w:widowControl/>
              <w:suppressAutoHyphens w:val="true"/>
              <w:spacing w:lineRule="auto" w:line="240" w:before="0" w:after="0"/>
              <w:jc w:val="left"/>
              <w:rPr>
                <w:rFonts w:ascii="Calibri" w:hAnsi="Calibri" w:eastAsia="Calibri"/>
                <w:b/>
                <w:bCs/>
              </w:rPr>
            </w:pPr>
            <w:r>
              <w:rPr>
                <w:rFonts w:eastAsia="Calibri" w:cs="Times New Roman" w:ascii="Bodoni MT Condensed" w:hAnsi="Bodoni MT Condensed"/>
                <w:b/>
                <w:bCs/>
                <w:kern w:val="0"/>
                <w:sz w:val="22"/>
                <w:szCs w:val="22"/>
                <w:lang w:val="sk-SK" w:eastAsia="en-US" w:bidi="ar-SA"/>
              </w:rPr>
              <w:t>Vz</w:t>
            </w:r>
            <w:r>
              <w:rPr>
                <w:rFonts w:eastAsia="Calibri" w:cs="Times New Roman" w:ascii="Times New Roman" w:hAnsi="Times New Roman"/>
                <w:b/>
                <w:bCs/>
                <w:kern w:val="0"/>
                <w:sz w:val="22"/>
                <w:szCs w:val="22"/>
                <w:lang w:val="sk-SK" w:eastAsia="en-US" w:bidi="ar-SA"/>
              </w:rPr>
              <w:t>ť</w:t>
            </w:r>
            <w:r>
              <w:rPr>
                <w:rFonts w:eastAsia="Calibri" w:cs="Times New Roman" w:ascii="Bodoni MT Condensed" w:hAnsi="Bodoni MT Condensed"/>
                <w:b/>
                <w:bCs/>
                <w:kern w:val="0"/>
                <w:sz w:val="22"/>
                <w:szCs w:val="22"/>
                <w:lang w:val="sk-SK" w:eastAsia="en-US" w:bidi="ar-SA"/>
              </w:rPr>
              <w:t>ahy k ú</w:t>
            </w:r>
            <w:r>
              <w:rPr>
                <w:rFonts w:eastAsia="Calibri" w:cs="Times New Roman" w:ascii="Times New Roman" w:hAnsi="Times New Roman"/>
                <w:b/>
                <w:bCs/>
                <w:kern w:val="0"/>
                <w:sz w:val="22"/>
                <w:szCs w:val="22"/>
                <w:lang w:val="sk-SK" w:eastAsia="en-US" w:bidi="ar-SA"/>
              </w:rPr>
              <w:t>č</w:t>
            </w:r>
            <w:r>
              <w:rPr>
                <w:rFonts w:eastAsia="Calibri" w:cs="Times New Roman" w:ascii="Bodoni MT Condensed" w:hAnsi="Bodoni MT Condensed"/>
                <w:b/>
                <w:bCs/>
                <w:kern w:val="0"/>
                <w:sz w:val="22"/>
                <w:szCs w:val="22"/>
                <w:lang w:val="sk-SK" w:eastAsia="en-US" w:bidi="ar-SA"/>
              </w:rPr>
              <w:t xml:space="preserve">tom klientov </w:t>
            </w:r>
            <w:r>
              <w:rPr>
                <w:rFonts w:eastAsia="Calibri" w:cs="Bodoni MT Condensed" w:ascii="Bodoni MT Condensed" w:hAnsi="Bodoni MT Condensed"/>
                <w:b/>
                <w:bCs/>
                <w:kern w:val="0"/>
                <w:sz w:val="22"/>
                <w:szCs w:val="22"/>
                <w:lang w:val="sk-SK" w:eastAsia="en-US" w:bidi="ar-SA"/>
              </w:rPr>
              <w:t>š</w:t>
            </w:r>
            <w:r>
              <w:rPr>
                <w:rFonts w:eastAsia="Calibri" w:cs="Times New Roman" w:ascii="Bodoni MT Condensed" w:hAnsi="Bodoni MT Condensed"/>
                <w:b/>
                <w:bCs/>
                <w:kern w:val="0"/>
                <w:sz w:val="22"/>
                <w:szCs w:val="22"/>
                <w:lang w:val="sk-SK" w:eastAsia="en-US" w:bidi="ar-SA"/>
              </w:rPr>
              <w:t>t</w:t>
            </w:r>
            <w:r>
              <w:rPr>
                <w:rFonts w:eastAsia="Calibri" w:cs="Bodoni MT Condensed" w:ascii="Bodoni MT Condensed" w:hAnsi="Bodoni MT Condensed"/>
                <w:b/>
                <w:bCs/>
                <w:kern w:val="0"/>
                <w:sz w:val="22"/>
                <w:szCs w:val="22"/>
                <w:lang w:val="sk-SK" w:eastAsia="en-US" w:bidi="ar-SA"/>
              </w:rPr>
              <w:t>á</w:t>
            </w:r>
            <w:r>
              <w:rPr>
                <w:rFonts w:eastAsia="Calibri" w:cs="Times New Roman" w:ascii="Bodoni MT Condensed" w:hAnsi="Bodoni MT Condensed"/>
                <w:b/>
                <w:bCs/>
                <w:kern w:val="0"/>
                <w:sz w:val="22"/>
                <w:szCs w:val="22"/>
                <w:lang w:val="sk-SK" w:eastAsia="en-US" w:bidi="ar-SA"/>
              </w:rPr>
              <w:t>tnej pokladnice</w:t>
            </w:r>
          </w:p>
        </w:tc>
        <w:tc>
          <w:tcPr>
            <w:tcW w:w="2025" w:type="dxa"/>
            <w:tcBorders/>
          </w:tcPr>
          <w:p>
            <w:pPr>
              <w:pStyle w:val="Normal"/>
              <w:widowControl/>
              <w:suppressAutoHyphens w:val="true"/>
              <w:spacing w:lineRule="auto" w:line="240" w:before="0" w:after="0"/>
              <w:jc w:val="right"/>
              <w:rPr>
                <w:rFonts w:ascii="Bodoni MT Condensed" w:hAnsi="Bodoni MT Condensed" w:eastAsia="Calibri" w:cs="Times New Roman"/>
                <w:b/>
                <w:bCs/>
              </w:rPr>
            </w:pPr>
            <w:r>
              <w:rPr>
                <w:rFonts w:eastAsia="Calibri" w:cs="Times New Roman" w:ascii="Bodoni MT Condensed" w:hAnsi="Bodoni MT Condensed"/>
                <w:b/>
                <w:bCs/>
                <w:kern w:val="0"/>
                <w:sz w:val="22"/>
                <w:szCs w:val="22"/>
                <w:lang w:val="sk-SK" w:eastAsia="en-US" w:bidi="ar-SA"/>
              </w:rPr>
              <w:t>0,00</w:t>
            </w:r>
          </w:p>
        </w:tc>
        <w:tc>
          <w:tcPr>
            <w:tcW w:w="1701" w:type="dxa"/>
            <w:tcBorders/>
          </w:tcPr>
          <w:p>
            <w:pPr>
              <w:pStyle w:val="Normal"/>
              <w:widowControl/>
              <w:suppressAutoHyphens w:val="true"/>
              <w:spacing w:lineRule="auto" w:line="240" w:before="0" w:after="0"/>
              <w:jc w:val="right"/>
              <w:rPr>
                <w:rFonts w:ascii="Calibri" w:hAnsi="Calibri" w:eastAsia="Calibri"/>
                <w:b/>
                <w:bCs/>
              </w:rPr>
            </w:pPr>
            <w:r>
              <w:rPr>
                <w:rFonts w:eastAsia="Calibri" w:cs="Times New Roman" w:ascii="Bodoni MT Condensed" w:hAnsi="Bodoni MT Condensed"/>
                <w:b/>
                <w:bCs/>
                <w:kern w:val="0"/>
                <w:sz w:val="22"/>
                <w:szCs w:val="22"/>
                <w:lang w:val="sk-SK" w:eastAsia="en-US" w:bidi="ar-SA"/>
              </w:rPr>
              <w:t>0,00</w:t>
            </w:r>
          </w:p>
        </w:tc>
      </w:tr>
    </w:tbl>
    <w:p>
      <w:pPr>
        <w:pStyle w:val="Normal"/>
        <w:spacing w:lineRule="auto" w:line="240" w:before="0" w:after="0"/>
        <w:jc w:val="both"/>
        <w:rPr>
          <w:rFonts w:ascii="Times New Roman" w:hAnsi="Times New Roman" w:cs="Times New Roman"/>
          <w:b/>
          <w:caps/>
          <w:color w:val="81D41A"/>
          <w:sz w:val="24"/>
          <w:szCs w:val="24"/>
          <w:lang w:eastAsia="sk-SK"/>
        </w:rPr>
      </w:pPr>
      <w:r>
        <w:rPr>
          <w:rFonts w:cs="Times New Roman" w:ascii="Times New Roman" w:hAnsi="Times New Roman"/>
          <w:b/>
          <w:caps/>
          <w:color w:val="81D41A"/>
          <w:sz w:val="24"/>
          <w:szCs w:val="24"/>
          <w:lang w:eastAsia="sk-SK"/>
        </w:rPr>
      </w:r>
    </w:p>
    <w:p>
      <w:pPr>
        <w:pStyle w:val="Normal"/>
        <w:jc w:val="both"/>
        <w:rPr>
          <w:color w:val="auto"/>
        </w:rPr>
      </w:pPr>
      <w:r>
        <w:rPr>
          <w:rFonts w:cs="Times New Roman" w:ascii="Times New Roman" w:hAnsi="Times New Roman"/>
          <w:color w:val="auto"/>
          <w:lang w:eastAsia="sk-SK"/>
        </w:rPr>
        <w:t>Účtovný výsledok hospodárenia za rok 2024 konsolidovaného celku po zdanení predstavuje</w:t>
      </w:r>
      <w:r>
        <w:rPr>
          <w:rFonts w:cs="Times New Roman" w:ascii="Times New Roman" w:hAnsi="Times New Roman"/>
          <w:b w:val="false"/>
          <w:bCs w:val="false"/>
          <w:color w:val="auto"/>
          <w:sz w:val="22"/>
          <w:szCs w:val="22"/>
          <w:lang w:eastAsia="sk-SK"/>
        </w:rPr>
        <w:t xml:space="preserve"> </w:t>
      </w:r>
      <w:r>
        <w:rPr>
          <w:rFonts w:eastAsia="Calibri" w:cs="Times New Roman" w:ascii="Times New Roman" w:hAnsi="Times New Roman"/>
          <w:b w:val="false"/>
          <w:bCs w:val="false"/>
          <w:color w:val="auto"/>
          <w:kern w:val="0"/>
          <w:sz w:val="22"/>
          <w:szCs w:val="22"/>
          <w:lang w:val="sk-SK" w:eastAsia="en-US" w:bidi="ar-SA"/>
        </w:rPr>
        <w:t>-39.296,29</w:t>
      </w:r>
      <w:r>
        <w:rPr>
          <w:rFonts w:cs="Times New Roman" w:ascii="Times New Roman" w:hAnsi="Times New Roman"/>
          <w:b w:val="false"/>
          <w:bCs w:val="false"/>
          <w:color w:val="auto"/>
          <w:sz w:val="22"/>
          <w:szCs w:val="22"/>
          <w:lang w:eastAsia="sk-SK"/>
        </w:rPr>
        <w:t>€</w:t>
      </w:r>
      <w:r>
        <w:rPr>
          <w:rFonts w:cs="Times New Roman" w:ascii="Times New Roman" w:hAnsi="Times New Roman"/>
          <w:color w:val="auto"/>
          <w:lang w:eastAsia="sk-SK"/>
        </w:rPr>
        <w:t xml:space="preserve"> ktorý bude usporiadaný prostredníctvom účtu 428 – Nevysporiadaný výsledok hospodárenia minulých rokov.</w:t>
      </w:r>
    </w:p>
    <w:p>
      <w:pPr>
        <w:pStyle w:val="Normal"/>
        <w:rPr>
          <w:rFonts w:ascii="Times New Roman" w:hAnsi="Times New Roman" w:cs="Times New Roman"/>
          <w:color w:val="FF0000"/>
          <w:lang w:eastAsia="sk-SK"/>
        </w:rPr>
      </w:pPr>
      <w:r>
        <w:rPr>
          <w:rFonts w:cs="Times New Roman" w:ascii="Times New Roman" w:hAnsi="Times New Roman"/>
          <w:color w:val="FF0000"/>
          <w:lang w:eastAsia="sk-SK"/>
        </w:rPr>
      </w:r>
    </w:p>
    <w:p>
      <w:pPr>
        <w:pStyle w:val="Normal"/>
        <w:spacing w:lineRule="auto" w:line="240" w:before="0" w:after="0"/>
        <w:jc w:val="both"/>
        <w:rPr>
          <w:color w:val="auto"/>
          <w:highlight w:val="none"/>
          <w:shd w:fill="auto" w:val="clear"/>
        </w:rPr>
      </w:pPr>
      <w:r>
        <w:rPr>
          <w:rFonts w:cs="Times New Roman" w:ascii="Times New Roman" w:hAnsi="Times New Roman"/>
          <w:b/>
          <w:outline/>
          <w:color w:val="000000"/>
          <w:sz w:val="28"/>
          <w:szCs w:val="28"/>
          <w:shd w:fill="auto" w:val="clear"/>
          <w:lang w:eastAsia="sk-SK"/>
        </w:rPr>
        <w:t>8.</w:t>
      </w:r>
      <w:r>
        <w:rPr>
          <w:rFonts w:cs="Times New Roman" w:ascii="Times New Roman" w:hAnsi="Times New Roman"/>
          <w:b/>
          <w:outline/>
          <w:color w:val="000000"/>
          <w:sz w:val="28"/>
          <w:szCs w:val="28"/>
          <w:shd w:fill="auto" w:val="clear"/>
        </w:rPr>
        <w:t xml:space="preserve"> OSTATNÉ INFORMÁCIE O KONSOLIDOVANOM CELKU</w:t>
      </w:r>
    </w:p>
    <w:p>
      <w:pPr>
        <w:pStyle w:val="Normal"/>
        <w:spacing w:lineRule="auto" w:line="240" w:before="0" w:after="0"/>
        <w:rPr>
          <w:color w:val="auto"/>
          <w:highlight w:val="none"/>
          <w:shd w:fill="auto" w:val="clear"/>
        </w:rPr>
      </w:pPr>
      <w:r>
        <w:rPr>
          <w:rFonts w:cs="Times New Roman" w:ascii="Times New Roman" w:hAnsi="Times New Roman"/>
          <w:b/>
          <w:color w:val="000000"/>
          <w:sz w:val="24"/>
          <w:szCs w:val="24"/>
          <w:shd w:fill="auto" w:val="clear"/>
        </w:rPr>
        <w:t>8.1 INVESTIČNÉ AKCIE</w:t>
      </w:r>
    </w:p>
    <w:p>
      <w:pPr>
        <w:pStyle w:val="Normal"/>
        <w:spacing w:before="0" w:after="0"/>
        <w:ind w:firstLine="708"/>
        <w:jc w:val="both"/>
        <w:rPr>
          <w:color w:val="auto"/>
          <w:highlight w:val="none"/>
          <w:shd w:fill="auto" w:val="clear"/>
        </w:rPr>
      </w:pPr>
      <w:r>
        <w:rPr>
          <w:rFonts w:cs="Times New Roman" w:ascii="Times New Roman" w:hAnsi="Times New Roman"/>
          <w:color w:val="000000"/>
          <w:sz w:val="24"/>
          <w:szCs w:val="24"/>
          <w:shd w:fill="auto" w:val="clear"/>
        </w:rPr>
        <w:t>Medzi významné investičné akcie, ktoré boli zrealizované v roku 2024 patrí  nákup pozemkov a nehmotných aktív, n</w:t>
      </w:r>
      <w:r>
        <w:rPr>
          <w:rFonts w:cs="Times New Roman" w:ascii="Times New Roman" w:hAnsi="Times New Roman"/>
          <w:b w:val="false"/>
          <w:bCs w:val="false"/>
          <w:color w:val="000000"/>
          <w:sz w:val="24"/>
          <w:szCs w:val="24"/>
          <w:shd w:fill="auto" w:val="clear"/>
        </w:rPr>
        <w:t>ákup strojov, prístrojov, zariadení techniky a náradia a tiež realizácia projektových dokumentácií</w:t>
      </w:r>
    </w:p>
    <w:p>
      <w:pPr>
        <w:pStyle w:val="Normal"/>
        <w:spacing w:lineRule="auto" w:line="240" w:before="0" w:after="0"/>
        <w:jc w:val="both"/>
        <w:rPr>
          <w:rFonts w:ascii="Times New Roman" w:hAnsi="Times New Roman" w:cs="Times New Roman"/>
          <w:b/>
          <w:caps/>
          <w:color w:val="FF0000"/>
          <w:sz w:val="24"/>
          <w:szCs w:val="24"/>
        </w:rPr>
      </w:pPr>
      <w:r>
        <w:rPr>
          <w:rFonts w:cs="Times New Roman" w:ascii="Times New Roman" w:hAnsi="Times New Roman"/>
          <w:b/>
          <w:caps/>
          <w:color w:val="FF0000"/>
          <w:sz w:val="24"/>
          <w:szCs w:val="24"/>
        </w:rPr>
      </w:r>
    </w:p>
    <w:p>
      <w:pPr>
        <w:pStyle w:val="Normal"/>
        <w:spacing w:lineRule="auto" w:line="240" w:before="0" w:after="0"/>
        <w:jc w:val="both"/>
        <w:rPr>
          <w:rFonts w:ascii="Times New Roman" w:hAnsi="Times New Roman" w:cs="Times New Roman"/>
          <w:b/>
          <w:caps/>
          <w:color w:val="FF0000"/>
          <w:sz w:val="24"/>
          <w:szCs w:val="24"/>
        </w:rPr>
      </w:pPr>
      <w:r>
        <w:rPr>
          <w:rFonts w:cs="Times New Roman" w:ascii="Times New Roman" w:hAnsi="Times New Roman"/>
          <w:b/>
          <w:caps/>
          <w:color w:val="FF0000"/>
          <w:sz w:val="24"/>
          <w:szCs w:val="24"/>
        </w:rPr>
      </w:r>
    </w:p>
    <w:p>
      <w:pPr>
        <w:pStyle w:val="Normal"/>
        <w:spacing w:lineRule="auto" w:line="240" w:before="0" w:after="0"/>
        <w:rPr>
          <w:color w:val="auto"/>
          <w:highlight w:val="none"/>
          <w:shd w:fill="auto" w:val="clear"/>
        </w:rPr>
      </w:pPr>
      <w:r>
        <w:rPr>
          <w:rFonts w:cs="Times New Roman" w:ascii="Times New Roman" w:hAnsi="Times New Roman"/>
          <w:b/>
          <w:color w:val="000000"/>
          <w:sz w:val="24"/>
          <w:szCs w:val="24"/>
          <w:shd w:fill="auto" w:val="clear"/>
        </w:rPr>
        <w:t xml:space="preserve">8.2 PREDPOKLADANÝ BUDÚCI VÝVOJ   </w:t>
      </w:r>
    </w:p>
    <w:p>
      <w:pPr>
        <w:pStyle w:val="Normal"/>
        <w:spacing w:before="0" w:after="0"/>
        <w:ind w:firstLine="414"/>
        <w:rPr>
          <w:color w:val="auto"/>
          <w:highlight w:val="none"/>
          <w:shd w:fill="auto" w:val="clear"/>
        </w:rPr>
      </w:pPr>
      <w:r>
        <w:rPr>
          <w:rFonts w:cs="Times New Roman" w:ascii="Times New Roman" w:hAnsi="Times New Roman"/>
          <w:color w:val="000000"/>
          <w:sz w:val="24"/>
          <w:szCs w:val="24"/>
          <w:shd w:fill="auto" w:val="clear"/>
        </w:rPr>
        <w:t>V budúcnosti sa bude obec Selce snažiť znovu získať finančné prostriedky z európskych fondov na výstavbu:</w:t>
      </w:r>
    </w:p>
    <w:p>
      <w:pPr>
        <w:pStyle w:val="ListParagraph"/>
        <w:numPr>
          <w:ilvl w:val="0"/>
          <w:numId w:val="2"/>
        </w:numPr>
        <w:rPr>
          <w:color w:val="auto"/>
          <w:highlight w:val="none"/>
          <w:shd w:fill="auto" w:val="clear"/>
        </w:rPr>
      </w:pPr>
      <w:r>
        <w:rPr>
          <w:rFonts w:cs="Times New Roman" w:ascii="Times New Roman" w:hAnsi="Times New Roman"/>
          <w:color w:val="000000"/>
          <w:sz w:val="24"/>
          <w:szCs w:val="24"/>
          <w:shd w:fill="auto" w:val="clear"/>
        </w:rPr>
        <w:t>materskej školy</w:t>
      </w:r>
    </w:p>
    <w:p>
      <w:pPr>
        <w:pStyle w:val="ListParagraph"/>
        <w:numPr>
          <w:ilvl w:val="0"/>
          <w:numId w:val="2"/>
        </w:numPr>
        <w:rPr>
          <w:color w:val="auto"/>
          <w:highlight w:val="none"/>
          <w:shd w:fill="auto" w:val="clear"/>
        </w:rPr>
      </w:pPr>
      <w:r>
        <w:rPr>
          <w:rFonts w:cs="Times New Roman" w:ascii="Times New Roman" w:hAnsi="Times New Roman"/>
          <w:color w:val="000000"/>
          <w:sz w:val="24"/>
          <w:szCs w:val="24"/>
          <w:shd w:fill="auto" w:val="clear"/>
        </w:rPr>
        <w:t>zdravotného strediska</w:t>
      </w:r>
    </w:p>
    <w:p>
      <w:pPr>
        <w:pStyle w:val="ListParagraph"/>
        <w:numPr>
          <w:ilvl w:val="0"/>
          <w:numId w:val="2"/>
        </w:numPr>
        <w:rPr>
          <w:color w:val="auto"/>
          <w:highlight w:val="none"/>
          <w:shd w:fill="auto" w:val="clear"/>
        </w:rPr>
      </w:pPr>
      <w:r>
        <w:rPr>
          <w:rFonts w:cs="Times New Roman" w:ascii="Times New Roman" w:hAnsi="Times New Roman"/>
          <w:color w:val="000000"/>
          <w:sz w:val="24"/>
          <w:szCs w:val="24"/>
          <w:shd w:fill="auto" w:val="clear"/>
        </w:rPr>
        <w:t>domu sociálnych služieb</w:t>
      </w:r>
    </w:p>
    <w:p>
      <w:pPr>
        <w:pStyle w:val="ListParagraph"/>
        <w:numPr>
          <w:ilvl w:val="0"/>
          <w:numId w:val="2"/>
        </w:numPr>
        <w:rPr>
          <w:color w:val="auto"/>
          <w:highlight w:val="none"/>
          <w:shd w:fill="auto" w:val="clear"/>
        </w:rPr>
      </w:pPr>
      <w:r>
        <w:rPr>
          <w:rFonts w:cs="Times New Roman" w:ascii="Times New Roman" w:hAnsi="Times New Roman"/>
          <w:color w:val="000000"/>
          <w:sz w:val="24"/>
          <w:szCs w:val="24"/>
          <w:shd w:fill="auto" w:val="clear"/>
        </w:rPr>
        <w:t>kanalizácie</w:t>
      </w:r>
    </w:p>
    <w:p>
      <w:pPr>
        <w:pStyle w:val="Normal"/>
        <w:jc w:val="both"/>
        <w:rPr>
          <w:color w:val="auto"/>
          <w:highlight w:val="none"/>
          <w:shd w:fill="auto" w:val="clear"/>
        </w:rPr>
      </w:pPr>
      <w:r>
        <w:rPr>
          <w:rFonts w:cs="Times New Roman" w:ascii="Times New Roman" w:hAnsi="Times New Roman"/>
          <w:color w:val="000000"/>
          <w:sz w:val="24"/>
          <w:szCs w:val="24"/>
          <w:shd w:fill="auto" w:val="clear"/>
        </w:rPr>
        <w:t>Obec Selce má vypracovaný programový rozpočet na roky 2024 až 2026 rozpočet vyjadruje predikciu obce o vývoji rozpočtového hospodárenia.</w:t>
      </w:r>
    </w:p>
    <w:p>
      <w:pPr>
        <w:pStyle w:val="Normal"/>
        <w:spacing w:lineRule="auto" w:line="240"/>
        <w:rPr>
          <w:rFonts w:ascii="Times New Roman" w:hAnsi="Times New Roman" w:cs="Times New Roman"/>
          <w:b/>
          <w:caps/>
          <w:color w:val="FF0000"/>
          <w:sz w:val="24"/>
          <w:szCs w:val="24"/>
        </w:rPr>
      </w:pPr>
      <w:r>
        <w:rPr>
          <w:rFonts w:cs="Times New Roman" w:ascii="Times New Roman" w:hAnsi="Times New Roman"/>
          <w:b/>
          <w:caps/>
          <w:color w:val="FF0000"/>
          <w:sz w:val="24"/>
          <w:szCs w:val="24"/>
        </w:rPr>
      </w:r>
    </w:p>
    <w:p>
      <w:pPr>
        <w:pStyle w:val="Normal"/>
        <w:spacing w:lineRule="auto" w:line="240"/>
        <w:rPr>
          <w:color w:val="auto"/>
        </w:rPr>
      </w:pPr>
      <w:r>
        <w:rPr>
          <w:rFonts w:cs="Times New Roman" w:ascii="Times New Roman" w:hAnsi="Times New Roman"/>
          <w:b/>
          <w:color w:val="auto"/>
          <w:sz w:val="24"/>
          <w:szCs w:val="24"/>
        </w:rPr>
        <w:t>8.3 UDALOSTI OSOBITNÉHO VÝZNAMU PO SKONČENÍ ÚČTOVNÉHO OBDOBIA</w:t>
      </w:r>
    </w:p>
    <w:p>
      <w:pPr>
        <w:pStyle w:val="Normal"/>
        <w:spacing w:lineRule="auto" w:line="360"/>
        <w:jc w:val="both"/>
        <w:rPr>
          <w:color w:val="auto"/>
        </w:rPr>
      </w:pPr>
      <w:r>
        <w:rPr>
          <w:rFonts w:cs="Times New Roman" w:ascii="Times New Roman" w:hAnsi="Times New Roman"/>
          <w:color w:val="auto"/>
          <w:sz w:val="24"/>
          <w:szCs w:val="24"/>
        </w:rPr>
        <w:t>Obec nezaznamenala žiadnu udalosť osobitného významu po skončení účtovného obdobia.</w:t>
      </w:r>
    </w:p>
    <w:p>
      <w:pPr>
        <w:pStyle w:val="Normal"/>
        <w:rPr>
          <w:color w:val="auto"/>
        </w:rPr>
      </w:pPr>
      <w:r>
        <w:rPr>
          <w:rFonts w:cs="Times New Roman" w:ascii="Times New Roman" w:hAnsi="Times New Roman"/>
          <w:b/>
          <w:color w:val="auto"/>
          <w:sz w:val="24"/>
          <w:szCs w:val="24"/>
          <w:u w:val="single"/>
        </w:rPr>
        <w:t>Prílohy ku Konsolidovanej výročnej správe obce Selce za rok 2024:</w:t>
      </w:r>
    </w:p>
    <w:p>
      <w:pPr>
        <w:pStyle w:val="Normal"/>
        <w:numPr>
          <w:ilvl w:val="0"/>
          <w:numId w:val="3"/>
        </w:numPr>
        <w:spacing w:lineRule="auto" w:line="240" w:before="0" w:after="0"/>
        <w:rPr>
          <w:color w:val="auto"/>
        </w:rPr>
      </w:pPr>
      <w:r>
        <w:rPr>
          <w:rFonts w:cs="Times New Roman" w:ascii="Times New Roman" w:hAnsi="Times New Roman"/>
          <w:color w:val="auto"/>
          <w:sz w:val="24"/>
          <w:szCs w:val="24"/>
        </w:rPr>
        <w:t>Konsolidovaná účtovná závierka obce Selce k 31.12. 2024</w:t>
      </w:r>
    </w:p>
    <w:p>
      <w:pPr>
        <w:pStyle w:val="Normal"/>
        <w:numPr>
          <w:ilvl w:val="0"/>
          <w:numId w:val="3"/>
        </w:numPr>
        <w:spacing w:lineRule="auto" w:line="240" w:before="0" w:after="0"/>
        <w:rPr>
          <w:color w:val="auto"/>
        </w:rPr>
      </w:pPr>
      <w:r>
        <w:rPr>
          <w:rFonts w:cs="Times New Roman" w:ascii="Times New Roman" w:hAnsi="Times New Roman"/>
          <w:color w:val="auto"/>
          <w:sz w:val="24"/>
          <w:szCs w:val="24"/>
        </w:rPr>
        <w:t>Správa audítora ku konsolidovanej účtovnej závierke a KVS k 31.12.2024</w:t>
      </w:r>
    </w:p>
    <w:p>
      <w:pPr>
        <w:pStyle w:val="Normal"/>
        <w:rPr>
          <w:color w:val="auto"/>
        </w:rPr>
      </w:pPr>
      <w:r>
        <w:rPr>
          <w:color w:val="auto"/>
        </w:rPr>
      </w:r>
    </w:p>
    <w:p>
      <w:pPr>
        <w:pStyle w:val="Normal"/>
        <w:rPr>
          <w:color w:val="auto"/>
        </w:rPr>
      </w:pPr>
      <w:r>
        <w:rPr>
          <w:color w:val="auto"/>
        </w:rPr>
        <w:t>V Selciach dňa : 08.09.2025</w:t>
      </w:r>
    </w:p>
    <w:p>
      <w:pPr>
        <w:pStyle w:val="Normal"/>
        <w:rPr>
          <w:color w:val="auto"/>
        </w:rPr>
      </w:pPr>
      <w:r>
        <w:rPr>
          <w:color w:val="auto"/>
        </w:rPr>
        <w:t>Vypracoval: Ing. Pavel Bartošík</w:t>
        <w:tab/>
        <w:tab/>
        <w:tab/>
        <w:tab/>
        <w:tab/>
        <w:t>Schválil: Ing. Daniel Hlinka</w:t>
      </w:r>
    </w:p>
    <w:p>
      <w:pPr>
        <w:pStyle w:val="Normal"/>
        <w:rPr>
          <w:color w:val="auto"/>
        </w:rPr>
      </w:pPr>
      <w:r>
        <w:rPr>
          <w:color w:val="auto"/>
        </w:rPr>
        <w:t>ekonóm obce</w:t>
        <w:tab/>
        <w:tab/>
        <w:tab/>
        <w:tab/>
        <w:tab/>
        <w:tab/>
        <w:tab/>
        <w:t>starosta obce</w:t>
      </w:r>
    </w:p>
    <w:p>
      <w:pPr>
        <w:pStyle w:val="Normal"/>
        <w:spacing w:before="0" w:after="200"/>
        <w:rPr>
          <w:color w:val="FF0000"/>
        </w:rPr>
      </w:pPr>
      <w:r>
        <w:rPr>
          <w:color w:val="FF0000"/>
        </w:rPr>
      </w:r>
    </w:p>
    <w:sectPr>
      <w:footerReference w:type="default" r:id="rId15"/>
      <w:type w:val="nextPage"/>
      <w:pgSz w:w="11906" w:h="16838"/>
      <w:pgMar w:left="1080" w:right="1080" w:gutter="0" w:header="0" w:top="1440" w:footer="708" w:bottom="1440"/>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Tahoma">
    <w:charset w:val="ee"/>
    <w:family w:val="roman"/>
    <w:pitch w:val="variable"/>
  </w:font>
  <w:font w:name="Symbol">
    <w:charset w:val="ee"/>
    <w:family w:val="roman"/>
    <w:pitch w:val="variable"/>
  </w:font>
  <w:font w:name="Times New Roman">
    <w:charset w:val="ee"/>
    <w:family w:val="roman"/>
    <w:pitch w:val="variable"/>
  </w:font>
  <w:font w:name="Liberation Sans">
    <w:altName w:val="Arial"/>
    <w:charset w:val="ee"/>
    <w:family w:val="roman"/>
    <w:pitch w:val="variable"/>
  </w:font>
  <w:font w:name="Arial">
    <w:charset w:val="ee"/>
    <w:family w:val="roman"/>
    <w:pitch w:val="variable"/>
  </w:font>
  <w:font w:name="Bodoni MT Condensed">
    <w:charset w:val="ee"/>
    <w:family w:val="roman"/>
    <w:pitch w:val="variable"/>
  </w:font>
  <w:font w:name="Agency FB">
    <w:charset w:val="ee"/>
    <w:family w:val="roman"/>
    <w:pitch w:val="variable"/>
  </w:font>
  <w:font w:name="Cambria">
    <w:charset w:val="ee"/>
    <w:family w:val="roman"/>
    <w:pitch w:val="variable"/>
  </w:font>
  <w:font w:name="Courier New">
    <w:charset w:val="01"/>
    <w:family w:val="modern"/>
    <w:pitch w:val="fixed"/>
  </w:font>
  <w:font w:name="Wingdings">
    <w:charset w:val="02"/>
    <w:family w:val="auto"/>
    <w:pitch w:val="variable"/>
  </w:font>
  <w:font w:name="Times New Roman">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1823258273"/>
    </w:sdtPr>
    <w:sdtContent>
      <w:p>
        <w:pPr>
          <w:pStyle w:val="Footer"/>
          <w:jc w:val="right"/>
          <w:rPr/>
        </w:pPr>
        <w:r>
          <w:rPr/>
          <w:fldChar w:fldCharType="begin"/>
        </w:r>
        <w:r>
          <w:rPr/>
          <w:instrText xml:space="preserve"> PAGE </w:instrText>
        </w:r>
        <w:r>
          <w:rPr/>
          <w:fldChar w:fldCharType="separate"/>
        </w:r>
        <w:r>
          <w:rPr/>
          <w:t>36</w:t>
        </w:r>
        <w:r>
          <w:rPr/>
          <w:fldChar w:fldCharType="end"/>
        </w:r>
      </w:p>
    </w:sdtContent>
  </w:sdt>
  <w:p>
    <w:pPr>
      <w:pStyle w:val="Footer"/>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
    <w:lvl w:ilvl="0">
      <w:start w:val="1"/>
      <w:numFmt w:val="bullet"/>
      <w:lvlText w:val=""/>
      <w:lvlJc w:val="left"/>
      <w:pPr>
        <w:tabs>
          <w:tab w:val="num" w:pos="0"/>
        </w:tabs>
        <w:ind w:left="774" w:hanging="360"/>
      </w:pPr>
      <w:rPr>
        <w:rFonts w:ascii="Symbol" w:hAnsi="Symbol" w:cs="Symbol" w:hint="default"/>
      </w:rPr>
    </w:lvl>
    <w:lvl w:ilvl="1">
      <w:start w:val="1"/>
      <w:numFmt w:val="bullet"/>
      <w:lvlText w:val="o"/>
      <w:lvlJc w:val="left"/>
      <w:pPr>
        <w:tabs>
          <w:tab w:val="num" w:pos="0"/>
        </w:tabs>
        <w:ind w:left="1494" w:hanging="360"/>
      </w:pPr>
      <w:rPr>
        <w:rFonts w:ascii="Courier New" w:hAnsi="Courier New" w:cs="Courier New" w:hint="default"/>
      </w:rPr>
    </w:lvl>
    <w:lvl w:ilvl="2">
      <w:start w:val="1"/>
      <w:numFmt w:val="bullet"/>
      <w:lvlText w:val=""/>
      <w:lvlJc w:val="left"/>
      <w:pPr>
        <w:tabs>
          <w:tab w:val="num" w:pos="0"/>
        </w:tabs>
        <w:ind w:left="2214" w:hanging="360"/>
      </w:pPr>
      <w:rPr>
        <w:rFonts w:ascii="Wingdings" w:hAnsi="Wingdings" w:cs="Wingdings" w:hint="default"/>
      </w:rPr>
    </w:lvl>
    <w:lvl w:ilvl="3">
      <w:start w:val="1"/>
      <w:numFmt w:val="bullet"/>
      <w:lvlText w:val=""/>
      <w:lvlJc w:val="left"/>
      <w:pPr>
        <w:tabs>
          <w:tab w:val="num" w:pos="0"/>
        </w:tabs>
        <w:ind w:left="2934" w:hanging="360"/>
      </w:pPr>
      <w:rPr>
        <w:rFonts w:ascii="Symbol" w:hAnsi="Symbol" w:cs="Symbol" w:hint="default"/>
      </w:rPr>
    </w:lvl>
    <w:lvl w:ilvl="4">
      <w:start w:val="1"/>
      <w:numFmt w:val="bullet"/>
      <w:lvlText w:val="o"/>
      <w:lvlJc w:val="left"/>
      <w:pPr>
        <w:tabs>
          <w:tab w:val="num" w:pos="0"/>
        </w:tabs>
        <w:ind w:left="3654" w:hanging="360"/>
      </w:pPr>
      <w:rPr>
        <w:rFonts w:ascii="Courier New" w:hAnsi="Courier New" w:cs="Courier New" w:hint="default"/>
      </w:rPr>
    </w:lvl>
    <w:lvl w:ilvl="5">
      <w:start w:val="1"/>
      <w:numFmt w:val="bullet"/>
      <w:lvlText w:val=""/>
      <w:lvlJc w:val="left"/>
      <w:pPr>
        <w:tabs>
          <w:tab w:val="num" w:pos="0"/>
        </w:tabs>
        <w:ind w:left="4374" w:hanging="360"/>
      </w:pPr>
      <w:rPr>
        <w:rFonts w:ascii="Wingdings" w:hAnsi="Wingdings" w:cs="Wingdings" w:hint="default"/>
      </w:rPr>
    </w:lvl>
    <w:lvl w:ilvl="6">
      <w:start w:val="1"/>
      <w:numFmt w:val="bullet"/>
      <w:lvlText w:val=""/>
      <w:lvlJc w:val="left"/>
      <w:pPr>
        <w:tabs>
          <w:tab w:val="num" w:pos="0"/>
        </w:tabs>
        <w:ind w:left="5094" w:hanging="360"/>
      </w:pPr>
      <w:rPr>
        <w:rFonts w:ascii="Symbol" w:hAnsi="Symbol" w:cs="Symbol" w:hint="default"/>
      </w:rPr>
    </w:lvl>
    <w:lvl w:ilvl="7">
      <w:start w:val="1"/>
      <w:numFmt w:val="bullet"/>
      <w:lvlText w:val="o"/>
      <w:lvlJc w:val="left"/>
      <w:pPr>
        <w:tabs>
          <w:tab w:val="num" w:pos="0"/>
        </w:tabs>
        <w:ind w:left="5814" w:hanging="360"/>
      </w:pPr>
      <w:rPr>
        <w:rFonts w:ascii="Courier New" w:hAnsi="Courier New" w:cs="Courier New" w:hint="default"/>
      </w:rPr>
    </w:lvl>
    <w:lvl w:ilvl="8">
      <w:start w:val="1"/>
      <w:numFmt w:val="bullet"/>
      <w:lvlText w:val=""/>
      <w:lvlJc w:val="left"/>
      <w:pPr>
        <w:tabs>
          <w:tab w:val="num" w:pos="0"/>
        </w:tabs>
        <w:ind w:left="6534" w:hanging="360"/>
      </w:pPr>
      <w:rPr>
        <w:rFonts w:ascii="Wingdings" w:hAnsi="Wingdings" w:cs="Wingdings" w:hint="default"/>
      </w:rPr>
    </w:lvl>
  </w:abstractNum>
  <w:abstractNum w:abstractNumId="3">
    <w:lvl w:ilvl="0">
      <w:start w:val="1"/>
      <w:numFmt w:val="bullet"/>
      <w:lvlText w:val=""/>
      <w:lvlJc w:val="left"/>
      <w:pPr>
        <w:tabs>
          <w:tab w:val="num" w:pos="0"/>
        </w:tabs>
        <w:ind w:left="644" w:hanging="360"/>
      </w:pPr>
      <w:rPr>
        <w:rFonts w:ascii="Symbol" w:hAnsi="Symbol" w:cs="Symbol" w:hint="default"/>
      </w:rPr>
    </w:lvl>
    <w:lvl w:ilvl="1">
      <w:start w:val="1"/>
      <w:numFmt w:val="bullet"/>
      <w:lvlText w:val="o"/>
      <w:lvlJc w:val="left"/>
      <w:pPr>
        <w:tabs>
          <w:tab w:val="num" w:pos="0"/>
        </w:tabs>
        <w:ind w:left="1364" w:hanging="360"/>
      </w:pPr>
      <w:rPr>
        <w:rFonts w:ascii="Courier New" w:hAnsi="Courier New" w:cs="Courier New" w:hint="default"/>
      </w:rPr>
    </w:lvl>
    <w:lvl w:ilvl="2">
      <w:start w:val="1"/>
      <w:numFmt w:val="bullet"/>
      <w:lvlText w:val=""/>
      <w:lvlJc w:val="left"/>
      <w:pPr>
        <w:tabs>
          <w:tab w:val="num" w:pos="0"/>
        </w:tabs>
        <w:ind w:left="2084" w:hanging="360"/>
      </w:pPr>
      <w:rPr>
        <w:rFonts w:ascii="Wingdings" w:hAnsi="Wingdings" w:cs="Wingdings" w:hint="default"/>
      </w:rPr>
    </w:lvl>
    <w:lvl w:ilvl="3">
      <w:start w:val="1"/>
      <w:numFmt w:val="bullet"/>
      <w:lvlText w:val=""/>
      <w:lvlJc w:val="left"/>
      <w:pPr>
        <w:tabs>
          <w:tab w:val="num" w:pos="0"/>
        </w:tabs>
        <w:ind w:left="2804" w:hanging="360"/>
      </w:pPr>
      <w:rPr>
        <w:rFonts w:ascii="Symbol" w:hAnsi="Symbol" w:cs="Symbol" w:hint="default"/>
      </w:rPr>
    </w:lvl>
    <w:lvl w:ilvl="4">
      <w:start w:val="1"/>
      <w:numFmt w:val="bullet"/>
      <w:lvlText w:val="o"/>
      <w:lvlJc w:val="left"/>
      <w:pPr>
        <w:tabs>
          <w:tab w:val="num" w:pos="0"/>
        </w:tabs>
        <w:ind w:left="3524" w:hanging="360"/>
      </w:pPr>
      <w:rPr>
        <w:rFonts w:ascii="Courier New" w:hAnsi="Courier New" w:cs="Courier New" w:hint="default"/>
      </w:rPr>
    </w:lvl>
    <w:lvl w:ilvl="5">
      <w:start w:val="1"/>
      <w:numFmt w:val="bullet"/>
      <w:lvlText w:val=""/>
      <w:lvlJc w:val="left"/>
      <w:pPr>
        <w:tabs>
          <w:tab w:val="num" w:pos="0"/>
        </w:tabs>
        <w:ind w:left="4244" w:hanging="360"/>
      </w:pPr>
      <w:rPr>
        <w:rFonts w:ascii="Wingdings" w:hAnsi="Wingdings" w:cs="Wingdings" w:hint="default"/>
      </w:rPr>
    </w:lvl>
    <w:lvl w:ilvl="6">
      <w:start w:val="1"/>
      <w:numFmt w:val="bullet"/>
      <w:lvlText w:val=""/>
      <w:lvlJc w:val="left"/>
      <w:pPr>
        <w:tabs>
          <w:tab w:val="num" w:pos="0"/>
        </w:tabs>
        <w:ind w:left="4964" w:hanging="360"/>
      </w:pPr>
      <w:rPr>
        <w:rFonts w:ascii="Symbol" w:hAnsi="Symbol" w:cs="Symbol" w:hint="default"/>
      </w:rPr>
    </w:lvl>
    <w:lvl w:ilvl="7">
      <w:start w:val="1"/>
      <w:numFmt w:val="bullet"/>
      <w:lvlText w:val="o"/>
      <w:lvlJc w:val="left"/>
      <w:pPr>
        <w:tabs>
          <w:tab w:val="num" w:pos="0"/>
        </w:tabs>
        <w:ind w:left="5684" w:hanging="360"/>
      </w:pPr>
      <w:rPr>
        <w:rFonts w:ascii="Courier New" w:hAnsi="Courier New" w:cs="Courier New" w:hint="default"/>
      </w:rPr>
    </w:lvl>
    <w:lvl w:ilvl="8">
      <w:start w:val="1"/>
      <w:numFmt w:val="bullet"/>
      <w:lvlText w:val=""/>
      <w:lvlJc w:val="left"/>
      <w:pPr>
        <w:tabs>
          <w:tab w:val="num" w:pos="0"/>
        </w:tabs>
        <w:ind w:left="6404" w:hanging="360"/>
      </w:pPr>
      <w:rPr>
        <w:rFonts w:ascii="Wingdings" w:hAnsi="Wingdings" w:cs="Wingdings" w:hint="default"/>
      </w:rPr>
    </w:lvl>
  </w:abstractNum>
  <w:abstractNum w:abstractNumId="4">
    <w:lvl w:ilvl="0">
      <w:start w:val="1"/>
      <w:numFmt w:val="bullet"/>
      <w:lvlText w:val=""/>
      <w:lvlJc w:val="left"/>
      <w:pPr>
        <w:tabs>
          <w:tab w:val="num" w:pos="0"/>
        </w:tabs>
        <w:ind w:left="720" w:hanging="360"/>
      </w:pPr>
      <w:rPr>
        <w:rFonts w:ascii="Symbol" w:hAnsi="Symbol" w:cs="Symbol" w:hint="default"/>
        <w:sz w:val="28"/>
        <w:szCs w:val="28"/>
        <w:color w:val="C9211E"/>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5">
    <w:lvl w:ilvl="0">
      <w:start w:val="1"/>
      <w:numFmt w:val="bullet"/>
      <w:lvlText w:val="-"/>
      <w:lvlJc w:val="left"/>
      <w:pPr>
        <w:tabs>
          <w:tab w:val="num" w:pos="720"/>
        </w:tabs>
        <w:ind w:left="720" w:hanging="360"/>
      </w:pPr>
      <w:rPr>
        <w:rFonts w:ascii="Times New Roman" w:hAnsi="Times New Roman" w:cs="Times New Roman" w:hint="default"/>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6">
    <w:lvl w:ilvl="0">
      <w:start w:val="1"/>
      <w:numFmt w:val="lowerLetter"/>
      <w:lvlText w:val="%1)"/>
      <w:lvlJc w:val="left"/>
      <w:pPr>
        <w:tabs>
          <w:tab w:val="num" w:pos="0"/>
        </w:tabs>
        <w:ind w:left="502" w:hanging="360"/>
      </w:pPr>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7">
    <w:lvl w:ilvl="0">
      <w:start w:val="1"/>
      <w:numFmt w:val="bullet"/>
      <w:lvlText w:val=""/>
      <w:lvlJc w:val="left"/>
      <w:pPr>
        <w:tabs>
          <w:tab w:val="num" w:pos="0"/>
        </w:tabs>
        <w:ind w:left="780" w:hanging="360"/>
      </w:pPr>
      <w:rPr>
        <w:rFonts w:ascii="Symbol" w:hAnsi="Symbol" w:cs="Symbol" w:hint="default"/>
        <w:color w:val="000000"/>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8">
    <w:lvl w:ilvl="0">
      <w:start w:val="1"/>
      <w:numFmt w:val="decimal"/>
      <w:lvlText w:val="%1."/>
      <w:lvlJc w:val="left"/>
      <w:pPr>
        <w:tabs>
          <w:tab w:val="num" w:pos="0"/>
        </w:tabs>
        <w:ind w:left="720" w:hanging="360"/>
      </w:pPr>
      <w:rPr/>
    </w:lvl>
    <w:lvl w:ilvl="1">
      <w:start w:val="0"/>
      <w:numFmt w:val="decimal"/>
      <w:lvlText w:val=""/>
      <w:lvlJc w:val="left"/>
      <w:pPr>
        <w:tabs>
          <w:tab w:val="num" w:pos="0"/>
        </w:tabs>
        <w:ind w:left="0" w:hanging="0"/>
      </w:pPr>
      <w:rPr/>
    </w:lvl>
    <w:lvl w:ilvl="2">
      <w:start w:val="0"/>
      <w:numFmt w:val="decimal"/>
      <w:lvlText w:val=""/>
      <w:lvlJc w:val="left"/>
      <w:pPr>
        <w:tabs>
          <w:tab w:val="num" w:pos="0"/>
        </w:tabs>
        <w:ind w:left="0" w:hanging="0"/>
      </w:pPr>
      <w:rPr/>
    </w:lvl>
    <w:lvl w:ilvl="3">
      <w:start w:val="0"/>
      <w:numFmt w:val="decimal"/>
      <w:lvlText w:val=""/>
      <w:lvlJc w:val="left"/>
      <w:pPr>
        <w:tabs>
          <w:tab w:val="num" w:pos="0"/>
        </w:tabs>
        <w:ind w:left="0" w:hanging="0"/>
      </w:pPr>
      <w:rPr/>
    </w:lvl>
    <w:lvl w:ilvl="4">
      <w:start w:val="0"/>
      <w:numFmt w:val="decimal"/>
      <w:lvlText w:val=""/>
      <w:lvlJc w:val="left"/>
      <w:pPr>
        <w:tabs>
          <w:tab w:val="num" w:pos="0"/>
        </w:tabs>
        <w:ind w:left="0" w:hanging="0"/>
      </w:pPr>
      <w:rPr/>
    </w:lvl>
    <w:lvl w:ilvl="5">
      <w:start w:val="0"/>
      <w:numFmt w:val="decimal"/>
      <w:lvlText w:val=""/>
      <w:lvlJc w:val="left"/>
      <w:pPr>
        <w:tabs>
          <w:tab w:val="num" w:pos="0"/>
        </w:tabs>
        <w:ind w:left="0" w:hanging="0"/>
      </w:pPr>
      <w:rPr/>
    </w:lvl>
    <w:lvl w:ilvl="6">
      <w:start w:val="0"/>
      <w:numFmt w:val="decimal"/>
      <w:lvlText w:val=""/>
      <w:lvlJc w:val="left"/>
      <w:pPr>
        <w:tabs>
          <w:tab w:val="num" w:pos="0"/>
        </w:tabs>
        <w:ind w:left="0" w:hanging="0"/>
      </w:pPr>
      <w:rPr/>
    </w:lvl>
    <w:lvl w:ilvl="7">
      <w:start w:val="0"/>
      <w:numFmt w:val="decimal"/>
      <w:lvlText w:val=""/>
      <w:lvlJc w:val="left"/>
      <w:pPr>
        <w:tabs>
          <w:tab w:val="num" w:pos="0"/>
        </w:tabs>
        <w:ind w:left="0" w:hanging="0"/>
      </w:pPr>
      <w:rPr/>
    </w:lvl>
    <w:lvl w:ilvl="8">
      <w:start w:val="0"/>
      <w:numFmt w:val="decimal"/>
      <w:lvlText w:val=""/>
      <w:lvlJc w:val="left"/>
      <w:pPr>
        <w:tabs>
          <w:tab w:val="num" w:pos="0"/>
        </w:tabs>
        <w:ind w:left="0" w:hanging="0"/>
      </w:pPr>
      <w:rPr/>
    </w:lvl>
  </w:abstractNum>
  <w:abstractNum w:abstractNumId="9">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w="http://schemas.openxmlformats.org/wordprocessingml/2006/main">
  <w:zoom w:percent="140"/>
  <w:defaultTabStop w:val="708"/>
  <w:autoHyphenation w:val="true"/>
  <w:hyphenationZone w:val="425"/>
  <w:compat>
    <w:doNotBreakWrappedTables/>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sk-SK"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d0aa3"/>
    <w:pPr>
      <w:widowControl/>
      <w:suppressAutoHyphens w:val="true"/>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unhideWhenUsed/>
    <w:qFormat/>
    <w:rPr/>
  </w:style>
  <w:style w:type="character" w:styleId="Strong">
    <w:name w:val="Strong"/>
    <w:basedOn w:val="DefaultParagraphFont"/>
    <w:uiPriority w:val="22"/>
    <w:qFormat/>
    <w:rsid w:val="006d0aa3"/>
    <w:rPr>
      <w:b/>
      <w:bCs/>
    </w:rPr>
  </w:style>
  <w:style w:type="character" w:styleId="Hyperlink">
    <w:name w:val="Hyperlink"/>
    <w:basedOn w:val="DefaultParagraphFont"/>
    <w:uiPriority w:val="99"/>
    <w:unhideWhenUsed/>
    <w:rsid w:val="006d0aa3"/>
    <w:rPr>
      <w:color w:val="0000FF"/>
      <w:u w:val="single"/>
    </w:rPr>
  </w:style>
  <w:style w:type="character" w:styleId="TextbublinyChar" w:customStyle="1">
    <w:name w:val="Text bubliny Char"/>
    <w:basedOn w:val="DefaultParagraphFont"/>
    <w:link w:val="BalloonText"/>
    <w:uiPriority w:val="99"/>
    <w:semiHidden/>
    <w:qFormat/>
    <w:rsid w:val="006d0aa3"/>
    <w:rPr>
      <w:rFonts w:ascii="Tahoma" w:hAnsi="Tahoma" w:cs="Tahoma"/>
      <w:sz w:val="16"/>
      <w:szCs w:val="16"/>
    </w:rPr>
  </w:style>
  <w:style w:type="character" w:styleId="HlavikaChar" w:customStyle="1">
    <w:name w:val="Hlavička Char"/>
    <w:basedOn w:val="DefaultParagraphFont"/>
    <w:uiPriority w:val="99"/>
    <w:qFormat/>
    <w:rsid w:val="006d0aa3"/>
    <w:rPr/>
  </w:style>
  <w:style w:type="character" w:styleId="PtaChar" w:customStyle="1">
    <w:name w:val="Päta Char"/>
    <w:basedOn w:val="DefaultParagraphFont"/>
    <w:uiPriority w:val="99"/>
    <w:qFormat/>
    <w:rsid w:val="006d0aa3"/>
    <w:rPr/>
  </w:style>
  <w:style w:type="character" w:styleId="WW8Num11z0" w:customStyle="1">
    <w:name w:val="WW8Num11z0"/>
    <w:qFormat/>
    <w:rPr>
      <w:rFonts w:ascii="Symbol" w:hAnsi="Symbol" w:cs="Symbol"/>
      <w:color w:val="C9211E"/>
      <w:sz w:val="28"/>
      <w:szCs w:val="28"/>
    </w:rPr>
  </w:style>
  <w:style w:type="character" w:styleId="WW8Num4z0" w:customStyle="1">
    <w:name w:val="WW8Num4z0"/>
    <w:qFormat/>
    <w:rPr>
      <w:rFonts w:ascii="Times New Roman" w:hAnsi="Times New Roman" w:cs="Times New Roman"/>
    </w:rPr>
  </w:style>
  <w:style w:type="character" w:styleId="WW8Num1z0" w:customStyle="1">
    <w:name w:val="WW8Num1z0"/>
    <w:qFormat/>
    <w:rPr/>
  </w:style>
  <w:style w:type="character" w:styleId="WW8Num10z0" w:customStyle="1">
    <w:name w:val="WW8Num10z0"/>
    <w:qFormat/>
    <w:rPr>
      <w:rFonts w:ascii="Symbol" w:hAnsi="Symbol" w:cs="Symbol"/>
      <w:color w:val="000000"/>
    </w:rPr>
  </w:style>
  <w:style w:type="character" w:styleId="WW8Num9z0" w:customStyle="1">
    <w:name w:val="WW8Num9z0"/>
    <w:qFormat/>
    <w:rPr/>
  </w:style>
  <w:style w:type="character" w:styleId="Emphasis">
    <w:name w:val="Emphasis"/>
    <w:qFormat/>
    <w:rPr>
      <w:i/>
      <w:iCs/>
    </w:rPr>
  </w:style>
  <w:style w:type="paragraph" w:styleId="Nadpis" w:customStyle="1">
    <w:name w:val="Nadpis"/>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Arial"/>
    </w:rPr>
  </w:style>
  <w:style w:type="paragraph" w:styleId="Caption1">
    <w:name w:val="caption1"/>
    <w:basedOn w:val="Normal"/>
    <w:qFormat/>
    <w:pPr>
      <w:suppressLineNumbers/>
      <w:spacing w:before="120" w:after="120"/>
    </w:pPr>
    <w:rPr>
      <w:rFonts w:cs="Arial"/>
      <w:i/>
      <w:iCs/>
      <w:sz w:val="24"/>
      <w:szCs w:val="24"/>
    </w:rPr>
  </w:style>
  <w:style w:type="paragraph" w:styleId="ListParagraph">
    <w:name w:val="List Paragraph"/>
    <w:basedOn w:val="Normal"/>
    <w:uiPriority w:val="34"/>
    <w:qFormat/>
    <w:rsid w:val="006d0aa3"/>
    <w:pPr>
      <w:spacing w:before="0" w:after="200"/>
      <w:ind w:left="720"/>
      <w:contextualSpacing/>
    </w:pPr>
    <w:rPr/>
  </w:style>
  <w:style w:type="paragraph" w:styleId="NormalWeb">
    <w:name w:val="Normal (Web)"/>
    <w:basedOn w:val="Normal"/>
    <w:unhideWhenUsed/>
    <w:qFormat/>
    <w:rsid w:val="006d0aa3"/>
    <w:pPr>
      <w:spacing w:lineRule="auto" w:line="240" w:beforeAutospacing="1" w:afterAutospacing="1"/>
    </w:pPr>
    <w:rPr>
      <w:rFonts w:ascii="Times New Roman" w:hAnsi="Times New Roman" w:eastAsia="Times New Roman" w:cs="Times New Roman"/>
      <w:sz w:val="24"/>
      <w:szCs w:val="24"/>
      <w:lang w:eastAsia="sk-SK"/>
    </w:rPr>
  </w:style>
  <w:style w:type="paragraph" w:styleId="Standard" w:customStyle="1">
    <w:name w:val="Standard"/>
    <w:qFormat/>
    <w:rsid w:val="006d0aa3"/>
    <w:pPr>
      <w:widowControl w:val="false"/>
      <w:suppressAutoHyphens w:val="true"/>
      <w:bidi w:val="0"/>
      <w:spacing w:before="0" w:after="0"/>
      <w:jc w:val="left"/>
      <w:textAlignment w:val="baseline"/>
    </w:pPr>
    <w:rPr>
      <w:rFonts w:ascii="Times New Roman" w:hAnsi="Times New Roman" w:eastAsia="Arial Unicode MS" w:cs="Tahoma"/>
      <w:color w:val="auto"/>
      <w:kern w:val="2"/>
      <w:sz w:val="24"/>
      <w:szCs w:val="24"/>
      <w:lang w:val="sk-SK" w:eastAsia="sk-SK" w:bidi="ar-SA"/>
    </w:rPr>
  </w:style>
  <w:style w:type="paragraph" w:styleId="BalloonText">
    <w:name w:val="Balloon Text"/>
    <w:basedOn w:val="Normal"/>
    <w:link w:val="TextbublinyChar"/>
    <w:uiPriority w:val="99"/>
    <w:semiHidden/>
    <w:unhideWhenUsed/>
    <w:qFormat/>
    <w:rsid w:val="006d0aa3"/>
    <w:pPr>
      <w:spacing w:lineRule="auto" w:line="240" w:before="0" w:after="0"/>
    </w:pPr>
    <w:rPr>
      <w:rFonts w:ascii="Tahoma" w:hAnsi="Tahoma" w:cs="Tahoma"/>
      <w:sz w:val="16"/>
      <w:szCs w:val="16"/>
    </w:rPr>
  </w:style>
  <w:style w:type="paragraph" w:styleId="Hlavikaapta" w:customStyle="1">
    <w:name w:val="Hlavička a päta"/>
    <w:basedOn w:val="Normal"/>
    <w:qFormat/>
    <w:pPr/>
    <w:rPr/>
  </w:style>
  <w:style w:type="paragraph" w:styleId="Header">
    <w:name w:val="Header"/>
    <w:basedOn w:val="Normal"/>
    <w:link w:val="HlavikaChar"/>
    <w:uiPriority w:val="99"/>
    <w:unhideWhenUsed/>
    <w:rsid w:val="006d0aa3"/>
    <w:pPr>
      <w:tabs>
        <w:tab w:val="clear" w:pos="708"/>
        <w:tab w:val="center" w:pos="4536" w:leader="none"/>
        <w:tab w:val="right" w:pos="9072" w:leader="none"/>
      </w:tabs>
      <w:spacing w:lineRule="auto" w:line="240" w:before="0" w:after="0"/>
    </w:pPr>
    <w:rPr/>
  </w:style>
  <w:style w:type="paragraph" w:styleId="Footer">
    <w:name w:val="Footer"/>
    <w:basedOn w:val="Normal"/>
    <w:link w:val="PtaChar"/>
    <w:uiPriority w:val="99"/>
    <w:unhideWhenUsed/>
    <w:rsid w:val="006d0aa3"/>
    <w:pPr>
      <w:tabs>
        <w:tab w:val="clear" w:pos="708"/>
        <w:tab w:val="center" w:pos="4536" w:leader="none"/>
        <w:tab w:val="right" w:pos="9072" w:leader="none"/>
      </w:tabs>
      <w:spacing w:lineRule="auto" w:line="240" w:before="0" w:after="0"/>
    </w:pPr>
    <w:rPr/>
  </w:style>
  <w:style w:type="paragraph" w:styleId="Obsahtabuky" w:customStyle="1">
    <w:name w:val="Obsah tabuľky"/>
    <w:basedOn w:val="Normal"/>
    <w:qFormat/>
    <w:rsid w:val="006d0aa3"/>
    <w:pPr>
      <w:suppressLineNumbers/>
      <w:spacing w:lineRule="auto" w:line="240" w:before="0" w:after="0"/>
    </w:pPr>
    <w:rPr>
      <w:rFonts w:ascii="Times New Roman" w:hAnsi="Times New Roman" w:eastAsia="Times New Roman" w:cs="Times New Roman"/>
      <w:sz w:val="24"/>
      <w:szCs w:val="24"/>
      <w:lang w:val="cs-CZ" w:eastAsia="ar-SA"/>
    </w:rPr>
  </w:style>
  <w:style w:type="paragraph" w:styleId="Odstavec" w:customStyle="1">
    <w:name w:val="odstavec"/>
    <w:basedOn w:val="Normal"/>
    <w:autoRedefine/>
    <w:qFormat/>
    <w:rsid w:val="005b4c03"/>
    <w:pPr>
      <w:spacing w:lineRule="auto" w:line="240" w:before="0" w:after="0"/>
      <w:ind w:firstLine="680" w:right="-79"/>
      <w:jc w:val="both"/>
    </w:pPr>
    <w:rPr>
      <w:rFonts w:ascii="Times New Roman" w:hAnsi="Times New Roman" w:eastAsia="Times New Roman" w:cs="Times New Roman"/>
      <w:sz w:val="24"/>
      <w:szCs w:val="24"/>
      <w:lang w:eastAsia="sk-SK"/>
    </w:rPr>
  </w:style>
  <w:style w:type="paragraph" w:styleId="Obsahrmca" w:customStyle="1">
    <w:name w:val="Obsah rámca"/>
    <w:basedOn w:val="Normal"/>
    <w:qFormat/>
    <w:pPr/>
    <w:rPr/>
  </w:style>
  <w:style w:type="paragraph" w:styleId="Zhlavietabuky">
    <w:name w:val="Záhlavie tabuľky"/>
    <w:basedOn w:val="Obsahtabuky"/>
    <w:qFormat/>
    <w:pPr>
      <w:suppressLineNumbers/>
      <w:jc w:val="center"/>
    </w:pPr>
    <w:rPr>
      <w:b/>
      <w:bCs/>
    </w:rPr>
  </w:style>
  <w:style w:type="numbering" w:styleId="NoList" w:default="1">
    <w:name w:val="No List"/>
    <w:uiPriority w:val="99"/>
    <w:semiHidden/>
    <w:unhideWhenUsed/>
    <w:qFormat/>
  </w:style>
  <w:style w:type="numbering" w:styleId="WW8Num11" w:customStyle="1">
    <w:name w:val="WW8Num11"/>
    <w:qFormat/>
  </w:style>
  <w:style w:type="numbering" w:styleId="WW8Num4" w:customStyle="1">
    <w:name w:val="WW8Num4"/>
    <w:qFormat/>
  </w:style>
  <w:style w:type="numbering" w:styleId="WW8Num1" w:customStyle="1">
    <w:name w:val="WW8Num1"/>
    <w:qFormat/>
  </w:style>
  <w:style w:type="numbering" w:styleId="WW8Num10" w:customStyle="1">
    <w:name w:val="WW8Num10"/>
    <w:qFormat/>
  </w:style>
  <w:style w:type="numbering" w:styleId="WW8Num9" w:customStyle="1">
    <w:name w:val="WW8Num9"/>
    <w:qFormat/>
  </w:style>
  <w:style w:type="table" w:default="1" w:styleId="Normlnatabuka">
    <w:name w:val="Normal Table"/>
    <w:uiPriority w:val="99"/>
    <w:semiHidden/>
    <w:unhideWhenUsed/>
    <w:tblPr>
      <w:tblCellMar>
        <w:top w:w="0" w:type="dxa"/>
        <w:left w:w="108" w:type="dxa"/>
        <w:bottom w:w="0" w:type="dxa"/>
        <w:right w:w="108" w:type="dxa"/>
      </w:tblCellMar>
    </w:tblPr>
  </w:style>
  <w:style w:type="table" w:styleId="Mriekatabuky">
    <w:name w:val="Table Grid"/>
    <w:basedOn w:val="Normlnatabuka"/>
    <w:uiPriority w:val="59"/>
    <w:rsid w:val="006d0aa3"/>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jpeg"/><Relationship Id="rId4" Type="http://schemas.openxmlformats.org/officeDocument/2006/relationships/hyperlink" Target="mailto:starosta@selce.sk" TargetMode="External"/><Relationship Id="rId5" Type="http://schemas.openxmlformats.org/officeDocument/2006/relationships/image" Target="media/image3.jpeg"/><Relationship Id="rId6" Type="http://schemas.openxmlformats.org/officeDocument/2006/relationships/image" Target="media/image4.jpeg"/><Relationship Id="rId7" Type="http://schemas.openxmlformats.org/officeDocument/2006/relationships/image" Target="media/image5.jpeg"/><Relationship Id="rId8" Type="http://schemas.openxmlformats.org/officeDocument/2006/relationships/image" Target="media/image6.jpeg"/><Relationship Id="rId9" Type="http://schemas.openxmlformats.org/officeDocument/2006/relationships/image" Target="media/image7.jpeg"/><Relationship Id="rId10" Type="http://schemas.openxmlformats.org/officeDocument/2006/relationships/image" Target="media/image8.jpeg"/><Relationship Id="rId11" Type="http://schemas.openxmlformats.org/officeDocument/2006/relationships/image" Target="media/image9.jpeg"/><Relationship Id="rId12" Type="http://schemas.openxmlformats.org/officeDocument/2006/relationships/image" Target="media/image10.jpeg"/><Relationship Id="rId13" Type="http://schemas.openxmlformats.org/officeDocument/2006/relationships/image" Target="media/image11.jpeg"/><Relationship Id="rId14" Type="http://schemas.openxmlformats.org/officeDocument/2006/relationships/image" Target="media/image12.jpeg"/><Relationship Id="rId15" Type="http://schemas.openxmlformats.org/officeDocument/2006/relationships/footer" Target="footer1.xml"/><Relationship Id="rId16" Type="http://schemas.openxmlformats.org/officeDocument/2006/relationships/numbering" Target="numbering.xml"/><Relationship Id="rId17" Type="http://schemas.openxmlformats.org/officeDocument/2006/relationships/fontTable" Target="fontTable.xml"/><Relationship Id="rId18" Type="http://schemas.openxmlformats.org/officeDocument/2006/relationships/settings" Target="settings.xml"/><Relationship Id="rId19" Type="http://schemas.openxmlformats.org/officeDocument/2006/relationships/theme" Target="theme/theme1.xml"/><Relationship Id="rId20"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Motív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A36233-3E4A-4565-97F9-7B33BF75EF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3305</TotalTime>
  <Application>LibreOffice/7.6.3.2$Windows_X86_64 LibreOffice_project/29d686fea9f6705b262d369fede658f824154cc0</Application>
  <AppVersion>15.0000</AppVersion>
  <Pages>36</Pages>
  <Words>8424</Words>
  <Characters>50641</Characters>
  <CharactersWithSpaces>58363</CharactersWithSpaces>
  <Paragraphs>1493</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2022-09-16T15:06:00Z</dcterms:created>
  <dc:creator>Marta Jančíková</dc:creator>
  <dc:description/>
  <dc:language>sk-SK</dc:language>
  <cp:lastModifiedBy/>
  <cp:lastPrinted>2024-10-02T12:15:00Z</cp:lastPrinted>
  <dcterms:modified xsi:type="dcterms:W3CDTF">2025-09-16T10:53:16Z</dcterms:modified>
  <cp:revision>83</cp:revision>
  <dc:subject/>
  <dc:title/>
</cp:coreProperties>
</file>

<file path=docProps/custom.xml><?xml version="1.0" encoding="utf-8"?>
<Properties xmlns="http://schemas.openxmlformats.org/officeDocument/2006/custom-properties" xmlns:vt="http://schemas.openxmlformats.org/officeDocument/2006/docPropsVTypes"/>
</file>