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A.)  Všeobecná časť</w:t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Kayros Consulting, spo. S.r.o.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J.Matušku 826/3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960 01 Zvolen</w:t>
      </w:r>
    </w:p>
    <w:p>
      <w:pPr>
        <w:pStyle w:val="Standard"/>
        <w:ind w:left="4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1967"/>
        <w:gridCol w:w="7670"/>
      </w:tblGrid>
      <w:tr>
        <w:trPr/>
        <w:tc>
          <w:tcPr>
            <w:tcW w:w="1967" w:type="dxa"/>
            <w:tcBorders/>
            <w:shd w:color="auto" w:fill="FFFFFF" w:val="clea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 w:ascii="Arial CE" w:hAnsi="Arial CE"/>
                <w:b/>
                <w:bCs/>
                <w:color w:val="000000"/>
                <w:kern w:val="0"/>
                <w:sz w:val="20"/>
                <w:lang w:eastAsia="sk-SK" w:bidi="ar-SA"/>
              </w:rPr>
              <w:t>Deň zápisu:</w:t>
            </w:r>
          </w:p>
        </w:tc>
        <w:tc>
          <w:tcPr>
            <w:tcW w:w="7670" w:type="dxa"/>
            <w:tcBorders/>
            <w:shd w:color="auto" w:fill="FFFFFF" w:val="clear"/>
            <w:vAlign w:val="center"/>
          </w:tcPr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04.10.2001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Normal"/>
        <w:widowControl/>
        <w:suppressAutoHyphens w:val="false"/>
        <w:textAlignment w:val="auto"/>
        <w:rPr>
          <w:rFonts w:eastAsia="Times New Roman" w:cs="Times New Roman"/>
          <w:vanish/>
          <w:kern w:val="0"/>
          <w:lang w:eastAsia="sk-SK" w:bidi="ar-SA"/>
        </w:rPr>
      </w:pPr>
      <w:r>
        <w:rPr>
          <w:rFonts w:eastAsia="Times New Roman" w:cs="Times New Roman"/>
          <w:vanish/>
          <w:kern w:val="0"/>
          <w:lang w:eastAsia="sk-SK" w:bidi="ar-SA"/>
        </w:rPr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1967"/>
        <w:gridCol w:w="7670"/>
      </w:tblGrid>
      <w:tr>
        <w:trPr/>
        <w:tc>
          <w:tcPr>
            <w:tcW w:w="1967" w:type="dxa"/>
            <w:tcBorders/>
            <w:shd w:color="auto" w:fill="FFFFFF" w:val="clea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 w:ascii="Arial CE" w:hAnsi="Arial CE"/>
                <w:b/>
                <w:bCs/>
                <w:color w:val="000000"/>
                <w:kern w:val="0"/>
                <w:sz w:val="20"/>
                <w:lang w:eastAsia="sk-SK" w:bidi="ar-SA"/>
              </w:rPr>
              <w:t>Právna forma:</w:t>
            </w:r>
          </w:p>
        </w:tc>
        <w:tc>
          <w:tcPr>
            <w:tcW w:w="7670" w:type="dxa"/>
            <w:tcBorders/>
            <w:shd w:color="auto" w:fill="FFFFFF" w:val="clear"/>
            <w:vAlign w:val="center"/>
          </w:tcPr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Spoločnosť s ručením obmedzeným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Normal"/>
        <w:widowControl/>
        <w:suppressAutoHyphens w:val="false"/>
        <w:textAlignment w:val="auto"/>
        <w:rPr>
          <w:rFonts w:eastAsia="Times New Roman" w:cs="Times New Roman"/>
          <w:vanish/>
          <w:kern w:val="0"/>
          <w:lang w:eastAsia="sk-SK" w:bidi="ar-SA"/>
        </w:rPr>
      </w:pPr>
      <w:r>
        <w:rPr>
          <w:rFonts w:eastAsia="Times New Roman" w:cs="Times New Roman"/>
          <w:vanish/>
          <w:kern w:val="0"/>
          <w:lang w:eastAsia="sk-SK" w:bidi="ar-SA"/>
        </w:rPr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1967"/>
        <w:gridCol w:w="7670"/>
      </w:tblGrid>
      <w:tr>
        <w:trPr/>
        <w:tc>
          <w:tcPr>
            <w:tcW w:w="1967" w:type="dxa"/>
            <w:tcBorders/>
            <w:shd w:color="auto" w:fill="FFFFFF" w:val="clea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 w:ascii="Arial CE" w:hAnsi="Arial CE"/>
                <w:b/>
                <w:bCs/>
                <w:color w:val="000000"/>
                <w:kern w:val="0"/>
                <w:sz w:val="20"/>
                <w:lang w:eastAsia="sk-SK" w:bidi="ar-SA"/>
              </w:rPr>
              <w:t>Predmet činnosti:</w:t>
            </w:r>
          </w:p>
        </w:tc>
        <w:tc>
          <w:tcPr>
            <w:tcW w:w="7670" w:type="dxa"/>
            <w:tcBorders/>
            <w:shd w:color="auto" w:fill="FFFFFF" w:val="clear"/>
            <w:vAlign w:val="center"/>
          </w:tcPr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kúpa tovaru za účelom jeho predaja konečnému spotrebiteľovi /maloobchod/ v rozsahu voľných živností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kúpa tovaru za účelom jeho predaja iným prevádzkovateľom živnosti /veľkoobchod/ v rozsahu voľných živností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sprostredkovateľská činnosť v rozsahu voľných živností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poradenská a konzultačná činnosť v oblasti služieb a reklamy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organizovanie kultúrnych, spoločenských a športových podujatí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organizovanie seminárov a školení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faktoring a forfaiting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prenájom automobilov, strojov, prístrojov a zariadení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nákup a predaj motorových vozidiel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finančný leasing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automatizované spracovanie dát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reklamná a propagačná činnosť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výkon sprostredkovateľskej činnosti v poisťovníctve v zmysle rozhodnutia Úradu pre finančný trh, zo dňa 14.8.2001, č. UFT - O77/2001/PSPO, pravoplatné 7.9.2001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administratívne služby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28.02.2008)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vedenie účtovníctva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28.02.2008)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vanish/>
                <w:kern w:val="0"/>
                <w:lang w:eastAsia="sk-SK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4"/>
              <w:gridCol w:w="2546"/>
            </w:tblGrid>
            <w:tr>
              <w:trPr/>
              <w:tc>
                <w:tcPr>
                  <w:tcW w:w="5124" w:type="dxa"/>
                  <w:tcBorders/>
                  <w:vAlign w:val="center"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fotografické služby</w:t>
                  </w:r>
                </w:p>
              </w:tc>
              <w:tc>
                <w:tcPr>
                  <w:tcW w:w="2546" w:type="dxa"/>
                  <w:tcBorders/>
                </w:tcPr>
                <w:p>
                  <w:pPr>
                    <w:pStyle w:val="Normal"/>
                    <w:widowControl w:val="false"/>
                    <w:suppressAutoHyphens w:val="false"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>
                    <w:rPr>
                      <w:rFonts w:eastAsia="Times New Roman" w:cs="Times New Roman" w:ascii="Arial CE" w:hAnsi="Arial CE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28.02.2008)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Standard"/>
        <w:ind w:left="284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38"/>
      </w:tblGrid>
      <w:tr>
        <w:trPr/>
        <w:tc>
          <w:tcPr>
            <w:tcW w:w="9638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Standard"/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   </w:t>
      </w:r>
    </w:p>
    <w:p>
      <w:pPr>
        <w:pStyle w:val="Nzov"/>
        <w:numPr>
          <w:ilvl w:val="0"/>
          <w:numId w:val="54"/>
        </w:numPr>
        <w:ind w:left="36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665"/>
        <w:gridCol w:w="2621"/>
        <w:gridCol w:w="2856"/>
      </w:tblGrid>
      <w:tr>
        <w:trPr/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Spoločnosť  nevlastnila a nevlastní žiadne majetkové podiely v iných firmách.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  Kayros Consulting, spol. s.r.o. predkladá riadnu účtovnú závierku za rok 2022 v zmysle zákona č.431/2002 Z. z. o účtovníctve v znení neskorších predpisov.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993" w:leader="none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0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B.)   Ďalšie informácie</w:t>
      </w:r>
    </w:p>
    <w:p>
      <w:pPr>
        <w:pStyle w:val="Standard"/>
        <w:jc w:val="both"/>
        <w:rPr>
          <w:rFonts w:ascii="Arial Narrow" w:hAnsi="Arial Narrow" w:cs="Arial Narrow"/>
          <w:i/>
          <w:i/>
          <w:iCs/>
          <w:sz w:val="22"/>
          <w:szCs w:val="22"/>
        </w:rPr>
      </w:pPr>
      <w:r>
        <w:rPr>
          <w:rFonts w:cs="Arial Narrow" w:ascii="Arial Narrow" w:hAnsi="Arial Narrow"/>
          <w:i/>
          <w:iCs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</w:t>
        <w:tab/>
        <w:t>V priebehu účtovného obdobia za rok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bolo vedené v zmysle zákona o účtovníctve č.431/2002 Z. z. v plnom znení, účtovnej osnovy a postupov účtovníctva pre podnikateľov platnými od 01.01.2003 v plnom znení .</w:t>
      </w:r>
    </w:p>
    <w:p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rámci uvedených predpisov hlavný dôraz bol kladený na základné účtovné zásady, a to najmä na: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časovú a vecnú súvislosť účtovných prípadov,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nepretržitosť vedenia účtovníctva,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zásadu vecného a pravdivého obrazu účtovnej závierky,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celistvosť účtovníctva – vedenie účtovníctva za firmu ako celok,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formou sústavy účtovných zápisov, podložených účtovnými dokladmi,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a  zostavenie účtovnej závierky v peňažných jednotkách v mene euro a v štátnom jazyku,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inventarizovania majetku, záväzkov a rozdielu majetku a záväzkov,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 xml:space="preserve">C.)    Konkretizácia použitých účtovných zásad a účtovných metód  </w:t>
      </w:r>
    </w:p>
    <w:p>
      <w:pPr>
        <w:pStyle w:val="Nadpis1"/>
        <w:numPr>
          <w:ilvl w:val="0"/>
          <w:numId w:val="55"/>
        </w:numPr>
        <w:ind w:left="426" w:hanging="426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>
      <w:pPr>
        <w:pStyle w:val="Nadpis1"/>
        <w:numPr>
          <w:ilvl w:val="0"/>
          <w:numId w:val="56"/>
        </w:numPr>
        <w:tabs>
          <w:tab w:val="clear" w:pos="708"/>
          <w:tab w:val="left" w:pos="1135" w:leader="none"/>
        </w:tabs>
        <w:ind w:left="426" w:hanging="426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V roku 202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3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 nenastali zmeny účtovných zásad a účtovných metód.</w:t>
      </w:r>
    </w:p>
    <w:p>
      <w:pPr>
        <w:pStyle w:val="Nadpis1"/>
        <w:numPr>
          <w:ilvl w:val="0"/>
          <w:numId w:val="57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Spôsob oceňovania jednotlivých zložiek majetku :</w:t>
      </w:r>
    </w:p>
    <w:p>
      <w:pPr>
        <w:pStyle w:val="Nadpis1"/>
        <w:tabs>
          <w:tab w:val="clear" w:pos="708"/>
          <w:tab w:val="left" w:pos="1560" w:leader="none"/>
        </w:tabs>
        <w:ind w:left="78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1.</w:t>
        <w:tab/>
        <w:t>Dlhodobý nehmotný majetok spoločnosť v roku 202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3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nebol obstaraný.</w:t>
      </w:r>
    </w:p>
    <w:p>
      <w:pPr>
        <w:pStyle w:val="Standard"/>
        <w:tabs>
          <w:tab w:val="clear" w:pos="708"/>
          <w:tab w:val="left" w:pos="5786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ab/>
      </w:r>
    </w:p>
    <w:p>
      <w:pPr>
        <w:pStyle w:val="Standard"/>
        <w:tabs>
          <w:tab w:val="clear" w:pos="708"/>
          <w:tab w:val="left" w:pos="360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104" w:leader="none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05" w:leader="none"/>
        </w:tabs>
        <w:ind w:left="445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    Údaje vykázané na strane aktív súvahy</w:t>
      </w:r>
    </w:p>
    <w:p>
      <w:pPr>
        <w:pStyle w:val="Standard"/>
        <w:keepNext w:val="true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nehmotnom majetku</w:t>
      </w:r>
    </w:p>
    <w:p>
      <w:pPr>
        <w:pStyle w:val="Standard"/>
        <w:numPr>
          <w:ilvl w:val="0"/>
          <w:numId w:val="58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pohybe dlhodobého majetku v €</w:t>
      </w:r>
    </w:p>
    <w:p>
      <w:pPr>
        <w:pStyle w:val="Standard"/>
        <w:numPr>
          <w:ilvl w:val="0"/>
          <w:numId w:val="59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oprávok a opravných položiek  dlhodobého majetku v  €</w:t>
      </w:r>
    </w:p>
    <w:p>
      <w:pPr>
        <w:pStyle w:val="Standard"/>
        <w:numPr>
          <w:ilvl w:val="0"/>
          <w:numId w:val="60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zostatkových hodnotách dlhodobého majetku v  €</w:t>
      </w:r>
    </w:p>
    <w:p>
      <w:pPr>
        <w:pStyle w:val="Nzov"/>
        <w:numPr>
          <w:ilvl w:val="0"/>
          <w:numId w:val="6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706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669"/>
        <w:gridCol w:w="37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Nzov"/>
        <w:numPr>
          <w:ilvl w:val="0"/>
          <w:numId w:val="6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399"/>
        <w:gridCol w:w="2742"/>
      </w:tblGrid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                           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55" w:leader="none"/>
        </w:tabs>
        <w:spacing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55" w:leader="none"/>
        </w:tabs>
        <w:spacing w:lineRule="auto" w:line="276"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>
      <w:pPr>
        <w:pStyle w:val="Nadpis1"/>
        <w:tabs>
          <w:tab w:val="clear" w:pos="708"/>
          <w:tab w:val="left" w:pos="360" w:leader="none"/>
        </w:tabs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</w:t>
      </w:r>
    </w:p>
    <w:p>
      <w:pPr>
        <w:pStyle w:val="Standard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hmotnom majetku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1) Prehľad o pohybe dlhodobého majetku v €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Prehľad oprávok a opravných položiek  dlhodobého majetku v  €</w:t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3) Prehľad o zostatkových hodnotách dlhodobého majetku v  €</w:t>
      </w:r>
    </w:p>
    <w:p>
      <w:pPr>
        <w:pStyle w:val="Nzov"/>
        <w:numPr>
          <w:ilvl w:val="0"/>
          <w:numId w:val="6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0" w:type="dxa"/>
        </w:tblCellMar>
        <w:tblLook w:val="0000"/>
      </w:tblPr>
      <w:tblGrid>
        <w:gridCol w:w="1534"/>
        <w:gridCol w:w="1037"/>
        <w:gridCol w:w="846"/>
        <w:gridCol w:w="847"/>
        <w:gridCol w:w="25"/>
        <w:gridCol w:w="856"/>
        <w:gridCol w:w="965"/>
        <w:gridCol w:w="745"/>
        <w:gridCol w:w="690"/>
        <w:gridCol w:w="779"/>
        <w:gridCol w:w="888"/>
      </w:tblGrid>
      <w:tr>
        <w:trPr>
          <w:trHeight w:val="278" w:hRule="atLeast"/>
        </w:trPr>
        <w:tc>
          <w:tcPr>
            <w:tcW w:w="1534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8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278" w:hRule="atLeast"/>
        </w:trPr>
        <w:tc>
          <w:tcPr>
            <w:tcW w:w="1534" w:type="dxa"/>
            <w:vMerge w:val="continue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7" w:type="dxa"/>
            <w:tcBorders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278" w:hRule="atLeast"/>
        </w:trPr>
        <w:tc>
          <w:tcPr>
            <w:tcW w:w="15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5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037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p>
      <w:pPr>
        <w:pStyle w:val="Textbody"/>
        <w:rPr/>
      </w:pPr>
      <w:r>
        <w:rPr/>
      </w:r>
    </w:p>
    <w:p>
      <w:pPr>
        <w:pStyle w:val="ListParagraph"/>
        <w:numPr>
          <w:ilvl w:val="0"/>
          <w:numId w:val="64"/>
        </w:numPr>
        <w:ind w:left="360" w:hanging="360"/>
        <w:rPr>
          <w:b/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117"/>
        <w:gridCol w:w="3024"/>
      </w:tblGrid>
      <w:tr>
        <w:trPr/>
        <w:tc>
          <w:tcPr>
            <w:tcW w:w="61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Textbody"/>
        <w:rPr/>
      </w:pPr>
      <w:r>
        <w:rPr/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>F .)</w:t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 Účtovná jednotka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</w:t>
        <w:tab/>
        <w:t>Spoločnosť neevidovala ani nevyužívala dlhodobý nehnuteľný majetok, pri ktorom nebolo vlastnícke právo zapísané vkladom do katastra nehnuteľností k 31.12.202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ani v bezprostredne predchádzajúcom účtovnom období.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f)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nevlastnila ani neevidovala nehmotný majetok – goodwil.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g)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nepoužívala účet 097 – opravná položka k nadobudnutému majetku.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nerealizovala výskumnú a vývojovú činnosť.</w:t>
      </w:r>
    </w:p>
    <w:p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 – n) Spoločnosť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nevlastnila ani neevidovala dlhodobý finančný majetok.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zov"/>
        <w:ind w:left="360" w:hanging="36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65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66"/>
        </w:numPr>
        <w:ind w:left="36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>časti F. písm. m) o dlhodobom finančnom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257"/>
        <w:gridCol w:w="2884"/>
      </w:tblGrid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>
                <w:color w:val="666666"/>
              </w:rPr>
              <w:t xml:space="preserve">Hodnota </w:t>
            </w:r>
            <w:r>
              <w:rPr>
                <w:bCs w:val="false"/>
                <w:color w:val="666666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numPr>
          <w:ilvl w:val="0"/>
          <w:numId w:val="6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907"/>
        <w:gridCol w:w="1116"/>
        <w:gridCol w:w="1686"/>
        <w:gridCol w:w="1441"/>
        <w:gridCol w:w="1655"/>
        <w:gridCol w:w="1336"/>
      </w:tblGrid>
      <w:tr>
        <w:trPr/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6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6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3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Nzov"/>
        <w:widowControl w:val="false"/>
        <w:numPr>
          <w:ilvl w:val="0"/>
          <w:numId w:val="6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39"/>
        <w:gridCol w:w="725"/>
        <w:gridCol w:w="1266"/>
        <w:gridCol w:w="1123"/>
        <w:gridCol w:w="1127"/>
        <w:gridCol w:w="1407"/>
        <w:gridCol w:w="1054"/>
      </w:tblGrid>
      <w:tr>
        <w:trPr>
          <w:trHeight w:val="644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Dlhové CP</w:t>
              <w:br/>
              <w:t xml:space="preserve"> držané do splatnosti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7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10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spacing w:before="0" w:after="120"/>
        <w:rPr/>
      </w:pPr>
      <w:r>
        <w:rPr/>
      </w:r>
    </w:p>
    <w:p>
      <w:pPr>
        <w:pStyle w:val="Nzov"/>
        <w:widowControl w:val="false"/>
        <w:numPr>
          <w:ilvl w:val="0"/>
          <w:numId w:val="6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156" w:type="dxa"/>
        <w:jc w:val="left"/>
        <w:tblInd w:w="-71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59"/>
        <w:gridCol w:w="1449"/>
        <w:gridCol w:w="1131"/>
        <w:gridCol w:w="1104"/>
        <w:gridCol w:w="1512"/>
        <w:gridCol w:w="1200"/>
      </w:tblGrid>
      <w:tr>
        <w:trPr>
          <w:trHeight w:val="996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začiatku účtovného obdobia</w:t>
            </w:r>
          </w:p>
        </w:tc>
        <w:tc>
          <w:tcPr>
            <w:tcW w:w="113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13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o)</w:t>
        <w:tab/>
      </w:r>
    </w:p>
    <w:p>
      <w:pPr>
        <w:pStyle w:val="Nzov"/>
        <w:numPr>
          <w:ilvl w:val="0"/>
          <w:numId w:val="70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330"/>
        <w:gridCol w:w="1396"/>
        <w:gridCol w:w="983"/>
        <w:gridCol w:w="1687"/>
        <w:gridCol w:w="1558"/>
        <w:gridCol w:w="1187"/>
      </w:tblGrid>
      <w:tr>
        <w:trPr/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1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/>
        <w:tc>
          <w:tcPr>
            <w:tcW w:w="233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Účtovná jednotka k 31.12.2022 nevytvárala opravné položky k zásobám.</w:t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p)</w:t>
        <w:tab/>
      </w:r>
    </w:p>
    <w:p>
      <w:pPr>
        <w:pStyle w:val="Nzov"/>
        <w:numPr>
          <w:ilvl w:val="0"/>
          <w:numId w:val="71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zásoby vykazované v účtovníctve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nebolo zriadené záložné právo ani obmedzené právo s nimi nakladať.</w:t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4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q)</w:t>
        <w:tab/>
      </w:r>
    </w:p>
    <w:p>
      <w:pPr>
        <w:pStyle w:val="Nzov"/>
        <w:numPr>
          <w:ilvl w:val="0"/>
          <w:numId w:val="7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189"/>
        <w:gridCol w:w="1680"/>
        <w:gridCol w:w="2135"/>
        <w:gridCol w:w="2175"/>
      </w:tblGrid>
      <w:tr>
        <w:trPr/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029"/>
        <w:gridCol w:w="2381"/>
        <w:gridCol w:w="2770"/>
      </w:tblGrid>
      <w:tr>
        <w:trPr/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963"/>
        <w:gridCol w:w="1821"/>
        <w:gridCol w:w="2630"/>
      </w:tblGrid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  <w:r>
        <w:br w:type="page"/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jc w:val="left"/>
        <w:tblInd w:w="-112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290"/>
        <w:gridCol w:w="2383"/>
        <w:gridCol w:w="2492"/>
      </w:tblGrid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nerealizovala zákazkovú výrobu ani zákazkovú  výstavbu nehnuteľnosti určenej na predaj.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>
      <w:pPr>
        <w:pStyle w:val="Nzov"/>
        <w:numPr>
          <w:ilvl w:val="0"/>
          <w:numId w:val="7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035"/>
        <w:gridCol w:w="1268"/>
        <w:gridCol w:w="1211"/>
        <w:gridCol w:w="1678"/>
        <w:gridCol w:w="1650"/>
        <w:gridCol w:w="1299"/>
      </w:tblGrid>
      <w:tr>
        <w:trPr/>
        <w:tc>
          <w:tcPr>
            <w:tcW w:w="20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widowControl w:val="false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Opravná položka k nekonkurzným nedobytným pohľadávkam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nebola  evidovaná.</w:t>
      </w:r>
    </w:p>
    <w:p>
      <w:pPr>
        <w:pStyle w:val="Standard"/>
        <w:rPr/>
      </w:pPr>
      <w:r>
        <w:rPr/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Veková štruktúra pohľadávok rok 202</w:t>
      </w:r>
      <w:r>
        <w:rPr>
          <w:rFonts w:ascii="Arial Narrow" w:hAnsi="Arial Narrow"/>
          <w:szCs w:val="22"/>
        </w:rPr>
        <w:t>3</w:t>
      </w:r>
    </w:p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7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Standard"/>
        <w:jc w:val="both"/>
        <w:rPr/>
      </w:pPr>
      <w:r>
        <w:rPr/>
      </w:r>
    </w:p>
    <w:p>
      <w:pPr>
        <w:pStyle w:val="Nzov"/>
        <w:numPr>
          <w:ilvl w:val="0"/>
          <w:numId w:val="75"/>
        </w:numPr>
        <w:ind w:left="360" w:hanging="360"/>
        <w:jc w:val="both"/>
        <w:rPr>
          <w:i/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>
        <w:rPr>
          <w:i/>
          <w:szCs w:val="22"/>
        </w:rPr>
        <w:t>formou zabezpečenia 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Pohľadávky, zabezpečené záložným právom alebo inou formou zabezpečenia v roku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</w:tbl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Pohľadávky, zabezpečené záložným právom alebo inou formou zabezpečenia v roku 202</w:t>
      </w:r>
      <w:r>
        <w:rPr>
          <w:rFonts w:cs="Arial Narrow" w:ascii="Arial Narrow" w:hAnsi="Arial Narrow"/>
          <w:sz w:val="22"/>
          <w:szCs w:val="22"/>
        </w:rPr>
        <w:t>3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600" w:hanging="63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 </w:t>
      </w:r>
      <w:r>
        <w:rPr>
          <w:rFonts w:cs="Arial Narrow" w:ascii="Arial Narrow" w:hAnsi="Arial Narrow"/>
          <w:sz w:val="22"/>
          <w:szCs w:val="22"/>
        </w:rPr>
        <w:t>v) Spoločnosť neeviduje k 31.12.202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odloženú daňovú pohľadávku  ani odložený daňový záväzok.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w)</w:t>
      </w:r>
    </w:p>
    <w:p>
      <w:pPr>
        <w:pStyle w:val="Nzov"/>
        <w:numPr>
          <w:ilvl w:val="0"/>
          <w:numId w:val="7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w) o krátkodobom finančnom majetku</w:t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186"/>
        <w:gridCol w:w="2616"/>
        <w:gridCol w:w="2378"/>
      </w:tblGrid>
      <w:tr>
        <w:trPr/>
        <w:tc>
          <w:tcPr>
            <w:tcW w:w="41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802"/>
        <w:gridCol w:w="1455"/>
        <w:gridCol w:w="1152"/>
        <w:gridCol w:w="930"/>
        <w:gridCol w:w="1204"/>
        <w:gridCol w:w="1598"/>
      </w:tblGrid>
      <w:tr>
        <w:trPr/>
        <w:tc>
          <w:tcPr>
            <w:tcW w:w="28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Krátkodobý finančný majetok</w:t>
            </w:r>
          </w:p>
        </w:tc>
        <w:tc>
          <w:tcPr>
            <w:tcW w:w="6339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Bežné účtovné obdobie</w:t>
            </w:r>
          </w:p>
        </w:tc>
      </w:tr>
      <w:tr>
        <w:trPr/>
        <w:tc>
          <w:tcPr>
            <w:tcW w:w="280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</w:t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Prírastky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Úbytky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Presuny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e</w:t>
            </w:r>
          </w:p>
        </w:tc>
        <w:tc>
          <w:tcPr>
            <w:tcW w:w="15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>
              <w:rPr>
                <w:color w:val="000000"/>
              </w:rPr>
              <w:br/>
            </w: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lang w:eastAsia="sk-SK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  <w:lang w:eastAsia="sk-SK"/>
        </w:rPr>
        <w:t xml:space="preserve">F .) </w:t>
      </w:r>
      <w:r>
        <w:rPr>
          <w:b w:val="false"/>
          <w:bCs w:val="false"/>
          <w:szCs w:val="22"/>
          <w:lang w:eastAsia="sk-SK"/>
        </w:rPr>
        <w:t>x)</w:t>
      </w:r>
    </w:p>
    <w:p>
      <w:pPr>
        <w:pStyle w:val="Nzov"/>
        <w:widowControl w:val="false"/>
        <w:numPr>
          <w:ilvl w:val="0"/>
          <w:numId w:val="77"/>
        </w:numPr>
        <w:ind w:left="36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21"/>
        <w:gridCol w:w="1426"/>
        <w:gridCol w:w="985"/>
        <w:gridCol w:w="1407"/>
        <w:gridCol w:w="1408"/>
        <w:gridCol w:w="1194"/>
      </w:tblGrid>
      <w:tr>
        <w:trPr/>
        <w:tc>
          <w:tcPr>
            <w:tcW w:w="27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 </w:t>
              <w:br/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opodstatne-nosti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vyradenia majetku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1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konci účtovného obdobia</w:t>
            </w:r>
          </w:p>
        </w:tc>
      </w:tr>
      <w:tr>
        <w:trPr/>
        <w:tc>
          <w:tcPr>
            <w:tcW w:w="27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9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2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 netvorila opravné položky ku krátkodobému finančnému majetku.</w:t>
      </w:r>
    </w:p>
    <w:p>
      <w:pPr>
        <w:pStyle w:val="Nadpis4"/>
        <w:rPr/>
      </w:pPr>
      <w:r>
        <w:rPr>
          <w:rFonts w:cs="Arial Narrow"/>
          <w:i/>
          <w:sz w:val="22"/>
          <w:szCs w:val="22"/>
        </w:rPr>
        <w:t xml:space="preserve">F .) </w:t>
      </w:r>
      <w:r>
        <w:rPr>
          <w:b w:val="false"/>
          <w:bCs w:val="false"/>
          <w:sz w:val="22"/>
          <w:szCs w:val="22"/>
        </w:rPr>
        <w:t>y)</w:t>
      </w:r>
    </w:p>
    <w:p>
      <w:pPr>
        <w:pStyle w:val="Nzov"/>
        <w:numPr>
          <w:ilvl w:val="0"/>
          <w:numId w:val="7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819"/>
        <w:gridCol w:w="2322"/>
      </w:tblGrid>
      <w:tr>
        <w:trPr>
          <w:trHeight w:val="397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52" w:leader="none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26" w:leader="none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 nevzniklo záložné právo na finančnom majetku ani obmedzenie práva s ním nakladať.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z)    a.)</w:t>
      </w:r>
    </w:p>
    <w:p>
      <w:pPr>
        <w:pStyle w:val="Nzov"/>
        <w:numPr>
          <w:ilvl w:val="0"/>
          <w:numId w:val="7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358"/>
        <w:gridCol w:w="1791"/>
        <w:gridCol w:w="2240"/>
        <w:gridCol w:w="1790"/>
      </w:tblGrid>
      <w:tr>
        <w:trPr/>
        <w:tc>
          <w:tcPr>
            <w:tcW w:w="33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 majetok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Zvýšenie/ zníženie hodnoty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(+/-)</w:t>
            </w:r>
          </w:p>
        </w:tc>
        <w:tc>
          <w:tcPr>
            <w:tcW w:w="22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3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7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22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  <w:highlight w:val="yellow"/>
        </w:rPr>
      </w:pPr>
      <w:r>
        <w:rPr>
          <w:rFonts w:cs="Arial Narrow" w:ascii="Arial Narrow" w:hAnsi="Arial Narrow"/>
          <w:b/>
          <w:bCs/>
          <w:i/>
          <w:sz w:val="22"/>
          <w:szCs w:val="22"/>
          <w:highlight w:val="yellow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36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F .) </w:t>
      </w:r>
    </w:p>
    <w:p>
      <w:pPr>
        <w:pStyle w:val="Nzov"/>
        <w:numPr>
          <w:ilvl w:val="0"/>
          <w:numId w:val="8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11"/>
        <w:gridCol w:w="1271"/>
        <w:gridCol w:w="1687"/>
        <w:gridCol w:w="1061"/>
        <w:gridCol w:w="1191"/>
        <w:gridCol w:w="1552"/>
        <w:gridCol w:w="906"/>
      </w:tblGrid>
      <w:tr>
        <w:trPr>
          <w:trHeight w:val="660" w:hRule="atLeast"/>
        </w:trPr>
        <w:tc>
          <w:tcPr>
            <w:tcW w:w="15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</w:t>
              <w:br/>
              <w:t>položky</w:t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1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7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6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2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06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567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>Účtovná jednotka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neevidovala majetok daný do prenájmu</w:t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G.)   Údaje vykázané na strane pasív súvahy</w:t>
      </w:r>
    </w:p>
    <w:p>
      <w:pPr>
        <w:pStyle w:val="Standard"/>
        <w:numPr>
          <w:ilvl w:val="0"/>
          <w:numId w:val="81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cs="Arial Narrow" w:ascii="Arial Narrow" w:hAnsi="Arial Narrow"/>
          <w:bCs/>
        </w:rPr>
        <w:t>Vlastné imanie</w:t>
      </w:r>
    </w:p>
    <w:p>
      <w:pPr>
        <w:pStyle w:val="Standard"/>
        <w:tabs>
          <w:tab w:val="clear" w:pos="708"/>
          <w:tab w:val="left" w:pos="157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Stav základného imania k 31.12.202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tvoril 6639,- € </w:t>
      </w:r>
      <w:r>
        <w:br w:type="page"/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a) 3.</w:t>
      </w:r>
    </w:p>
    <w:p>
      <w:pPr>
        <w:pStyle w:val="Nzov"/>
        <w:numPr>
          <w:ilvl w:val="0"/>
          <w:numId w:val="8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76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17</w:t>
            </w:r>
          </w:p>
        </w:tc>
      </w:tr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8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-18992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tabs>
          <w:tab w:val="clear" w:pos="708"/>
          <w:tab w:val="left" w:pos="725" w:leader="none"/>
          <w:tab w:val="left" w:pos="133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jc w:val="both"/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eastAsia="Arial Narrow" w:cs="Arial Narrow" w:ascii="Arial Narrow" w:hAnsi="Arial Narrow"/>
          <w:i/>
          <w:sz w:val="22"/>
          <w:szCs w:val="22"/>
        </w:rPr>
        <w:t>b</w:t>
      </w:r>
      <w:r>
        <w:rPr>
          <w:rFonts w:eastAsia="Arial Narrow" w:cs="Arial Narrow" w:ascii="Arial Narrow" w:hAnsi="Arial Narrow"/>
          <w:sz w:val="22"/>
          <w:szCs w:val="22"/>
        </w:rPr>
        <w:t xml:space="preserve">)  </w:t>
      </w:r>
    </w:p>
    <w:p>
      <w:pPr>
        <w:pStyle w:val="Nzov"/>
        <w:numPr>
          <w:ilvl w:val="0"/>
          <w:numId w:val="8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  <w:t>0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  <w:t>0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cs="Arial Narrow" w:ascii="Arial Narrow" w:hAnsi="Arial Narrow"/>
          <w:i/>
          <w:sz w:val="22"/>
          <w:szCs w:val="22"/>
        </w:rPr>
        <w:t>c-d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707"/>
        <w:gridCol w:w="2887"/>
        <w:gridCol w:w="2586"/>
      </w:tblGrid>
      <w:tr>
        <w:trPr>
          <w:trHeight w:val="920" w:hRule="atLeast"/>
        </w:trPr>
        <w:tc>
          <w:tcPr>
            <w:tcW w:w="37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586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6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6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586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6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6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Textbody"/>
        <w:rPr/>
      </w:pPr>
      <w:r>
        <w:rPr/>
      </w:r>
    </w:p>
    <w:tbl>
      <w:tblPr>
        <w:tblW w:w="2219" w:type="dxa"/>
        <w:jc w:val="left"/>
        <w:tblInd w:w="1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219"/>
      </w:tblGrid>
      <w:tr>
        <w:trPr>
          <w:trHeight w:val="345" w:hRule="atLeast"/>
        </w:trPr>
        <w:tc>
          <w:tcPr>
            <w:tcW w:w="221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e) Spoločnosť  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neevidovala záväzky zabezpečené záložným právom, alebo inou formou zabezpečenia.</w:t>
      </w:r>
    </w:p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ind w:left="264" w:hanging="264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</w:t>
      </w:r>
      <w:r>
        <w:rPr>
          <w:b w:val="false"/>
          <w:sz w:val="22"/>
          <w:szCs w:val="22"/>
        </w:rPr>
        <w:t>f)</w:t>
      </w:r>
    </w:p>
    <w:p>
      <w:pPr>
        <w:pStyle w:val="Nzov"/>
        <w:widowControl w:val="false"/>
        <w:numPr>
          <w:ilvl w:val="0"/>
          <w:numId w:val="8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925"/>
        <w:gridCol w:w="2183"/>
        <w:gridCol w:w="2072"/>
      </w:tblGrid>
      <w:tr>
        <w:trPr>
          <w:trHeight w:val="990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720" w:hanging="0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g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2618"/>
        <w:gridCol w:w="2655"/>
      </w:tblGrid>
      <w:tr>
        <w:trPr>
          <w:trHeight w:val="825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</w:tbl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h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8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164"/>
        <w:gridCol w:w="1405"/>
        <w:gridCol w:w="1401"/>
        <w:gridCol w:w="1401"/>
        <w:gridCol w:w="1402"/>
        <w:gridCol w:w="1406"/>
      </w:tblGrid>
      <w:tr>
        <w:trPr>
          <w:trHeight w:val="345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Dlhopisy spoločnosť 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neemitovala.</w:t>
      </w:r>
    </w:p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 </w:t>
      </w:r>
      <w:r>
        <w:rPr>
          <w:rFonts w:cs="Arial Narrow" w:ascii="Arial Narrow" w:hAnsi="Arial Narrow"/>
          <w:sz w:val="22"/>
          <w:szCs w:val="22"/>
        </w:rPr>
        <w:t>i )</w:t>
      </w:r>
    </w:p>
    <w:p>
      <w:pPr>
        <w:pStyle w:val="Nzov"/>
        <w:widowControl w:val="false"/>
        <w:numPr>
          <w:ilvl w:val="0"/>
          <w:numId w:val="8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spacing w:before="0" w:after="120"/>
        <w:ind w:left="690" w:hanging="69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spacing w:before="0" w:after="120"/>
        <w:ind w:left="690" w:hanging="69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 xml:space="preserve">j </w:t>
      </w:r>
      <w:r>
        <w:rPr>
          <w:rFonts w:cs="Arial Narrow" w:ascii="Arial Narrow" w:hAnsi="Arial Narrow"/>
          <w:sz w:val="22"/>
          <w:szCs w:val="22"/>
        </w:rPr>
        <w:t xml:space="preserve">) </w:t>
      </w:r>
      <w:r>
        <w:rPr>
          <w:rFonts w:cs="Arial Narrow" w:ascii="Arial Narrow" w:hAnsi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>
      <w:pPr>
        <w:pStyle w:val="Nzov"/>
        <w:numPr>
          <w:ilvl w:val="0"/>
          <w:numId w:val="89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16"/>
        <w:gridCol w:w="1472"/>
        <w:gridCol w:w="1612"/>
        <w:gridCol w:w="2179"/>
      </w:tblGrid>
      <w:tr>
        <w:trPr>
          <w:trHeight w:val="278" w:hRule="atLeast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16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 obchodovanie, z toho:</w:t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1664"/>
        <w:gridCol w:w="978"/>
        <w:gridCol w:w="1679"/>
        <w:gridCol w:w="952"/>
      </w:tblGrid>
      <w:tr>
        <w:trPr>
          <w:trHeight w:val="622" w:hRule="atLeast"/>
        </w:trPr>
        <w:tc>
          <w:tcPr>
            <w:tcW w:w="3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/>
      </w:pPr>
      <w:r>
        <w:rPr>
          <w:rFonts w:ascii="Arial Narrow" w:hAnsi="Arial Narrow"/>
          <w:b w:val="false"/>
          <w:sz w:val="22"/>
          <w:szCs w:val="22"/>
        </w:rPr>
        <w:t>Spoločnosť 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neevidovala deriváty.</w:t>
      </w:r>
    </w:p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 xml:space="preserve">l)   </w:t>
      </w:r>
    </w:p>
    <w:p>
      <w:pPr>
        <w:pStyle w:val="Nzov"/>
        <w:widowControl w:val="false"/>
        <w:numPr>
          <w:ilvl w:val="0"/>
          <w:numId w:val="9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238"/>
        <w:gridCol w:w="1960"/>
        <w:gridCol w:w="1982"/>
      </w:tblGrid>
      <w:tr>
        <w:trPr>
          <w:trHeight w:val="352" w:hRule="atLeast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3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ind w:left="709" w:hanging="709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Majetok a záväzky zabezpečené derivátmi účtovná jednotka 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neevidovala.</w:t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</w:r>
    </w:p>
    <w:p>
      <w:pPr>
        <w:pStyle w:val="Textbody"/>
        <w:ind w:left="709" w:hanging="709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>m)</w:t>
      </w:r>
    </w:p>
    <w:p>
      <w:pPr>
        <w:pStyle w:val="Nzov"/>
        <w:widowControl w:val="false"/>
        <w:numPr>
          <w:ilvl w:val="0"/>
          <w:numId w:val="9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78"/>
        <w:gridCol w:w="1205"/>
        <w:gridCol w:w="1452"/>
        <w:gridCol w:w="1098"/>
        <w:gridCol w:w="1224"/>
        <w:gridCol w:w="1503"/>
        <w:gridCol w:w="1119"/>
      </w:tblGrid>
      <w:tr>
        <w:trPr>
          <w:trHeight w:val="571" w:hRule="atLeast"/>
        </w:trPr>
        <w:tc>
          <w:tcPr>
            <w:tcW w:w="157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03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9" w:type="dxa"/>
            <w:tcBorders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Normal"/>
        <w:rPr>
          <w:vanish/>
        </w:rPr>
      </w:pPr>
      <w:r>
        <w:rPr>
          <w:vanish/>
        </w:rPr>
      </w:r>
    </w:p>
    <w:p>
      <w:pPr>
        <w:pStyle w:val="Standard"/>
        <w:spacing w:before="0" w:after="120"/>
        <w:ind w:left="360" w:hanging="36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b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9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501"/>
        <w:gridCol w:w="1127"/>
        <w:gridCol w:w="1243"/>
        <w:gridCol w:w="1399"/>
        <w:gridCol w:w="1121"/>
        <w:gridCol w:w="1894"/>
      </w:tblGrid>
      <w:tr>
        <w:trPr>
          <w:trHeight w:val="990" w:hRule="atLeast"/>
        </w:trPr>
        <w:tc>
          <w:tcPr>
            <w:tcW w:w="250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50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0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Nedokončená výroba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705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Rok 2014</w:t>
      </w:r>
    </w:p>
    <w:tbl>
      <w:tblPr>
        <w:tblW w:w="9538" w:type="dxa"/>
        <w:jc w:val="left"/>
        <w:tblInd w:w="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55"/>
        <w:gridCol w:w="1202"/>
        <w:gridCol w:w="1254"/>
        <w:gridCol w:w="1302"/>
        <w:gridCol w:w="1268"/>
        <w:gridCol w:w="1956"/>
      </w:tblGrid>
      <w:tr>
        <w:trPr>
          <w:trHeight w:val="729" w:hRule="atLeast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>
        <w:trPr>
          <w:trHeight w:val="796" w:hRule="atLeast"/>
        </w:trPr>
        <w:tc>
          <w:tcPr>
            <w:tcW w:w="255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349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360" w:hanging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215" w:after="221"/>
        <w:ind w:left="990" w:hanging="975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c – e)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>
      <w:pPr>
        <w:pStyle w:val="Standard"/>
        <w:keepNext w:val="true"/>
        <w:spacing w:before="0" w:after="2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2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f) O výnosoch, ktoré majú výnimočný rozsah alebo výskyt v roku 202</w:t>
      </w:r>
      <w:r>
        <w:rPr>
          <w:rFonts w:cs="Arial Narrow" w:ascii="Arial Narrow" w:hAnsi="Arial Narrow"/>
          <w:bCs/>
          <w:sz w:val="22"/>
          <w:szCs w:val="22"/>
        </w:rPr>
        <w:t>3</w:t>
      </w:r>
      <w:r>
        <w:rPr>
          <w:rFonts w:cs="Arial Narrow" w:ascii="Arial Narrow" w:hAnsi="Arial Narrow"/>
          <w:bCs/>
          <w:sz w:val="22"/>
          <w:szCs w:val="22"/>
        </w:rPr>
        <w:t xml:space="preserve"> účtovná jednotka neúčtovala.</w:t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g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numPr>
          <w:ilvl w:val="0"/>
          <w:numId w:val="9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817"/>
        <w:gridCol w:w="1681"/>
        <w:gridCol w:w="1682"/>
      </w:tblGrid>
      <w:tr>
        <w:trPr>
          <w:trHeight w:val="1005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>
      <w:pPr>
        <w:pStyle w:val="Textbody"/>
        <w:rPr/>
      </w:pPr>
      <w:r>
        <w:rPr/>
      </w:r>
    </w:p>
    <w:p>
      <w:pPr>
        <w:pStyle w:val="Standard"/>
        <w:keepNext w:val="true"/>
        <w:rPr/>
      </w:pPr>
      <w:r>
        <w:rPr>
          <w:rFonts w:cs="Arial Narrow" w:ascii="Arial Narrow" w:hAnsi="Arial Narrow"/>
          <w:bCs/>
          <w:sz w:val="22"/>
          <w:szCs w:val="22"/>
        </w:rPr>
        <w:t>I)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k časti I. prílohy č. 3 o nákladoch</w:t>
      </w:r>
    </w:p>
    <w:p>
      <w:pPr>
        <w:pStyle w:val="Standard"/>
        <w:keepNext w:val="true"/>
        <w:ind w:left="284" w:hanging="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Špecifikácia významných položiek nákladov na poskytnuté služby</w:t>
      </w:r>
    </w:p>
    <w:p>
      <w:pPr>
        <w:pStyle w:val="Standard"/>
        <w:keepNext w:val="true"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Špecifikácia významných položiek ostatných nákladov z hosp. činností</w:t>
      </w:r>
    </w:p>
    <w:p>
      <w:pPr>
        <w:pStyle w:val="Textbody"/>
        <w:ind w:firstLine="284"/>
        <w:rPr/>
      </w:pPr>
      <w:r>
        <w:rPr>
          <w:b w:val="false"/>
          <w:sz w:val="22"/>
          <w:szCs w:val="22"/>
        </w:rPr>
        <w:t xml:space="preserve">c) </w:t>
      </w:r>
      <w:r>
        <w:rPr>
          <w:rFonts w:ascii="Arial Narrow" w:hAnsi="Arial Narrow"/>
          <w:b w:val="false"/>
          <w:sz w:val="22"/>
          <w:szCs w:val="22"/>
        </w:rPr>
        <w:t>Špecifikácia významných položiek finančných nákladov</w:t>
      </w:r>
    </w:p>
    <w:tbl>
      <w:tblPr>
        <w:tblW w:w="9571" w:type="dxa"/>
        <w:jc w:val="left"/>
        <w:tblInd w:w="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87"/>
        <w:gridCol w:w="2180"/>
        <w:gridCol w:w="2104"/>
      </w:tblGrid>
      <w:tr>
        <w:trPr>
          <w:trHeight w:val="85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Náklady za 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7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1046" w:right="7" w:hanging="1055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492" w:right="12" w:hanging="510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Spotreba materiálu, energie a nesklad. dodávok</w:t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57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numPr>
          <w:ilvl w:val="0"/>
          <w:numId w:val="2"/>
        </w:numPr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 xml:space="preserve">J.)  </w:t>
      </w:r>
      <w:r>
        <w:rPr>
          <w:b w:val="false"/>
          <w:sz w:val="22"/>
          <w:szCs w:val="22"/>
        </w:rPr>
        <w:t>a-e)</w:t>
      </w:r>
    </w:p>
    <w:p>
      <w:pPr>
        <w:pStyle w:val="Nzov"/>
        <w:numPr>
          <w:ilvl w:val="0"/>
          <w:numId w:val="94"/>
        </w:numPr>
        <w:shd w:val="clear" w:color="auto" w:fill="FFFFFF"/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709"/>
        <w:gridCol w:w="1612"/>
        <w:gridCol w:w="34"/>
        <w:gridCol w:w="1825"/>
      </w:tblGrid>
      <w:tr>
        <w:trPr>
          <w:trHeight w:val="840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4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6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>J.)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odloženú daňovú pohľadávku týkajúcu sa umorenia daňovej straty, nevyužitých daňových odpočtov, iných nárokov ako aj dočasných rozdielov z predchádzajúcich účtovných období neevidovala .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Účtovná jednotka 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>
      <w:pPr>
        <w:pStyle w:val="Textbody"/>
        <w:numPr>
          <w:ilvl w:val="0"/>
          <w:numId w:val="95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 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>
      <w:pPr>
        <w:pStyle w:val="Textbody"/>
        <w:numPr>
          <w:ilvl w:val="0"/>
          <w:numId w:val="96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false"/>
          <w:bCs w:val="false"/>
          <w:i/>
          <w:sz w:val="22"/>
          <w:szCs w:val="22"/>
        </w:rPr>
        <w:t>f ) a  g )</w:t>
      </w:r>
    </w:p>
    <w:p>
      <w:pPr>
        <w:pStyle w:val="Nzov"/>
        <w:widowControl w:val="false"/>
        <w:numPr>
          <w:ilvl w:val="0"/>
          <w:numId w:val="9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683"/>
        <w:gridCol w:w="786"/>
        <w:gridCol w:w="657"/>
        <w:gridCol w:w="1922"/>
        <w:gridCol w:w="706"/>
        <w:gridCol w:w="660"/>
      </w:tblGrid>
      <w:tr>
        <w:trPr>
          <w:trHeight w:val="642" w:hRule="atLeast"/>
        </w:trPr>
        <w:tc>
          <w:tcPr>
            <w:tcW w:w="276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12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6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9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Výsledok hospodárenia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  <w:tab/>
      </w:r>
    </w:p>
    <w:p>
      <w:pPr>
        <w:pStyle w:val="Standard"/>
        <w:ind w:left="284" w:hanging="284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720" w:hanging="7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J.) </w:t>
      </w:r>
      <w:r>
        <w:rPr>
          <w:rFonts w:cs="Arial Narrow" w:ascii="Arial Narrow" w:hAnsi="Arial Narrow"/>
          <w:sz w:val="22"/>
          <w:szCs w:val="22"/>
        </w:rPr>
        <w:t>g)</w:t>
        <w:tab/>
        <w:t>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nastali zmeny sadzby dane 15%.</w:t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sz w:val="22"/>
          <w:szCs w:val="22"/>
        </w:rPr>
        <w:t>a – c)   Účtovná jednotka 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neevidovala  vo svojej činnosti spriaznené osoby.</w:t>
      </w:r>
    </w:p>
    <w:p>
      <w:pPr>
        <w:pStyle w:val="Standard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zostavenia účtovnej závierky.</w:t>
      </w:r>
    </w:p>
    <w:p>
      <w:pPr>
        <w:pStyle w:val="Standard"/>
        <w:ind w:left="709" w:hanging="709"/>
        <w:jc w:val="both"/>
        <w:rPr/>
      </w:pPr>
      <w:r>
        <w:rPr>
          <w:rFonts w:cs="Arial Narrow" w:ascii="Arial Narrow" w:hAnsi="Arial Narrow"/>
          <w:sz w:val="22"/>
          <w:szCs w:val="22"/>
        </w:rPr>
        <w:t>a– j) Od 01.01.202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nenastali žiadne udalosti, ktoré by mali významný dopad na  ekonomickú alebo finančnú situáciu spoločnosti.</w:t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R.) Informácie o prehľade peňažných tokov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a)</w:t>
        <w:tab/>
        <w:t>1 – 2 Účtovná jednotka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 evidovala len pohyb peňažných prostriedkov bezpeňažných  ekvivalentov.</w:t>
      </w:r>
    </w:p>
    <w:p>
      <w:pPr>
        <w:pStyle w:val="Standard"/>
        <w:ind w:left="426" w:hanging="426"/>
        <w:jc w:val="both"/>
        <w:rPr/>
      </w:pPr>
      <w:r>
        <w:rPr/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</w:t>
        <w:tab/>
        <w:t>Prehľad  o peňažných tokoch bol spracovaný v členení: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peňažné toky z prevádzkových činností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2. peňažné toky z investičnej činnosti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3. peňažné toky z finančnej činnosti</w:t>
      </w:r>
    </w:p>
    <w:p>
      <w:pPr>
        <w:pStyle w:val="Standard"/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  Stav, pohyb a štruktúra peňažných prostriedkov je totožná s položkami vykázanými      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v súvahe.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Vysvetlivky k poznámkam:</w:t>
      </w:r>
    </w:p>
    <w:p>
      <w:pPr>
        <w:pStyle w:val="ListParagraph"/>
        <w:numPr>
          <w:ilvl w:val="0"/>
          <w:numId w:val="98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99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00"/>
        </w:numPr>
        <w:tabs>
          <w:tab w:val="clear" w:pos="708"/>
          <w:tab w:val="left" w:pos="588" w:leader="none"/>
        </w:tabs>
        <w:ind w:left="294" w:hanging="308"/>
        <w:jc w:val="both"/>
        <w:rPr/>
      </w:pPr>
      <w:r>
        <w:rPr>
          <w:szCs w:val="22"/>
        </w:rPr>
        <w:t xml:space="preserve">Kód SK NACE sa vypĺňa podľa vyhlášky Štatistického úradu Slovenskej republiky </w:t>
      </w:r>
      <w:r>
        <w:rPr/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ListParagraph"/>
        <w:numPr>
          <w:ilvl w:val="0"/>
          <w:numId w:val="101"/>
        </w:numPr>
        <w:tabs>
          <w:tab w:val="clear" w:pos="708"/>
          <w:tab w:val="left" w:pos="588" w:leader="none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andard"/>
        <w:rPr>
          <w:szCs w:val="22"/>
        </w:rPr>
      </w:pPr>
      <w:r>
        <w:rPr>
          <w:szCs w:val="22"/>
        </w:rPr>
        <w:t>CP  - cenný papier</w:t>
      </w:r>
    </w:p>
    <w:p>
      <w:pPr>
        <w:pStyle w:val="Standard"/>
        <w:rPr>
          <w:szCs w:val="22"/>
        </w:rPr>
      </w:pPr>
      <w:r>
        <w:rPr>
          <w:szCs w:val="22"/>
        </w:rPr>
        <w:t>č. - číslo</w:t>
      </w:r>
    </w:p>
    <w:p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>
      <w:pPr>
        <w:pStyle w:val="Standard"/>
        <w:rPr>
          <w:szCs w:val="22"/>
        </w:rPr>
      </w:pPr>
      <w:r>
        <w:rPr>
          <w:szCs w:val="22"/>
        </w:rPr>
        <w:t>p. a. – per annum</w:t>
      </w:r>
    </w:p>
    <w:p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>
      <w:pPr>
        <w:pStyle w:val="Standard"/>
        <w:rPr>
          <w:szCs w:val="22"/>
        </w:rPr>
      </w:pPr>
      <w:r>
        <w:rPr>
          <w:szCs w:val="22"/>
        </w:rPr>
        <w:t>ZI – základné imanie</w:t>
      </w:r>
      <w:r>
        <w:br w:type="page"/>
      </w:r>
    </w:p>
    <w:p>
      <w:pPr>
        <w:pStyle w:val="Standard"/>
        <w:rPr>
          <w:szCs w:val="22"/>
        </w:rPr>
      </w:pPr>
      <w:r>
        <w:rPr/>
      </w:r>
    </w:p>
    <w:sectPr>
      <w:headerReference w:type="default" r:id="rId2"/>
      <w:headerReference w:type="first" r:id="rId3"/>
      <w:footerReference w:type="first" r:id="rId4"/>
      <w:type w:val="nextPage"/>
      <w:pgSz w:w="11906" w:h="16838"/>
      <w:pgMar w:left="1134" w:right="1134" w:header="630" w:top="1215" w:footer="1135" w:bottom="1583" w:gutter="0"/>
      <w:pgNumType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swiss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 Narrow">
    <w:charset w:val="ee"/>
    <w:family w:val="roman"/>
    <w:pitch w:val="variable"/>
  </w:font>
  <w:font w:name="Symbol">
    <w:charset w:val="ee"/>
    <w:family w:val="roman"/>
    <w:pitch w:val="variable"/>
  </w:font>
  <w:font w:name="Arial">
    <w:charset w:val="ee"/>
    <w:family w:val="roman"/>
    <w:pitch w:val="variable"/>
  </w:font>
  <w:font w:name="Arial CE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144"/>
      <w:gridCol w:w="399"/>
      <w:gridCol w:w="269"/>
      <w:gridCol w:w="271"/>
      <w:gridCol w:w="271"/>
      <w:gridCol w:w="271"/>
      <w:gridCol w:w="275"/>
      <w:gridCol w:w="271"/>
      <w:gridCol w:w="271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3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9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14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39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75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</w:tr>
  </w:tbl>
  <w:p>
    <w:pPr>
      <w:pStyle w:val="Zhlavi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144"/>
      <w:gridCol w:w="399"/>
      <w:gridCol w:w="269"/>
      <w:gridCol w:w="271"/>
      <w:gridCol w:w="271"/>
      <w:gridCol w:w="271"/>
      <w:gridCol w:w="275"/>
      <w:gridCol w:w="271"/>
      <w:gridCol w:w="271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3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9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14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39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75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</w:tr>
  </w:tbl>
  <w:p>
    <w:pPr>
      <w:pStyle w:val="Standard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  <w:sz w:val="22"/>
        <w:b w:val="false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2">
    <w:lvl w:ilvl="0">
      <w:start w:val="10"/>
      <w:numFmt w:val="upperLetter"/>
      <w:lvlText w:val="%1.)"/>
      <w:lvlJc w:val="left"/>
      <w:pPr>
        <w:tabs>
          <w:tab w:val="num" w:pos="0"/>
        </w:tabs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9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0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1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2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b w:val="false"/>
        <w:kern w:val="2"/>
        <w:szCs w:val="22"/>
        <w:bCs w:val="false"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6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7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  <w:num w:numId="39">
    <w:abstractNumId w:val="39"/>
  </w:num>
  <w:num w:numId="40">
    <w:abstractNumId w:val="40"/>
  </w:num>
  <w:num w:numId="41">
    <w:abstractNumId w:val="41"/>
  </w:num>
  <w:num w:numId="42">
    <w:abstractNumId w:val="42"/>
  </w:num>
  <w:num w:numId="43">
    <w:abstractNumId w:val="43"/>
  </w:num>
  <w:num w:numId="44">
    <w:abstractNumId w:val="44"/>
  </w:num>
  <w:num w:numId="45">
    <w:abstractNumId w:val="45"/>
  </w:num>
  <w:num w:numId="46">
    <w:abstractNumId w:val="46"/>
  </w:num>
  <w:num w:numId="47">
    <w:abstractNumId w:val="47"/>
  </w:num>
  <w:num w:numId="48">
    <w:abstractNumId w:val="48"/>
  </w:num>
  <w:num w:numId="49">
    <w:abstractNumId w:val="49"/>
  </w:num>
  <w:num w:numId="50">
    <w:abstractNumId w:val="50"/>
  </w:num>
  <w:num w:numId="51">
    <w:abstractNumId w:val="51"/>
  </w:num>
  <w:num w:numId="52">
    <w:abstractNumId w:val="52"/>
  </w:num>
  <w:num w:numId="53">
    <w:abstractNumId w:val="53"/>
  </w:num>
  <w:num w:numId="54">
    <w:abstractNumId w:val="5"/>
    <w:lvlOverride w:ilvl="0">
      <w:startOverride w:val="1"/>
    </w:lvlOverride>
  </w:num>
  <w:num w:numId="55">
    <w:abstractNumId w:val="6"/>
    <w:lvlOverride w:ilvl="0">
      <w:startOverride w:val="1"/>
    </w:lvlOverride>
  </w:num>
  <w:num w:numId="56">
    <w:abstractNumId w:val="6"/>
  </w:num>
  <w:num w:numId="57">
    <w:abstractNumId w:val="6"/>
  </w:num>
  <w:num w:numId="58">
    <w:abstractNumId w:val="9"/>
    <w:lvlOverride w:ilvl="0">
      <w:startOverride w:val="1"/>
    </w:lvlOverride>
  </w:num>
  <w:num w:numId="59">
    <w:abstractNumId w:val="9"/>
  </w:num>
  <w:num w:numId="60">
    <w:abstractNumId w:val="9"/>
  </w:num>
  <w:num w:numId="61">
    <w:abstractNumId w:val="5"/>
  </w:num>
  <w:num w:numId="62">
    <w:abstractNumId w:val="5"/>
  </w:num>
  <w:num w:numId="63">
    <w:abstractNumId w:val="5"/>
  </w:num>
  <w:num w:numId="64">
    <w:abstractNumId w:val="5"/>
  </w:num>
  <w:num w:numId="65">
    <w:abstractNumId w:val="5"/>
  </w:num>
  <w:num w:numId="66">
    <w:abstractNumId w:val="5"/>
  </w:num>
  <w:num w:numId="67">
    <w:abstractNumId w:val="5"/>
  </w:num>
  <w:num w:numId="68">
    <w:abstractNumId w:val="5"/>
  </w:num>
  <w:num w:numId="69">
    <w:abstractNumId w:val="5"/>
  </w:num>
  <w:num w:numId="70">
    <w:abstractNumId w:val="5"/>
  </w:num>
  <w:num w:numId="71">
    <w:abstractNumId w:val="5"/>
  </w:num>
  <w:num w:numId="72">
    <w:abstractNumId w:val="5"/>
  </w:num>
  <w:num w:numId="73">
    <w:abstractNumId w:val="5"/>
  </w:num>
  <w:num w:numId="74">
    <w:abstractNumId w:val="5"/>
  </w:num>
  <w:num w:numId="75">
    <w:abstractNumId w:val="5"/>
  </w:num>
  <w:num w:numId="76">
    <w:abstractNumId w:val="5"/>
  </w:num>
  <w:num w:numId="77">
    <w:abstractNumId w:val="5"/>
  </w:num>
  <w:num w:numId="78">
    <w:abstractNumId w:val="5"/>
  </w:num>
  <w:num w:numId="79">
    <w:abstractNumId w:val="5"/>
  </w:num>
  <w:num w:numId="80">
    <w:abstractNumId w:val="5"/>
  </w:num>
  <w:num w:numId="81">
    <w:abstractNumId w:val="32"/>
    <w:lvlOverride w:ilvl="0">
      <w:startOverride w:val="1"/>
    </w:lvlOverride>
  </w:num>
  <w:num w:numId="82">
    <w:abstractNumId w:val="5"/>
  </w:num>
  <w:num w:numId="83">
    <w:abstractNumId w:val="5"/>
  </w:num>
  <w:num w:numId="84">
    <w:abstractNumId w:val="5"/>
  </w:num>
  <w:num w:numId="85">
    <w:abstractNumId w:val="5"/>
  </w:num>
  <w:num w:numId="86">
    <w:abstractNumId w:val="5"/>
  </w:num>
  <w:num w:numId="87">
    <w:abstractNumId w:val="5"/>
  </w:num>
  <w:num w:numId="88">
    <w:abstractNumId w:val="5"/>
  </w:num>
  <w:num w:numId="89">
    <w:abstractNumId w:val="5"/>
  </w:num>
  <w:num w:numId="90">
    <w:abstractNumId w:val="5"/>
  </w:num>
  <w:num w:numId="91">
    <w:abstractNumId w:val="5"/>
  </w:num>
  <w:num w:numId="92">
    <w:abstractNumId w:val="5"/>
  </w:num>
  <w:num w:numId="93">
    <w:abstractNumId w:val="5"/>
  </w:num>
  <w:num w:numId="94">
    <w:abstractNumId w:val="5"/>
  </w:num>
  <w:num w:numId="95">
    <w:abstractNumId w:val="46"/>
    <w:lvlOverride w:ilvl="0">
      <w:startOverride w:val="4"/>
    </w:lvlOverride>
  </w:num>
  <w:num w:numId="96">
    <w:abstractNumId w:val="46"/>
  </w:num>
  <w:num w:numId="97">
    <w:abstractNumId w:val="5"/>
  </w:num>
  <w:num w:numId="98">
    <w:abstractNumId w:val="49"/>
    <w:lvlOverride w:ilvl="0">
      <w:startOverride w:val="1"/>
    </w:lvlOverride>
  </w:num>
  <w:num w:numId="99">
    <w:abstractNumId w:val="49"/>
  </w:num>
  <w:num w:numId="100">
    <w:abstractNumId w:val="49"/>
  </w:num>
  <w:num w:numId="101">
    <w:abstractNumId w:val="49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Mang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Nadpis1">
    <w:name w:val="Heading 1"/>
    <w:basedOn w:val="Nadpis"/>
    <w:next w:val="Textbody"/>
    <w:qFormat/>
    <w:rsid w:val="00b73102"/>
    <w:pPr>
      <w:widowControl/>
      <w:spacing w:before="240" w:after="60"/>
      <w:textAlignment w:val="auto"/>
      <w:outlineLvl w:val="0"/>
    </w:pPr>
    <w:rPr>
      <w:rFonts w:ascii="Cambria" w:hAnsi="Cambria" w:eastAsia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Nadpis"/>
    <w:next w:val="Textbody"/>
    <w:qFormat/>
    <w:rsid w:val="00b73102"/>
    <w:pPr>
      <w:widowControl/>
      <w:spacing w:before="240" w:after="60"/>
      <w:textAlignment w:val="auto"/>
      <w:outlineLvl w:val="1"/>
    </w:pPr>
    <w:rPr>
      <w:rFonts w:ascii="Cambria" w:hAnsi="Cambria" w:eastAsia="Cambria" w:cs="Times New Roman"/>
      <w:b/>
      <w:bCs/>
      <w:i/>
      <w:iCs/>
      <w:lang w:eastAsia="en-US" w:bidi="ar-SA"/>
    </w:rPr>
  </w:style>
  <w:style w:type="paragraph" w:styleId="Nadpis3">
    <w:name w:val="Heading 3"/>
    <w:basedOn w:val="Nadpis"/>
    <w:next w:val="Textbody"/>
    <w:qFormat/>
    <w:rsid w:val="00b73102"/>
    <w:pPr>
      <w:widowControl/>
      <w:spacing w:before="240" w:after="60"/>
      <w:textAlignment w:val="auto"/>
      <w:outlineLvl w:val="2"/>
    </w:pPr>
    <w:rPr>
      <w:rFonts w:ascii="Cambria" w:hAnsi="Cambria" w:eastAsia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Nadpis"/>
    <w:next w:val="Textbody"/>
    <w:qFormat/>
    <w:rsid w:val="00b73102"/>
    <w:pPr>
      <w:widowControl/>
      <w:spacing w:before="240" w:after="60"/>
      <w:textAlignment w:val="auto"/>
      <w:outlineLvl w:val="3"/>
    </w:pPr>
    <w:rPr>
      <w:rFonts w:ascii="Arial Narrow" w:hAnsi="Arial Narrow" w:eastAsia="Arial Narrow" w:cs="Times New Roman"/>
      <w:b/>
      <w:bCs/>
      <w:lang w:eastAsia="en-US" w:bidi="ar-SA"/>
    </w:rPr>
  </w:style>
  <w:style w:type="paragraph" w:styleId="Nadpis5">
    <w:name w:val="Heading 5"/>
    <w:basedOn w:val="Nadpis"/>
    <w:next w:val="Textbody"/>
    <w:qFormat/>
    <w:rsid w:val="00b73102"/>
    <w:pPr>
      <w:widowControl/>
      <w:spacing w:before="240" w:after="60"/>
      <w:textAlignment w:val="auto"/>
      <w:outlineLvl w:val="4"/>
    </w:pPr>
    <w:rPr>
      <w:rFonts w:ascii="Arial Narrow" w:hAnsi="Arial Narrow" w:eastAsia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Nadpis"/>
    <w:next w:val="Textbody"/>
    <w:qFormat/>
    <w:rsid w:val="00b73102"/>
    <w:pPr>
      <w:widowControl/>
      <w:spacing w:before="240" w:after="60"/>
      <w:textAlignment w:val="auto"/>
      <w:outlineLvl w:val="5"/>
    </w:pPr>
    <w:rPr>
      <w:rFonts w:ascii="Arial Narrow" w:hAnsi="Arial Narrow" w:eastAsia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Nadpis"/>
    <w:next w:val="Textbody"/>
    <w:qFormat/>
    <w:rsid w:val="00b73102"/>
    <w:pPr>
      <w:widowControl/>
      <w:spacing w:before="240" w:after="60"/>
      <w:textAlignment w:val="auto"/>
      <w:outlineLvl w:val="6"/>
    </w:pPr>
    <w:rPr>
      <w:rFonts w:ascii="Arial Narrow" w:hAnsi="Arial Narrow" w:eastAsia="Arial Narrow" w:cs="Times New Roman"/>
      <w:sz w:val="22"/>
      <w:szCs w:val="24"/>
      <w:lang w:eastAsia="en-US" w:bidi="ar-SA"/>
    </w:rPr>
  </w:style>
  <w:style w:type="paragraph" w:styleId="Nadpis8">
    <w:name w:val="Heading 8"/>
    <w:basedOn w:val="Nadpis"/>
    <w:next w:val="Textbody"/>
    <w:qFormat/>
    <w:rsid w:val="00b73102"/>
    <w:pPr>
      <w:widowControl/>
      <w:spacing w:before="240" w:after="60"/>
      <w:textAlignment w:val="auto"/>
      <w:outlineLvl w:val="7"/>
    </w:pPr>
    <w:rPr>
      <w:rFonts w:ascii="Arial Narrow" w:hAnsi="Arial Narrow" w:eastAsia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Nadpis"/>
    <w:next w:val="Textbody"/>
    <w:qFormat/>
    <w:rsid w:val="00b73102"/>
    <w:pPr>
      <w:widowControl/>
      <w:spacing w:before="240" w:after="60"/>
      <w:textAlignment w:val="auto"/>
      <w:outlineLvl w:val="8"/>
    </w:pPr>
    <w:rPr>
      <w:rFonts w:ascii="Cambria" w:hAnsi="Cambria" w:eastAsia="Cambria" w:cs="Times New Roman"/>
      <w:sz w:val="22"/>
      <w:szCs w:val="22"/>
      <w:lang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qFormat/>
    <w:rsid w:val="00b73102"/>
    <w:rPr>
      <w:rFonts w:ascii="Cambria" w:hAnsi="Cambria" w:eastAsia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qFormat/>
    <w:rsid w:val="00b73102"/>
    <w:rPr>
      <w:rFonts w:ascii="Cambria" w:hAnsi="Cambria" w:eastAsia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qFormat/>
    <w:rsid w:val="00b73102"/>
    <w:rPr>
      <w:rFonts w:ascii="Cambria" w:hAnsi="Cambria" w:eastAsia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qFormat/>
    <w:rsid w:val="00b73102"/>
    <w:rPr>
      <w:rFonts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qFormat/>
    <w:rsid w:val="00b73102"/>
    <w:rPr>
      <w:rFonts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qFormat/>
    <w:rsid w:val="00b73102"/>
    <w:rPr>
      <w:rFonts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qFormat/>
    <w:rsid w:val="00b73102"/>
    <w:rPr>
      <w:rFonts w:cs="Times New Roman"/>
      <w:sz w:val="24"/>
      <w:szCs w:val="24"/>
    </w:rPr>
  </w:style>
  <w:style w:type="character" w:styleId="Nadpis8Char" w:customStyle="1">
    <w:name w:val="Nadpis 8 Char"/>
    <w:basedOn w:val="DefaultParagraphFont"/>
    <w:qFormat/>
    <w:rsid w:val="00b73102"/>
    <w:rPr>
      <w:rFonts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qFormat/>
    <w:rsid w:val="00b73102"/>
    <w:rPr>
      <w:rFonts w:ascii="Cambria" w:hAnsi="Cambria" w:eastAsia="Cambria" w:cs="Times New Roman"/>
      <w:sz w:val="22"/>
      <w:szCs w:val="22"/>
    </w:rPr>
  </w:style>
  <w:style w:type="character" w:styleId="HlavikaChar" w:customStyle="1">
    <w:name w:val="Hlavička Char"/>
    <w:basedOn w:val="DefaultParagraphFont"/>
    <w:uiPriority w:val="99"/>
    <w:qFormat/>
    <w:rsid w:val="00b73102"/>
    <w:rPr>
      <w:rFonts w:cs="Times New Roman"/>
    </w:rPr>
  </w:style>
  <w:style w:type="character" w:styleId="PtaChar" w:customStyle="1">
    <w:name w:val="Päta Char"/>
    <w:basedOn w:val="DefaultParagraphFont"/>
    <w:qFormat/>
    <w:rsid w:val="00b73102"/>
    <w:rPr>
      <w:rFonts w:cs="Times New Roman"/>
    </w:rPr>
  </w:style>
  <w:style w:type="character" w:styleId="TextpoznmkypodiarouChar" w:customStyle="1">
    <w:name w:val="Text poznámky pod čiarou Char"/>
    <w:basedOn w:val="DefaultParagraphFont"/>
    <w:qFormat/>
    <w:rsid w:val="00b73102"/>
    <w:rPr>
      <w:rFonts w:ascii="Times New Roman" w:hAnsi="Times New Roman" w:eastAsia="Times New Roman" w:cs="Times New Roman"/>
      <w:sz w:val="20"/>
      <w:szCs w:val="20"/>
      <w:lang w:val="sk-SK" w:eastAsia="cs-CZ"/>
    </w:rPr>
  </w:style>
  <w:style w:type="character" w:styleId="TextpoznmkypodiarouChar1" w:customStyle="1">
    <w:name w:val="Text poznámky pod čiarou Char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qFormat/>
    <w:rsid w:val="00b73102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qFormat/>
    <w:rsid w:val="00b73102"/>
    <w:rPr>
      <w:rFonts w:cs="Times New Roman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qFormat/>
    <w:rsid w:val="00b73102"/>
    <w:rPr>
      <w:rFonts w:ascii="Times New Roman" w:hAnsi="Times New Roman" w:eastAsia="Times New Roman" w:cs="Times New Roman"/>
      <w:b/>
      <w:bCs/>
      <w:sz w:val="24"/>
      <w:szCs w:val="24"/>
      <w:lang w:val="sk-SK" w:eastAsia="cs-CZ"/>
    </w:rPr>
  </w:style>
  <w:style w:type="character" w:styleId="ZkladntextChar1" w:customStyle="1">
    <w:name w:val="Základný text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qFormat/>
    <w:rsid w:val="00b73102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qFormat/>
    <w:rsid w:val="00b73102"/>
    <w:rPr>
      <w:rFonts w:ascii="Cambria" w:hAnsi="Cambria" w:eastAsia="Cambria" w:cs="Times New Roman"/>
      <w:sz w:val="24"/>
      <w:szCs w:val="24"/>
    </w:rPr>
  </w:style>
  <w:style w:type="character" w:styleId="PodtitulChar1" w:customStyle="1">
    <w:name w:val="Podtitul Char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5" w:customStyle="1">
    <w:name w:val="Podtitul Char13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4" w:customStyle="1">
    <w:name w:val="Podtitul Char13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3" w:customStyle="1">
    <w:name w:val="Podtitul Char13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2" w:customStyle="1">
    <w:name w:val="Podtitul Char13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1" w:customStyle="1">
    <w:name w:val="Podtitul Char13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0" w:customStyle="1">
    <w:name w:val="Podtitul Char13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9" w:customStyle="1">
    <w:name w:val="Podtitul Char12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8" w:customStyle="1">
    <w:name w:val="Podtitul Char12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7" w:customStyle="1">
    <w:name w:val="Podtitul Char12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6" w:customStyle="1">
    <w:name w:val="Podtitul Char12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5" w:customStyle="1">
    <w:name w:val="Podtitul Char12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4" w:customStyle="1">
    <w:name w:val="Podtitul Char12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3" w:customStyle="1">
    <w:name w:val="Podtitul Char12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2" w:customStyle="1">
    <w:name w:val="Podtitul Char12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1" w:customStyle="1">
    <w:name w:val="Podtitul Char12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0" w:customStyle="1">
    <w:name w:val="Podtitul Char12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9" w:customStyle="1">
    <w:name w:val="Podtitul Char1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8" w:customStyle="1">
    <w:name w:val="Podtitul Char1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7" w:customStyle="1">
    <w:name w:val="Podtitul Char1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6" w:customStyle="1">
    <w:name w:val="Podtitul Char1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5" w:customStyle="1">
    <w:name w:val="Podtitul Char1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4" w:customStyle="1">
    <w:name w:val="Podtitul Char1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3" w:customStyle="1">
    <w:name w:val="Podtitul Char1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2" w:customStyle="1">
    <w:name w:val="Podtitul Char1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1" w:customStyle="1">
    <w:name w:val="Podtitul Char1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0" w:customStyle="1">
    <w:name w:val="Podtitul Char11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9" w:customStyle="1">
    <w:name w:val="Podtitul Char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8" w:customStyle="1">
    <w:name w:val="Podtitul Char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7" w:customStyle="1">
    <w:name w:val="Podtitul Char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6" w:customStyle="1">
    <w:name w:val="Podtitul Char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5" w:customStyle="1">
    <w:name w:val="Podtitul Char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4" w:customStyle="1">
    <w:name w:val="Podtitul Char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" w:customStyle="1">
    <w:name w:val="Podtitul Char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" w:customStyle="1">
    <w:name w:val="Podtitul Char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" w:customStyle="1">
    <w:name w:val="Podtitul Char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Zkladntext2Char" w:customStyle="1">
    <w:name w:val="Základný text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kladntext2Char1" w:customStyle="1">
    <w:name w:val="Základný text 2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2Char1" w:customStyle="1">
    <w:name w:val="Zarážka základného textu 2 Char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3Char1" w:customStyle="1">
    <w:name w:val="Zarážka základného textu 3 Char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qFormat/>
    <w:rsid w:val="00b73102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qFormat/>
    <w:rsid w:val="00b73102"/>
    <w:rPr>
      <w:rFonts w:ascii="Tahoma" w:hAnsi="Tahoma" w:eastAsia="Tahoma" w:cs="Cambria"/>
      <w:sz w:val="16"/>
      <w:szCs w:val="16"/>
      <w:lang w:val="sk-SK" w:eastAsia="cs-CZ"/>
    </w:rPr>
  </w:style>
  <w:style w:type="character" w:styleId="TextbublinyChar1" w:customStyle="1">
    <w:name w:val="Text bubliny Char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5" w:customStyle="1">
    <w:name w:val="Text bubliny Char13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4" w:customStyle="1">
    <w:name w:val="Text bubliny Char13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3" w:customStyle="1">
    <w:name w:val="Text bubliny Char13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2" w:customStyle="1">
    <w:name w:val="Text bubliny Char13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1" w:customStyle="1">
    <w:name w:val="Text bubliny Char13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0" w:customStyle="1">
    <w:name w:val="Text bubliny Char13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9" w:customStyle="1">
    <w:name w:val="Text bubliny Char12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8" w:customStyle="1">
    <w:name w:val="Text bubliny Char12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7" w:customStyle="1">
    <w:name w:val="Text bubliny Char12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6" w:customStyle="1">
    <w:name w:val="Text bubliny Char12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5" w:customStyle="1">
    <w:name w:val="Text bubliny Char12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4" w:customStyle="1">
    <w:name w:val="Text bubliny Char12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3" w:customStyle="1">
    <w:name w:val="Text bubliny Char12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2" w:customStyle="1">
    <w:name w:val="Text bubliny Char12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1" w:customStyle="1">
    <w:name w:val="Text bubliny Char12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0" w:customStyle="1">
    <w:name w:val="Text bubliny Char12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9" w:customStyle="1">
    <w:name w:val="Text bubliny Char1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8" w:customStyle="1">
    <w:name w:val="Text bubliny Char118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7" w:customStyle="1">
    <w:name w:val="Text bubliny Char1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6" w:customStyle="1">
    <w:name w:val="Text bubliny Char1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5" w:customStyle="1">
    <w:name w:val="Text bubliny Char115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4" w:customStyle="1">
    <w:name w:val="Text bubliny Char114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3" w:customStyle="1">
    <w:name w:val="Text bubliny Char1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2" w:customStyle="1">
    <w:name w:val="Text bubliny Char1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1" w:customStyle="1">
    <w:name w:val="Text bubliny Char1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0" w:customStyle="1">
    <w:name w:val="Text bubliny Char11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9" w:customStyle="1">
    <w:name w:val="Text bubliny Char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8" w:customStyle="1">
    <w:name w:val="Text bubliny Char1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7" w:customStyle="1">
    <w:name w:val="Text bubliny Char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6" w:customStyle="1">
    <w:name w:val="Text bubliny Char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5" w:customStyle="1">
    <w:name w:val="Text bubliny Char1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4" w:customStyle="1">
    <w:name w:val="Text bubliny Char1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" w:customStyle="1">
    <w:name w:val="Text bubliny Char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" w:customStyle="1">
    <w:name w:val="Text bubliny Char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" w:customStyle="1">
    <w:name w:val="Text bubliny Char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WW8Num12z0" w:customStyle="1">
    <w:name w:val="WW8Num12z0"/>
    <w:qFormat/>
    <w:rsid w:val="00b73102"/>
    <w:rPr>
      <w:rFonts w:ascii="Arial Narrow" w:hAnsi="Arial Narrow" w:eastAsia="Arial Narrow" w:cs="Arial Narrow"/>
      <w:b w:val="false"/>
      <w:sz w:val="22"/>
      <w:szCs w:val="22"/>
    </w:rPr>
  </w:style>
  <w:style w:type="character" w:styleId="WW8Num2z0" w:customStyle="1">
    <w:name w:val="WW8Num2z0"/>
    <w:qFormat/>
    <w:rsid w:val="00b73102"/>
    <w:rPr>
      <w:rFonts w:ascii="Arial Narrow" w:hAnsi="Arial Narrow" w:eastAsia="Arial Narrow" w:cs="Times New Roman"/>
      <w:kern w:val="2"/>
      <w:sz w:val="22"/>
      <w:szCs w:val="22"/>
    </w:rPr>
  </w:style>
  <w:style w:type="character" w:styleId="WW8Num3z0" w:customStyle="1">
    <w:name w:val="WW8Num3z0"/>
    <w:qFormat/>
    <w:rsid w:val="00b73102"/>
    <w:rPr>
      <w:rFonts w:ascii="Arial Narrow" w:hAnsi="Arial Narrow" w:eastAsia="Arial Narrow" w:cs="Times New Roman"/>
    </w:rPr>
  </w:style>
  <w:style w:type="character" w:styleId="WW8Num10z0" w:customStyle="1">
    <w:name w:val="WW8Num10z0"/>
    <w:qFormat/>
    <w:rsid w:val="00b73102"/>
    <w:rPr>
      <w:rFonts w:ascii="Arial Narrow" w:hAnsi="Arial Narrow" w:eastAsia="Arial Narrow" w:cs="Times New Roman"/>
      <w:sz w:val="22"/>
      <w:szCs w:val="22"/>
    </w:rPr>
  </w:style>
  <w:style w:type="character" w:styleId="WW8Num11z0" w:customStyle="1">
    <w:name w:val="WW8Num11z0"/>
    <w:qFormat/>
    <w:rsid w:val="00b73102"/>
    <w:rPr>
      <w:rFonts w:ascii="Arial Narrow" w:hAnsi="Arial Narrow" w:eastAsia="Arial Narrow" w:cs="Times New Roman"/>
    </w:rPr>
  </w:style>
  <w:style w:type="character" w:styleId="WW8Num7z0" w:customStyle="1">
    <w:name w:val="WW8Num7z0"/>
    <w:qFormat/>
    <w:rsid w:val="00b73102"/>
    <w:rPr>
      <w:rFonts w:ascii="Arial Narrow" w:hAnsi="Arial Narrow" w:eastAsia="Arial Narrow" w:cs="Times New Roman"/>
      <w:b w:val="false"/>
      <w:bCs w:val="false"/>
      <w:kern w:val="2"/>
      <w:sz w:val="22"/>
      <w:szCs w:val="22"/>
    </w:rPr>
  </w:style>
  <w:style w:type="character" w:styleId="WW8Num13z0" w:customStyle="1">
    <w:name w:val="WW8Num13z0"/>
    <w:qFormat/>
    <w:rsid w:val="00b73102"/>
    <w:rPr>
      <w:rFonts w:ascii="Arial Narrow" w:hAnsi="Arial Narrow" w:eastAsia="Arial Narrow" w:cs="Times New Roman"/>
    </w:rPr>
  </w:style>
  <w:style w:type="character" w:styleId="WW8Num13z1" w:customStyle="1">
    <w:name w:val="WW8Num13z1"/>
    <w:qFormat/>
    <w:rsid w:val="00b73102"/>
    <w:rPr/>
  </w:style>
  <w:style w:type="character" w:styleId="WW8Num13z2" w:customStyle="1">
    <w:name w:val="WW8Num13z2"/>
    <w:qFormat/>
    <w:rsid w:val="00b73102"/>
    <w:rPr/>
  </w:style>
  <w:style w:type="character" w:styleId="WW8Num13z3" w:customStyle="1">
    <w:name w:val="WW8Num13z3"/>
    <w:qFormat/>
    <w:rsid w:val="00b73102"/>
    <w:rPr/>
  </w:style>
  <w:style w:type="character" w:styleId="WW8Num13z4" w:customStyle="1">
    <w:name w:val="WW8Num13z4"/>
    <w:qFormat/>
    <w:rsid w:val="00b73102"/>
    <w:rPr/>
  </w:style>
  <w:style w:type="character" w:styleId="WW8Num13z5" w:customStyle="1">
    <w:name w:val="WW8Num13z5"/>
    <w:qFormat/>
    <w:rsid w:val="00b73102"/>
    <w:rPr/>
  </w:style>
  <w:style w:type="character" w:styleId="WW8Num13z6" w:customStyle="1">
    <w:name w:val="WW8Num13z6"/>
    <w:qFormat/>
    <w:rsid w:val="00b73102"/>
    <w:rPr/>
  </w:style>
  <w:style w:type="character" w:styleId="WW8Num13z7" w:customStyle="1">
    <w:name w:val="WW8Num13z7"/>
    <w:qFormat/>
    <w:rsid w:val="00b73102"/>
    <w:rPr/>
  </w:style>
  <w:style w:type="character" w:styleId="WW8Num13z8" w:customStyle="1">
    <w:name w:val="WW8Num13z8"/>
    <w:qFormat/>
    <w:rsid w:val="00b73102"/>
    <w:rPr/>
  </w:style>
  <w:style w:type="character" w:styleId="WW8Num9z0" w:customStyle="1">
    <w:name w:val="WW8Num9z0"/>
    <w:qFormat/>
    <w:rsid w:val="00b73102"/>
    <w:rPr>
      <w:rFonts w:cs="Times New Roman"/>
    </w:rPr>
  </w:style>
  <w:style w:type="character" w:styleId="WW8Num8z0" w:customStyle="1">
    <w:name w:val="WW8Num8z0"/>
    <w:qFormat/>
    <w:rsid w:val="00b73102"/>
    <w:rPr>
      <w:rFonts w:ascii="Arial Narrow" w:hAnsi="Arial Narrow" w:eastAsia="Arial Narrow" w:cs="Times New Roman"/>
      <w:bCs/>
      <w:kern w:val="2"/>
    </w:rPr>
  </w:style>
  <w:style w:type="character" w:styleId="WW8Num5z0" w:customStyle="1">
    <w:name w:val="WW8Num5z0"/>
    <w:qFormat/>
    <w:rsid w:val="00b73102"/>
    <w:rPr>
      <w:rFonts w:ascii="Arial Narrow" w:hAnsi="Arial Narrow" w:eastAsia="Arial Narrow" w:cs="Symbol"/>
    </w:rPr>
  </w:style>
  <w:style w:type="character" w:styleId="WW8Num6z0" w:customStyle="1">
    <w:name w:val="WW8Num6z0"/>
    <w:qFormat/>
    <w:rsid w:val="00b73102"/>
    <w:rPr/>
  </w:style>
  <w:style w:type="character" w:styleId="WW8Num4z0" w:customStyle="1">
    <w:name w:val="WW8Num4z0"/>
    <w:qFormat/>
    <w:rsid w:val="00b73102"/>
    <w:rPr>
      <w:rFonts w:ascii="Symbol" w:hAnsi="Symbol" w:eastAsia="Symbol" w:cs="Symbol"/>
    </w:rPr>
  </w:style>
  <w:style w:type="character" w:styleId="Symbolypreslovanie" w:customStyle="1">
    <w:name w:val="Symboly pre číslovanie"/>
    <w:qFormat/>
    <w:rsid w:val="00b73102"/>
    <w:rPr/>
  </w:style>
  <w:style w:type="character" w:styleId="Ra" w:customStyle="1">
    <w:name w:val="ra"/>
    <w:basedOn w:val="DefaultParagraphFont"/>
    <w:qFormat/>
    <w:rsid w:val="00480be5"/>
    <w:rPr/>
  </w:style>
  <w:style w:type="character" w:styleId="Tl" w:customStyle="1">
    <w:name w:val="tl"/>
    <w:basedOn w:val="DefaultParagraphFont"/>
    <w:qFormat/>
    <w:rsid w:val="005d72fc"/>
    <w:rPr/>
  </w:style>
  <w:style w:type="character" w:styleId="Appleconvertedspace" w:customStyle="1">
    <w:name w:val="apple-converted-space"/>
    <w:basedOn w:val="DefaultParagraphFont"/>
    <w:qFormat/>
    <w:rsid w:val="005d72fc"/>
    <w:rPr/>
  </w:style>
  <w:style w:type="paragraph" w:styleId="Nadpis" w:customStyle="1">
    <w:name w:val="Nadpis"/>
    <w:basedOn w:val="Standard"/>
    <w:next w:val="Textbody"/>
    <w:qFormat/>
    <w:rsid w:val="00b73102"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xtbody"/>
    <w:rsid w:val="00b73102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Standard"/>
    <w:qFormat/>
    <w:rsid w:val="00b73102"/>
    <w:pPr>
      <w:suppressLineNumbers/>
    </w:pPr>
    <w:rPr/>
  </w:style>
  <w:style w:type="paragraph" w:styleId="Standard" w:customStyle="1">
    <w:name w:val="Standard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Textbody" w:customStyle="1">
    <w:name w:val="Text body"/>
    <w:basedOn w:val="Standard"/>
    <w:qFormat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Caption">
    <w:name w:val="caption"/>
    <w:basedOn w:val="Standard"/>
    <w:qFormat/>
    <w:rsid w:val="00b73102"/>
    <w:pPr>
      <w:suppressLineNumbers/>
      <w:spacing w:before="120" w:after="120"/>
    </w:pPr>
    <w:rPr>
      <w:i/>
      <w:iCs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Standard"/>
    <w:uiPriority w:val="99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oznmkapodiarou">
    <w:name w:val="Footnote Text"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SimSun" w:cs="Times New Roman"/>
      <w:color w:val="auto"/>
      <w:kern w:val="2"/>
      <w:sz w:val="20"/>
      <w:szCs w:val="20"/>
      <w:lang w:val="sk-SK" w:eastAsia="cs-CZ" w:bidi="ar-SA"/>
    </w:rPr>
  </w:style>
  <w:style w:type="paragraph" w:styleId="Nzov">
    <w:name w:val="Title"/>
    <w:basedOn w:val="Nadpis"/>
    <w:next w:val="Textbody"/>
    <w:qFormat/>
    <w:rsid w:val="00b73102"/>
    <w:pPr>
      <w:widowControl/>
      <w:spacing w:before="100" w:after="220"/>
      <w:jc w:val="center"/>
      <w:textAlignment w:val="auto"/>
    </w:pPr>
    <w:rPr>
      <w:rFonts w:ascii="Arial Narrow" w:hAnsi="Arial Narrow" w:eastAsia="Arial Narrow" w:cs="Times New Roman"/>
      <w:b/>
      <w:bCs/>
      <w:sz w:val="22"/>
      <w:szCs w:val="32"/>
      <w:lang w:eastAsia="en-US" w:bidi="ar-SA"/>
    </w:rPr>
  </w:style>
  <w:style w:type="paragraph" w:styleId="Podnzov">
    <w:name w:val="Subtitle"/>
    <w:basedOn w:val="Nadpis"/>
    <w:next w:val="Textbody"/>
    <w:qFormat/>
    <w:rsid w:val="00b73102"/>
    <w:pPr>
      <w:widowControl/>
      <w:spacing w:before="240" w:after="60"/>
      <w:jc w:val="center"/>
      <w:textAlignment w:val="auto"/>
    </w:pPr>
    <w:rPr>
      <w:rFonts w:ascii="Cambria" w:hAnsi="Cambria" w:eastAsia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qFormat/>
    <w:rsid w:val="00b73102"/>
    <w:pPr>
      <w:widowControl/>
      <w:suppressAutoHyphens w:val="true"/>
      <w:bidi w:val="0"/>
      <w:spacing w:before="0" w:after="0"/>
      <w:ind w:left="2124" w:hanging="2124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2">
    <w:name w:val="Body Text Indent 2"/>
    <w:qFormat/>
    <w:rsid w:val="00b73102"/>
    <w:pPr>
      <w:widowControl/>
      <w:suppressAutoHyphens w:val="true"/>
      <w:bidi w:val="0"/>
      <w:spacing w:before="0" w:after="0"/>
      <w:ind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3">
    <w:name w:val="Body Text Indent 3"/>
    <w:qFormat/>
    <w:rsid w:val="00b73102"/>
    <w:pPr>
      <w:widowControl/>
      <w:suppressAutoHyphens w:val="true"/>
      <w:bidi w:val="0"/>
      <w:spacing w:before="0" w:after="0"/>
      <w:ind w:left="708"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alloonText">
    <w:name w:val="Balloon Text"/>
    <w:qFormat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ahoma" w:hAnsi="Tahoma" w:eastAsia="Tahoma" w:cs="Cambria"/>
      <w:color w:val="auto"/>
      <w:kern w:val="2"/>
      <w:sz w:val="16"/>
      <w:szCs w:val="16"/>
      <w:lang w:val="sk-SK" w:eastAsia="cs-CZ" w:bidi="ar-SA"/>
    </w:rPr>
  </w:style>
  <w:style w:type="paragraph" w:styleId="ListParagraph">
    <w:name w:val="List Paragraph"/>
    <w:qFormat/>
    <w:rsid w:val="00b73102"/>
    <w:pPr>
      <w:widowControl/>
      <w:suppressAutoHyphens w:val="true"/>
      <w:bidi w:val="0"/>
      <w:spacing w:before="0" w:after="200"/>
      <w:ind w:left="720" w:hanging="0"/>
      <w:jc w:val="left"/>
      <w:textAlignment w:val="auto"/>
    </w:pPr>
    <w:rPr>
      <w:rFonts w:ascii="Arial Narrow" w:hAnsi="Arial Narrow" w:eastAsia="Arial Narrow" w:cs="Times New Roman"/>
      <w:color w:val="auto"/>
      <w:kern w:val="2"/>
      <w:sz w:val="22"/>
      <w:szCs w:val="36"/>
      <w:lang w:val="sk-SK" w:eastAsia="en-US" w:bidi="ar-SA"/>
    </w:rPr>
  </w:style>
  <w:style w:type="paragraph" w:styleId="TopHeader" w:customStyle="1">
    <w:name w:val="Top Header"/>
    <w:qFormat/>
    <w:rsid w:val="00b73102"/>
    <w:pPr>
      <w:widowControl/>
      <w:suppressAutoHyphens w:val="true"/>
      <w:bidi w:val="0"/>
      <w:spacing w:before="0" w:after="0"/>
      <w:jc w:val="center"/>
      <w:textAlignment w:val="auto"/>
    </w:pPr>
    <w:rPr>
      <w:rFonts w:ascii="Arial Narrow" w:hAnsi="Arial Narrow" w:eastAsia="Arial Narrow" w:cs="Times New Roman"/>
      <w:b/>
      <w:bCs/>
      <w:color w:val="auto"/>
      <w:kern w:val="2"/>
      <w:sz w:val="22"/>
      <w:szCs w:val="22"/>
      <w:lang w:val="sk-SK" w:eastAsia="en-US" w:bidi="ar-SA"/>
    </w:rPr>
  </w:style>
  <w:style w:type="paragraph" w:styleId="NormalWeb">
    <w:name w:val="Normal (Web)"/>
    <w:qFormat/>
    <w:rsid w:val="00b73102"/>
    <w:pPr>
      <w:widowControl/>
      <w:suppressAutoHyphens w:val="true"/>
      <w:bidi w:val="0"/>
      <w:spacing w:before="100" w:after="100"/>
      <w:jc w:val="left"/>
      <w:textAlignment w:val="auto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sk-SK" w:eastAsia="sk-SK" w:bidi="ar-SA"/>
    </w:rPr>
  </w:style>
  <w:style w:type="paragraph" w:styleId="Obsahtabuky" w:customStyle="1">
    <w:name w:val="Obsah tabuľky"/>
    <w:basedOn w:val="Standard"/>
    <w:qFormat/>
    <w:rsid w:val="00b73102"/>
    <w:pPr>
      <w:suppressLineNumbers/>
    </w:pPr>
    <w:rPr/>
  </w:style>
  <w:style w:type="paragraph" w:styleId="Citcie" w:customStyle="1">
    <w:name w:val="Citácie"/>
    <w:basedOn w:val="Standard"/>
    <w:qFormat/>
    <w:rsid w:val="00b73102"/>
    <w:pPr>
      <w:spacing w:before="0" w:after="283"/>
      <w:ind w:left="567" w:right="567" w:hanging="0"/>
    </w:pPr>
    <w:rPr/>
  </w:style>
  <w:style w:type="paragraph" w:styleId="Zhlavietabuky" w:customStyle="1">
    <w:name w:val="Záhlavie tabuľky"/>
    <w:basedOn w:val="Obsahtabuky"/>
    <w:qFormat/>
    <w:rsid w:val="00b73102"/>
    <w:pPr>
      <w:jc w:val="center"/>
    </w:pPr>
    <w:rPr>
      <w:b/>
      <w:bCs/>
    </w:rPr>
  </w:style>
  <w:style w:type="paragraph" w:styleId="Obsahrmca" w:customStyle="1">
    <w:name w:val="Obsah rámca"/>
    <w:basedOn w:val="Standard"/>
    <w:qFormat/>
    <w:rsid w:val="00b73102"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12" w:customStyle="1">
    <w:name w:val="WW8Num12"/>
    <w:qFormat/>
    <w:rsid w:val="00b73102"/>
  </w:style>
  <w:style w:type="numbering" w:styleId="WW8Num2" w:customStyle="1">
    <w:name w:val="WW8Num2"/>
    <w:qFormat/>
    <w:rsid w:val="00b73102"/>
  </w:style>
  <w:style w:type="numbering" w:styleId="WW8Num3" w:customStyle="1">
    <w:name w:val="WW8Num3"/>
    <w:qFormat/>
    <w:rsid w:val="00b73102"/>
  </w:style>
  <w:style w:type="numbering" w:styleId="WW8Num10" w:customStyle="1">
    <w:name w:val="WW8Num10"/>
    <w:qFormat/>
    <w:rsid w:val="00b73102"/>
  </w:style>
  <w:style w:type="numbering" w:styleId="WW8Num11" w:customStyle="1">
    <w:name w:val="WW8Num11"/>
    <w:qFormat/>
    <w:rsid w:val="00b73102"/>
  </w:style>
  <w:style w:type="numbering" w:styleId="WW8Num7" w:customStyle="1">
    <w:name w:val="WW8Num7"/>
    <w:qFormat/>
    <w:rsid w:val="00b73102"/>
  </w:style>
  <w:style w:type="numbering" w:styleId="WW8Num13" w:customStyle="1">
    <w:name w:val="WW8Num13"/>
    <w:qFormat/>
    <w:rsid w:val="00b73102"/>
  </w:style>
  <w:style w:type="numbering" w:styleId="WW8Num9" w:customStyle="1">
    <w:name w:val="WW8Num9"/>
    <w:qFormat/>
    <w:rsid w:val="00b73102"/>
  </w:style>
  <w:style w:type="numbering" w:styleId="WW8Num8" w:customStyle="1">
    <w:name w:val="WW8Num8"/>
    <w:qFormat/>
    <w:rsid w:val="00b73102"/>
  </w:style>
  <w:style w:type="numbering" w:styleId="WW8Num5" w:customStyle="1">
    <w:name w:val="WW8Num5"/>
    <w:qFormat/>
    <w:rsid w:val="00b73102"/>
  </w:style>
  <w:style w:type="numbering" w:styleId="WW8Num6" w:customStyle="1">
    <w:name w:val="WW8Num6"/>
    <w:qFormat/>
    <w:rsid w:val="00b73102"/>
  </w:style>
  <w:style w:type="numbering" w:styleId="WW8Num4" w:customStyle="1">
    <w:name w:val="WW8Num4"/>
    <w:qFormat/>
    <w:rsid w:val="00b73102"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Application>LibreOffice/7.1.1.2$Windows_X86_64 LibreOffice_project/fe0b08f4af1bacafe4c7ecc87ce55bb426164676</Application>
  <AppVersion>15.0000</AppVersion>
  <Pages>28</Pages>
  <Words>4726</Words>
  <Characters>25648</Characters>
  <CharactersWithSpaces>29338</CharactersWithSpaces>
  <Paragraphs>1248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2020-11-02T17:18:00Z</dcterms:created>
  <dc:creator>Matulova Silvia</dc:creator>
  <dc:description/>
  <dc:language>sk-SK</dc:language>
  <cp:lastModifiedBy/>
  <cp:lastPrinted>2016-03-02T06:45:00Z</cp:lastPrinted>
  <dcterms:modified xsi:type="dcterms:W3CDTF">2024-07-01T19:48:12Z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