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740C" w:rsidRDefault="001B69DB" w:rsidP="0064300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after="120"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</w:rPr>
      </w:pPr>
      <w:r>
        <w:rPr>
          <w:rFonts w:ascii="Arial Narrow" w:eastAsia="Arial Narrow" w:hAnsi="Arial Narrow" w:cs="Arial Narrow"/>
          <w:b/>
          <w:color w:val="000000"/>
        </w:rPr>
        <w:t>POZNÁMKY K ÚČTOVNEJ ZÁVIERKE 202</w:t>
      </w:r>
      <w:r>
        <w:rPr>
          <w:rFonts w:ascii="Arial Narrow" w:eastAsia="Arial Narrow" w:hAnsi="Arial Narrow" w:cs="Arial Narrow"/>
          <w:b/>
        </w:rPr>
        <w:t>3</w:t>
      </w:r>
    </w:p>
    <w:p w:rsidR="00FB740C" w:rsidRDefault="001B69DB" w:rsidP="0064300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FB740C" w:rsidRDefault="001B69DB" w:rsidP="0064300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pre mikro účtovné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 – VŠEOBECNÉ INFORMÁCIE</w:t>
      </w:r>
    </w:p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Základné informácie o účtovnej jednotke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a"/>
        <w:tblW w:w="960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636"/>
        <w:gridCol w:w="6969"/>
      </w:tblGrid>
      <w:tr w:rsidR="00FB740C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Obchodné meno: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Dvor na Štiavničke, s. r. o. </w:t>
            </w:r>
          </w:p>
        </w:tc>
      </w:tr>
      <w:tr w:rsidR="00FB740C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Sídlo: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Kozmonautov 123/16, 977 01  Brezno</w:t>
            </w:r>
          </w:p>
        </w:tc>
      </w:tr>
      <w:tr w:rsidR="00FB740C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Právna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Spoločnosť s ručením obmedzeným</w:t>
            </w:r>
          </w:p>
        </w:tc>
      </w:tr>
      <w:tr w:rsidR="00FB740C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Dátum vzniku: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Zápis do obchodného registra: 05. 03. 2009</w:t>
            </w:r>
          </w:p>
        </w:tc>
      </w:tr>
      <w:tr w:rsidR="00FB740C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Hlavný predmet podnikania: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Kombinované administratívno-kancelárske činnosti</w:t>
            </w:r>
          </w:p>
        </w:tc>
      </w:tr>
      <w:tr w:rsidR="00FB740C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Účtovné obdobie: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01. 01. 202</w:t>
            </w:r>
            <w:r w:rsidR="0064300A">
              <w:rPr>
                <w:rFonts w:ascii="Arial Narrow" w:eastAsia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– 31. 12. 202</w:t>
            </w:r>
            <w:r w:rsidR="0064300A">
              <w:rPr>
                <w:rFonts w:ascii="Arial Narrow" w:eastAsia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2) Účtovná jednotka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nie je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súčasťou žiadneho konsolidovaného celku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. 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bookmarkStart w:id="0" w:name="_GoBack"/>
      <w:bookmarkEnd w:id="0"/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FB740C">
        <w:trPr>
          <w:trHeight w:val="537"/>
        </w:trPr>
        <w:tc>
          <w:tcPr>
            <w:tcW w:w="4857" w:type="dxa"/>
            <w:vAlign w:val="center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459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FB740C">
        <w:trPr>
          <w:trHeight w:val="163"/>
        </w:trPr>
        <w:tc>
          <w:tcPr>
            <w:tcW w:w="4857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 0</w:t>
            </w:r>
          </w:p>
        </w:tc>
        <w:tc>
          <w:tcPr>
            <w:tcW w:w="2367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 0</w:t>
            </w:r>
          </w:p>
        </w:tc>
      </w:tr>
    </w:tbl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Čl. II – INFORMÁCIE O PRIJATÝCH POSTUPOCH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Účtovná závierka je zostavená za splnenia predpokladu, že účtovná jednotka bude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vo svojej činnosti minimálne 12 mesiacov po závierkovom dni v zmysle § 7 ods. 4 zákona o účtovníctve. </w:t>
      </w:r>
    </w:p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Spôsob a určenie oceňovania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majetku a záväzkov: účtovná jednotka oceňovala majetok a záväzky ku dňu uskutočnenia účtovného prípadu a ku dňu, ku ktorému sa zostavuje účtovná závierka. </w:t>
      </w:r>
    </w:p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Spôsob oceňovania majetku a záväzkov (§ 25 ZoU):</w:t>
      </w:r>
    </w:p>
    <w:p w:rsidR="00FB740C" w:rsidRDefault="00FB740C" w:rsidP="0064300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08"/>
        </w:tabs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1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Spôsob oceňovania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 cena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 cena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Vlastné náklady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 cena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 cena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Vlastné náklady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 hodnota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 cena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 hodnota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 hodnota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 hodnota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 cena</w:t>
            </w:r>
          </w:p>
        </w:tc>
      </w:tr>
      <w:tr w:rsidR="00FB740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 hodnota</w:t>
            </w:r>
          </w:p>
        </w:tc>
      </w:tr>
    </w:tbl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Trvalé zníženie hodnoty majetku nebolo účtované. 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d) Určenie ocenenia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finančných nástrojov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pri oceňovaní obstarávacou cenou alebo vlastnými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nákladmi: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Komentár k oceňovaniu majetku a záväzkov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:rsidR="00FB740C" w:rsidRDefault="001B69DB" w:rsidP="0064300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Finančné nástroje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orwardy), nástroje peňažného trhu (pokladničné poukážky, vkladové listy).</w:t>
      </w:r>
    </w:p>
    <w:p w:rsidR="00FB740C" w:rsidRDefault="001B69DB" w:rsidP="0064300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Opravnú položku k dlhodobej pohľadávke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 opravnú položku k dlhodobej pôžičke UJ stanovila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metódu odúročenia na súčasnú hodnotu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18/8 PU; § 21/6 PU).</w:t>
      </w:r>
    </w:p>
    <w:p w:rsidR="00FB740C" w:rsidRDefault="001B69DB" w:rsidP="0064300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Rezervy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ocenila UJ kalkulačnou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metódou kvalifikovaného odhadu ich menovitej hodnoty na pokrytie budúcich záväzkov.</w:t>
      </w:r>
    </w:p>
    <w:p w:rsidR="00FB740C" w:rsidRDefault="001B69DB" w:rsidP="0064300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lebo nemala k tomu vecnú náplň.</w:t>
      </w:r>
    </w:p>
    <w:p w:rsidR="00FB740C" w:rsidRDefault="001B69DB" w:rsidP="0064300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vážený aritmetický priemer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25/5 ZoU; § 22/1 PU).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metódou vlastného imania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27/9 ZoU).</w:t>
      </w:r>
    </w:p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:rsidR="00FB740C" w:rsidRDefault="001B69DB" w:rsidP="0064300A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1005"/>
        </w:tabs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Tvorba odpisového plánu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FB740C">
        <w:tc>
          <w:tcPr>
            <w:tcW w:w="421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Dlhodobý hmotný a nehmotný</w:t>
            </w:r>
          </w:p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číslo</w:t>
            </w:r>
          </w:p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doba odpisovania</w:t>
            </w:r>
          </w:p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odpisová sadzba </w:t>
            </w:r>
          </w:p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(%)</w:t>
            </w:r>
          </w:p>
        </w:tc>
      </w:tr>
      <w:tr w:rsidR="00FB740C">
        <w:tc>
          <w:tcPr>
            <w:tcW w:w="421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25</w:t>
            </w:r>
          </w:p>
        </w:tc>
      </w:tr>
      <w:tr w:rsidR="00FB740C">
        <w:tc>
          <w:tcPr>
            <w:tcW w:w="421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</w:t>
            </w:r>
          </w:p>
        </w:tc>
      </w:tr>
      <w:tr w:rsidR="00FB740C">
        <w:tc>
          <w:tcPr>
            <w:tcW w:w="421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Samostatne hnuteľné veci</w:t>
            </w:r>
          </w:p>
        </w:tc>
        <w:tc>
          <w:tcPr>
            <w:tcW w:w="1013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25</w:t>
            </w:r>
          </w:p>
        </w:tc>
      </w:tr>
      <w:tr w:rsidR="00FB740C">
        <w:tc>
          <w:tcPr>
            <w:tcW w:w="421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25</w:t>
            </w:r>
          </w:p>
        </w:tc>
      </w:tr>
      <w:tr w:rsidR="00FB740C">
        <w:tc>
          <w:tcPr>
            <w:tcW w:w="421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</w:t>
            </w:r>
          </w:p>
        </w:tc>
      </w:tr>
    </w:tbl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 k odpisovému plánu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:rsidR="00FB740C" w:rsidRDefault="001B69DB" w:rsidP="0064300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účtovné odpisy nezávisle na daňových odpisoch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Majetok sa začína odpisovať v mesiaci, kedy bol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zaradený do užívania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. Dlhodobý nehmotný majetok sa odpisuje počas 4 rokov od jeho obstarania.</w:t>
      </w:r>
    </w:p>
    <w:p w:rsidR="00FB740C" w:rsidRDefault="001B69DB" w:rsidP="0064300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rovnomerné odpisovanie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dlhodobého hmotného majetku a dlhodobého nehmotného majetku. Podrobný účtovný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odpisový plán po položkách sa vedie v Knihe dlhodobého hmotného majetku (taktiež daňové odpisy podľa zákona o dani z príjmov).</w:t>
      </w:r>
    </w:p>
    <w:p w:rsidR="00FB740C" w:rsidRDefault="001B69DB" w:rsidP="0064300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odpisuje jednotlivé veci alebo relevantné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súbory hnuteľných vecí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(napr. počítačová sieť, nábytková zostava). UJ nepoužíva komp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onentné odpisovanie (odpisovanie častí majetku - komponentov).</w:t>
      </w:r>
    </w:p>
    <w:p w:rsidR="00FB740C" w:rsidRDefault="001B69DB" w:rsidP="0064300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nepoužila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jednorazový odpis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dlhodobého majetku z dôvodu jednorazového trvalého zníženia hodnoty majetku (§ 21/5 PU).</w:t>
      </w:r>
    </w:p>
    <w:p w:rsidR="00FB740C" w:rsidRDefault="001B69DB" w:rsidP="0064300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od 2 400 eur jednotkovej ceny so životnosťou nad jeden rok (§ 13/2 PU).</w:t>
      </w:r>
    </w:p>
    <w:p w:rsidR="00FB740C" w:rsidRDefault="001B69DB" w:rsidP="0064300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pod 1 700 eur jednotkovej ceny so životnosťou nad jeden rok (§ 13/6 PU).</w:t>
      </w:r>
    </w:p>
    <w:p w:rsidR="00FB740C" w:rsidRDefault="001B69DB" w:rsidP="0064300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dobrovoľné účtovanie podlimi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tného technického zhodnotenia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FB740C" w:rsidRDefault="001B69DB" w:rsidP="0064300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dobrovoľnú kapitalizáciu úrokov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Použité účtovné zásady a účtovné metódy a ich zmeny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 účtovná jednotka nezmenila účtovné zásady oproti predchádzajúcemu účtovnému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obdobiu. </w:t>
      </w:r>
    </w:p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1B69DB" w:rsidP="0064300A">
      <w:pPr>
        <w:keepNext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Cambria" w:eastAsia="Cambria" w:hAnsi="Cambria" w:cs="Cambria"/>
          <w:b/>
          <w:i/>
          <w:color w:val="000000"/>
          <w:sz w:val="28"/>
          <w:szCs w:val="28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5)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Informácia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o poskytnutých dotáciách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 pri dotáciách na obstaranie majetku sa uvedú zložky majetku a ich ocenenie: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Žiadne dotácie neboli účtovnej jednotke poskytnuté. </w:t>
      </w:r>
    </w:p>
    <w:p w:rsidR="00FB740C" w:rsidRDefault="00FB740C" w:rsidP="0064300A">
      <w:pPr>
        <w:keepNext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</w:p>
    <w:p w:rsidR="00FB740C" w:rsidRDefault="001B69DB" w:rsidP="0064300A">
      <w:pPr>
        <w:keepNext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6)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 xml:space="preserve">Informácie o oprave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  <w:u w:val="single"/>
        </w:rPr>
        <w:t>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s uvedením sumy vplyvu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nevýznamných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obí účtovaných v bežnom účtovnom období s uvedením sumy vplyvu na výsledok hospodárenia bežného účtovného obdobia: </w:t>
      </w:r>
    </w:p>
    <w:tbl>
      <w:tblPr>
        <w:tblStyle w:val="a3"/>
        <w:tblW w:w="9601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74"/>
        <w:gridCol w:w="1041"/>
        <w:gridCol w:w="1039"/>
        <w:gridCol w:w="1928"/>
        <w:gridCol w:w="2519"/>
      </w:tblGrid>
      <w:tr w:rsidR="00FB740C">
        <w:tc>
          <w:tcPr>
            <w:tcW w:w="3074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1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Vplyv na výsledok</w:t>
            </w:r>
          </w:p>
        </w:tc>
        <w:tc>
          <w:tcPr>
            <w:tcW w:w="2519" w:type="dxa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Vplyv na vlastné imanie</w:t>
            </w:r>
          </w:p>
        </w:tc>
      </w:tr>
      <w:tr w:rsidR="00FB740C">
        <w:tc>
          <w:tcPr>
            <w:tcW w:w="3074" w:type="dxa"/>
          </w:tcPr>
          <w:p w:rsidR="00FB740C" w:rsidRDefault="00FB740C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41" w:type="dxa"/>
          </w:tcPr>
          <w:p w:rsidR="00FB740C" w:rsidRDefault="00FB740C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39" w:type="dxa"/>
          </w:tcPr>
          <w:p w:rsidR="00FB740C" w:rsidRDefault="00FB740C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928" w:type="dxa"/>
          </w:tcPr>
          <w:p w:rsidR="00FB740C" w:rsidRDefault="00FB740C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2519" w:type="dxa"/>
          </w:tcPr>
          <w:p w:rsidR="00FB740C" w:rsidRDefault="00FB740C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Vysvetlivky k oprave chýb minulých účtovných období:</w:t>
      </w:r>
    </w:p>
    <w:p w:rsidR="00FB740C" w:rsidRDefault="001B69DB" w:rsidP="0064300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FB740C" w:rsidRDefault="001B69DB" w:rsidP="0064300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Významné opravy 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ýb minulých účtovných období sa účtujú (§ 59/13 PU) - voči minulým výsledkom hospodárenia (voči vlastnému imaniu na účet 428 alebo 429). </w:t>
      </w:r>
    </w:p>
    <w:p w:rsidR="00FB740C" w:rsidRDefault="001B69DB" w:rsidP="0064300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Opravy chýb minulých účtovných období sa daňovo vysporiadajú podľa pravidiel v zákone o dani z príjmov (§ 17/15,29 ZDP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) a pravidiel v daňovom poriadku (§ 16). </w:t>
      </w:r>
    </w:p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III – INFORMÁCIE, KTORÉ VYSVETĽUJÚ A DOPĹŇAJÚ SÚVAHU A VÝKAZ ZISKOV A STRÁT</w:t>
      </w:r>
    </w:p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1) Najvýznamnejšia nákladová položka: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518 – Ostatné služby (nájomné): k 31. 12. 2022 vo výške 4 202,00 €</w:t>
      </w:r>
    </w:p>
    <w:p w:rsidR="00FB740C" w:rsidRDefault="00FB740C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Celková suma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záväzkov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 </w:t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FB740C">
        <w:trPr>
          <w:trHeight w:val="693"/>
          <w:jc w:val="center"/>
        </w:trPr>
        <w:tc>
          <w:tcPr>
            <w:tcW w:w="4785" w:type="dxa"/>
            <w:vAlign w:val="center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FB740C">
        <w:trPr>
          <w:trHeight w:val="207"/>
          <w:jc w:val="center"/>
        </w:trPr>
        <w:tc>
          <w:tcPr>
            <w:tcW w:w="4785" w:type="dxa"/>
            <w:vAlign w:val="center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Záväzky so zostatkovou dobou splatnosti nad 5 rokov </w:t>
            </w:r>
          </w:p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(Záväzky zo sociálneho fondu) </w:t>
            </w:r>
          </w:p>
        </w:tc>
        <w:tc>
          <w:tcPr>
            <w:tcW w:w="2553" w:type="dxa"/>
            <w:vAlign w:val="center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2376" w:type="dxa"/>
            <w:vAlign w:val="center"/>
          </w:tcPr>
          <w:p w:rsidR="00FB740C" w:rsidRDefault="001B69DB" w:rsidP="006430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0,00</w:t>
            </w:r>
          </w:p>
        </w:tc>
      </w:tr>
    </w:tbl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3) Účtovná jednotka nemá vlastné akcie.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4) Účtovná jednotka neposkytla orgánom spoločnosti záruky, pôži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čky alebo iné zabezpečenia.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5) Účtovná jednotka nemá povinnosti, ktoré nie sú vykázané v súvahe alebo výkaze ziskov a strát</w:t>
      </w:r>
    </w:p>
    <w:p w:rsidR="00FB740C" w:rsidRDefault="001B69DB" w:rsidP="0064300A">
      <w:pPr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6) Účtovná jednotka neudelila výlučné alebo osobitné právo, ktorým sa udelilo právo poskytovať služby vo verejnom záujme. </w:t>
      </w:r>
    </w:p>
    <w:p w:rsidR="00FB740C" w:rsidRDefault="00FB740C" w:rsidP="00FB740C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sectPr w:rsidR="00FB740C">
      <w:headerReference w:type="default" r:id="rId9"/>
      <w:footerReference w:type="default" r:id="rId10"/>
      <w:headerReference w:type="first" r:id="rId11"/>
      <w:pgSz w:w="11907" w:h="16840"/>
      <w:pgMar w:top="1417" w:right="992" w:bottom="1417" w:left="1417" w:header="567" w:footer="5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69DB" w:rsidRDefault="001B69DB" w:rsidP="0064300A">
      <w:pPr>
        <w:spacing w:line="240" w:lineRule="auto"/>
        <w:ind w:left="0" w:hanging="2"/>
      </w:pPr>
      <w:r>
        <w:separator/>
      </w:r>
    </w:p>
  </w:endnote>
  <w:endnote w:type="continuationSeparator" w:id="0">
    <w:p w:rsidR="001B69DB" w:rsidRDefault="001B69DB" w:rsidP="0064300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740C" w:rsidRDefault="001B69DB" w:rsidP="0064300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 w:rsidR="0064300A">
      <w:rPr>
        <w:color w:val="000000"/>
      </w:rPr>
      <w:fldChar w:fldCharType="separate"/>
    </w:r>
    <w:r w:rsidR="0064300A">
      <w:rPr>
        <w:noProof/>
        <w:color w:val="000000"/>
      </w:rPr>
      <w:t>2</w:t>
    </w:r>
    <w:r>
      <w:rPr>
        <w:color w:val="000000"/>
      </w:rPr>
      <w:fldChar w:fldCharType="end"/>
    </w:r>
  </w:p>
  <w:p w:rsidR="00FB740C" w:rsidRDefault="00FB740C" w:rsidP="0064300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69DB" w:rsidRDefault="001B69DB" w:rsidP="0064300A">
      <w:pPr>
        <w:spacing w:line="240" w:lineRule="auto"/>
        <w:ind w:left="0" w:hanging="2"/>
      </w:pPr>
      <w:r>
        <w:separator/>
      </w:r>
    </w:p>
  </w:footnote>
  <w:footnote w:type="continuationSeparator" w:id="0">
    <w:p w:rsidR="001B69DB" w:rsidRDefault="001B69DB" w:rsidP="0064300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740C" w:rsidRDefault="001B69DB" w:rsidP="0064300A">
    <w:pPr>
      <w:widowControl w:val="0"/>
      <w:pBdr>
        <w:top w:val="nil"/>
        <w:left w:val="nil"/>
        <w:bottom w:val="nil"/>
        <w:right w:val="nil"/>
        <w:between w:val="nil"/>
      </w:pBdr>
      <w:tabs>
        <w:tab w:val="left" w:pos="2990"/>
        <w:tab w:val="left" w:pos="6348"/>
      </w:tabs>
      <w:spacing w:line="240" w:lineRule="auto"/>
      <w:ind w:left="0" w:hanging="2"/>
      <w:jc w:val="center"/>
      <w:rPr>
        <w:rFonts w:ascii="Arial" w:eastAsia="Arial" w:hAnsi="Arial" w:cs="Arial"/>
        <w:color w:val="000000"/>
        <w:sz w:val="22"/>
        <w:szCs w:val="22"/>
      </w:rPr>
    </w:pPr>
    <w:r>
      <w:rPr>
        <w:rFonts w:ascii="Arial" w:eastAsia="Arial" w:hAnsi="Arial" w:cs="Arial"/>
        <w:color w:val="000000"/>
        <w:sz w:val="22"/>
        <w:szCs w:val="22"/>
      </w:rPr>
      <w:t>Poznámky Úč POD 3 – 01                           IČO: 44616724        DIČ: 2022800626</w:t>
    </w:r>
  </w:p>
  <w:p w:rsidR="00FB740C" w:rsidRDefault="00FB740C" w:rsidP="0064300A">
    <w:pPr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740C" w:rsidRDefault="00FB740C" w:rsidP="0064300A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rPr>
        <w:rFonts w:ascii="Arial Narrow" w:eastAsia="Arial Narrow" w:hAnsi="Arial Narrow" w:cs="Arial Narrow"/>
        <w:color w:val="000000"/>
        <w:sz w:val="22"/>
        <w:szCs w:val="22"/>
        <w:u w:val="single"/>
      </w:rPr>
    </w:pPr>
  </w:p>
  <w:tbl>
    <w:tblPr>
      <w:tblStyle w:val="a5"/>
      <w:tblW w:w="8794" w:type="dxa"/>
      <w:tblInd w:w="-15" w:type="dxa"/>
      <w:tblLayout w:type="fixed"/>
      <w:tblLook w:val="0000" w:firstRow="0" w:lastRow="0" w:firstColumn="0" w:lastColumn="0" w:noHBand="0" w:noVBand="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B740C">
      <w:trPr>
        <w:trHeight w:val="330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color w:val="000000"/>
            </w:rPr>
          </w:pPr>
          <w:r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</w:tcPr>
        <w:p w:rsidR="00FB740C" w:rsidRDefault="00FB740C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32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>
            <w:rPr>
              <w:color w:val="000000"/>
            </w:rPr>
            <w:t> 1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>
            <w:rPr>
              <w:color w:val="000000"/>
            </w:rPr>
            <w:t>2 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>
            <w:rPr>
              <w:color w:val="000000"/>
            </w:rPr>
            <w:t>3 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>
            <w:rPr>
              <w:color w:val="000000"/>
            </w:rPr>
            <w:t>4 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>
            <w:rPr>
              <w:color w:val="000000"/>
            </w:rPr>
            <w:t>5 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>
            <w:rPr>
              <w:color w:val="000000"/>
            </w:rPr>
            <w:t>6 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>
            <w:rPr>
              <w:color w:val="000000"/>
            </w:rPr>
            <w:t>7 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>
            <w:rPr>
              <w:color w:val="000000"/>
            </w:rPr>
            <w:t>8 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>
            <w:rPr>
              <w:color w:val="000000"/>
            </w:rPr>
            <w:t>9 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FB740C" w:rsidRDefault="001B69DB" w:rsidP="0064300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>
            <w:rPr>
              <w:color w:val="000000"/>
            </w:rPr>
            <w:t>0 </w:t>
          </w:r>
        </w:p>
      </w:tc>
    </w:tr>
  </w:tbl>
  <w:p w:rsidR="00FB740C" w:rsidRDefault="00FB740C" w:rsidP="0064300A">
    <w:pPr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E2205"/>
    <w:multiLevelType w:val="multilevel"/>
    <w:tmpl w:val="831A0D92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>
    <w:nsid w:val="1A9635DB"/>
    <w:multiLevelType w:val="multilevel"/>
    <w:tmpl w:val="8A2432B0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>
    <w:nsid w:val="7EB821A6"/>
    <w:multiLevelType w:val="multilevel"/>
    <w:tmpl w:val="4A82BA72"/>
    <w:lvl w:ilvl="0">
      <w:start w:val="1"/>
      <w:numFmt w:val="bullet"/>
      <w:pStyle w:val="Nadpis1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B740C"/>
    <w:rsid w:val="001B69DB"/>
    <w:rsid w:val="0064300A"/>
    <w:rsid w:val="00FB7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Nadpis1">
    <w:name w:val="heading 1"/>
    <w:basedOn w:val="Normlny"/>
    <w:next w:val="Nadpis2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</w:pPr>
    <w:rPr>
      <w:b/>
      <w:bCs/>
      <w:kern w:val="32"/>
    </w:rPr>
  </w:style>
  <w:style w:type="paragraph" w:styleId="Nadpis2">
    <w:name w:val="heading 2"/>
    <w:basedOn w:val="Normlny"/>
    <w:next w:val="Normlny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spacing w:before="100" w:beforeAutospacing="1" w:after="220"/>
      <w:jc w:val="center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adpis1Char">
    <w:name w:val="Nadpis 1 Char"/>
    <w:rPr>
      <w:b/>
      <w:bCs/>
      <w:w w:val="100"/>
      <w:kern w:val="32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Zkladntext">
    <w:name w:val="Základní text"/>
    <w:pPr>
      <w:suppressAutoHyphens/>
      <w:spacing w:after="24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</w:rPr>
  </w:style>
  <w:style w:type="paragraph" w:styleId="Textpoznmkypodiarou">
    <w:name w:val="footnote text"/>
    <w:basedOn w:val="Normlny"/>
    <w:rPr>
      <w:sz w:val="20"/>
      <w:szCs w:val="20"/>
    </w:rPr>
  </w:style>
  <w:style w:type="character" w:customStyle="1" w:styleId="TextpoznmkypodiarouChar">
    <w:name w:val="Text poznámky pod čiarou Char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Odkaznapoznmkupodi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customStyle="1" w:styleId="PtaChar">
    <w:name w:val="Päta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styleId="slostrany">
    <w:name w:val="page number"/>
    <w:basedOn w:val="Predvolenpsmoodseku"/>
    <w:rPr>
      <w:w w:val="100"/>
      <w:position w:val="-1"/>
      <w:effect w:val="none"/>
      <w:vertAlign w:val="baseline"/>
      <w:cs w:val="0"/>
      <w:em w:val="none"/>
    </w:rPr>
  </w:style>
  <w:style w:type="table" w:styleId="Mriekatabuky">
    <w:name w:val="Table Grid"/>
    <w:basedOn w:val="Normlnatabu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rPr>
      <w:rFonts w:ascii="Arial Narrow" w:hAnsi="Arial Narrow" w:cs="Arial Narrow"/>
      <w:b/>
      <w:bCs/>
      <w:w w:val="100"/>
      <w:kern w:val="28"/>
      <w:position w:val="-1"/>
      <w:sz w:val="32"/>
      <w:szCs w:val="32"/>
      <w:effect w:val="none"/>
      <w:vertAlign w:val="baseline"/>
      <w:cs w:val="0"/>
      <w:em w:val="none"/>
      <w:lang w:val="sk-SK"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character" w:customStyle="1" w:styleId="HlavikaChar">
    <w:name w:val="Hlavička Char"/>
    <w:rPr>
      <w:w w:val="100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paragraph" w:styleId="Zkladntext0">
    <w:name w:val="Body Text"/>
    <w:basedOn w:val="Normlny"/>
    <w:qFormat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rPr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table" w:customStyle="1" w:styleId="TableNormal0">
    <w:name w:val="Table Normal"/>
    <w:next w:val="TableNormal"/>
    <w:pPr>
      <w:widowControl w:val="0"/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/>
      <w:position w:val="-1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vrazneni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Nadpis1">
    <w:name w:val="heading 1"/>
    <w:basedOn w:val="Normlny"/>
    <w:next w:val="Nadpis2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</w:pPr>
    <w:rPr>
      <w:b/>
      <w:bCs/>
      <w:kern w:val="32"/>
    </w:rPr>
  </w:style>
  <w:style w:type="paragraph" w:styleId="Nadpis2">
    <w:name w:val="heading 2"/>
    <w:basedOn w:val="Normlny"/>
    <w:next w:val="Normlny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spacing w:before="100" w:beforeAutospacing="1" w:after="220"/>
      <w:jc w:val="center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adpis1Char">
    <w:name w:val="Nadpis 1 Char"/>
    <w:rPr>
      <w:b/>
      <w:bCs/>
      <w:w w:val="100"/>
      <w:kern w:val="32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Zkladntext">
    <w:name w:val="Základní text"/>
    <w:pPr>
      <w:suppressAutoHyphens/>
      <w:spacing w:after="24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</w:rPr>
  </w:style>
  <w:style w:type="paragraph" w:styleId="Textpoznmkypodiarou">
    <w:name w:val="footnote text"/>
    <w:basedOn w:val="Normlny"/>
    <w:rPr>
      <w:sz w:val="20"/>
      <w:szCs w:val="20"/>
    </w:rPr>
  </w:style>
  <w:style w:type="character" w:customStyle="1" w:styleId="TextpoznmkypodiarouChar">
    <w:name w:val="Text poznámky pod čiarou Char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Odkaznapoznmkupodi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customStyle="1" w:styleId="PtaChar">
    <w:name w:val="Päta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styleId="slostrany">
    <w:name w:val="page number"/>
    <w:basedOn w:val="Predvolenpsmoodseku"/>
    <w:rPr>
      <w:w w:val="100"/>
      <w:position w:val="-1"/>
      <w:effect w:val="none"/>
      <w:vertAlign w:val="baseline"/>
      <w:cs w:val="0"/>
      <w:em w:val="none"/>
    </w:rPr>
  </w:style>
  <w:style w:type="table" w:styleId="Mriekatabuky">
    <w:name w:val="Table Grid"/>
    <w:basedOn w:val="Normlnatabu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rPr>
      <w:rFonts w:ascii="Arial Narrow" w:hAnsi="Arial Narrow" w:cs="Arial Narrow"/>
      <w:b/>
      <w:bCs/>
      <w:w w:val="100"/>
      <w:kern w:val="28"/>
      <w:position w:val="-1"/>
      <w:sz w:val="32"/>
      <w:szCs w:val="32"/>
      <w:effect w:val="none"/>
      <w:vertAlign w:val="baseline"/>
      <w:cs w:val="0"/>
      <w:em w:val="none"/>
      <w:lang w:val="sk-SK"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character" w:customStyle="1" w:styleId="HlavikaChar">
    <w:name w:val="Hlavička Char"/>
    <w:rPr>
      <w:w w:val="100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paragraph" w:styleId="Zkladntext0">
    <w:name w:val="Body Text"/>
    <w:basedOn w:val="Normlny"/>
    <w:qFormat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rPr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table" w:customStyle="1" w:styleId="TableNormal0">
    <w:name w:val="Table Normal"/>
    <w:next w:val="TableNormal"/>
    <w:pPr>
      <w:widowControl w:val="0"/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/>
      <w:position w:val="-1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vrazneni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hPXh6VgWCMfz7RG1sk/2EM67oWg==">CgMxLjA4AHIhMXF6SXYxZmtCQTFTNjFTWU1CLWlhb0kxMlBKT1AxRlJH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1143</Words>
  <Characters>6520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2025-03-31T19:06:00Z</dcterms:created>
  <dcterms:modified xsi:type="dcterms:W3CDTF">2025-03-31T19:06:00Z</dcterms:modified>
</cp:coreProperties>
</file>