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keepNext w:val="true"/>
        <w:spacing w:lineRule="exact" w:line="240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>IČO 51908034    DIČ 2120828039</w:t>
      </w:r>
    </w:p>
    <w:p>
      <w:pPr>
        <w:pStyle w:val="Standard"/>
        <w:keepNext w:val="true"/>
        <w:spacing w:lineRule="exact" w:line="240"/>
        <w:jc w:val="center"/>
        <w:rPr>
          <w:rFonts w:eastAsia="Times New Roman" w:cs="Times New Roman"/>
          <w:b/>
          <w:color w:val="00000A"/>
          <w:sz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vertAlign w:val="subscript"/>
        </w:rPr>
        <w:t>POZNÁMKY K ÚČTOVNEJ ZÁVIERKE</w:t>
      </w:r>
    </w:p>
    <w:p>
      <w:pPr>
        <w:pStyle w:val="Standard"/>
        <w:spacing w:lineRule="exact" w:line="240"/>
        <w:jc w:val="center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jc w:val="center"/>
        <w:rPr>
          <w:rFonts w:eastAsia="Times New Roman" w:cs="Times New Roman"/>
          <w:b/>
          <w:color w:val="00000A"/>
          <w:sz w:val="44"/>
          <w:szCs w:val="44"/>
          <w:vertAlign w:val="subscript"/>
        </w:rPr>
      </w:pPr>
      <w:r>
        <w:rPr>
          <w:rFonts w:eastAsia="Times New Roman" w:cs="Times New Roman"/>
          <w:b/>
          <w:color w:val="00000A"/>
          <w:sz w:val="44"/>
          <w:szCs w:val="44"/>
          <w:vertAlign w:val="subscript"/>
        </w:rPr>
        <w:t>zostavenej ku dňu 31.12.2024</w:t>
      </w:r>
    </w:p>
    <w:p>
      <w:pPr>
        <w:pStyle w:val="Standard"/>
        <w:spacing w:lineRule="exact" w:line="240"/>
        <w:jc w:val="center"/>
        <w:rPr>
          <w:rFonts w:eastAsia="Times New Roman" w:cs="Times New Roman"/>
          <w:b/>
          <w:color w:val="00000A"/>
          <w:vertAlign w:val="subscript"/>
        </w:rPr>
      </w:pPr>
      <w:r>
        <w:rPr>
          <w:rFonts w:eastAsia="Times New Roman" w:cs="Times New Roman"/>
          <w:b/>
          <w:color w:val="00000A"/>
          <w:vertAlign w:val="subscript"/>
        </w:rPr>
      </w:r>
    </w:p>
    <w:p>
      <w:pPr>
        <w:pStyle w:val="Standard"/>
        <w:spacing w:lineRule="exact" w:line="240"/>
        <w:jc w:val="center"/>
        <w:rPr>
          <w:rFonts w:eastAsia="Times New Roman" w:cs="Times New Roman"/>
          <w:color w:val="00000A"/>
          <w:sz w:val="20"/>
          <w:vertAlign w:val="subscript"/>
        </w:rPr>
      </w:pPr>
      <w:r>
        <w:rPr>
          <w:rFonts w:eastAsia="Times New Roman" w:cs="Times New Roman"/>
          <w:color w:val="00000A"/>
          <w:sz w:val="20"/>
          <w:vertAlign w:val="subscript"/>
        </w:rPr>
        <w:t>podľa opatrenia Ministerstva financií Slovenskej republiky</w:t>
      </w:r>
    </w:p>
    <w:p>
      <w:pPr>
        <w:pStyle w:val="Standard"/>
        <w:spacing w:lineRule="exact" w:line="240"/>
        <w:jc w:val="center"/>
        <w:rPr>
          <w:rFonts w:eastAsia="Times New Roman" w:cs="Times New Roman"/>
          <w:color w:val="00000A"/>
          <w:sz w:val="20"/>
          <w:vertAlign w:val="subscript"/>
        </w:rPr>
      </w:pPr>
      <w:r>
        <w:rPr>
          <w:rFonts w:eastAsia="Times New Roman" w:cs="Times New Roman"/>
          <w:color w:val="00000A"/>
          <w:sz w:val="20"/>
          <w:vertAlign w:val="subscript"/>
        </w:rPr>
        <w:t>č.MF/15464/2013-74 v znení č.MF/18008/2014-74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</w:t>
      </w:r>
    </w:p>
    <w:p>
      <w:pPr>
        <w:pStyle w:val="Standard"/>
        <w:spacing w:lineRule="exact" w:line="240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Všeobecné údaje</w:t>
      </w:r>
    </w:p>
    <w:p>
      <w:pPr>
        <w:pStyle w:val="Standard"/>
        <w:spacing w:lineRule="exact" w:line="240"/>
        <w:jc w:val="center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numPr>
          <w:ilvl w:val="0"/>
          <w:numId w:val="1"/>
        </w:numPr>
        <w:spacing w:lineRule="exact" w:line="240"/>
        <w:ind w:hanging="0" w:left="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Názov právnickej osoby a jej sídlo alebo meno a priezvisko fyzickej osoby:</w:t>
      </w:r>
    </w:p>
    <w:p>
      <w:pPr>
        <w:pStyle w:val="Standard"/>
        <w:spacing w:lineRule="exact" w:line="240"/>
        <w:jc w:val="center"/>
        <w:rPr>
          <w:rFonts w:eastAsia="Times New Roman" w:cs="Times New Roman"/>
          <w:b/>
          <w:color w:val="00000A"/>
          <w:vertAlign w:val="subscript"/>
        </w:rPr>
      </w:pPr>
      <w:r>
        <w:rPr>
          <w:rFonts w:eastAsia="Times New Roman" w:cs="Times New Roman"/>
          <w:b/>
          <w:color w:val="00000A"/>
          <w:vertAlign w:val="subscript"/>
        </w:rPr>
      </w:r>
    </w:p>
    <w:p>
      <w:pPr>
        <w:pStyle w:val="Standard"/>
        <w:spacing w:lineRule="exact" w:line="240"/>
        <w:jc w:val="center"/>
        <w:rPr>
          <w:rFonts w:eastAsia="Times New Roman" w:cs="Times New Roman"/>
          <w:b/>
          <w:color w:val="00000A"/>
          <w:sz w:val="32"/>
          <w:szCs w:val="32"/>
          <w:vertAlign w:val="subscript"/>
        </w:rPr>
      </w:pPr>
      <w:r>
        <w:rPr>
          <w:rFonts w:eastAsia="Times New Roman" w:cs="Times New Roman"/>
          <w:b/>
          <w:color w:val="00000A"/>
          <w:sz w:val="32"/>
          <w:szCs w:val="32"/>
          <w:vertAlign w:val="subscript"/>
        </w:rPr>
        <w:t>RAWEN Consulting s.r.o, Hciezdoslavova 45, 974 01 Banská Bystrica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Účtovná jednotka nie je súčasťou konsolidovaného celku.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 xml:space="preserve">(3) Priemerný prepočítaný počet zamestnancov: </w:t>
      </w:r>
      <w:r>
        <w:rPr>
          <w:rFonts w:eastAsia="Times New Roman" w:cs="Times New Roman"/>
          <w:color w:val="000000"/>
          <w:sz w:val="23"/>
          <w:vertAlign w:val="subscript"/>
        </w:rPr>
        <w:t>0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</w:t>
      </w:r>
    </w:p>
    <w:p>
      <w:pPr>
        <w:pStyle w:val="Standard"/>
        <w:spacing w:lineRule="exact" w:line="240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 o prijatých postupoch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Účtovná závierka je zostavená, účtovná jednotka bude nepretržite pokračovať vo svojej činnosti.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Spôsob oceňovania jednotlivých položiek majetku a záväzkov, a to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dlhodobého nehmotného majetku, dlhodobého hmotného majetku a dlhodobého finančného majetku: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nakupovaný sa ocení v obstarávacích cenách, ktoré zahŕňajú cenu majetku, a náklady súvisiace s jeho obstarávaním (clo, prepravu, montáž a pod, )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Dlhodobý majetok vytvorený vlastnou činnosťou sa oceňuje vlastnými nákladmi. Vlastnými nákladmi sú všetky priame náklady vynaložené na výrobu alebo inú činnosť a nepriame náklady, ktoré sa vzťahujú na výrobu alebo inú činnosť.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zásob obstaraných kúpou, zásob vytvorených vlastnou činnosťou: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Zásoby nakupované sa ocenia v obstarávacích cenách, ktoré zahŕňajú cenu zásob a náklady súvisiace s jeho obstarávaním (clo, prepravu, montáž a pod, )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Spoločnosť neprevádzkuje vlastnú výrobu, pri ktorej vznikajú vnútroorganizačné zásoby.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pohľadávok: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Pohľadávky pri vzniku sa oceňujú ich menovitou hodnotou. Postúpené pohľadávky a pohľadávky nadobudnuté vkladom do základného imania sa oceňujú obstarávacou cenou vrátane nákladov súvisiacich s obstaraním. Toto obstaranie sa znižuje o pochybné a nevymožiteľné pohľadávky.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krátkodobého finančného majetku: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Peňažné prostriedky a ceniny sa oceňujú ich menovitou hodnotou.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záväzkov vrátane rezerv, dlhopisov, pôžičiek a úverov: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Rezervy sa tvoria na krytie známych rizík, alebo strát z podnikania. Oceňujú sa v očakávanej výške záväzku.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Záväzky (vrátane dlhopisov, pôžičiek a úverov) sa pri ich vzniku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f) derivátových operácií: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neobchoduje s derivátmi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Spôsob zostavenia odpisového plánu pre jednotlivé druhy dlhodobého hmotného majetku a dlhodobého nehmotného majetku, uvádzame dobu odpisovania, použité sadzby odpisov a odpisové metódy pri určení odpisov: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Dlhodobý hmotný majetok sa odpisuje rovnomerne alebo zrýchlene na základe jeho predpokladanej ekonomickej životnosti, v súlade s ustanoveniami zákona NR SR č. 595/2003 Zb. O daniach z príjmov,  §§ 22-29.</w:t>
        <w:tab/>
        <w:tab/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Drobný nehmotný majetok, ktorého cena je nižšia ako 2400 EUR a drobný hmotný majetok, ktorého cena je nižšia ko 1700 EUR sa odpisuje jednorazovo, pri uvedení do používania.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Zmeny účtovných zásad a zmeny účtovných metód a dôvod týchto zmien, vy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íslenie ich vplyvu na finančnú hodnotu majetku, záväzkov, základného imania a výsledku hospodárenia účtovnej jednotky: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zmeny účtovných zásad a zmeny účtovných metód neboli vykonané.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dotáciách a ich oceňovanie v účtovníctve: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neprijala žiadne dotácie.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účtovaní opráv chýb minulých účtovných období: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informácie o účtovaní významných opráv chýb minulých účtovných období v bežnom účtovnom období a ich vplyv na nerozdelený zisk minulých rokov alebo neuhradenú stratu minulých rokov: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významných opravách chýb minulých účtovných období.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informácie o účtovaní nevýznamných opráv chýb minulých účtovných období v bežnom účtovnom období a ich vplyv na nerozdelený zisk minulých rokov alebo neuhradenú stratu minulých rokov: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neúčtovala o nevýznamných opravách chýb minulých účtovných období.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Čl. III</w:t>
      </w:r>
    </w:p>
    <w:p>
      <w:pPr>
        <w:pStyle w:val="Standard"/>
        <w:spacing w:lineRule="exact" w:line="240"/>
        <w:jc w:val="center"/>
        <w:rPr>
          <w:rFonts w:eastAsia="Times New Roman" w:cs="Times New Roman"/>
          <w:b/>
          <w:color w:val="000000"/>
          <w:sz w:val="23"/>
          <w:vertAlign w:val="subscript"/>
        </w:rPr>
      </w:pPr>
      <w:r>
        <w:rPr>
          <w:rFonts w:eastAsia="Times New Roman" w:cs="Times New Roman"/>
          <w:b/>
          <w:color w:val="000000"/>
          <w:sz w:val="23"/>
          <w:vertAlign w:val="subscript"/>
        </w:rPr>
        <w:t>Informácie, ktoré vysvetľujú a dopĺňajú súvahu a výkaz ziskov a strát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 výnimočné položky nákladov alebo výnosov nevznikli.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(2) Informácie o záväzkoch: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záväzkov so zostatkovou dobou splatnosti dlhšou ako päť rokov: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0.00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zabezpečených záväzkov, opis a spôsoby zabezpečenia záväzkov: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nemá žiadne zabezpečené záväzky.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(3) Spoločnosť neemitovala vlastné akcie.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(4) Informácie o orgánoch účtovnej jednotky: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výška jednotlivých druhov záruk alebo iných zabezpečení poskytnutých pre členov štatutárneho orgánu, dozorného orgánu a iného orgánu účtovnej jednotky, a to v členení za jednotlivé orgány: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pôžičky poskytnuté členom štatutárneho orgánu, dozorného orgánu a iného orgánu účtovnej jednotky a to: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celková suma poskytnutých pôžičiek k poslednému dňu účtovného obdobia v členení za jednotlivé orgány: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celková suma splatených pôžičiek k poslednému dňu účtovného obdobia v členení za jednotlivé orgány: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3. celková suma odpustených pôžičiek a odpísaných pôžičiek k poslednému dňu účtovného obdobia v členení za jednotlivé orgány: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hlavné podmienky, na základe ktorých im boli záruky alebo iné zabezpečenie a pôžičky poskytnuté, pri pôžičkách sa uvádzajú úrokové sadzby: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použitých finančných prostriedkov alebo iného plnenia na súkromné účely členmi štatutárneho orgánu, dozorného orgánu a iného orgánu účtovnej jednotky, ktoré je potrebné vyúčtovať: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(5) Informácie o povinnostiach účtovnej jednotky: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a) celková suma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b) celková suma významných podmienených záväzkov, a to: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1. možná povinnosť, ktorá vznikla ako dôsledok minulej udalosti a ktorej existencia závisí od toho, či nastane alebo nenastane jedna alebo viac neistých udalostí v budúcnosti, ktorých vznik nezávisí od účtovnej jednotky: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2. existujúca povinnosť, ktorá vznikla ako dôsledok minulej udalosti, ale ktorá sa nevykazuje v súvahe, pretože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2a. nie je pravdepodobné, že na splnenie tejto povinnosti bude potrebný úbytok ekonomických úžitkov, alebo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2b. výška tejto povinnosti sa nedá spoľahlivo oceniť: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žiadna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c) opis významných finančných povinností a významných podmienených záväzkov: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d) celková suma významných finančných povinností a významných podmienených záväzkoch voči dcérskej účtovnej jednotke a účtovnej jednotke s podstatným vplyvom: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e) opis významných povinností účtovnej jednotky vyplývajúcich z dôchodkových programov pre zamestnancov: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žiadne</w:t>
      </w:r>
    </w:p>
    <w:p>
      <w:pPr>
        <w:pStyle w:val="Standard"/>
        <w:spacing w:lineRule="exact" w:line="240"/>
        <w:rPr>
          <w:rFonts w:eastAsia="Times New Roman" w:cs="Times New Roman"/>
          <w:color w:val="00000A"/>
          <w:vertAlign w:val="subscript"/>
        </w:rPr>
      </w:pPr>
      <w:r>
        <w:rPr>
          <w:rFonts w:eastAsia="Times New Roman" w:cs="Times New Roman"/>
          <w:color w:val="00000A"/>
          <w:vertAlign w:val="subscript"/>
        </w:rPr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>(6) Informácie o udelení výlučného práva alebo osobitného práva, ktorým sa udelilo právo poskytovať služby vo verejnom záujme, pričom sa uvádza náhrada za túto činnosť v akejkoľvek forme:</w:t>
      </w:r>
    </w:p>
    <w:p>
      <w:pPr>
        <w:pStyle w:val="Standard"/>
        <w:spacing w:lineRule="exact" w:line="240"/>
        <w:rPr>
          <w:rFonts w:eastAsia="Times New Roman" w:cs="Times New Roman"/>
          <w:color w:val="000000"/>
          <w:sz w:val="23"/>
          <w:vertAlign w:val="subscript"/>
        </w:rPr>
      </w:pPr>
      <w:r>
        <w:rPr>
          <w:rFonts w:eastAsia="Times New Roman" w:cs="Times New Roman"/>
          <w:color w:val="000000"/>
          <w:sz w:val="23"/>
          <w:vertAlign w:val="subscript"/>
        </w:rPr>
        <w:tab/>
        <w:t>Spoločnosť neposkytuje služby vo verejnom záujme.</w:t>
      </w:r>
    </w:p>
    <w:p>
      <w:pPr>
        <w:pStyle w:val="Standard"/>
        <w:spacing w:lineRule="exact" w:line="276" w:before="0" w:after="200"/>
        <w:rPr/>
      </w:pPr>
      <w:r>
        <w:rPr/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Arial"/>
        <w:kern w:val="2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Arial"/>
      <w:color w:val="auto"/>
      <w:kern w:val="2"/>
      <w:sz w:val="24"/>
      <w:szCs w:val="24"/>
      <w:lang w:val="sk-SK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ymbolypreslovanie" w:customStyle="1">
    <w:name w:val="Symboly pre číslovanie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Register" w:customStyle="1">
    <w:name w:val="Register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SimSun" w:cs="Arial"/>
      <w:color w:val="auto"/>
      <w:kern w:val="2"/>
      <w:sz w:val="24"/>
      <w:szCs w:val="24"/>
      <w:lang w:val="sk-SK" w:eastAsia="zh-CN" w:bidi="hi-IN"/>
    </w:rPr>
  </w:style>
  <w:style w:type="paragraph" w:styleId="Title">
    <w:name w:val="Title"/>
    <w:basedOn w:val="Standard"/>
    <w:next w:val="Textbody"/>
    <w:uiPriority w:val="10"/>
    <w:qFormat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Subtitle">
    <w:name w:val="Subtitle"/>
    <w:basedOn w:val="Title"/>
    <w:next w:val="Textbody"/>
    <w:uiPriority w:val="11"/>
    <w:qFormat/>
    <w:pPr>
      <w:jc w:val="center"/>
    </w:pPr>
    <w:rPr>
      <w:i/>
      <w:iCs/>
    </w:rPr>
  </w:style>
  <w:style w:type="numbering" w:styleId="Bezzoznamu" w:default="1">
    <w:name w:val="Bez zoznamu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LibreOffice/25.2.5.2$Windows_X86_64 LibreOffice_project/03d19516eb2e1dd5d4ccd751a0d6f35f35e08022</Application>
  <AppVersion>15.0000</AppVersion>
  <Pages>3</Pages>
  <Words>1014</Words>
  <Characters>6308</Characters>
  <CharactersWithSpaces>7269</CharactersWithSpaces>
  <Paragraphs>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2025-06-24T13:03:00Z</dcterms:created>
  <dc:creator>Anna</dc:creator>
  <dc:description/>
  <dc:language>sk-SK</dc:language>
  <cp:lastModifiedBy/>
  <dcterms:modified xsi:type="dcterms:W3CDTF">2025-10-12T21:15:56Z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