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w:body>
    <w:p>
      <w:pPr>
        <w:ind w:left="720"/>
        <w:spacing w:after="6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VŠEOBECNÉ INFORMÁCIE</w:t>
      </w:r>
    </w:p>
    <w:p>
      <w:pPr>
        <w:jc w:val="both"/>
        <w:ind w:left="426"/>
      </w:pPr>
      <w:r>
        <w:rPr>
          <w:rFonts w:ascii="Times New Roman" w:hAnsi="Times New Roman" w:cs="Times New Roman"/>
          <w:sz w:val="18"/>
          <w:sz-cs w:val="18"/>
          <w:b/>
          <w:spacing w:val="0"/>
          <w:color w:val="00000A"/>
        </w:rPr>
        <w:t xml:space="preserve"/>
      </w:r>
    </w:p>
    <w:p>
      <w:pPr>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Obchodné meno a sídlo spoločnosti:</w:t>
      </w:r>
    </w:p>
    <w:p>
      <w:pPr>
        <w:jc w:val="both"/>
        <w:ind w:left="426"/>
      </w:pPr>
      <w:r>
        <w:rPr>
          <w:rFonts w:ascii="Times New Roman" w:hAnsi="Times New Roman" w:cs="Times New Roman"/>
          <w:sz w:val="18"/>
          <w:sz-cs w:val="18"/>
          <w:spacing w:val="0"/>
          <w:color w:val="00000A"/>
        </w:rPr>
        <w:t xml:space="preserve">Riska Construction Solutions s.r.o.</w:t>
      </w:r>
    </w:p>
    <w:p>
      <w:pPr>
        <w:jc w:val="both"/>
        <w:ind w:left="426"/>
      </w:pPr>
      <w:r>
        <w:rPr>
          <w:rFonts w:ascii="Times New Roman" w:hAnsi="Times New Roman" w:cs="Times New Roman"/>
          <w:sz w:val="18"/>
          <w:sz-cs w:val="18"/>
          <w:spacing w:val="0"/>
          <w:color w:val="00000A"/>
        </w:rPr>
        <w:t xml:space="preserve">Vnútorná 183/2</w:t>
      </w:r>
    </w:p>
    <w:p>
      <w:pPr>
        <w:jc w:val="both"/>
        <w:ind w:left="426"/>
      </w:pPr>
      <w:r>
        <w:rPr>
          <w:rFonts w:ascii="Times New Roman" w:hAnsi="Times New Roman" w:cs="Times New Roman"/>
          <w:sz w:val="18"/>
          <w:sz-cs w:val="18"/>
          <w:spacing w:val="0"/>
          <w:color w:val="00000A"/>
        </w:rPr>
        <w:t xml:space="preserve">930 34 Holice</w:t>
      </w:r>
    </w:p>
    <w:p>
      <w:pPr>
        <w:jc w:val="both"/>
        <w:ind w:left="426"/>
      </w:pPr>
      <w:r>
        <w:rPr>
          <w:rFonts w:ascii="Times New Roman" w:hAnsi="Times New Roman" w:cs="Times New Roman"/>
          <w:sz w:val="18"/>
          <w:sz-cs w:val="18"/>
          <w:spacing w:val="0"/>
          <w:color w:val="00000A"/>
        </w:rPr>
        <w:t xml:space="preserve">IČO: 47529105</w:t>
      </w:r>
    </w:p>
    <w:p>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Informácie o skupine </w:t>
      </w:r>
    </w:p>
    <w:p>
      <w:pPr>
        <w:jc w:val="both"/>
        <w:ind w:left="426"/>
      </w:pPr>
      <w:r>
        <w:rPr>
          <w:rFonts w:ascii="Times New Roman" w:hAnsi="Times New Roman" w:cs="Times New Roman"/>
          <w:sz w:val="18"/>
          <w:sz-cs w:val="18"/>
          <w:spacing w:val="0"/>
          <w:color w:val="00000A"/>
        </w:rPr>
        <w:t xml:space="preserve">Spoločnosť nemá povinnosť zostaviť konsolidovanú účtovnú závierku. Spoločnosť nie je v žiadnej skupine.</w:t>
      </w:r>
    </w:p>
    <w:p>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Priemerný prepočítaný počet zamestnancov </w:t>
      </w:r>
    </w:p>
    <w:p>
      <w:pPr>
        <w:jc w:val="both"/>
        <w:ind w:left="426"/>
      </w:pPr>
      <w:r>
        <w:rPr>
          <w:rFonts w:ascii="Times New Roman" w:hAnsi="Times New Roman" w:cs="Times New Roman"/>
          <w:sz w:val="18"/>
          <w:sz-cs w:val="18"/>
          <w:spacing w:val="0"/>
          <w:color w:val="00000A"/>
        </w:rPr>
        <w:t xml:space="preserve">Priemerný prepočítaný počet zamestnancov Spoločnosti v účtovnom období 2023 bol 0 (v účtovnom období 2022 bol 0).</w:t>
      </w:r>
    </w:p>
    <w:p>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Informácie o PRIJATÝCH POSTUPOCH </w:t>
      </w:r>
    </w:p>
    <w:p>
      <w:pPr>
        <w:jc w:val="both"/>
        <w:ind w:left="786"/>
      </w:pPr>
      <w:r>
        <w:rPr>
          <w:rFonts w:ascii="Times New Roman" w:hAnsi="Times New Roman" w:cs="Times New Roman"/>
          <w:sz w:val="18"/>
          <w:sz-cs w:val="18"/>
          <w:b/>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Východiská pre zostavenie účtovnej závierky</w:t>
      </w:r>
    </w:p>
    <w:p>
      <w:pPr>
        <w:jc w:val="both"/>
        <w:ind w:left="450"/>
      </w:pPr>
      <w:r>
        <w:rPr>
          <w:rFonts w:ascii="Times New Roman" w:hAnsi="Times New Roman" w:cs="Times New Roman"/>
          <w:sz w:val="18"/>
          <w:sz-cs w:val="18"/>
          <w:spacing w:val="0"/>
          <w:color w:val="00000A"/>
        </w:rPr>
        <w:t xml:space="preserve">Účtovná závierka bola zostavená za predpokladu, že Spoločnosť bude nepretržite pokračovať vo svojej činnosti (going concern). </w:t>
      </w:r>
    </w:p>
    <w:p>
      <w:pPr>
        <w:spacing w:after="160"/>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Dlhodobý nehmotný majetok a dlhodobý hmotný majetok</w:t>
      </w:r>
    </w:p>
    <w:p>
      <w:pPr>
        <w:jc w:val="both"/>
        <w:ind w:left="426"/>
      </w:pPr>
      <w:r>
        <w:rPr>
          <w:rFonts w:ascii="Times New Roman" w:hAnsi="Times New Roman" w:cs="Times New Roman"/>
          <w:sz w:val="18"/>
          <w:sz-cs w:val="18"/>
          <w:spacing w:val="0"/>
          <w:color w:val="00000A"/>
        </w:rPr>
        <w:t xml:space="preserve">Dlhodobý majetok nakupovaný sa oceňuje obstarávacou cenou, ktorá zahŕňa cenu obstarania a náklady súvisiace s obstaraním (clo, prepravu, montáž, poistné a pod.), zníženú o dobropisy, skontá, rabaty, zľavy z ceny, bonusy a pod.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Súčasťou obstarávacej ceny dlhodobého majetku nie sú úroky z úverov, ktoré vznikli do momentu uvedenia dlhodobého majetku do používania.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Dlhodobý majetok vytvorený vlastnou činnosťou sa oceňuje vlastnými nákladmi. Vlastnými nákladmi sú všetky priame náklady vynaložené na výrobu alebo inú činnosť a nepriame náklady, ktoré sa vzťahujú na výrobu alebo inú činnosť.</w:t>
      </w:r>
    </w:p>
    <w:p>
      <w:pPr>
        <w:jc w:val="both"/>
        <w:ind w:left="426"/>
      </w:pPr>
      <w:r>
        <w:rPr>
          <w:rFonts w:ascii="Times New Roman" w:hAnsi="Times New Roman" w:cs="Times New Roman"/>
          <w:sz w:val="18"/>
          <w:sz-cs w:val="18"/>
          <w:spacing w:val="0"/>
          <w:color w:val="00000A"/>
        </w:rPr>
        <w:t xml:space="preserve"/>
        <w:tab/>
        <w:t xml:space="preserve"/>
      </w:r>
    </w:p>
    <w:p>
      <w:pPr>
        <w:jc w:val="both"/>
        <w:ind w:left="426"/>
      </w:pPr>
      <w:r>
        <w:rPr>
          <w:rFonts w:ascii="Times New Roman" w:hAnsi="Times New Roman" w:cs="Times New Roman"/>
          <w:sz w:val="18"/>
          <w:sz-cs w:val="18"/>
          <w:spacing w:val="0"/>
          <w:color w:val="00000A"/>
        </w:rPr>
        <w:t xml:space="preserve">Náklady na výskum sa neaktivujú a účtujú sa do nákladov v účtovných obdobiach, v ktorých vznikli. Dlhodobý nehmotný majetok vytvorený vývojom alebo v priebehu jeho vývoja sa aktivuje, ak je možné preukázať:</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možnosť jeho technického dokončenia tak, že ho bude možné použiť alebo predať,</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zámer jeho dokončenia, používania alebo predaja,</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schopnosť účtovnej jednotky jeho používania a predaja,</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spôsob vytvárania budúcich ekonomických úžitkov a existenciu trhu pre výstupy dlhodobého nehmotného majetku alebo pre dlhodobý nehmotný majetok sám o sebe, alebo, ak bude používaný vo vnútri účtovnej jednotky jeho použiteľnosť,</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dostupnosť zodpovedajúcich technických zdrojov, finančných zdrojov a ostatných zdrojov pre dokončenie jeho vývoja, použitie alebo predaj,</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spoľahlivé ocenenie nákladov súvisiacich s jeho obstaraním v priebehu vývoja. </w:t>
      </w:r>
    </w:p>
    <w:p>
      <w:pPr>
        <w:jc w:val="both"/>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Odpisy dlhodobého nehmotného majetku sú stanovené vychádzajúc z predpokladanej doby jeho používania a predpokladaného priebehu jeho opotrebenia. </w:t>
      </w:r>
    </w:p>
    <w:p>
      <w:pPr>
        <w:spacing w:after="160"/>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Predpokladaná doba používania, metóda odpisovania a odpisová sadzba sú uvedené v nasledujúcej tabuľke:</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Metódy odpisovania, doby použiteľnosti a zostatkové hodnoty sa prehodnocujú ku dňu, ku ktorému sa zostavuje účtovná závierka, a ak je to potrebné, urobia sa úpravy.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Odpisy dlhodobého hmotného majetku sú stanovené vychádzajúc z predpokladanej doby jeho používania a predpokladaného priebehu jeho opotrebenia. Pozemky sa neodpisujú.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Predpokladaná doba používania, metóda odpisovania a odpisová sadzba sú uvedené v nasledujúcej tabuľke:</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Metódy odpisovania, doby použiteľnosti a zostatkové hodnoty sa prehodnocujú ku dňu, ku ktorému sa zostavuje účtovná závierka, a ak je to potrebné, urobia sa úpravy. </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Dlhodobý finančný majetok</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Ku dňu, ku ktorému sa zostavuje účtovná závierka sa dlhodobý finančný majetok oceňuje obstarávacou cenou upravenou o prípadné zníženie ich hodnoty oproti ich oceneniu v účtovníctve. </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Zásoby </w:t>
      </w:r>
    </w:p>
    <w:p>
      <w:pPr>
        <w:jc w:val="both"/>
        <w:ind w:left="426"/>
      </w:pPr>
      <w:r>
        <w:rPr>
          <w:rFonts w:ascii="Times New Roman" w:hAnsi="Times New Roman" w:cs="Times New Roman"/>
          <w:sz w:val="18"/>
          <w:sz-cs w:val="18"/>
          <w:spacing w:val="0"/>
          <w:color w:val="00000A"/>
        </w:rPr>
        <w:t xml:space="preserve">Zásoby sa oceňujú nižšou z nasledujúcich hodnôt: obstarávacou cenou (nakupované zásoby) alebo vlastnými nákladmi (zásoby vytvorené vlastnou činnosťou), alebo čistou realizačnou hodnotou.</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Čistá realizačná hodnota je predpokladaná predajná cena zásob znížená o predpokladané náklady na ich dokončenie a o predpokladané náklady súvisiace s ich predajom.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Zníženie hodnoty zásob sa zohľadňuje vytvorením opravnej položky.</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Pohľadávky</w:t>
      </w:r>
    </w:p>
    <w:p>
      <w:pPr>
        <w:jc w:val="both"/>
        <w:ind w:left="426"/>
      </w:pPr>
      <w:r>
        <w:rPr>
          <w:rFonts w:ascii="Times New Roman" w:hAnsi="Times New Roman" w:cs="Times New Roman"/>
          <w:sz w:val="18"/>
          <w:sz-cs w:val="18"/>
          <w:spacing w:val="0"/>
          <w:color w:val="00000A"/>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Krátkodobý finančný majetok</w:t>
      </w:r>
    </w:p>
    <w:p>
      <w:pPr>
        <w:jc w:val="both"/>
        <w:ind w:left="426"/>
      </w:pPr>
      <w:r>
        <w:rPr>
          <w:rFonts w:ascii="Times New Roman" w:hAnsi="Times New Roman" w:cs="Times New Roman"/>
          <w:sz w:val="18"/>
          <w:sz-cs w:val="18"/>
          <w:spacing w:val="0"/>
          <w:color w:val="00000A"/>
        </w:rPr>
        <w:t xml:space="preserve">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Vlastné akcie a vlastné obchodné podiely</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Vlastné akcie a vlastné obchodné podiely sa oceňujú obstarávacou cenou. Na vlastné akcie a vlastné obchodné podiely sa vo vlastnom imaní vytvára rezervný fond. </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Finančné účty</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Finančné účty tvorí peňažná hotovosť a zostatky na bankových účtoch a oceňujú sa menovitou hodnotou. Zníženie ich hodnoty sa vyjadruje opravnou položkou. </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Náklady budúcich období a príjmy budúcich období</w:t>
      </w:r>
    </w:p>
    <w:p>
      <w:pPr>
        <w:jc w:val="both"/>
        <w:ind w:left="426"/>
      </w:pPr>
      <w:r>
        <w:rPr>
          <w:rFonts w:ascii="Times New Roman" w:hAnsi="Times New Roman" w:cs="Times New Roman"/>
          <w:sz w:val="18"/>
          <w:sz-cs w:val="18"/>
          <w:spacing w:val="0"/>
          <w:color w:val="00000A"/>
        </w:rPr>
        <w:t xml:space="preserve">Náklady budúcich období a príjmy budúcich období sa vykazujú vo výške, ktorá je potrebná na dodržanie zásady vecnej a časovej súvislosti s účtovným obdobím.</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Zníženie hodnoty majetku a opravné položky</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Záväzky, dlhopisy, úvery a pôžičky</w:t>
      </w:r>
    </w:p>
    <w:p>
      <w:pPr>
        <w:jc w:val="both"/>
        <w:ind w:left="426"/>
      </w:pPr>
      <w:r>
        <w:rPr>
          <w:rFonts w:ascii="Times New Roman" w:hAnsi="Times New Roman" w:cs="Times New Roman"/>
          <w:sz w:val="18"/>
          <w:sz-cs w:val="18"/>
          <w:spacing w:val="0"/>
          <w:color w:val="00000A"/>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Rezervy</w:t>
      </w:r>
    </w:p>
    <w:p>
      <w:pPr>
        <w:jc w:val="both"/>
        <w:ind w:left="426"/>
      </w:pPr>
      <w:r>
        <w:rPr>
          <w:rFonts w:ascii="Times New Roman" w:hAnsi="Times New Roman" w:cs="Times New Roman"/>
          <w:sz w:val="18"/>
          <w:sz-cs w:val="18"/>
          <w:spacing w:val="0"/>
          <w:color w:val="00000A"/>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Tvorba rezervy na bonusy, rabaty, skontá a vrátenie kúpnej ceny pri reklamácii sa účtuje ako zníženie pôvodne dosiahnutých výnosov so súvzťažným zápisom v prospech účtu rezerv. </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ind w:left="426"/>
      </w:pPr>
      <w:r>
        <w:rPr>
          <w:rFonts w:ascii="Times New Roman" w:hAnsi="Times New Roman" w:cs="Times New Roman"/>
          <w:sz w:val="18"/>
          <w:sz-cs w:val="18"/>
          <w:b/>
          <w:spacing w:val="0"/>
          <w:color w:val="00000A"/>
        </w:rPr>
        <w:t xml:space="preserve">Nevyfakturované dodávky majetku</w:t>
      </w:r>
    </w:p>
    <w:p>
      <w:pPr>
        <w:jc w:val="both"/>
        <w:ind w:left="426"/>
      </w:pPr>
      <w:r>
        <w:rPr>
          <w:rFonts w:ascii="Times New Roman" w:hAnsi="Times New Roman" w:cs="Times New Roman"/>
          <w:sz w:val="18"/>
          <w:sz-cs w:val="18"/>
          <w:spacing w:val="0"/>
          <w:color w:val="00000A"/>
        </w:rPr>
        <w:t xml:space="preserve">Rezervy na nevyfakturované dodávky majetku sa nevykazujú s vplyvom na výsledok hospodárenia a oceňujú sa v odhadovanej výške záväzku.</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Výdavky budúcich období a výnosy budúcich období</w:t>
      </w:r>
    </w:p>
    <w:p>
      <w:pPr>
        <w:jc w:val="both"/>
        <w:ind w:left="426"/>
      </w:pPr>
      <w:r>
        <w:rPr>
          <w:rFonts w:ascii="Times New Roman" w:hAnsi="Times New Roman" w:cs="Times New Roman"/>
          <w:sz w:val="18"/>
          <w:sz-cs w:val="18"/>
          <w:spacing w:val="0"/>
          <w:color w:val="00000A"/>
        </w:rPr>
        <w:t xml:space="preserve">Výdavky budúcich období a výnosy budúcich období sa vykazujú vo výške, ktorá je potrebná na dodržanie zásady vecnej a časovej súvislosti s účtovným obdobím.</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Deriváty</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Účtovná jednotka nemá náplň.</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Cudzia mena</w:t>
      </w:r>
    </w:p>
    <w:p>
      <w:pPr>
        <w:jc w:val="both"/>
        <w:ind w:left="426"/>
      </w:pPr>
      <w:r>
        <w:rPr>
          <w:rFonts w:ascii="Times New Roman" w:hAnsi="Times New Roman" w:cs="Times New Roman"/>
          <w:sz w:val="18"/>
          <w:sz-cs w:val="18"/>
          <w:spacing w:val="0"/>
          <w:color w:val="00000A"/>
        </w:rPr>
        <w:t xml:space="preserve">Pri cudzej mene sa postupuje podľa zákona.</w:t>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 Výnosy</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Tržby za vlastné výkony a tovar neobsahujú daň z pridanej hodnoty. Sú tiež znížené o zľavy a zrážky (rabaty, bonusy, skontá, dobropisy a pod.), bez ohľadu na to, či zákazník mal vopred na zľavu nárok, alebo či ide o dodatočne uznanú zľavu.</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Tržby z predaja výrobkov a tovaru sa vykazujú v deň splnenia dodávky podľa Obchodného zákonníka, podľa Incoterms alebo iných podmienok dohodnutých v zmluve. </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Tržby z predaja služieb sa vykazujú v účtovnom období, v ktorom boli služby poskytnuté.</w:t>
      </w:r>
    </w:p>
    <w:p>
      <w:pPr>
        <w:jc w:val="both"/>
        <w:ind w:left="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Oprava chýb minulých období</w:t>
      </w:r>
    </w:p>
    <w:p>
      <w:pPr>
        <w:jc w:val="both"/>
        <w:ind w:left="426"/>
      </w:pPr>
      <w:r>
        <w:rPr>
          <w:rFonts w:ascii="Times New Roman" w:hAnsi="Times New Roman" w:cs="Times New Roman"/>
          <w:sz w:val="18"/>
          <w:sz-cs w:val="18"/>
          <w:spacing w:val="0"/>
          <w:color w:val="00000A"/>
        </w:rPr>
        <w:t xml:space="preserve">V roku 2023 nebola vykonaná žiadna oprava chýb minulých období.</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informáciE K POLOŽKÁM súvahy a VÝKAZU ZISKOV A STRÁT</w:t>
      </w:r>
    </w:p>
    <w:p>
      <w:pPr>
        <w:jc w:val="both"/>
        <w:ind w:left="426"/>
      </w:pPr>
      <w:r>
        <w:rPr>
          <w:rFonts w:ascii="Times New Roman" w:hAnsi="Times New Roman" w:cs="Times New Roman"/>
          <w:sz w:val="18"/>
          <w:sz-cs w:val="18"/>
          <w:b/>
          <w:spacing w:val="0"/>
          <w:color w:val="00000A"/>
        </w:rPr>
        <w:t xml:space="preserve"/>
      </w:r>
    </w:p>
    <w:p>
      <w:pPr>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Náklady, ktoré majú výnimočný rozsah alebo výskyt</w:t>
      </w:r>
    </w:p>
    <w:p>
      <w:pPr/>
      <w:r>
        <w:rPr>
          <w:rFonts w:ascii="Times New Roman" w:hAnsi="Times New Roman" w:cs="Times New Roman"/>
          <w:sz w:val="18"/>
          <w:sz-cs w:val="18"/>
          <w:b/>
          <w:spacing w:val="0"/>
          <w:color w:val="00000A"/>
        </w:rPr>
        <w:t xml:space="preserve"/>
      </w:r>
    </w:p>
    <w:p>
      <w:pPr/>
      <w:r>
        <w:rPr>
          <w:rFonts w:ascii="Times New Roman" w:hAnsi="Times New Roman" w:cs="Times New Roman"/>
          <w:sz w:val="18"/>
          <w:sz-cs w:val="18"/>
          <w:spacing w:val="0"/>
          <w:color w:val="00000A"/>
        </w:rPr>
        <w:t xml:space="preserve">Spoločnosť nemá náklady výnimočného rozsahu.</w:t>
      </w:r>
    </w:p>
    <w:p>
      <w:pPr>
        <w:ind w:left="720"/>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Výnosy, ktoré majú výnimočný rozsah alebo výskyt</w:t>
      </w:r>
    </w:p>
    <w:p>
      <w:pPr/>
      <w:r>
        <w:rPr>
          <w:rFonts w:ascii="Times New Roman" w:hAnsi="Times New Roman" w:cs="Times New Roman"/>
          <w:sz w:val="18"/>
          <w:sz-cs w:val="18"/>
          <w:b/>
          <w:spacing w:val="0"/>
          <w:color w:val="00000A"/>
        </w:rPr>
        <w:t xml:space="preserve"/>
      </w:r>
    </w:p>
    <w:p>
      <w:pPr/>
      <w:r>
        <w:rPr>
          <w:rFonts w:ascii="Times New Roman" w:hAnsi="Times New Roman" w:cs="Times New Roman"/>
          <w:sz w:val="18"/>
          <w:sz-cs w:val="18"/>
          <w:spacing w:val="0"/>
          <w:color w:val="00000A"/>
        </w:rPr>
        <w:t xml:space="preserve">Spoločnsoť nemá výnosy výnimočného rozsahu.</w:t>
      </w:r>
    </w:p>
    <w:p>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Záväzky</w:t>
      </w:r>
    </w:p>
    <w:p>
      <w:pPr>
        <w:jc w:val="both"/>
        <w:ind w:left="426"/>
      </w:pPr>
      <w:r>
        <w:rPr>
          <w:rFonts w:ascii="Times New Roman" w:hAnsi="Times New Roman" w:cs="Times New Roman"/>
          <w:sz w:val="18"/>
          <w:sz-cs w:val="18"/>
          <w:b/>
          <w:spacing w:val="0"/>
          <w:color w:val="00000A"/>
        </w:rPr>
        <w:t xml:space="preserve"/>
      </w:r>
    </w:p>
    <w:p>
      <w:pPr>
        <w:jc w:val="both"/>
        <w:ind w:left="426"/>
      </w:pPr>
      <w:r>
        <w:rPr>
          <w:rFonts w:ascii="Times New Roman" w:hAnsi="Times New Roman" w:cs="Times New Roman"/>
          <w:sz w:val="18"/>
          <w:sz-cs w:val="18"/>
          <w:spacing w:val="0"/>
          <w:color w:val="00000A"/>
        </w:rPr>
        <w:t xml:space="preserve">Štruktúra záväzkov (okrem záväzkov zo sociálneho fondu) podľa zostatkovej doby splatnosti je uvedená v nasledujúcom prehľade:</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Informácie o orgánoch účtovnej jednotky</w:t>
      </w:r>
    </w:p>
    <w:p>
      <w:pPr/>
      <w:r>
        <w:rPr>
          <w:rFonts w:ascii="Times New Roman" w:hAnsi="Times New Roman" w:cs="Times New Roman"/>
          <w:sz w:val="18"/>
          <w:sz-cs w:val="18"/>
          <w:b/>
          <w:spacing w:val="0"/>
          <w:color w:val="00000A"/>
        </w:rPr>
        <w:t xml:space="preserve"/>
      </w:r>
    </w:p>
    <w:p>
      <w:pPr>
        <w:jc w:val="both"/>
        <w:ind w:left="426"/>
      </w:pPr>
      <w:r>
        <w:rPr>
          <w:rFonts w:ascii="Times New Roman" w:hAnsi="Times New Roman" w:cs="Times New Roman"/>
          <w:sz w:val="18"/>
          <w:sz-cs w:val="18"/>
          <w:spacing w:val="0"/>
          <w:color w:val="00000A"/>
        </w:rPr>
        <w:t xml:space="preserve">Členom štatutárneho orgánu, ani členom dozorných orgánov  neboli v roku 2023 poskytnuté žiadne pôžičky, záruky alebo iné formy zabezpečenia, ani finančné prostriedky alebo iné plnenia na súkromné účely členov, ktoré sa vyúčtovávajú.</w:t>
      </w:r>
    </w:p>
    <w:p>
      <w:pPr>
        <w:jc w:val="both"/>
        <w:ind w:left="426"/>
      </w:pPr>
      <w:r>
        <w:rPr>
          <w:rFonts w:ascii="Times New Roman" w:hAnsi="Times New Roman" w:cs="Times New Roman"/>
          <w:sz w:val="18"/>
          <w:sz-cs w:val="18"/>
          <w:spacing w:val="0"/>
          <w:color w:val="00000A"/>
        </w:rPr>
        <w:t xml:space="preserve"/>
      </w:r>
    </w:p>
    <w:p>
      <w:pPr>
        <w:ind w:left="720"/>
        <w:spacing w:before="240" w:after="6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Informácie o POVINNOSTIACH SPOLOČNOSTI</w:t>
      </w:r>
    </w:p>
    <w:p>
      <w:pPr/>
      <w:r>
        <w:rPr>
          <w:rFonts w:ascii="Times New Roman" w:hAnsi="Times New Roman" w:cs="Times New Roman"/>
          <w:sz w:val="18"/>
          <w:sz-cs w:val="18"/>
          <w:b/>
          <w:spacing w:val="0"/>
          <w:color w:val="00000A"/>
        </w:rPr>
        <w:t xml:space="preserve"/>
      </w:r>
    </w:p>
    <w:p>
      <w:pPr>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Významné finančné povinnosti</w:t>
      </w:r>
    </w:p>
    <w:p>
      <w:pPr>
        <w:jc w:val="both"/>
        <w:ind w:left="426"/>
      </w:pPr>
      <w:r>
        <w:rPr>
          <w:rFonts w:ascii="Times New Roman" w:hAnsi="Times New Roman" w:cs="Times New Roman"/>
          <w:sz w:val="18"/>
          <w:sz-cs w:val="18"/>
          <w:b/>
          <w:spacing w:val="0"/>
          <w:color w:val="00000A"/>
        </w:rPr>
        <w:t xml:space="preserve"/>
      </w:r>
    </w:p>
    <w:p>
      <w:pPr>
        <w:jc w:val="both"/>
        <w:ind w:left="426"/>
      </w:pPr>
      <w:r>
        <w:rPr>
          <w:rFonts w:ascii="Times New Roman" w:hAnsi="Times New Roman" w:cs="Times New Roman"/>
          <w:sz w:val="18"/>
          <w:sz-cs w:val="18"/>
          <w:spacing w:val="0"/>
          <w:color w:val="00000A"/>
        </w:rPr>
        <w:t xml:space="preserve">Významné finančné povinnosti, ktoré sa nesledujú v bežnom účtovníctve a neuvádzajú v súvahe, sú tieto:</w:t>
      </w:r>
    </w:p>
    <w:p>
      <w:pPr>
        <w:jc w:val="both"/>
        <w:ind w:left="426"/>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Podmienené záväzky</w:t>
      </w:r>
    </w:p>
    <w:p>
      <w:pPr>
        <w:jc w:val="both"/>
        <w:ind w:left="426"/>
      </w:pPr>
      <w:r>
        <w:rPr>
          <w:rFonts w:ascii="Times New Roman" w:hAnsi="Times New Roman" w:cs="Times New Roman"/>
          <w:sz w:val="18"/>
          <w:sz-cs w:val="18"/>
          <w:b/>
          <w:spacing w:val="0"/>
          <w:color w:val="00000A"/>
        </w:rPr>
        <w:t xml:space="preserve"/>
      </w:r>
    </w:p>
    <w:p>
      <w:pPr>
        <w:jc w:val="both"/>
        <w:ind w:left="426"/>
      </w:pPr>
      <w:r>
        <w:rPr>
          <w:rFonts w:ascii="Times New Roman" w:hAnsi="Times New Roman" w:cs="Times New Roman"/>
          <w:sz w:val="18"/>
          <w:sz-cs w:val="18"/>
          <w:spacing w:val="0"/>
          <w:color w:val="00000A"/>
        </w:rPr>
        <w:t xml:space="preserve">Spoločnosť nemá náplň.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spacing w:after="160"/>
      </w:pPr>
      <w:r>
        <w:rPr>
          <w:rFonts w:ascii="Times New Roman" w:hAnsi="Times New Roman" w:cs="Times New Roman"/>
          <w:sz w:val="18"/>
          <w:sz-cs w:val="18"/>
          <w:spacing w:val="0"/>
          <w:color w:val="00000A"/>
        </w:rPr>
        <w:t xml:space="preserve"/>
      </w:r>
    </w:p>
    <w:sectPr>
      <w:pgSz w:w="12240" w:h="15840"/>
      <w:pgMar w:top="1440" w:right="1800" w:bottom="1440" w:left="1800"/>
    </w:sectPr>
  </w:body>
</w:document>
</file>

<file path=word/_rels/document.xml.rels><?xml version="1.0" encoding="UTF-8" standalone="yes"?>
<Relationships xmlns="http://schemas.openxmlformats.org/package/2006/relationships"><Relationship Id="rId1" Type="http://schemas.openxmlformats.org/officeDocument/2006/relationships/customXml" Target="../docProps/meta.xml"/><Relationship Id="rId2" Type="http://schemas.openxmlformats.org/officeDocument/2006/relationships/theme" Target="theme/theme1.xml"/></Relationships>
</file>

<file path=word/theme/theme1.xml><?xml version="1.0" encoding="utf-8"?>
<a:theme xmlns:a="http://schemas.openxmlformats.org/drawingml/2006/main" name="Default Theme">
  <a:themeElements>
    <a:clrScheme name="Default">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Default">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file>

<file path=docProps/meta.xml><?xml version="1.0" encoding="utf-8"?>
<meta xmlns="http://schemas.apple.com/cocoa/2006/metadata">
  <generator>CocoaOOXMLWriter/2113.65</generator>
</meta>
</file>