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3CDB6" w14:textId="5C8CC5D5" w:rsidR="00B56F3D" w:rsidRDefault="00FF035A">
      <w:r>
        <w:t>Poznámky k účtovnej závierke za rok 2024 ATC Solutions s.r.o. IČO: 46 575 481</w:t>
      </w:r>
    </w:p>
    <w:p w14:paraId="573FBBCB" w14:textId="77777777" w:rsidR="00FF035A" w:rsidRDefault="00FF035A"/>
    <w:p w14:paraId="2358B3D3" w14:textId="1E22E25A" w:rsidR="00FF035A" w:rsidRDefault="00FF035A">
      <w:r>
        <w:t xml:space="preserve">Spoločnosť ATC Solutions s.r.o. , so sídlom Mlynské nivy 54, 821 05 Bratislava skončila rok 2024 so stratou -340 EUR </w:t>
      </w:r>
    </w:p>
    <w:p w14:paraId="5E61B240" w14:textId="420B6A20" w:rsidR="00FF035A" w:rsidRDefault="00FF035A">
      <w:proofErr w:type="spellStart"/>
      <w:r>
        <w:t>Vykonána</w:t>
      </w:r>
      <w:proofErr w:type="spellEnd"/>
      <w:r>
        <w:t xml:space="preserve"> ďalej svoju činnosť.</w:t>
      </w:r>
    </w:p>
    <w:p w14:paraId="6EC1E071" w14:textId="77777777" w:rsidR="00FF035A" w:rsidRDefault="00FF035A"/>
    <w:p w14:paraId="1C15444D" w14:textId="77777777" w:rsidR="00FF035A" w:rsidRDefault="00FF035A"/>
    <w:sectPr w:rsidR="00FF03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35A"/>
    <w:rsid w:val="00A71B39"/>
    <w:rsid w:val="00B56F3D"/>
    <w:rsid w:val="00D24B22"/>
    <w:rsid w:val="00FF0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3211A"/>
  <w15:chartTrackingRefBased/>
  <w15:docId w15:val="{688F2C1E-811F-44DF-8B9F-E3D23E24C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F03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F03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F035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F03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F035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F03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F03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F03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F03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F035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F03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F035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F035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F035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F035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F035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F035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F035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F03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F03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F03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F03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F03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F035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F035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F035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F035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F035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F035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Kelecsényiová</dc:creator>
  <cp:keywords/>
  <dc:description/>
  <cp:lastModifiedBy>Zuzana Kelecsényiová</cp:lastModifiedBy>
  <cp:revision>2</cp:revision>
  <dcterms:created xsi:type="dcterms:W3CDTF">2025-11-05T14:33:00Z</dcterms:created>
  <dcterms:modified xsi:type="dcterms:W3CDTF">2025-11-05T14:33:00Z</dcterms:modified>
</cp:coreProperties>
</file>