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rFonts w:ascii="Calibri" w:hAnsi="Calibri" w:asciiTheme="minorHAnsi" w:hAnsiTheme="minorHAnsi"/>
          <w:b/>
          <w:b/>
          <w:color w:val="auto"/>
          <w:szCs w:val="28"/>
        </w:rPr>
      </w:pPr>
      <w:r>
        <w:rPr>
          <w:rFonts w:ascii="Calibri" w:hAnsi="Calibri" w:asciiTheme="minorHAnsi" w:hAnsiTheme="minorHAnsi"/>
          <w:b/>
          <w:color w:val="auto"/>
          <w:szCs w:val="28"/>
        </w:rPr>
        <w:t>POZNÁMKY</w:t>
      </w:r>
    </w:p>
    <w:p>
      <w:pPr>
        <w:pStyle w:val="Normal"/>
        <w:ind w:left="1077" w:hanging="680"/>
        <w:jc w:val="center"/>
        <w:rPr>
          <w:rFonts w:ascii="Calibri" w:hAnsi="Calibri" w:asciiTheme="minorHAnsi" w:hAnsiTheme="minorHAnsi"/>
          <w:sz w:val="20"/>
        </w:rPr>
      </w:pPr>
      <w:r>
        <w:rPr>
          <w:rFonts w:ascii="Calibri" w:hAnsi="Calibri" w:asciiTheme="minorHAnsi" w:hAnsiTheme="minorHAnsi"/>
          <w:sz w:val="20"/>
        </w:rPr>
        <w:t xml:space="preserve"> </w:t>
      </w:r>
      <w:r>
        <w:rPr>
          <w:rFonts w:ascii="Calibri" w:hAnsi="Calibri" w:asciiTheme="minorHAnsi" w:hAnsiTheme="minorHAnsi"/>
          <w:sz w:val="20"/>
        </w:rPr>
        <w:t>individuálnej účtovnej závierky zostavenej malou účtovnou jednotkou k 31.12.202</w:t>
      </w:r>
      <w:r>
        <w:rPr>
          <w:rFonts w:ascii="Calibri" w:hAnsi="Calibri" w:asciiTheme="minorHAnsi" w:hAnsiTheme="minorHAnsi"/>
          <w:sz w:val="20"/>
        </w:rPr>
        <w:t>4</w:t>
      </w:r>
    </w:p>
    <w:p>
      <w:pPr>
        <w:pStyle w:val="Normal"/>
        <w:ind w:left="1077" w:hanging="680"/>
        <w:jc w:val="center"/>
        <w:rPr>
          <w:rFonts w:ascii="Calibri" w:hAnsi="Calibri" w:asciiTheme="minorHAnsi" w:hAnsiTheme="minorHAnsi"/>
          <w:sz w:val="20"/>
        </w:rPr>
      </w:pPr>
      <w:r>
        <w:rPr>
          <w:rFonts w:ascii="Calibri" w:hAnsi="Calibri" w:asciiTheme="minorHAnsi" w:hAnsiTheme="minorHAnsi"/>
          <w:sz w:val="20"/>
        </w:rPr>
        <w:t>(v rozsahu prílohy č. 1 k opatreniu MF SR č. MF/23378/2014-74)</w:t>
      </w:r>
    </w:p>
    <w:p>
      <w:pPr>
        <w:pStyle w:val="Normal"/>
        <w:tabs>
          <w:tab w:val="clear" w:pos="708"/>
          <w:tab w:val="left" w:pos="3375" w:leader="none"/>
        </w:tabs>
        <w:jc w:val="both"/>
        <w:rPr>
          <w:rFonts w:ascii="Calibri" w:hAnsi="Calibri" w:asciiTheme="minorHAnsi" w:hAnsiTheme="minorHAnsi"/>
          <w:sz w:val="20"/>
        </w:rPr>
      </w:pPr>
      <w:r>
        <w:rPr>
          <w:rFonts w:ascii="Calibri" w:hAnsi="Calibri" w:asciiTheme="minorHAnsi" w:hAnsiTheme="minorHAnsi"/>
          <w:sz w:val="20"/>
        </w:rPr>
        <w:tab/>
      </w:r>
    </w:p>
    <w:p>
      <w:pPr>
        <w:pStyle w:val="Default"/>
        <w:jc w:val="center"/>
        <w:rPr>
          <w:rFonts w:ascii="Calibri" w:hAnsi="Calibri" w:asciiTheme="minorHAnsi" w:hAnsiTheme="minorHAnsi"/>
          <w:b/>
          <w:b/>
          <w:color w:val="auto"/>
          <w:sz w:val="22"/>
          <w:szCs w:val="22"/>
        </w:rPr>
      </w:pPr>
      <w:r>
        <w:rPr>
          <w:rFonts w:ascii="Calibri" w:hAnsi="Calibri" w:asciiTheme="minorHAnsi" w:hAnsiTheme="minorHAnsi"/>
          <w:b/>
          <w:bCs/>
          <w:color w:val="auto"/>
          <w:sz w:val="22"/>
          <w:szCs w:val="22"/>
        </w:rPr>
        <w:t>Čl. I</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VŠEOBECNÉ INFORMÁCIE</w:t>
      </w:r>
    </w:p>
    <w:p>
      <w:pPr>
        <w:pStyle w:val="Default"/>
        <w:rPr>
          <w:color w:val="auto"/>
        </w:rPr>
      </w:pPr>
      <w:r>
        <w:rPr>
          <w:rFonts w:ascii="Calibri" w:hAnsi="Calibri" w:asciiTheme="minorHAnsi" w:hAnsiTheme="minorHAnsi"/>
          <w:color w:val="auto"/>
          <w:sz w:val="20"/>
          <w:szCs w:val="20"/>
        </w:rPr>
        <w:t xml:space="preserve"> </w:t>
      </w:r>
    </w:p>
    <w:p>
      <w:pPr>
        <w:pStyle w:val="Default"/>
        <w:rPr>
          <w:rFonts w:ascii="Calibri" w:hAnsi="Calibri" w:asciiTheme="minorHAnsi" w:hAnsiTheme="minorHAnsi"/>
          <w:b/>
          <w:b/>
          <w:color w:val="auto"/>
          <w:sz w:val="22"/>
          <w:szCs w:val="22"/>
        </w:rPr>
      </w:pPr>
      <w:r>
        <w:rPr>
          <w:b/>
          <w:color w:val="auto"/>
          <w:sz w:val="22"/>
          <w:szCs w:val="22"/>
        </w:rPr>
        <w:t xml:space="preserve"> </w:t>
      </w:r>
      <w:r>
        <w:rPr>
          <w:rFonts w:ascii="Calibri" w:hAnsi="Calibri" w:asciiTheme="minorHAnsi" w:hAnsiTheme="minorHAnsi"/>
          <w:b/>
          <w:color w:val="auto"/>
          <w:sz w:val="22"/>
          <w:szCs w:val="22"/>
        </w:rPr>
        <w:t>(1.)  Informácie o účtovnej jednotke</w:t>
      </w:r>
    </w:p>
    <w:p>
      <w:pPr>
        <w:pStyle w:val="ListParagraph"/>
        <w:ind w:left="0" w:hanging="0"/>
        <w:rPr>
          <w:rFonts w:ascii="Calibri" w:hAnsi="Calibri" w:cs="Arial" w:asciiTheme="minorHAnsi" w:hAnsiTheme="minorHAnsi"/>
          <w:b/>
          <w:b/>
          <w:sz w:val="20"/>
          <w:szCs w:val="20"/>
        </w:rPr>
      </w:pPr>
      <w:r>
        <w:rPr>
          <w:rFonts w:cs="Calibri"/>
          <w:b/>
          <w:bCs/>
          <w:sz w:val="20"/>
          <w:szCs w:val="20"/>
        </w:rPr>
        <w:t>a) Základné informácie o účtovnej jednotke:</w:t>
      </w:r>
      <w:r>
        <w:rPr>
          <w:rFonts w:cs="Arial"/>
          <w:b/>
          <w:sz w:val="20"/>
          <w:szCs w:val="20"/>
        </w:rPr>
        <w:t xml:space="preserve"> </w:t>
      </w:r>
    </w:p>
    <w:tbl>
      <w:tblPr>
        <w:tblW w:w="9272" w:type="dxa"/>
        <w:jc w:val="left"/>
        <w:tblInd w:w="60" w:type="dxa"/>
        <w:tblLayout w:type="fixed"/>
        <w:tblCellMar>
          <w:top w:w="0" w:type="dxa"/>
          <w:left w:w="70" w:type="dxa"/>
          <w:bottom w:w="0" w:type="dxa"/>
          <w:right w:w="70" w:type="dxa"/>
        </w:tblCellMar>
        <w:tblLook w:val="04a0"/>
      </w:tblPr>
      <w:tblGrid>
        <w:gridCol w:w="2772"/>
        <w:gridCol w:w="6499"/>
      </w:tblGrid>
      <w:tr>
        <w:trPr>
          <w:trHeight w:val="336" w:hRule="atLeast"/>
        </w:trPr>
        <w:tc>
          <w:tcPr>
            <w:tcW w:w="2772"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Obchodné meno:</w:t>
            </w:r>
          </w:p>
        </w:tc>
        <w:tc>
          <w:tcPr>
            <w:tcW w:w="649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Komunálne služby a odpadové hospodárstvo Štúrovo, s.r.o.</w:t>
            </w:r>
          </w:p>
        </w:tc>
      </w:tr>
      <w:tr>
        <w:trPr>
          <w:trHeight w:val="336" w:hRule="atLeast"/>
        </w:trPr>
        <w:tc>
          <w:tcPr>
            <w:tcW w:w="2772"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Sídlo:</w:t>
            </w:r>
          </w:p>
        </w:tc>
        <w:tc>
          <w:tcPr>
            <w:tcW w:w="6499" w:type="dxa"/>
            <w:tcBorders>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Komenského 18, 943 01 Štúrovo</w:t>
            </w:r>
          </w:p>
        </w:tc>
      </w:tr>
      <w:tr>
        <w:trPr>
          <w:trHeight w:val="336" w:hRule="atLeast"/>
        </w:trPr>
        <w:tc>
          <w:tcPr>
            <w:tcW w:w="2772"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Dátum založenia:</w:t>
            </w:r>
          </w:p>
        </w:tc>
        <w:tc>
          <w:tcPr>
            <w:tcW w:w="6499" w:type="dxa"/>
            <w:tcBorders>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11.12.2008</w:t>
            </w:r>
          </w:p>
        </w:tc>
      </w:tr>
      <w:tr>
        <w:trPr>
          <w:trHeight w:val="336" w:hRule="atLeast"/>
        </w:trPr>
        <w:tc>
          <w:tcPr>
            <w:tcW w:w="2772"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Dátum vzniku:</w:t>
            </w:r>
          </w:p>
        </w:tc>
        <w:tc>
          <w:tcPr>
            <w:tcW w:w="6499" w:type="dxa"/>
            <w:tcBorders>
              <w:bottom w:val="single" w:sz="4" w:space="0" w:color="000000"/>
              <w:right w:val="single" w:sz="4" w:space="0" w:color="000000"/>
            </w:tcBorders>
            <w:shd w:color="auto" w:fill="auto" w:val="clear"/>
            <w:vAlign w:val="bottom"/>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6.2.2009</w:t>
            </w:r>
          </w:p>
        </w:tc>
      </w:tr>
    </w:tbl>
    <w:p>
      <w:pPr>
        <w:pStyle w:val="ListParagraph"/>
        <w:rPr>
          <w:rFonts w:ascii="Calibri" w:hAnsi="Calibri" w:cs="Arial" w:asciiTheme="minorHAnsi" w:hAnsiTheme="minorHAnsi"/>
          <w:sz w:val="20"/>
          <w:szCs w:val="20"/>
        </w:rPr>
      </w:pPr>
      <w:r>
        <w:rPr>
          <w:rFonts w:cs="Arial"/>
          <w:sz w:val="20"/>
          <w:szCs w:val="20"/>
        </w:rPr>
      </w:r>
    </w:p>
    <w:p>
      <w:pPr>
        <w:pStyle w:val="ListParagraph"/>
        <w:spacing w:lineRule="auto" w:line="240" w:before="0" w:after="0"/>
        <w:ind w:left="0" w:hanging="0"/>
        <w:contextualSpacing/>
        <w:jc w:val="both"/>
        <w:rPr>
          <w:rFonts w:ascii="Calibri" w:hAnsi="Calibri" w:cs="ArialNarrow" w:asciiTheme="minorHAnsi" w:hAnsiTheme="minorHAnsi"/>
          <w:b/>
          <w:b/>
          <w:sz w:val="20"/>
          <w:szCs w:val="20"/>
        </w:rPr>
      </w:pPr>
      <w:r>
        <w:rPr>
          <w:rFonts w:cs="Arial"/>
          <w:b/>
          <w:sz w:val="20"/>
          <w:szCs w:val="20"/>
        </w:rPr>
        <w:t xml:space="preserve">b) </w:t>
      </w:r>
      <w:r>
        <w:rPr>
          <w:rFonts w:cs="ArialNarrow"/>
          <w:b/>
          <w:sz w:val="20"/>
          <w:szCs w:val="20"/>
        </w:rPr>
        <w:t>Opis hospodárskej činnosti účtovnej jednotky:</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údržba, čistenie mestských komunikácií, kanalizačných vpustí a zimná údržba, čistenie mestských komunikácií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oprava a údržba verejných chodníkov, autobusových čakární a ostatných verejných priestranstiev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údržba, montáž a demontáž zvislého a vodorovného dopravného značenia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údržba a výstavba verejnej zelene a parkov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manipulácia s nákladom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podnikanie v oblasti nakladania s odpadmi, nie nebezpečnými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správa, údržba a budovanie verejného osvetlenia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správa a údržba mestských trhovísk, parkovísk a verejných WC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prevádzkovanie pohrebiska</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prípravné práce k realizácii stavby </w:t>
      </w:r>
    </w:p>
    <w:p>
      <w:pPr>
        <w:pStyle w:val="Normal"/>
        <w:widowControl w:val="false"/>
        <w:numPr>
          <w:ilvl w:val="0"/>
          <w:numId w:val="1"/>
        </w:numPr>
        <w:jc w:val="both"/>
        <w:rPr>
          <w:rFonts w:ascii="Calibri" w:hAnsi="Calibri" w:asciiTheme="minorHAnsi" w:hAnsiTheme="minorHAnsi"/>
          <w:sz w:val="20"/>
          <w:szCs w:val="20"/>
        </w:rPr>
      </w:pPr>
      <w:r>
        <w:rPr>
          <w:rFonts w:ascii="Calibri" w:hAnsi="Calibri" w:asciiTheme="minorHAnsi" w:hAnsiTheme="minorHAnsi"/>
          <w:sz w:val="20"/>
          <w:szCs w:val="20"/>
        </w:rPr>
        <w:t xml:space="preserve">upratovacie a čistiace práce </w:t>
      </w:r>
    </w:p>
    <w:p>
      <w:pPr>
        <w:pStyle w:val="Normal"/>
        <w:widowControl w:val="false"/>
        <w:ind w:left="360" w:hanging="0"/>
        <w:jc w:val="both"/>
        <w:rPr>
          <w:rFonts w:ascii="Calibri" w:hAnsi="Calibri" w:asciiTheme="minorHAnsi" w:hAnsiTheme="minorHAnsi"/>
          <w:sz w:val="20"/>
          <w:szCs w:val="20"/>
        </w:rPr>
      </w:pPr>
      <w:r>
        <w:rPr>
          <w:rFonts w:asciiTheme="minorHAnsi" w:hAnsiTheme="minorHAnsi" w:ascii="Calibri" w:hAnsi="Calibri"/>
          <w:sz w:val="20"/>
          <w:szCs w:val="20"/>
        </w:rPr>
      </w:r>
    </w:p>
    <w:p>
      <w:pPr>
        <w:pStyle w:val="Normal"/>
        <w:widowControl w:val="false"/>
        <w:rPr>
          <w:rFonts w:ascii="Calibri" w:hAnsi="Calibri" w:cs="Calibri" w:asciiTheme="minorHAnsi" w:hAnsiTheme="minorHAnsi"/>
          <w:b/>
          <w:b/>
          <w:szCs w:val="22"/>
        </w:rPr>
      </w:pPr>
      <w:r>
        <w:rPr>
          <w:rFonts w:ascii="Calibri" w:hAnsi="Calibri" w:asciiTheme="minorHAnsi" w:hAnsiTheme="minorHAnsi"/>
          <w:szCs w:val="22"/>
        </w:rPr>
        <w:t xml:space="preserve">  </w:t>
      </w:r>
      <w:r>
        <w:rPr>
          <w:rFonts w:ascii="Calibri" w:hAnsi="Calibri" w:asciiTheme="minorHAnsi" w:hAnsiTheme="minorHAnsi"/>
          <w:b/>
          <w:szCs w:val="22"/>
        </w:rPr>
        <w:t xml:space="preserve">(2) </w:t>
      </w:r>
      <w:r>
        <w:rPr>
          <w:rFonts w:eastAsia="Calibri" w:cs="Arial" w:ascii="Calibri" w:hAnsi="Calibri" w:asciiTheme="minorHAnsi" w:eastAsiaTheme="minorHAnsi" w:hAnsiTheme="minorHAnsi"/>
          <w:b/>
          <w:szCs w:val="22"/>
        </w:rPr>
        <w:t>Schválenie účtovnej závierky za predchádzajúce obdobie</w:t>
      </w:r>
      <w:r>
        <w:rPr>
          <w:rFonts w:cs="Calibri" w:ascii="Calibri" w:hAnsi="Calibri" w:asciiTheme="minorHAnsi" w:hAnsiTheme="minorHAnsi"/>
          <w:b/>
          <w:bCs/>
          <w:szCs w:val="22"/>
        </w:rPr>
        <w:t xml:space="preserve"> </w:t>
      </w:r>
    </w:p>
    <w:p>
      <w:pPr>
        <w:pStyle w:val="Normal"/>
        <w:widowControl w:val="false"/>
        <w:jc w:val="both"/>
        <w:rPr>
          <w:rFonts w:ascii="Calibri" w:hAnsi="Calibri" w:cs="Calibri" w:asciiTheme="minorHAnsi" w:hAnsiTheme="minorHAnsi"/>
          <w:sz w:val="20"/>
          <w:szCs w:val="20"/>
        </w:rPr>
      </w:pPr>
      <w:r>
        <w:rPr>
          <w:rFonts w:ascii="Calibri" w:hAnsi="Calibri" w:asciiTheme="minorHAnsi" w:hAnsiTheme="minorHAnsi"/>
          <w:sz w:val="20"/>
          <w:szCs w:val="20"/>
        </w:rPr>
        <w:t xml:space="preserve"> </w:t>
      </w:r>
      <w:r>
        <w:rPr>
          <w:rFonts w:cs="Calibri" w:ascii="Calibri" w:hAnsi="Calibri" w:asciiTheme="minorHAnsi" w:hAnsiTheme="minorHAnsi"/>
          <w:sz w:val="20"/>
          <w:szCs w:val="20"/>
        </w:rPr>
        <w:t>Účtovná závierka za rok 202</w:t>
      </w:r>
      <w:r>
        <w:rPr>
          <w:rFonts w:cs="Calibri" w:ascii="Calibri" w:hAnsi="Calibri" w:asciiTheme="minorHAnsi" w:hAnsiTheme="minorHAnsi"/>
          <w:sz w:val="20"/>
          <w:szCs w:val="20"/>
        </w:rPr>
        <w:t>4</w:t>
      </w:r>
      <w:r>
        <w:rPr>
          <w:rFonts w:cs="Calibri" w:ascii="Calibri" w:hAnsi="Calibri" w:asciiTheme="minorHAnsi" w:hAnsiTheme="minorHAnsi"/>
          <w:sz w:val="20"/>
          <w:szCs w:val="20"/>
        </w:rPr>
        <w:t xml:space="preserve">  bola schválená na riadnom valnom zhromaždení dňa   </w:t>
      </w:r>
      <w:r>
        <w:rPr>
          <w:rFonts w:cs="Calibri" w:ascii="Calibri" w:hAnsi="Calibri" w:asciiTheme="minorHAnsi" w:hAnsiTheme="minorHAnsi"/>
          <w:sz w:val="20"/>
          <w:szCs w:val="20"/>
        </w:rPr>
        <w:t>17</w:t>
      </w:r>
      <w:r>
        <w:rPr>
          <w:rFonts w:cs="Calibri" w:ascii="Calibri" w:hAnsi="Calibri" w:asciiTheme="minorHAnsi" w:hAnsiTheme="minorHAnsi"/>
          <w:sz w:val="20"/>
          <w:szCs w:val="20"/>
        </w:rPr>
        <w:t>.0</w:t>
      </w:r>
      <w:r>
        <w:rPr>
          <w:rFonts w:cs="Calibri" w:ascii="Calibri" w:hAnsi="Calibri" w:asciiTheme="minorHAnsi" w:hAnsiTheme="minorHAnsi"/>
          <w:sz w:val="20"/>
          <w:szCs w:val="20"/>
        </w:rPr>
        <w:t>6</w:t>
      </w:r>
      <w:r>
        <w:rPr>
          <w:rFonts w:cs="Calibri" w:ascii="Calibri" w:hAnsi="Calibri" w:asciiTheme="minorHAnsi" w:hAnsiTheme="minorHAnsi"/>
          <w:sz w:val="20"/>
          <w:szCs w:val="20"/>
        </w:rPr>
        <w:t>.202</w:t>
      </w:r>
      <w:r>
        <w:rPr>
          <w:rFonts w:cs="Calibri" w:ascii="Calibri" w:hAnsi="Calibri" w:asciiTheme="minorHAnsi" w:hAnsiTheme="minorHAnsi"/>
          <w:sz w:val="20"/>
          <w:szCs w:val="20"/>
        </w:rPr>
        <w:t>5</w:t>
      </w:r>
    </w:p>
    <w:p>
      <w:pPr>
        <w:pStyle w:val="Default"/>
        <w:jc w:val="both"/>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b/>
          <w:b/>
          <w:color w:val="auto"/>
          <w:sz w:val="22"/>
          <w:szCs w:val="22"/>
        </w:rPr>
      </w:pPr>
      <w:r>
        <w:rPr>
          <w:rFonts w:ascii="Calibri" w:hAnsi="Calibri" w:asciiTheme="minorHAnsi" w:hAnsiTheme="minorHAnsi"/>
          <w:b/>
          <w:color w:val="auto"/>
          <w:sz w:val="22"/>
          <w:szCs w:val="22"/>
        </w:rPr>
        <w:t xml:space="preserve"> </w:t>
      </w:r>
      <w:r>
        <w:rPr>
          <w:rFonts w:ascii="Calibri" w:hAnsi="Calibri" w:asciiTheme="minorHAnsi" w:hAnsiTheme="minorHAnsi"/>
          <w:b/>
          <w:color w:val="auto"/>
          <w:sz w:val="22"/>
          <w:szCs w:val="22"/>
        </w:rPr>
        <w:t xml:space="preserve">(3) Právny dôvod na zostavenie účtovnej závierky. </w:t>
      </w:r>
    </w:p>
    <w:p>
      <w:pPr>
        <w:pStyle w:val="Normal"/>
        <w:widowControl w:val="false"/>
        <w:jc w:val="both"/>
        <w:rPr>
          <w:rFonts w:ascii="Calibri" w:hAnsi="Calibri" w:cs="Calibri" w:asciiTheme="minorHAnsi" w:hAnsiTheme="minorHAnsi"/>
          <w:sz w:val="20"/>
          <w:szCs w:val="20"/>
        </w:rPr>
      </w:pPr>
      <w:r>
        <w:rPr>
          <w:rFonts w:cs="Calibri" w:ascii="Calibri" w:hAnsi="Calibri" w:asciiTheme="minorHAnsi" w:hAnsiTheme="minorHAnsi"/>
          <w:sz w:val="20"/>
          <w:szCs w:val="20"/>
        </w:rPr>
        <w:t>Účtovná závierka k 31.12.202</w:t>
      </w:r>
      <w:r>
        <w:rPr>
          <w:rFonts w:cs="Calibri" w:ascii="Calibri" w:hAnsi="Calibri" w:asciiTheme="minorHAnsi" w:hAnsiTheme="minorHAnsi"/>
          <w:sz w:val="20"/>
          <w:szCs w:val="20"/>
        </w:rPr>
        <w:t>4</w:t>
      </w:r>
      <w:r>
        <w:rPr>
          <w:rFonts w:cs="Calibri" w:ascii="Calibri" w:hAnsi="Calibri" w:asciiTheme="minorHAnsi" w:hAnsiTheme="minorHAnsi"/>
          <w:sz w:val="20"/>
          <w:szCs w:val="20"/>
        </w:rPr>
        <w:t xml:space="preserve"> je zostavená ako riadna účtovná závierka podľa § 17 ods. 6     zákona NR SR č. 431/2002 Z. z. o účtovníctve, za účtovné obdobie od 1.januára 202</w:t>
      </w:r>
      <w:r>
        <w:rPr>
          <w:rFonts w:cs="Calibri" w:ascii="Calibri" w:hAnsi="Calibri" w:asciiTheme="minorHAnsi" w:hAnsiTheme="minorHAnsi"/>
          <w:sz w:val="20"/>
          <w:szCs w:val="20"/>
        </w:rPr>
        <w:t>4</w:t>
      </w:r>
      <w:r>
        <w:rPr>
          <w:rFonts w:cs="Calibri" w:ascii="Calibri" w:hAnsi="Calibri" w:asciiTheme="minorHAnsi" w:hAnsiTheme="minorHAnsi"/>
          <w:sz w:val="20"/>
          <w:szCs w:val="20"/>
        </w:rPr>
        <w:t xml:space="preserve"> do 31. decembra 202</w:t>
      </w:r>
      <w:r>
        <w:rPr>
          <w:rFonts w:cs="Calibri" w:ascii="Calibri" w:hAnsi="Calibri" w:asciiTheme="minorHAnsi" w:hAnsiTheme="minorHAnsi"/>
          <w:sz w:val="20"/>
          <w:szCs w:val="20"/>
        </w:rPr>
        <w:t>4</w:t>
      </w:r>
      <w:r>
        <w:rPr>
          <w:rFonts w:cs="Calibri" w:ascii="Calibri" w:hAnsi="Calibri" w:asciiTheme="minorHAnsi" w:hAnsiTheme="minorHAnsi"/>
          <w:sz w:val="20"/>
          <w:szCs w:val="20"/>
        </w:rPr>
        <w:t>,  k poslednému dňu kalendárneho roka 202</w:t>
      </w:r>
      <w:r>
        <w:rPr>
          <w:rFonts w:cs="Calibri" w:ascii="Calibri" w:hAnsi="Calibri" w:asciiTheme="minorHAnsi" w:hAnsiTheme="minorHAnsi"/>
          <w:sz w:val="20"/>
          <w:szCs w:val="20"/>
        </w:rPr>
        <w:t>4</w:t>
      </w:r>
      <w:r>
        <w:rPr>
          <w:rFonts w:cs="Calibri" w:ascii="Calibri" w:hAnsi="Calibri" w:asciiTheme="minorHAnsi" w:hAnsiTheme="minorHAnsi"/>
          <w:sz w:val="20"/>
          <w:szCs w:val="20"/>
        </w:rPr>
        <w:t xml:space="preserve">. </w:t>
      </w:r>
    </w:p>
    <w:p>
      <w:pPr>
        <w:pStyle w:val="Default"/>
        <w:jc w:val="both"/>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 </w:t>
      </w:r>
    </w:p>
    <w:p>
      <w:pPr>
        <w:pStyle w:val="Default"/>
        <w:jc w:val="both"/>
        <w:rPr>
          <w:rFonts w:ascii="Calibri" w:hAnsi="Calibri" w:asciiTheme="minorHAnsi" w:hAnsiTheme="minorHAnsi"/>
          <w:b/>
          <w:b/>
          <w:color w:val="auto"/>
          <w:sz w:val="22"/>
          <w:szCs w:val="22"/>
        </w:rPr>
      </w:pPr>
      <w:r>
        <w:rPr>
          <w:rFonts w:ascii="Calibri" w:hAnsi="Calibri" w:asciiTheme="minorHAnsi" w:hAnsiTheme="minorHAnsi"/>
          <w:b/>
          <w:color w:val="auto"/>
          <w:sz w:val="22"/>
          <w:szCs w:val="22"/>
        </w:rPr>
        <w:t xml:space="preserve">(4) Údaje o skupine účtovných jednotiek, a to: </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UJ je dcérskou UJ v rámci skupiny, v rámci ktorej je zahrnutá do konsolidovanej účtovnej závierky, pričom:</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 xml:space="preserve">a)   KUZ za najväčšiu skupinu, ktorej súčasťou je UJ zostavuje ........   </w:t>
      </w:r>
      <w:r>
        <w:rPr>
          <w:rFonts w:ascii="Calibri" w:hAnsi="Calibri" w:asciiTheme="minorHAnsi" w:hAnsiTheme="minorHAnsi"/>
          <w:i/>
          <w:sz w:val="20"/>
          <w:szCs w:val="20"/>
        </w:rPr>
        <w:t>uvedie sa obchodné meno a sídlo UJ</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b)  KUZ za najmenšiu skupinu, ktorej súčasťou je UJ zostavuje ..........</w:t>
      </w:r>
      <w:r>
        <w:rPr>
          <w:rFonts w:ascii="Calibri" w:hAnsi="Calibri" w:asciiTheme="minorHAnsi" w:hAnsiTheme="minorHAnsi"/>
          <w:i/>
          <w:sz w:val="20"/>
          <w:szCs w:val="20"/>
        </w:rPr>
        <w:t>uvedie sa obchodné meno a sídlo UJ</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c)  Kópiu KUZ zostavených podľa bodov (a) a (b) je možné požadovať na adrese ................</w:t>
      </w:r>
    </w:p>
    <w:p>
      <w:pPr>
        <w:pStyle w:val="Normal"/>
        <w:jc w:val="both"/>
        <w:rPr>
          <w:rFonts w:ascii="Calibri" w:hAnsi="Calibri" w:asciiTheme="minorHAnsi" w:hAnsiTheme="minorHAnsi"/>
          <w:i/>
          <w:i/>
          <w:sz w:val="20"/>
          <w:szCs w:val="20"/>
        </w:rPr>
      </w:pPr>
      <w:r>
        <w:rPr>
          <w:rFonts w:ascii="Calibri" w:hAnsi="Calibri" w:asciiTheme="minorHAnsi" w:hAnsiTheme="minorHAnsi"/>
          <w:sz w:val="20"/>
          <w:szCs w:val="20"/>
        </w:rPr>
        <w:t xml:space="preserve">d)  </w:t>
      </w:r>
      <w:r>
        <w:rPr>
          <w:rFonts w:ascii="Calibri" w:hAnsi="Calibri" w:asciiTheme="minorHAnsi" w:hAnsiTheme="minorHAnsi"/>
          <w:i/>
          <w:sz w:val="20"/>
          <w:szCs w:val="20"/>
        </w:rPr>
        <w:t>UJ nie je materskou spoločnosťou a nezostavuje KUZ.</w:t>
      </w:r>
    </w:p>
    <w:p>
      <w:pPr>
        <w:pStyle w:val="Default"/>
        <w:rPr>
          <w:rFonts w:ascii="Calibri" w:hAnsi="Calibri" w:asciiTheme="minorHAnsi" w:hAnsiTheme="minorHAnsi"/>
          <w:i/>
          <w:i/>
          <w:color w:val="auto"/>
          <w:sz w:val="18"/>
          <w:szCs w:val="22"/>
        </w:rPr>
      </w:pPr>
      <w:r>
        <w:rPr>
          <w:rFonts w:asciiTheme="minorHAnsi" w:hAnsiTheme="minorHAnsi" w:ascii="Calibri" w:hAnsi="Calibri"/>
          <w:i/>
          <w:color w:val="auto"/>
          <w:sz w:val="18"/>
          <w:szCs w:val="22"/>
        </w:rPr>
      </w:r>
      <w:bookmarkStart w:id="0" w:name="_GoBack"/>
      <w:bookmarkStart w:id="1" w:name="_GoBack"/>
      <w:bookmarkEnd w:id="1"/>
    </w:p>
    <w:p>
      <w:pPr>
        <w:pStyle w:val="Default"/>
        <w:rPr>
          <w:rFonts w:ascii="Calibri" w:hAnsi="Calibri" w:asciiTheme="minorHAnsi" w:hAnsiTheme="minorHAnsi"/>
          <w:b/>
          <w:b/>
          <w:color w:val="auto"/>
          <w:sz w:val="22"/>
          <w:szCs w:val="22"/>
        </w:rPr>
      </w:pPr>
      <w:r>
        <w:rPr>
          <w:rFonts w:ascii="Calibri" w:hAnsi="Calibri" w:asciiTheme="minorHAnsi" w:hAnsiTheme="minorHAnsi"/>
          <w:b/>
          <w:color w:val="auto"/>
          <w:sz w:val="22"/>
          <w:szCs w:val="22"/>
        </w:rPr>
        <w:t>(5) Informácia o počte zamestnancov</w:t>
      </w:r>
    </w:p>
    <w:tbl>
      <w:tblPr>
        <w:tblW w:w="5000" w:type="pct"/>
        <w:jc w:val="center"/>
        <w:tblInd w:w="0" w:type="dxa"/>
        <w:tblLayout w:type="fixed"/>
        <w:tblCellMar>
          <w:top w:w="0" w:type="dxa"/>
          <w:left w:w="70" w:type="dxa"/>
          <w:bottom w:w="0" w:type="dxa"/>
          <w:right w:w="70" w:type="dxa"/>
        </w:tblCellMar>
        <w:tblLook w:val="0000"/>
      </w:tblPr>
      <w:tblGrid>
        <w:gridCol w:w="4422"/>
        <w:gridCol w:w="3303"/>
        <w:gridCol w:w="3047"/>
      </w:tblGrid>
      <w:tr>
        <w:trPr/>
        <w:tc>
          <w:tcPr>
            <w:tcW w:w="4422"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Názov položky</w:t>
            </w:r>
          </w:p>
        </w:tc>
        <w:tc>
          <w:tcPr>
            <w:tcW w:w="3303"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Bežné účtovné obdobie</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Bezprostredne predchádzajúce účtovné obdobie</w:t>
            </w:r>
          </w:p>
        </w:tc>
      </w:tr>
      <w:tr>
        <w:trPr/>
        <w:tc>
          <w:tcPr>
            <w:tcW w:w="442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cs="Calibri" w:asciiTheme="minorHAnsi" w:hAnsiTheme="minorHAnsi"/>
                <w:sz w:val="20"/>
                <w:szCs w:val="20"/>
              </w:rPr>
            </w:pPr>
            <w:r>
              <w:rPr>
                <w:rFonts w:cs="Calibri" w:ascii="Calibri" w:hAnsi="Calibri" w:asciiTheme="minorHAnsi" w:hAnsiTheme="minorHAnsi"/>
                <w:sz w:val="20"/>
                <w:szCs w:val="20"/>
              </w:rPr>
              <w:t>Priemerný prepočítaný počet zamestnancov</w:t>
            </w:r>
          </w:p>
        </w:tc>
        <w:tc>
          <w:tcPr>
            <w:tcW w:w="33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Calibri" w:hAnsi="Calibri" w:cs="Calibri" w:asciiTheme="minorHAnsi" w:hAnsiTheme="minorHAnsi"/>
                <w:sz w:val="20"/>
                <w:szCs w:val="20"/>
              </w:rPr>
            </w:pPr>
            <w:r>
              <w:rPr>
                <w:rFonts w:cs="Calibri" w:ascii="Calibri" w:hAnsi="Calibri" w:asciiTheme="minorHAnsi" w:hAnsiTheme="minorHAnsi"/>
                <w:sz w:val="20"/>
                <w:szCs w:val="20"/>
              </w:rPr>
              <w:t>0</w:t>
            </w:r>
          </w:p>
        </w:tc>
        <w:tc>
          <w:tcPr>
            <w:tcW w:w="3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Calibri" w:hAnsi="Calibri" w:cs="Calibri" w:asciiTheme="minorHAnsi" w:hAnsiTheme="minorHAnsi"/>
                <w:sz w:val="20"/>
                <w:szCs w:val="20"/>
              </w:rPr>
            </w:pPr>
            <w:r>
              <w:rPr>
                <w:rFonts w:cs="Calibri" w:ascii="Calibri" w:hAnsi="Calibri" w:asciiTheme="minorHAnsi" w:hAnsiTheme="minorHAnsi"/>
                <w:sz w:val="20"/>
                <w:szCs w:val="20"/>
              </w:rPr>
              <w:t>0</w:t>
            </w:r>
          </w:p>
        </w:tc>
      </w:tr>
    </w:tbl>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II</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o orgánoch spoločnosti</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asciiTheme="minorHAnsi" w:hAnsiTheme="minorHAnsi"/>
          <w:b/>
          <w:b/>
          <w:bCs/>
          <w:color w:val="auto"/>
          <w:sz w:val="22"/>
          <w:szCs w:val="22"/>
        </w:rPr>
      </w:pPr>
      <w:r>
        <w:rPr>
          <w:rFonts w:ascii="Calibri" w:hAnsi="Calibri" w:asciiTheme="minorHAnsi" w:hAnsiTheme="minorHAnsi"/>
          <w:color w:val="auto"/>
          <w:sz w:val="22"/>
          <w:szCs w:val="22"/>
        </w:rPr>
        <w:t>Informácie o orgánoch účtovnej jednotky</w:t>
      </w:r>
    </w:p>
    <w:tbl>
      <w:tblPr>
        <w:tblW w:w="9682" w:type="dxa"/>
        <w:jc w:val="left"/>
        <w:tblInd w:w="52" w:type="dxa"/>
        <w:tblLayout w:type="fixed"/>
        <w:tblCellMar>
          <w:top w:w="0" w:type="dxa"/>
          <w:left w:w="70" w:type="dxa"/>
          <w:bottom w:w="0" w:type="dxa"/>
          <w:right w:w="70" w:type="dxa"/>
        </w:tblCellMar>
        <w:tblLook w:val="04a0"/>
      </w:tblPr>
      <w:tblGrid>
        <w:gridCol w:w="4059"/>
        <w:gridCol w:w="937"/>
        <w:gridCol w:w="938"/>
        <w:gridCol w:w="703"/>
        <w:gridCol w:w="1170"/>
        <w:gridCol w:w="705"/>
        <w:gridCol w:w="1169"/>
      </w:tblGrid>
      <w:tr>
        <w:trPr>
          <w:trHeight w:val="304" w:hRule="atLeast"/>
        </w:trPr>
        <w:tc>
          <w:tcPr>
            <w:tcW w:w="405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Ukazovateľ:</w:t>
            </w:r>
          </w:p>
        </w:tc>
        <w:tc>
          <w:tcPr>
            <w:tcW w:w="1875"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Štatutárny orgán</w:t>
            </w:r>
          </w:p>
        </w:tc>
        <w:tc>
          <w:tcPr>
            <w:tcW w:w="1873"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Dozorný orgán</w:t>
            </w:r>
          </w:p>
        </w:tc>
        <w:tc>
          <w:tcPr>
            <w:tcW w:w="1874"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Iný orgán</w:t>
            </w:r>
          </w:p>
        </w:tc>
      </w:tr>
      <w:tr>
        <w:trPr>
          <w:trHeight w:val="607" w:hRule="atLeast"/>
        </w:trPr>
        <w:tc>
          <w:tcPr>
            <w:tcW w:w="40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suma</w:t>
            </w:r>
          </w:p>
        </w:tc>
        <w:tc>
          <w:tcPr>
            <w:tcW w:w="938"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úroková sadzba</w:t>
            </w:r>
          </w:p>
        </w:tc>
        <w:tc>
          <w:tcPr>
            <w:tcW w:w="703"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suma</w:t>
            </w:r>
          </w:p>
        </w:tc>
        <w:tc>
          <w:tcPr>
            <w:tcW w:w="1170"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úroková sadzba</w:t>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suma</w:t>
            </w:r>
          </w:p>
        </w:tc>
        <w:tc>
          <w:tcPr>
            <w:tcW w:w="1169"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úroková sadzba</w:t>
            </w:r>
          </w:p>
        </w:tc>
      </w:tr>
      <w:tr>
        <w:trPr>
          <w:trHeight w:val="607" w:hRule="atLeast"/>
        </w:trPr>
        <w:tc>
          <w:tcPr>
            <w:tcW w:w="40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záruk podľa jednotlivých druhov záruk (záruky, garancie, ručenie na zmenke, ručenie za pôžičku, hypotéku</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38"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3"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1169"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r>
        <w:trPr>
          <w:trHeight w:val="470" w:hRule="atLeast"/>
        </w:trPr>
        <w:tc>
          <w:tcPr>
            <w:tcW w:w="4059"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poskytnutých pôžičiek k poslednému dňu účtovného obdobia</w:t>
            </w:r>
          </w:p>
        </w:tc>
        <w:tc>
          <w:tcPr>
            <w:tcW w:w="937"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38"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3"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5"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r>
      <w:tr>
        <w:trPr>
          <w:trHeight w:val="607" w:hRule="atLeast"/>
        </w:trPr>
        <w:tc>
          <w:tcPr>
            <w:tcW w:w="405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splatených pôžičiek k poslednému dňu účtovného obdobia</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38"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3"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r>
        <w:trPr>
          <w:trHeight w:val="911" w:hRule="atLeast"/>
        </w:trPr>
        <w:tc>
          <w:tcPr>
            <w:tcW w:w="405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Celková suma odpustených pôžičiek a odpísaných pôžičiek k poslednému dňu účtovného obdobia</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38"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3"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r>
        <w:trPr>
          <w:trHeight w:val="623" w:hRule="atLeast"/>
        </w:trPr>
        <w:tc>
          <w:tcPr>
            <w:tcW w:w="4059"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 xml:space="preserve">Celková suma finančných prostriedkov alebo iného plnenia na súkromné </w:t>
            </w:r>
          </w:p>
        </w:tc>
        <w:tc>
          <w:tcPr>
            <w:tcW w:w="937"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938"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c>
          <w:tcPr>
            <w:tcW w:w="703"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70"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cstheme="minorHAnsi" w:ascii="Calibri" w:hAnsi="Calibri"/>
                <w:sz w:val="20"/>
                <w:szCs w:val="20"/>
                <w:lang w:eastAsia="sk-SK"/>
              </w:rPr>
            </w:r>
          </w:p>
        </w:tc>
        <w:tc>
          <w:tcPr>
            <w:tcW w:w="705"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0</w:t>
            </w:r>
          </w:p>
        </w:tc>
        <w:tc>
          <w:tcPr>
            <w:tcW w:w="1169"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cs="Calibri" w:asciiTheme="minorHAnsi" w:cstheme="minorHAnsi" w:hAnsiTheme="minorHAnsi"/>
                <w:sz w:val="20"/>
                <w:szCs w:val="20"/>
                <w:lang w:eastAsia="sk-SK"/>
              </w:rPr>
            </w:pPr>
            <w:r>
              <w:rPr>
                <w:rFonts w:cs="Calibri" w:ascii="Calibri" w:hAnsi="Calibri" w:asciiTheme="minorHAnsi" w:cstheme="minorHAnsi" w:hAnsiTheme="minorHAnsi"/>
                <w:sz w:val="20"/>
                <w:szCs w:val="20"/>
                <w:lang w:eastAsia="sk-SK"/>
              </w:rPr>
              <w:t>x</w:t>
            </w:r>
          </w:p>
        </w:tc>
      </w:tr>
    </w:tbl>
    <w:p>
      <w:pPr>
        <w:pStyle w:val="Default"/>
        <w:jc w:val="center"/>
        <w:rPr>
          <w:rFonts w:ascii="Calibri" w:hAnsi="Calibri" w:asciiTheme="minorHAnsi" w:hAnsiTheme="minorHAnsi"/>
          <w:b/>
          <w:b/>
          <w:bCs/>
          <w:color w:val="auto"/>
          <w:sz w:val="22"/>
          <w:szCs w:val="22"/>
        </w:rPr>
      </w:pPr>
      <w:r>
        <w:rPr>
          <w:rFonts w:asciiTheme="minorHAnsi" w:hAnsiTheme="minorHAnsi" w:ascii="Calibri" w:hAnsi="Calibri"/>
          <w:b/>
          <w:bCs/>
          <w:color w:val="auto"/>
          <w:sz w:val="22"/>
          <w:szCs w:val="22"/>
        </w:rPr>
      </w:r>
    </w:p>
    <w:p>
      <w:pPr>
        <w:pStyle w:val="Default"/>
        <w:rPr>
          <w:rFonts w:ascii="Calibri" w:hAnsi="Calibri" w:asciiTheme="minorHAnsi" w:hAnsiTheme="minorHAnsi"/>
          <w:bCs/>
          <w:color w:val="auto"/>
          <w:sz w:val="20"/>
          <w:szCs w:val="20"/>
        </w:rPr>
      </w:pPr>
      <w:r>
        <w:rPr>
          <w:rFonts w:ascii="Calibri" w:hAnsi="Calibri" w:asciiTheme="minorHAnsi" w:hAnsiTheme="minorHAnsi"/>
          <w:bCs/>
          <w:color w:val="auto"/>
          <w:sz w:val="20"/>
          <w:szCs w:val="20"/>
        </w:rPr>
        <w:t>Členovia štatutárneho, dozorného a iného orgánu účtovnej jednotky nezískali z účtovnej jednotky v roku 202</w:t>
      </w:r>
      <w:r>
        <w:rPr>
          <w:rFonts w:ascii="Calibri" w:hAnsi="Calibri" w:asciiTheme="minorHAnsi" w:hAnsiTheme="minorHAnsi"/>
          <w:bCs/>
          <w:color w:val="auto"/>
          <w:sz w:val="20"/>
          <w:szCs w:val="20"/>
        </w:rPr>
        <w:t>4</w:t>
      </w:r>
      <w:r>
        <w:rPr>
          <w:rFonts w:ascii="Calibri" w:hAnsi="Calibri" w:asciiTheme="minorHAnsi" w:hAnsiTheme="minorHAnsi"/>
          <w:bCs/>
          <w:color w:val="auto"/>
          <w:sz w:val="20"/>
          <w:szCs w:val="20"/>
        </w:rPr>
        <w:t xml:space="preserve"> výhody alebo príjmy.</w:t>
      </w:r>
    </w:p>
    <w:p>
      <w:pPr>
        <w:pStyle w:val="Default"/>
        <w:rPr>
          <w:rFonts w:ascii="Calibri" w:hAnsi="Calibri" w:asciiTheme="minorHAnsi" w:hAnsiTheme="minorHAnsi"/>
          <w:bCs/>
          <w:color w:val="auto"/>
          <w:sz w:val="22"/>
          <w:szCs w:val="22"/>
        </w:rPr>
      </w:pPr>
      <w:r>
        <w:rPr>
          <w:rFonts w:asciiTheme="minorHAnsi" w:hAnsiTheme="minorHAnsi" w:ascii="Calibri" w:hAnsi="Calibri"/>
          <w:bCs/>
          <w:color w:val="auto"/>
          <w:sz w:val="22"/>
          <w:szCs w:val="22"/>
        </w:rPr>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III</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o prijatých postupoch</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Normal"/>
        <w:jc w:val="both"/>
        <w:rPr>
          <w:rFonts w:ascii="Calibri" w:hAnsi="Calibri" w:cs="Calibri" w:asciiTheme="minorHAnsi" w:hAnsiTheme="minorHAnsi"/>
          <w:bCs/>
          <w:sz w:val="20"/>
          <w:szCs w:val="20"/>
          <w:lang w:eastAsia="cs-CZ"/>
        </w:rPr>
      </w:pPr>
      <w:r>
        <w:rPr>
          <w:rFonts w:ascii="Calibri" w:hAnsi="Calibri" w:asciiTheme="minorHAnsi" w:hAnsiTheme="minorHAnsi"/>
          <w:sz w:val="20"/>
          <w:szCs w:val="20"/>
        </w:rPr>
        <w:t xml:space="preserve">(1) </w:t>
      </w:r>
      <w:r>
        <w:rPr>
          <w:rFonts w:cs="Calibri" w:ascii="Calibri" w:hAnsi="Calibri" w:asciiTheme="minorHAnsi" w:hAnsiTheme="minorHAnsi"/>
          <w:bCs/>
          <w:sz w:val="20"/>
          <w:szCs w:val="20"/>
          <w:lang w:eastAsia="cs-CZ"/>
        </w:rPr>
        <w:t>Účtovná závierka bola zostavená za predpokladu, že účtovná jednotka bude nepretržite pokračovať vo svojej činnosti najmenej po dobu 12 mesiacov.</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r>
        <w:rPr>
          <w:rFonts w:ascii="Calibri" w:hAnsi="Calibri" w:asciiTheme="minorHAnsi" w:hAnsiTheme="minorHAnsi"/>
          <w:color w:val="auto"/>
          <w:sz w:val="20"/>
          <w:szCs w:val="20"/>
        </w:rPr>
        <w:t>(2) Zmena metód účtovania a zásad účtovania</w:t>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Účtovné metódy a všeobecné účtovné zásady boli účtovnou jednotkou aplikované konzistentne.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r>
        <w:rPr>
          <w:rFonts w:ascii="Calibri" w:hAnsi="Calibri" w:asciiTheme="minorHAnsi" w:hAnsiTheme="minorHAnsi"/>
          <w:color w:val="auto"/>
          <w:sz w:val="20"/>
          <w:szCs w:val="20"/>
        </w:rPr>
        <w:t>(3) Informácia o transakciách, ktoré sa neuvádzajú v súvahe v roku 202</w:t>
      </w:r>
      <w:r>
        <w:rPr>
          <w:rFonts w:ascii="Calibri" w:hAnsi="Calibri" w:asciiTheme="minorHAnsi" w:hAnsiTheme="minorHAnsi"/>
          <w:color w:val="auto"/>
          <w:sz w:val="20"/>
          <w:szCs w:val="20"/>
        </w:rPr>
        <w:t>4</w:t>
      </w:r>
      <w:r>
        <w:rPr>
          <w:rFonts w:ascii="Calibri" w:hAnsi="Calibri" w:asciiTheme="minorHAnsi" w:hAnsiTheme="minorHAnsi"/>
          <w:color w:val="auto"/>
          <w:sz w:val="20"/>
          <w:szCs w:val="20"/>
        </w:rPr>
        <w:t xml:space="preserve"> neboli.</w:t>
      </w:r>
    </w:p>
    <w:p>
      <w:pPr>
        <w:pStyle w:val="Default"/>
        <w:jc w:val="both"/>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(4) Informácia o ocenení majetku a záväzkov </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Normal"/>
        <w:rPr>
          <w:rFonts w:ascii="Calibri" w:hAnsi="Calibri" w:cs="Tms Rmn" w:asciiTheme="minorHAnsi" w:hAnsiTheme="minorHAnsi"/>
          <w:sz w:val="20"/>
          <w:szCs w:val="20"/>
        </w:rPr>
      </w:pPr>
      <w:r>
        <w:rPr>
          <w:rFonts w:cs="Tms Rmn" w:ascii="Calibri" w:hAnsi="Calibri" w:asciiTheme="minorHAnsi" w:hAnsiTheme="minorHAnsi"/>
          <w:b/>
          <w:sz w:val="20"/>
          <w:szCs w:val="20"/>
        </w:rPr>
        <w:t xml:space="preserve">A) obstarávacou cenou </w:t>
        <w:br/>
      </w:r>
      <w:r>
        <w:rPr>
          <w:rFonts w:cs="Tms Rmn" w:ascii="Calibri" w:hAnsi="Calibri" w:asciiTheme="minorHAnsi" w:hAnsiTheme="minorHAnsi"/>
          <w:sz w:val="20"/>
          <w:szCs w:val="20"/>
        </w:rPr>
        <w:t xml:space="preserve">1.  hmotný majetok, s výnimkou hmotného majetku vytvoreného vlastnou činnosťou, </w:t>
        <w:br/>
        <w:t xml:space="preserve">2.  zásoby,  s výnimkou zásob vytvorených vlastnou činnosťou, </w:t>
        <w:br/>
        <w:t xml:space="preserve">3. podiely na základnom imaní obchodných spoločností a cenné papiere okrem cenných papierov,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     </w:t>
      </w:r>
      <w:r>
        <w:rPr>
          <w:rFonts w:cs="Tms Rmn" w:ascii="Calibri" w:hAnsi="Calibri" w:asciiTheme="minorHAnsi" w:hAnsiTheme="minorHAnsi"/>
          <w:sz w:val="20"/>
          <w:szCs w:val="20"/>
        </w:rPr>
        <w:t xml:space="preserve">podielov na základnom imaní obchodných spoločností, ktoré nemajú podobu cenného papiera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4.  pohľadávky pri odplatnom nadobudnutí,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5.  nehmotný majetok s výnimkou nehmotného majetku vytvoreného vlastnou činnosťou, </w:t>
        <w:br/>
        <w:t xml:space="preserve">6.  záväzky pri ich prevzatí, </w:t>
      </w:r>
    </w:p>
    <w:p>
      <w:pPr>
        <w:pStyle w:val="Normal"/>
        <w:rPr>
          <w:rFonts w:ascii="Calibri" w:hAnsi="Calibri" w:cs="Tms Rmn" w:asciiTheme="minorHAnsi" w:hAnsiTheme="minorHAnsi"/>
          <w:sz w:val="20"/>
          <w:szCs w:val="20"/>
        </w:rPr>
      </w:pPr>
      <w:r>
        <w:rPr>
          <w:rFonts w:cs="Tms Rmn" w:ascii="Calibri" w:hAnsi="Calibri"/>
          <w:sz w:val="20"/>
          <w:szCs w:val="20"/>
        </w:rPr>
      </w:r>
    </w:p>
    <w:p>
      <w:pPr>
        <w:pStyle w:val="Normal"/>
        <w:jc w:val="both"/>
        <w:rPr>
          <w:rFonts w:ascii="Calibri" w:hAnsi="Calibri" w:eastAsia="Calibri" w:cs="Tms Rmn" w:asciiTheme="minorHAnsi" w:eastAsiaTheme="minorHAnsi" w:hAnsiTheme="minorHAnsi"/>
          <w:sz w:val="20"/>
          <w:szCs w:val="20"/>
        </w:rPr>
      </w:pPr>
      <w:r>
        <w:rPr>
          <w:rFonts w:cs="Tms Rmn" w:ascii="Calibri" w:hAnsi="Calibri" w:asciiTheme="minorHAnsi" w:hAnsiTheme="minorHAnsi"/>
          <w:sz w:val="20"/>
          <w:szCs w:val="20"/>
        </w:rPr>
        <w:t>O</w:t>
      </w:r>
      <w:r>
        <w:rPr>
          <w:rFonts w:eastAsia="Calibri" w:cs="Tms Rmn" w:ascii="Calibri" w:hAnsi="Calibri" w:asciiTheme="minorHAnsi" w:eastAsiaTheme="minorHAnsi" w:hAnsiTheme="minorHAnsi"/>
          <w:sz w:val="20"/>
          <w:szCs w:val="20"/>
        </w:rPr>
        <w:t xml:space="preserve">bstarávacou cenou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pPr>
        <w:pStyle w:val="Telotextu"/>
        <w:rPr>
          <w:szCs w:val="18"/>
        </w:rPr>
      </w:pPr>
      <w:r>
        <w:rPr>
          <w:rFonts w:eastAsia="Calibri" w:cs="Tms Rmn" w:ascii="Calibri" w:hAnsi="Calibri" w:asciiTheme="minorHAnsi" w:eastAsiaTheme="minorHAnsi" w:hAnsiTheme="minorHAnsi"/>
          <w:b w:val="false"/>
          <w:bCs w:val="false"/>
          <w:sz w:val="20"/>
          <w:szCs w:val="20"/>
          <w:lang w:eastAsia="en-US"/>
        </w:rPr>
        <w:t>Nakupované zásoby sa pri vyskladnení oceňujú metódou FIFO (prvá cena na ocenenie prírastku zásob sa použila ako prvá cena na ocenenie úbytku zásob)</w:t>
      </w:r>
      <w:r>
        <w:rPr>
          <w:szCs w:val="18"/>
        </w:rPr>
        <w:t>.</w:t>
      </w:r>
    </w:p>
    <w:p>
      <w:pPr>
        <w:pStyle w:val="Normal"/>
        <w:rPr>
          <w:rFonts w:ascii="Calibri" w:hAnsi="Calibri" w:eastAsia="Calibri" w:cs="Tms Rmn" w:asciiTheme="minorHAnsi" w:eastAsiaTheme="minorHAnsi" w:hAnsiTheme="minorHAnsi"/>
          <w:sz w:val="20"/>
          <w:szCs w:val="20"/>
        </w:rPr>
      </w:pPr>
      <w:r>
        <w:rPr>
          <w:rFonts w:eastAsia="Calibri" w:cs="Tms Rmn" w:eastAsiaTheme="minorHAnsi" w:ascii="Calibri" w:hAnsi="Calibri"/>
          <w:sz w:val="20"/>
          <w:szCs w:val="20"/>
        </w:rPr>
      </w:r>
    </w:p>
    <w:p>
      <w:pPr>
        <w:pStyle w:val="Normal"/>
        <w:rPr>
          <w:rFonts w:ascii="Calibri" w:hAnsi="Calibri" w:cs="Tms Rmn" w:asciiTheme="minorHAnsi" w:hAnsiTheme="minorHAnsi"/>
          <w:sz w:val="20"/>
          <w:szCs w:val="20"/>
        </w:rPr>
      </w:pPr>
      <w:r>
        <w:rPr>
          <w:rFonts w:cs="Tms Rmn" w:ascii="Calibri" w:hAnsi="Calibri" w:asciiTheme="minorHAnsi" w:hAnsiTheme="minorHAnsi"/>
          <w:b/>
          <w:sz w:val="20"/>
          <w:szCs w:val="20"/>
        </w:rPr>
        <w:t xml:space="preserve">B) vlastnými nákladmi </w:t>
        <w:br/>
      </w:r>
      <w:r>
        <w:rPr>
          <w:rFonts w:cs="Tms Rmn" w:ascii="Calibri" w:hAnsi="Calibri" w:asciiTheme="minorHAnsi" w:hAnsiTheme="minorHAnsi"/>
          <w:sz w:val="20"/>
          <w:szCs w:val="20"/>
        </w:rPr>
        <w:t xml:space="preserve">1.  hmotný majetok vytvorený vlastnou činnosťou, </w:t>
        <w:br/>
        <w:t xml:space="preserve">2.  zásoby vytvorené vlastnou činnosťou, </w:t>
        <w:br/>
        <w:t xml:space="preserve">3.  nehmotný majetok vytvorený vlastnou činnosťou, </w:t>
        <w:br/>
      </w:r>
    </w:p>
    <w:p>
      <w:pPr>
        <w:pStyle w:val="Normal"/>
        <w:rPr>
          <w:rFonts w:ascii="Tms Rmn" w:hAnsi="Tms Rmn" w:eastAsia="Calibri" w:cs="Tms Rmn" w:eastAsiaTheme="minorHAnsi"/>
          <w:sz w:val="20"/>
          <w:szCs w:val="20"/>
        </w:rPr>
      </w:pPr>
      <w:r>
        <w:rPr>
          <w:rFonts w:cs="Tms Rmn" w:ascii="Calibri" w:hAnsi="Calibri" w:asciiTheme="minorHAnsi" w:hAnsiTheme="minorHAnsi"/>
          <w:sz w:val="20"/>
          <w:szCs w:val="20"/>
        </w:rPr>
        <w:t>Vlastné náklady  vo svojej skutočnej výške, alebo vo výške vlastných nákladov podľa operatívnych (plánových) kalkulácií</w:t>
      </w:r>
      <w:r>
        <w:rPr>
          <w:rFonts w:eastAsia="Calibri" w:cs="Tms Rmn" w:ascii="Tms Rmn" w:hAnsi="Tms Rmn" w:eastAsiaTheme="minorHAnsi"/>
          <w:sz w:val="20"/>
          <w:szCs w:val="20"/>
        </w:rPr>
        <w:t xml:space="preserve">. </w:t>
      </w:r>
    </w:p>
    <w:p>
      <w:pPr>
        <w:pStyle w:val="Normal"/>
        <w:rPr>
          <w:rFonts w:ascii="Tms Rmn" w:hAnsi="Tms Rmn" w:eastAsia="Calibri" w:cs="Tms Rmn" w:eastAsiaTheme="minorHAnsi"/>
          <w:sz w:val="20"/>
          <w:szCs w:val="20"/>
        </w:rPr>
      </w:pPr>
      <w:r>
        <w:rPr>
          <w:rFonts w:eastAsia="Calibri" w:cs="Tms Rmn" w:eastAsiaTheme="minorHAnsi" w:ascii="Tms Rmn" w:hAnsi="Tms Rmn"/>
          <w:sz w:val="20"/>
          <w:szCs w:val="20"/>
        </w:rPr>
      </w:r>
    </w:p>
    <w:p>
      <w:pPr>
        <w:pStyle w:val="Normal"/>
        <w:rPr>
          <w:rFonts w:ascii="Calibri" w:hAnsi="Calibri" w:eastAsia="Calibri" w:cs="Calibri" w:asciiTheme="minorHAnsi" w:cstheme="minorHAnsi" w:eastAsiaTheme="minorHAnsi" w:hAnsiTheme="minorHAnsi"/>
          <w:b/>
          <w:b/>
          <w:sz w:val="20"/>
          <w:szCs w:val="20"/>
        </w:rPr>
      </w:pPr>
      <w:r>
        <w:rPr>
          <w:rFonts w:eastAsia="Calibri" w:cs="Calibri" w:ascii="Calibri" w:hAnsi="Calibri" w:asciiTheme="minorHAnsi" w:cstheme="minorHAnsi" w:eastAsiaTheme="minorHAnsi" w:hAnsiTheme="minorHAnsi"/>
          <w:b/>
          <w:sz w:val="20"/>
          <w:szCs w:val="20"/>
        </w:rPr>
        <w:t>Vlastné náklady zahŕňajú:</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 </w:t>
      </w:r>
      <w:r>
        <w:rPr>
          <w:rFonts w:cs="Tms Rmn" w:ascii="Calibri" w:hAnsi="Calibri" w:asciiTheme="minorHAnsi" w:hAnsiTheme="minorHAnsi"/>
          <w:sz w:val="20"/>
          <w:szCs w:val="20"/>
        </w:rPr>
        <w:t xml:space="preserve">priame náklady (priamy materiál, priame mzdy a ostatné priame náklady)  a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 </w:t>
      </w:r>
      <w:r>
        <w:rPr>
          <w:rFonts w:cs="Tms Rmn" w:ascii="Calibri" w:hAnsi="Calibri" w:asciiTheme="minorHAnsi" w:hAnsiTheme="minorHAnsi"/>
          <w:sz w:val="20"/>
          <w:szCs w:val="20"/>
        </w:rPr>
        <w:t xml:space="preserve">časť nepriamych nákladov, ktorá sa vzťahuje na výrobu (výrobná réžia). </w:t>
      </w:r>
    </w:p>
    <w:p>
      <w:pPr>
        <w:pStyle w:val="Normal"/>
        <w:rPr>
          <w:rFonts w:ascii="Tms Rmn" w:hAnsi="Tms Rmn" w:eastAsia="Calibri" w:cs="Tms Rmn" w:eastAsiaTheme="minorHAnsi"/>
          <w:sz w:val="20"/>
          <w:szCs w:val="20"/>
        </w:rPr>
      </w:pPr>
      <w:r>
        <w:rPr>
          <w:rFonts w:eastAsia="Calibri" w:cs="Tms Rmn" w:eastAsiaTheme="minorHAnsi" w:ascii="Tms Rmn" w:hAnsi="Tms Rmn"/>
          <w:sz w:val="20"/>
          <w:szCs w:val="20"/>
        </w:rPr>
      </w:r>
    </w:p>
    <w:p>
      <w:pPr>
        <w:pStyle w:val="Normal"/>
        <w:jc w:val="both"/>
        <w:rPr>
          <w:rFonts w:ascii="Calibri" w:hAnsi="Calibri" w:cs="Tms Rmn" w:asciiTheme="minorHAnsi" w:hAnsiTheme="minorHAnsi"/>
          <w:sz w:val="20"/>
          <w:szCs w:val="20"/>
        </w:rPr>
      </w:pPr>
      <w:r>
        <w:rPr>
          <w:rFonts w:cs="Tms Rmn" w:ascii="Calibri" w:hAnsi="Calibri" w:asciiTheme="minorHAnsi" w:hAnsiTheme="minorHAnsi"/>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pPr>
        <w:pStyle w:val="Normal"/>
        <w:jc w:val="both"/>
        <w:rPr>
          <w:rFonts w:ascii="Calibri" w:hAnsi="Calibri" w:cs="Tms Rmn" w:asciiTheme="minorHAnsi" w:hAnsiTheme="minorHAnsi"/>
          <w:sz w:val="20"/>
          <w:szCs w:val="20"/>
        </w:rPr>
      </w:pPr>
      <w:r>
        <w:rPr>
          <w:rFonts w:cs="Tms Rmn" w:ascii="Calibri" w:hAnsi="Calibri"/>
          <w:sz w:val="20"/>
          <w:szCs w:val="20"/>
        </w:rPr>
      </w:r>
    </w:p>
    <w:p>
      <w:pPr>
        <w:pStyle w:val="Normal"/>
        <w:rPr>
          <w:rFonts w:ascii="Calibri" w:hAnsi="Calibri" w:cs="Tms Rmn" w:asciiTheme="minorHAnsi" w:hAnsiTheme="minorHAnsi"/>
          <w:sz w:val="20"/>
          <w:szCs w:val="20"/>
        </w:rPr>
      </w:pPr>
      <w:r>
        <w:rPr>
          <w:rFonts w:cs="Tms Rmn" w:ascii="Calibri" w:hAnsi="Calibri" w:asciiTheme="minorHAnsi" w:hAnsiTheme="minorHAnsi"/>
          <w:b/>
          <w:sz w:val="20"/>
          <w:szCs w:val="20"/>
        </w:rPr>
        <w:t xml:space="preserve">C) menovitou hodnotou </w:t>
        <w:br/>
      </w:r>
      <w:r>
        <w:rPr>
          <w:rFonts w:cs="Tms Rmn" w:ascii="Calibri" w:hAnsi="Calibri" w:asciiTheme="minorHAnsi" w:hAnsiTheme="minorHAnsi"/>
          <w:sz w:val="20"/>
          <w:szCs w:val="20"/>
        </w:rPr>
        <w:t xml:space="preserve">1.  peňažné prostriedky a ceniny, </w:t>
        <w:br/>
        <w:t xml:space="preserve">2.  pohľadávky pri ich vzniku </w:t>
        <w:br/>
        <w:t xml:space="preserve">3.  záväzky pri ich vzniku, </w:t>
      </w:r>
    </w:p>
    <w:p>
      <w:pPr>
        <w:pStyle w:val="Normal"/>
        <w:rPr>
          <w:rFonts w:ascii="Calibri" w:hAnsi="Calibri" w:cs="Tms Rmn" w:asciiTheme="minorHAnsi" w:hAnsiTheme="minorHAnsi"/>
          <w:sz w:val="20"/>
          <w:szCs w:val="20"/>
        </w:rPr>
      </w:pPr>
      <w:r>
        <w:rPr>
          <w:rFonts w:cs="Tms Rmn" w:ascii="Calibri" w:hAnsi="Calibri"/>
          <w:sz w:val="20"/>
          <w:szCs w:val="20"/>
        </w:rPr>
      </w:r>
    </w:p>
    <w:p>
      <w:pPr>
        <w:pStyle w:val="Normal"/>
        <w:rPr>
          <w:rFonts w:ascii="Calibri" w:hAnsi="Calibri" w:eastAsia="Calibri" w:cs="Tms Rmn" w:asciiTheme="minorHAnsi" w:eastAsiaTheme="minorHAnsi" w:hAnsiTheme="minorHAnsi"/>
          <w:sz w:val="20"/>
          <w:szCs w:val="20"/>
        </w:rPr>
      </w:pPr>
      <w:r>
        <w:rPr>
          <w:rFonts w:eastAsia="Calibri" w:cs="Tms Rmn" w:ascii="Calibri" w:hAnsi="Calibri" w:asciiTheme="minorHAnsi" w:eastAsiaTheme="minorHAnsi" w:hAnsiTheme="minorHAnsi"/>
          <w:sz w:val="20"/>
          <w:szCs w:val="20"/>
        </w:rPr>
        <w:t xml:space="preserve">Menovitou hodnotou je  cena, ktorá je uvedená na peňažných prostriedkoch a ceninách, alebo suma, na ktorú pohľadávka alebo záväzok znie. </w:t>
      </w:r>
    </w:p>
    <w:p>
      <w:pPr>
        <w:pStyle w:val="Normal"/>
        <w:rPr>
          <w:rFonts w:ascii="Calibri" w:hAnsi="Calibri" w:cs="Tms Rmn" w:asciiTheme="minorHAnsi" w:hAnsiTheme="minorHAnsi"/>
          <w:b/>
          <w:b/>
          <w:sz w:val="20"/>
          <w:szCs w:val="20"/>
        </w:rPr>
      </w:pPr>
      <w:r>
        <w:rPr>
          <w:rFonts w:cs="Tms Rmn" w:ascii="Calibri" w:hAnsi="Calibri" w:asciiTheme="minorHAnsi" w:hAnsiTheme="minorHAnsi"/>
          <w:sz w:val="20"/>
          <w:szCs w:val="20"/>
        </w:rPr>
        <w:br/>
      </w:r>
      <w:r>
        <w:rPr>
          <w:rFonts w:cs="Tms Rmn" w:ascii="Calibri" w:hAnsi="Calibri" w:asciiTheme="minorHAnsi" w:hAnsiTheme="minorHAnsi"/>
          <w:b/>
          <w:sz w:val="20"/>
          <w:szCs w:val="20"/>
        </w:rPr>
        <w:t xml:space="preserve">D) reprodukčnou obstarávacou cenou </w:t>
      </w:r>
    </w:p>
    <w:p>
      <w:pPr>
        <w:pStyle w:val="Normal"/>
        <w:rPr>
          <w:rFonts w:ascii="Calibri" w:hAnsi="Calibri" w:cs="Tms Rmn" w:asciiTheme="minorHAnsi" w:hAnsiTheme="minorHAnsi"/>
          <w:sz w:val="20"/>
          <w:szCs w:val="20"/>
        </w:rPr>
      </w:pPr>
      <w:r>
        <w:rPr>
          <w:rFonts w:cs="Tms Rmn" w:ascii="Calibri" w:hAnsi="Calibri" w:asciiTheme="minorHAnsi" w:hAnsiTheme="minorHAnsi"/>
          <w:sz w:val="20"/>
          <w:szCs w:val="20"/>
        </w:rPr>
        <w:t xml:space="preserve">1.  majetok v prípade bezodplatného nadobudnutia s výnimkou peňažných prostriedkov a cenín a pohľadávok ocenených menovitými hodnotami, </w:t>
        <w:br/>
        <w:t xml:space="preserve">2.  nehmotný majetok vytvorený vlastnou činnosťou, ak sú vlastné náklady vyššie ako reprodukčná obstarávacia cena tohto majetku, </w:t>
        <w:br/>
        <w:t xml:space="preserve">3.  majetok preradený z osobného vlastníctva do podnikania s výnimkou peňažných prostriedkov a cenín a pohľadávok ocenených menovitými hodnotami, </w:t>
        <w:br/>
        <w:t xml:space="preserve">4.  nehmotný a hmotný majetok novozistený pri inventarizácii a v účtovníctve doteraz nezachytený, </w:t>
      </w:r>
    </w:p>
    <w:p>
      <w:pPr>
        <w:pStyle w:val="Normal"/>
        <w:rPr>
          <w:rFonts w:ascii="Calibri" w:hAnsi="Calibri" w:cs="Tms Rmn" w:asciiTheme="minorHAnsi" w:hAnsiTheme="minorHAnsi"/>
          <w:sz w:val="20"/>
          <w:szCs w:val="20"/>
        </w:rPr>
      </w:pPr>
      <w:r>
        <w:rPr>
          <w:rFonts w:cs="Tms Rmn" w:ascii="Calibri" w:hAnsi="Calibri"/>
          <w:sz w:val="20"/>
          <w:szCs w:val="20"/>
        </w:rPr>
      </w:r>
    </w:p>
    <w:p>
      <w:pPr>
        <w:pStyle w:val="Normal"/>
        <w:rPr>
          <w:rFonts w:ascii="Calibri" w:hAnsi="Calibri" w:eastAsia="Calibri" w:cs="Tms Rmn" w:asciiTheme="minorHAnsi" w:eastAsiaTheme="minorHAnsi" w:hAnsiTheme="minorHAnsi"/>
          <w:sz w:val="20"/>
          <w:szCs w:val="20"/>
        </w:rPr>
      </w:pPr>
      <w:r>
        <w:rPr>
          <w:rFonts w:eastAsia="Calibri" w:cs="Tms Rmn" w:ascii="Calibri" w:hAnsi="Calibri" w:asciiTheme="minorHAnsi" w:eastAsiaTheme="minorHAnsi" w:hAnsiTheme="minorHAnsi"/>
          <w:sz w:val="20"/>
          <w:szCs w:val="20"/>
        </w:rPr>
        <w:t>Reprodukčná obstarávacia cena je  cena, za ktorú by sa majetok obstaral v čase, keď sa o ňom účtuje.</w:t>
      </w:r>
    </w:p>
    <w:p>
      <w:pPr>
        <w:pStyle w:val="Normal"/>
        <w:rPr>
          <w:rFonts w:ascii="Calibri" w:hAnsi="Calibri" w:eastAsia="Calibri" w:cs="Tms Rmn" w:asciiTheme="minorHAnsi" w:eastAsiaTheme="minorHAnsi" w:hAnsiTheme="minorHAnsi"/>
          <w:sz w:val="20"/>
          <w:szCs w:val="20"/>
        </w:rPr>
      </w:pPr>
      <w:r>
        <w:rPr>
          <w:rFonts w:eastAsia="Calibri" w:cs="Tms Rmn" w:eastAsiaTheme="minorHAnsi" w:ascii="Calibri" w:hAnsi="Calibri"/>
          <w:sz w:val="20"/>
          <w:szCs w:val="20"/>
        </w:rPr>
      </w:r>
    </w:p>
    <w:p>
      <w:pPr>
        <w:pStyle w:val="Normal"/>
        <w:rPr>
          <w:rFonts w:ascii="Calibri" w:hAnsi="Calibri" w:eastAsia="Calibri" w:cs="Calibri" w:asciiTheme="minorHAnsi" w:cstheme="minorHAnsi" w:eastAsiaTheme="minorHAnsi" w:hAnsiTheme="minorHAnsi"/>
          <w:b/>
          <w:b/>
          <w:bCs/>
          <w:sz w:val="20"/>
          <w:szCs w:val="20"/>
        </w:rPr>
      </w:pPr>
      <w:r>
        <w:rPr>
          <w:rFonts w:cs="Calibri" w:ascii="Calibri" w:hAnsi="Calibri" w:asciiTheme="minorHAnsi" w:cstheme="minorHAnsi" w:hAnsiTheme="minorHAnsi"/>
          <w:b/>
          <w:sz w:val="20"/>
          <w:szCs w:val="20"/>
        </w:rPr>
        <w:t>E)</w:t>
      </w:r>
      <w:r>
        <w:rPr>
          <w:rFonts w:cs="Calibri" w:ascii="Calibri" w:hAnsi="Calibri" w:asciiTheme="minorHAnsi" w:cstheme="minorHAnsi" w:hAnsiTheme="minorHAnsi"/>
          <w:sz w:val="20"/>
          <w:szCs w:val="20"/>
        </w:rPr>
        <w:t xml:space="preserve"> </w:t>
      </w:r>
      <w:r>
        <w:rPr>
          <w:rFonts w:eastAsia="Calibri" w:cs="Calibri" w:ascii="Calibri" w:hAnsi="Calibri" w:asciiTheme="minorHAnsi" w:cstheme="minorHAnsi" w:eastAsiaTheme="minorHAnsi" w:hAnsiTheme="minorHAnsi"/>
          <w:b/>
          <w:bCs/>
          <w:sz w:val="20"/>
          <w:szCs w:val="20"/>
        </w:rPr>
        <w:t xml:space="preserve">reálnou hodnotou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1. majetok a záväzky nadobudnuté kúpou podniku alebo jeho časti,</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2. majetok a záväzky nadobudnuté vkladom podniku alebo jeho časti a majetok a záväzky nadobudnuté zámenou</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2. cenné papiere, deriváty a podiely na základnom imaní, a to</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a) cenné papiere určené na obchodovanie,</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b) podiely na základnom imaní obchodných spoločností, ktoré nemajú podobu cenných papierov a sú v</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majetku fondu,</w:t>
      </w:r>
    </w:p>
    <w:p>
      <w:pPr>
        <w:pStyle w:val="Normal"/>
        <w:rPr>
          <w:rFonts w:ascii="Calibri" w:hAnsi="Calibri" w:asciiTheme="minorHAnsi" w:hAnsiTheme="minorHAnsi"/>
          <w:sz w:val="20"/>
          <w:szCs w:val="20"/>
        </w:rPr>
      </w:pPr>
      <w:r>
        <w:rPr>
          <w:rFonts w:asciiTheme="minorHAnsi" w:hAnsiTheme="minorHAnsi" w:ascii="Calibri" w:hAnsi="Calibri"/>
          <w:sz w:val="20"/>
          <w:szCs w:val="20"/>
        </w:rPr>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Reálnou  hodnotou je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a) trhová cena,</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b) hodnota zistená z kotácií na aktívnom trhu,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c) hodnota zistená z kotácií na inom ako aktívnom  trhu, </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d) posudok znalca,  </w:t>
      </w:r>
    </w:p>
    <w:p>
      <w:pPr>
        <w:pStyle w:val="Normal"/>
        <w:rPr>
          <w:rFonts w:ascii="Calibri" w:hAnsi="Calibri" w:cs="Calibri" w:asciiTheme="minorHAnsi" w:cstheme="minorHAnsi" w:hAnsiTheme="minorHAnsi"/>
          <w:sz w:val="20"/>
          <w:szCs w:val="20"/>
        </w:rPr>
      </w:pPr>
      <w:r>
        <w:rPr>
          <w:rFonts w:cs="Calibri" w:cstheme="minorHAnsi" w:ascii="Calibri" w:hAnsi="Calibri"/>
          <w:sz w:val="20"/>
          <w:szCs w:val="20"/>
        </w:rPr>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Trhová cena je</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a) záverečná cena vyhlásená na burze na aktívnom trhu, alebo</w:t>
      </w:r>
    </w:p>
    <w:p>
      <w:pPr>
        <w:pStyle w:val="Normal"/>
        <w:rPr>
          <w:rFonts w:ascii="Calibri" w:hAnsi="Calibri" w:eastAsia="Calibri" w:cs="Calibri" w:asciiTheme="minorHAnsi" w:cstheme="minorHAnsi" w:eastAsiaTheme="minorHAnsi" w:hAnsiTheme="minorHAnsi"/>
          <w:bCs/>
          <w:sz w:val="20"/>
          <w:szCs w:val="20"/>
        </w:rPr>
      </w:pPr>
      <w:r>
        <w:rPr>
          <w:rFonts w:eastAsia="Calibri" w:cs="Calibri" w:ascii="Calibri" w:hAnsi="Calibri" w:asciiTheme="minorHAnsi" w:cstheme="minorHAnsi" w:eastAsiaTheme="minorHAnsi" w:hAnsiTheme="minorHAnsi"/>
          <w:bCs/>
          <w:sz w:val="20"/>
          <w:szCs w:val="20"/>
        </w:rPr>
        <w:t xml:space="preserve">b) najpočetnejšia cena ponuky, </w:t>
      </w:r>
    </w:p>
    <w:p>
      <w:pPr>
        <w:pStyle w:val="Normal"/>
        <w:rPr>
          <w:rFonts w:ascii="Calibri" w:hAnsi="Calibri" w:cs="Calibri" w:asciiTheme="minorHAnsi" w:cstheme="minorHAnsi" w:hAnsiTheme="minorHAnsi"/>
          <w:sz w:val="20"/>
          <w:szCs w:val="20"/>
        </w:rPr>
      </w:pPr>
      <w:r>
        <w:rPr>
          <w:rFonts w:cs="Calibri" w:cstheme="minorHAnsi" w:ascii="Calibri" w:hAnsi="Calibri"/>
          <w:sz w:val="20"/>
          <w:szCs w:val="20"/>
        </w:rPr>
      </w:r>
    </w:p>
    <w:p>
      <w:pPr>
        <w:pStyle w:val="Default"/>
        <w:spacing w:before="0" w:after="14"/>
        <w:rPr>
          <w:rFonts w:ascii="Calibri" w:hAnsi="Calibri" w:cs="Calibri" w:asciiTheme="minorHAnsi" w:cstheme="minorHAnsi" w:hAnsiTheme="minorHAnsi"/>
          <w:b/>
          <w:b/>
          <w:bCs/>
          <w:color w:val="auto"/>
          <w:sz w:val="20"/>
          <w:szCs w:val="20"/>
        </w:rPr>
      </w:pPr>
      <w:r>
        <w:rPr>
          <w:rFonts w:cs="Calibri" w:ascii="Calibri" w:hAnsi="Calibri" w:asciiTheme="minorHAnsi" w:cstheme="minorHAnsi" w:hAnsiTheme="minorHAnsi"/>
          <w:b/>
          <w:color w:val="auto"/>
          <w:sz w:val="20"/>
          <w:szCs w:val="20"/>
        </w:rPr>
        <w:t>F)</w:t>
      </w:r>
      <w:r>
        <w:rPr>
          <w:rFonts w:cs="Calibri" w:ascii="Calibri" w:hAnsi="Calibri" w:asciiTheme="minorHAnsi" w:cstheme="minorHAnsi" w:hAnsiTheme="minorHAnsi"/>
          <w:color w:val="auto"/>
          <w:sz w:val="20"/>
          <w:szCs w:val="20"/>
        </w:rPr>
        <w:t xml:space="preserve"> </w:t>
      </w:r>
      <w:r>
        <w:rPr>
          <w:rFonts w:cs="Calibri" w:ascii="Calibri" w:hAnsi="Calibri" w:asciiTheme="minorHAnsi" w:cstheme="minorHAnsi" w:hAnsiTheme="minorHAnsi"/>
          <w:b/>
          <w:bCs/>
          <w:color w:val="auto"/>
          <w:sz w:val="20"/>
          <w:szCs w:val="20"/>
        </w:rPr>
        <w:t>metódou vlastného imania</w:t>
      </w:r>
    </w:p>
    <w:p>
      <w:pPr>
        <w:pStyle w:val="Default"/>
        <w:spacing w:before="0" w:after="14"/>
        <w:rPr>
          <w:rFonts w:ascii="Calibri" w:hAnsi="Calibri" w:cs="Tms Rmn" w:asciiTheme="minorHAnsi" w:hAnsiTheme="minorHAnsi"/>
          <w:color w:val="auto"/>
          <w:sz w:val="20"/>
          <w:szCs w:val="20"/>
        </w:rPr>
      </w:pPr>
      <w:r>
        <w:rPr>
          <w:rFonts w:cs="Tms Rmn" w:ascii="Calibri" w:hAnsi="Calibri" w:asciiTheme="minorHAnsi" w:hAnsiTheme="minorHAnsi"/>
          <w:color w:val="auto"/>
          <w:sz w:val="20"/>
          <w:szCs w:val="20"/>
        </w:rPr>
        <w:t>a) podiely na základnom imaní dcérskych  spoločností</w:t>
      </w:r>
    </w:p>
    <w:p>
      <w:pPr>
        <w:pStyle w:val="Default"/>
        <w:spacing w:before="0" w:after="14"/>
        <w:jc w:val="both"/>
        <w:rPr>
          <w:rFonts w:ascii="Calibri" w:hAnsi="Calibri" w:cs="Calibri" w:asciiTheme="minorHAnsi" w:cstheme="minorHAnsi" w:hAnsiTheme="minorHAnsi"/>
          <w:color w:val="auto"/>
          <w:sz w:val="20"/>
          <w:szCs w:val="20"/>
        </w:rPr>
      </w:pPr>
      <w:r>
        <w:rPr>
          <w:rFonts w:cs="Calibri" w:ascii="Calibri" w:hAnsi="Calibri" w:asciiTheme="minorHAnsi" w:cstheme="minorHAnsi" w:hAnsiTheme="minorHAnsi"/>
          <w:bCs/>
          <w:color w:val="auto"/>
          <w:sz w:val="20"/>
          <w:szCs w:val="20"/>
        </w:rPr>
        <w:t xml:space="preserve">Pri ocenení metódou vlastného imania sa hodnota akcií a podielov porovnáva s hodnotou zodpovedajúcou miere účasti na vlastnom imaní v dcérskej účtovnej jednotke. </w:t>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b) určenie odhadu zníženia hodnoty majetku a tvorba opravnej položky k majetku, </w:t>
      </w:r>
    </w:p>
    <w:p>
      <w:pPr>
        <w:pStyle w:val="Default"/>
        <w:spacing w:before="0" w:after="14"/>
        <w:jc w:val="both"/>
        <w:rPr>
          <w:rFonts w:ascii="Calibri" w:hAnsi="Calibri" w:cs="Tms Rmn" w:asciiTheme="minorHAnsi" w:hAnsiTheme="minorHAnsi"/>
          <w:color w:val="auto"/>
          <w:sz w:val="20"/>
          <w:szCs w:val="20"/>
        </w:rPr>
      </w:pPr>
      <w:r>
        <w:rPr>
          <w:rFonts w:cs="Tms Rmn" w:ascii="Calibri" w:hAnsi="Calibri" w:asciiTheme="minorHAnsi" w:hAnsiTheme="minorHAnsi"/>
          <w:color w:val="auto"/>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pPr>
        <w:pStyle w:val="Default"/>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c) určenie ocenenia záväzkov, stanovenie odhadu ocenenia rezerv, </w:t>
      </w:r>
    </w:p>
    <w:p>
      <w:pPr>
        <w:pStyle w:val="Telotextu"/>
        <w:rPr>
          <w:rFonts w:ascii="Calibri" w:hAnsi="Calibri" w:asciiTheme="minorHAnsi" w:hAnsiTheme="minorHAnsi"/>
          <w:b w:val="false"/>
          <w:b w:val="false"/>
          <w:sz w:val="20"/>
          <w:szCs w:val="20"/>
        </w:rPr>
      </w:pPr>
      <w:r>
        <w:rPr>
          <w:rFonts w:ascii="Calibri" w:hAnsi="Calibri" w:asciiTheme="minorHAnsi" w:hAnsiTheme="minorHAnsi"/>
          <w:b w:val="false"/>
          <w:sz w:val="20"/>
          <w:szCs w:val="20"/>
        </w:rPr>
        <w:t>Rezervy sú záväzky s neurčitým časovým vymedzením alebo výškou; tvoria sa na krytie známych rizík alebo strát z podnikania. Oceňujú sa v očakávanej výške záväzku.</w:t>
      </w:r>
    </w:p>
    <w:p>
      <w:pPr>
        <w:pStyle w:val="Telotextu"/>
        <w:rPr>
          <w:rFonts w:ascii="Calibri" w:hAnsi="Calibri" w:asciiTheme="minorHAnsi" w:hAnsiTheme="minorHAnsi"/>
          <w:b w:val="false"/>
          <w:b w:val="false"/>
          <w:sz w:val="20"/>
          <w:szCs w:val="20"/>
        </w:rPr>
      </w:pPr>
      <w:r>
        <w:rPr>
          <w:rFonts w:asciiTheme="minorHAnsi" w:hAnsiTheme="minorHAnsi" w:ascii="Calibri" w:hAnsi="Calibri"/>
          <w:b w:val="false"/>
          <w:sz w:val="20"/>
          <w:szCs w:val="20"/>
        </w:rPr>
      </w:r>
    </w:p>
    <w:p>
      <w:pPr>
        <w:pStyle w:val="Telotextu"/>
        <w:rPr>
          <w:rFonts w:ascii="Calibri" w:hAnsi="Calibri" w:asciiTheme="minorHAnsi" w:hAnsiTheme="minorHAnsi"/>
          <w:b w:val="false"/>
          <w:b w:val="false"/>
          <w:sz w:val="20"/>
          <w:szCs w:val="20"/>
        </w:rPr>
      </w:pPr>
      <w:r>
        <w:rPr>
          <w:rFonts w:ascii="Calibri" w:hAnsi="Calibri" w:asciiTheme="minorHAnsi" w:hAnsiTheme="minorHAnsi"/>
          <w:b w:val="false"/>
          <w:sz w:val="20"/>
          <w:szCs w:val="20"/>
        </w:rPr>
        <w:t xml:space="preserve">Účtovná jednotka  vytvorila rezervu na nevyčerpané dovolenky, vrátane sociálneho poistenia. </w:t>
      </w:r>
    </w:p>
    <w:p>
      <w:pPr>
        <w:pStyle w:val="Telotextu"/>
        <w:rPr>
          <w:rFonts w:ascii="Calibri" w:hAnsi="Calibri" w:asciiTheme="minorHAnsi" w:hAnsiTheme="minorHAnsi"/>
          <w:sz w:val="20"/>
          <w:szCs w:val="18"/>
        </w:rPr>
      </w:pPr>
      <w:r>
        <w:rPr>
          <w:rFonts w:asciiTheme="minorHAnsi" w:hAnsiTheme="minorHAnsi" w:ascii="Calibri" w:hAnsi="Calibri"/>
          <w:sz w:val="20"/>
          <w:szCs w:val="18"/>
        </w:rPr>
      </w:r>
    </w:p>
    <w:p>
      <w:pPr>
        <w:pStyle w:val="Telotextu"/>
        <w:rPr>
          <w:rFonts w:ascii="Calibri" w:hAnsi="Calibri" w:asciiTheme="minorHAnsi" w:hAnsiTheme="minorHAnsi"/>
          <w:b w:val="false"/>
          <w:b w:val="false"/>
          <w:szCs w:val="18"/>
        </w:rPr>
      </w:pPr>
      <w:r>
        <w:rPr>
          <w:rFonts w:ascii="Calibri" w:hAnsi="Calibri" w:asciiTheme="minorHAnsi" w:hAnsiTheme="minorHAnsi"/>
          <w:b w:val="false"/>
          <w:sz w:val="20"/>
          <w:szCs w:val="18"/>
        </w:rPr>
        <w:t>Časové rozlíšenie aktív a pasív</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Časové rozlíšenia aktív a pasív sa oceňujú (vykazujú) vo výške, ktorá je potrebná na dodržanie zásady vecnej a časovej súvislosti s účtovným obdobím. Náklady na prelome účtovných období (december bežného roka - január nasledujúceho roka) sa účtujú do toho obdobia, v ktorom je vystavený daňový doklad.</w:t>
      </w:r>
    </w:p>
    <w:p>
      <w:pPr>
        <w:pStyle w:val="Pismenka"/>
        <w:numPr>
          <w:ilvl w:val="0"/>
          <w:numId w:val="0"/>
        </w:numPr>
        <w:ind w:left="360" w:hanging="360"/>
        <w:rPr>
          <w:rFonts w:ascii="Calibri" w:hAnsi="Calibri" w:cs="Calibri" w:asciiTheme="minorHAnsi" w:hAnsiTheme="minorHAnsi"/>
          <w:b w:val="false"/>
          <w:b w:val="false"/>
          <w:sz w:val="20"/>
        </w:rPr>
      </w:pPr>
      <w:r>
        <w:rPr>
          <w:rFonts w:cs="Calibri" w:ascii="Calibri" w:hAnsi="Calibri"/>
          <w:b w:val="false"/>
          <w:sz w:val="20"/>
        </w:rPr>
      </w:r>
    </w:p>
    <w:p>
      <w:pPr>
        <w:pStyle w:val="Default"/>
        <w:rPr>
          <w:rFonts w:ascii="Calibri" w:hAnsi="Calibri" w:asciiTheme="minorHAnsi" w:hAnsiTheme="minorHAnsi"/>
          <w:color w:val="auto"/>
          <w:sz w:val="20"/>
          <w:szCs w:val="20"/>
          <w:highlight w:val="yellow"/>
        </w:rPr>
      </w:pPr>
      <w:r>
        <w:rPr>
          <w:rFonts w:ascii="Calibri" w:hAnsi="Calibri" w:asciiTheme="minorHAnsi" w:hAnsiTheme="minorHAnsi"/>
          <w:color w:val="auto"/>
          <w:sz w:val="20"/>
          <w:szCs w:val="20"/>
        </w:rPr>
        <w:t>d) určenie ocenenia finančných nástrojov pri oceňovaní reálnou hodnotou</w:t>
      </w:r>
      <w:r>
        <w:rPr>
          <w:rFonts w:ascii="Calibri" w:hAnsi="Calibri" w:asciiTheme="minorHAnsi" w:hAnsiTheme="minorHAnsi"/>
          <w:color w:val="auto"/>
          <w:sz w:val="20"/>
          <w:szCs w:val="20"/>
          <w:highlight w:val="yellow"/>
        </w:rPr>
        <w:t xml:space="preserve"> </w:t>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Účtovná jednotka neobchodovala v bežnom účtovnom období na neverejnom trhu  s menovými derivátmi. </w:t>
      </w:r>
    </w:p>
    <w:p>
      <w:pPr>
        <w:pStyle w:val="Default"/>
        <w:rPr>
          <w:rFonts w:ascii="Calibri" w:hAnsi="Calibri" w:asciiTheme="minorHAnsi" w:hAnsiTheme="minorHAnsi"/>
          <w:color w:val="auto"/>
          <w:sz w:val="20"/>
          <w:szCs w:val="20"/>
          <w:highlight w:val="yellow"/>
        </w:rPr>
      </w:pPr>
      <w:r>
        <w:rPr>
          <w:rFonts w:asciiTheme="minorHAnsi" w:hAnsiTheme="minorHAnsi" w:ascii="Calibri" w:hAnsi="Calibri"/>
          <w:color w:val="auto"/>
          <w:sz w:val="20"/>
          <w:szCs w:val="20"/>
          <w:highlight w:val="yellow"/>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e) určenie ocenenia finančných nástrojov pri oceňovaní obstarávacou cenou alebo vlastnými nákladmi, a to: </w:t>
      </w:r>
    </w:p>
    <w:p>
      <w:pPr>
        <w:pStyle w:val="Telotextu"/>
        <w:rPr>
          <w:rFonts w:ascii="Calibri" w:hAnsi="Calibri" w:asciiTheme="minorHAnsi" w:hAnsiTheme="minorHAnsi"/>
          <w:szCs w:val="20"/>
          <w:highlight w:val="yellow"/>
        </w:rPr>
      </w:pPr>
      <w:r>
        <w:rPr>
          <w:rFonts w:cs="Calibri" w:ascii="Calibri" w:hAnsi="Calibri" w:asciiTheme="minorHAnsi" w:hAnsiTheme="minorHAnsi"/>
          <w:b w:val="false"/>
          <w:sz w:val="20"/>
          <w:szCs w:val="20"/>
        </w:rPr>
        <w:t>Účtovná jednotka nemá náplň pre túto položku.</w:t>
      </w:r>
    </w:p>
    <w:p>
      <w:pPr>
        <w:pStyle w:val="Default"/>
        <w:rPr>
          <w:rFonts w:ascii="Calibri" w:hAnsi="Calibri" w:asciiTheme="minorHAnsi" w:hAnsiTheme="minorHAnsi"/>
          <w:strike/>
          <w:color w:val="auto"/>
          <w:sz w:val="20"/>
          <w:szCs w:val="20"/>
          <w:highlight w:val="yellow"/>
        </w:rPr>
      </w:pPr>
      <w:r>
        <w:rPr>
          <w:rFonts w:asciiTheme="minorHAnsi" w:hAnsiTheme="minorHAnsi" w:ascii="Calibri" w:hAnsi="Calibri"/>
          <w:strike/>
          <w:color w:val="auto"/>
          <w:sz w:val="20"/>
          <w:szCs w:val="20"/>
          <w:highlight w:val="yellow"/>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f) tvorba odpisového plánu pre dlhodobý majetok, pričom sa uvádza doba odpisovania, sadzby odpisov a odpisové metódy pre účtovné odpisy,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Drobný dlhodobý nehmotný majetok, ktorého obstarávacia cena (resp. vlastné náklady) je 2 400 EUR a nižšia, sa odpisuje jednorazovo pri uvedení do používania - účtuje sa na účet 501.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Predpokladaná doba používania, metóda odpisovania a odpisová sadzba sú uvedené v nasledujúcej tabuľke:</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tbl>
      <w:tblPr>
        <w:tblW w:w="8908" w:type="dxa"/>
        <w:jc w:val="left"/>
        <w:tblInd w:w="456" w:type="dxa"/>
        <w:tblLayout w:type="fixed"/>
        <w:tblCellMar>
          <w:top w:w="0" w:type="dxa"/>
          <w:left w:w="30" w:type="dxa"/>
          <w:bottom w:w="0" w:type="dxa"/>
          <w:right w:w="30" w:type="dxa"/>
        </w:tblCellMar>
        <w:tblLook w:val="0000"/>
      </w:tblPr>
      <w:tblGrid>
        <w:gridCol w:w="2890"/>
        <w:gridCol w:w="418"/>
        <w:gridCol w:w="1586"/>
        <w:gridCol w:w="228"/>
        <w:gridCol w:w="1850"/>
        <w:gridCol w:w="229"/>
        <w:gridCol w:w="1706"/>
      </w:tblGrid>
      <w:tr>
        <w:trPr>
          <w:trHeight w:val="279" w:hRule="atLeast"/>
        </w:trPr>
        <w:tc>
          <w:tcPr>
            <w:tcW w:w="3308"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1586"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Predpokladaná</w:t>
            </w:r>
          </w:p>
        </w:tc>
        <w:tc>
          <w:tcPr>
            <w:tcW w:w="228"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0"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Metóda</w:t>
            </w:r>
          </w:p>
        </w:tc>
        <w:tc>
          <w:tcPr>
            <w:tcW w:w="229"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6"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Ročná odpisová</w:t>
            </w:r>
          </w:p>
        </w:tc>
      </w:tr>
      <w:tr>
        <w:trPr>
          <w:trHeight w:val="279" w:hRule="atLeast"/>
        </w:trPr>
        <w:tc>
          <w:tcPr>
            <w:tcW w:w="2890" w:type="dxa"/>
            <w:tcBorders>
              <w:left w:val="single" w:sz="4" w:space="0" w:color="000000"/>
              <w:bottom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Druh majetku:</w:t>
            </w:r>
          </w:p>
        </w:tc>
        <w:tc>
          <w:tcPr>
            <w:tcW w:w="418" w:type="dxa"/>
            <w:tcBorders>
              <w:bottom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1586"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doba používania</w:t>
              <w:br/>
              <w:t>v rokoch</w:t>
            </w:r>
          </w:p>
        </w:tc>
        <w:tc>
          <w:tcPr>
            <w:tcW w:w="228"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0"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odpisovania</w:t>
            </w:r>
          </w:p>
        </w:tc>
        <w:tc>
          <w:tcPr>
            <w:tcW w:w="229"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6"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sadzba v %</w:t>
            </w:r>
          </w:p>
        </w:tc>
      </w:tr>
      <w:tr>
        <w:trPr>
          <w:trHeight w:val="279" w:hRule="atLeast"/>
        </w:trPr>
        <w:tc>
          <w:tcPr>
            <w:tcW w:w="3308"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Softvér</w:t>
            </w:r>
          </w:p>
        </w:tc>
        <w:tc>
          <w:tcPr>
            <w:tcW w:w="1586"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6</w:t>
            </w:r>
          </w:p>
        </w:tc>
        <w:tc>
          <w:tcPr>
            <w:tcW w:w="228"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0"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tc>
        <w:tc>
          <w:tcPr>
            <w:tcW w:w="229"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6"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16,66</w:t>
            </w:r>
          </w:p>
        </w:tc>
      </w:tr>
      <w:tr>
        <w:trPr>
          <w:trHeight w:val="274" w:hRule="atLeast"/>
        </w:trPr>
        <w:tc>
          <w:tcPr>
            <w:tcW w:w="3308" w:type="dxa"/>
            <w:gridSpan w:val="2"/>
            <w:tcBorders>
              <w:left w:val="single" w:sz="4" w:space="0" w:color="000000"/>
              <w:bottom w:val="single" w:sz="4" w:space="0" w:color="000000"/>
              <w:right w:val="single" w:sz="4" w:space="0" w:color="000000"/>
            </w:tcBorders>
          </w:tcPr>
          <w:p>
            <w:pPr>
              <w:pStyle w:val="Tabulka"/>
              <w:widowControl w:val="false"/>
              <w:ind w:hanging="84"/>
              <w:rPr>
                <w:rFonts w:ascii="Calibri" w:hAnsi="Calibri" w:cs="Calibri" w:asciiTheme="minorHAnsi" w:hAnsiTheme="minorHAnsi"/>
                <w:color w:val="auto"/>
                <w:sz w:val="20"/>
              </w:rPr>
            </w:pPr>
            <w:r>
              <w:rPr>
                <w:rFonts w:cs="Calibri" w:ascii="Calibri" w:hAnsi="Calibri" w:asciiTheme="minorHAnsi" w:hAnsiTheme="minorHAnsi"/>
                <w:color w:val="auto"/>
                <w:sz w:val="20"/>
              </w:rPr>
              <w:t>Drobný dlhodobý nehmotný majetok</w:t>
            </w:r>
          </w:p>
        </w:tc>
        <w:tc>
          <w:tcPr>
            <w:tcW w:w="1586"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rôzna</w:t>
            </w:r>
          </w:p>
        </w:tc>
        <w:tc>
          <w:tcPr>
            <w:tcW w:w="228"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850"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jednorazový odpis</w:t>
            </w:r>
          </w:p>
        </w:tc>
        <w:tc>
          <w:tcPr>
            <w:tcW w:w="229"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06"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100</w:t>
            </w:r>
          </w:p>
        </w:tc>
      </w:tr>
    </w:tbl>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tbl>
      <w:tblPr>
        <w:tblW w:w="9011" w:type="dxa"/>
        <w:jc w:val="left"/>
        <w:tblInd w:w="456" w:type="dxa"/>
        <w:tblLayout w:type="fixed"/>
        <w:tblCellMar>
          <w:top w:w="0" w:type="dxa"/>
          <w:left w:w="30" w:type="dxa"/>
          <w:bottom w:w="0" w:type="dxa"/>
          <w:right w:w="30" w:type="dxa"/>
        </w:tblCellMar>
        <w:tblLook w:val="0000"/>
      </w:tblPr>
      <w:tblGrid>
        <w:gridCol w:w="3051"/>
        <w:gridCol w:w="146"/>
        <w:gridCol w:w="2034"/>
        <w:gridCol w:w="145"/>
        <w:gridCol w:w="1745"/>
        <w:gridCol w:w="146"/>
        <w:gridCol w:w="1743"/>
      </w:tblGrid>
      <w:tr>
        <w:trPr>
          <w:trHeight w:val="261" w:hRule="atLeast"/>
        </w:trPr>
        <w:tc>
          <w:tcPr>
            <w:tcW w:w="3197"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2034"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Predpokladaná</w:t>
            </w:r>
          </w:p>
        </w:tc>
        <w:tc>
          <w:tcPr>
            <w:tcW w:w="145"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Metóda</w:t>
            </w:r>
          </w:p>
        </w:tc>
        <w:tc>
          <w:tcPr>
            <w:tcW w:w="146"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Ročná odpisová</w:t>
            </w:r>
          </w:p>
        </w:tc>
      </w:tr>
      <w:tr>
        <w:trPr>
          <w:trHeight w:val="261" w:hRule="atLeast"/>
        </w:trPr>
        <w:tc>
          <w:tcPr>
            <w:tcW w:w="3051" w:type="dxa"/>
            <w:tcBorders>
              <w:left w:val="single" w:sz="4" w:space="0" w:color="000000"/>
              <w:bottom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Druh majetku</w:t>
            </w:r>
          </w:p>
        </w:tc>
        <w:tc>
          <w:tcPr>
            <w:tcW w:w="146" w:type="dxa"/>
            <w:tcBorders>
              <w:bottom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2034"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doba používania v rokoch</w:t>
            </w:r>
          </w:p>
        </w:tc>
        <w:tc>
          <w:tcPr>
            <w:tcW w:w="145"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odpisovania</w:t>
            </w:r>
          </w:p>
        </w:tc>
        <w:tc>
          <w:tcPr>
            <w:tcW w:w="146"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sadzba v %</w:t>
            </w:r>
          </w:p>
        </w:tc>
      </w:tr>
      <w:tr>
        <w:trPr>
          <w:trHeight w:val="261" w:hRule="atLeast"/>
        </w:trPr>
        <w:tc>
          <w:tcPr>
            <w:tcW w:w="3197" w:type="dxa"/>
            <w:gridSpan w:val="2"/>
            <w:tcBorders>
              <w:top w:val="single" w:sz="4" w:space="0" w:color="000000"/>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Stavby</w:t>
            </w:r>
          </w:p>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c>
          <w:tcPr>
            <w:tcW w:w="2034"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12 - 40</w:t>
            </w:r>
          </w:p>
        </w:tc>
        <w:tc>
          <w:tcPr>
            <w:tcW w:w="145"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top w:val="single" w:sz="4" w:space="0" w:color="000000"/>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tc>
        <w:tc>
          <w:tcPr>
            <w:tcW w:w="146" w:type="dxa"/>
            <w:tcBorders>
              <w:top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top w:val="single" w:sz="4" w:space="0" w:color="000000"/>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2,5 – 8,33</w:t>
            </w:r>
          </w:p>
        </w:tc>
      </w:tr>
      <w:tr>
        <w:trPr>
          <w:trHeight w:val="261" w:hRule="atLeast"/>
        </w:trPr>
        <w:tc>
          <w:tcPr>
            <w:tcW w:w="3197" w:type="dxa"/>
            <w:gridSpan w:val="2"/>
            <w:tcBorders>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Stroje, prístroje a zariadenia</w:t>
            </w:r>
          </w:p>
        </w:tc>
        <w:tc>
          <w:tcPr>
            <w:tcW w:w="2034"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0</w:t>
            </w:r>
          </w:p>
        </w:tc>
        <w:tc>
          <w:tcPr>
            <w:tcW w:w="145"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tc>
        <w:tc>
          <w:tcPr>
            <w:tcW w:w="146"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0</w:t>
            </w:r>
          </w:p>
        </w:tc>
      </w:tr>
      <w:tr>
        <w:trPr>
          <w:trHeight w:val="239" w:hRule="atLeast"/>
        </w:trPr>
        <w:tc>
          <w:tcPr>
            <w:tcW w:w="3197" w:type="dxa"/>
            <w:gridSpan w:val="2"/>
            <w:tcBorders>
              <w:left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Dopravné prostriedky</w:t>
            </w:r>
          </w:p>
        </w:tc>
        <w:tc>
          <w:tcPr>
            <w:tcW w:w="2034"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6</w:t>
            </w:r>
          </w:p>
        </w:tc>
        <w:tc>
          <w:tcPr>
            <w:tcW w:w="145"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lineárna</w:t>
            </w:r>
          </w:p>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46" w:type="dxa"/>
            <w:tcBorders>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16,66</w:t>
            </w:r>
          </w:p>
          <w:p>
            <w:pPr>
              <w:pStyle w:val="Tabulka"/>
              <w:widowControl w:val="false"/>
              <w:rPr>
                <w:rFonts w:ascii="Calibri" w:hAnsi="Calibri" w:cs="Calibri" w:asciiTheme="minorHAnsi" w:hAnsiTheme="minorHAnsi"/>
                <w:color w:val="auto"/>
                <w:sz w:val="20"/>
              </w:rPr>
            </w:pPr>
            <w:r>
              <w:rPr>
                <w:rFonts w:cs="Calibri" w:ascii="Calibri" w:hAnsi="Calibri"/>
                <w:color w:val="auto"/>
                <w:sz w:val="20"/>
              </w:rPr>
            </w:r>
          </w:p>
        </w:tc>
      </w:tr>
      <w:tr>
        <w:trPr>
          <w:trHeight w:val="261" w:hRule="atLeast"/>
        </w:trPr>
        <w:tc>
          <w:tcPr>
            <w:tcW w:w="3197" w:type="dxa"/>
            <w:gridSpan w:val="2"/>
            <w:tcBorders>
              <w:left w:val="single" w:sz="4" w:space="0" w:color="000000"/>
              <w:bottom w:val="single" w:sz="4" w:space="0" w:color="000000"/>
              <w:right w:val="single" w:sz="4" w:space="0" w:color="000000"/>
            </w:tcBorders>
          </w:tcPr>
          <w:p>
            <w:pPr>
              <w:pStyle w:val="Tabulka"/>
              <w:widowControl w:val="false"/>
              <w:rPr>
                <w:rFonts w:ascii="Calibri" w:hAnsi="Calibri" w:cs="Calibri" w:asciiTheme="minorHAnsi" w:hAnsiTheme="minorHAnsi"/>
                <w:color w:val="auto"/>
                <w:sz w:val="20"/>
              </w:rPr>
            </w:pPr>
            <w:r>
              <w:rPr>
                <w:rFonts w:cs="Calibri" w:ascii="Calibri" w:hAnsi="Calibri" w:asciiTheme="minorHAnsi" w:hAnsiTheme="minorHAnsi"/>
                <w:color w:val="auto"/>
                <w:sz w:val="20"/>
              </w:rPr>
              <w:t>Drobný dlhodobý hmotný majetok</w:t>
            </w:r>
          </w:p>
        </w:tc>
        <w:tc>
          <w:tcPr>
            <w:tcW w:w="2034"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rôzna</w:t>
            </w:r>
          </w:p>
        </w:tc>
        <w:tc>
          <w:tcPr>
            <w:tcW w:w="145"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5" w:type="dxa"/>
            <w:tcBorders>
              <w:left w:val="single" w:sz="4" w:space="0" w:color="000000"/>
              <w:bottom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jednorazový odpis</w:t>
            </w:r>
          </w:p>
        </w:tc>
        <w:tc>
          <w:tcPr>
            <w:tcW w:w="146" w:type="dxa"/>
            <w:tcBorders>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color w:val="auto"/>
                <w:sz w:val="20"/>
              </w:rPr>
            </w:r>
          </w:p>
        </w:tc>
        <w:tc>
          <w:tcPr>
            <w:tcW w:w="1743" w:type="dxa"/>
            <w:tcBorders>
              <w:left w:val="single" w:sz="4" w:space="0" w:color="000000"/>
              <w:bottom w:val="single" w:sz="4" w:space="0" w:color="000000"/>
              <w:right w:val="single" w:sz="4" w:space="0" w:color="000000"/>
            </w:tcBorders>
          </w:tcPr>
          <w:p>
            <w:pPr>
              <w:pStyle w:val="Tabulka"/>
              <w:widowControl w:val="false"/>
              <w:jc w:val="center"/>
              <w:rPr>
                <w:rFonts w:ascii="Calibri" w:hAnsi="Calibri" w:cs="Calibri" w:asciiTheme="minorHAnsi" w:hAnsiTheme="minorHAnsi"/>
                <w:color w:val="auto"/>
                <w:sz w:val="20"/>
              </w:rPr>
            </w:pPr>
            <w:r>
              <w:rPr>
                <w:rFonts w:cs="Calibri" w:ascii="Calibri" w:hAnsi="Calibri" w:asciiTheme="minorHAnsi" w:hAnsiTheme="minorHAnsi"/>
                <w:color w:val="auto"/>
                <w:sz w:val="20"/>
              </w:rPr>
              <w:t>100</w:t>
            </w:r>
          </w:p>
        </w:tc>
      </w:tr>
    </w:tbl>
    <w:p>
      <w:pPr>
        <w:pStyle w:val="Default"/>
        <w:spacing w:before="0" w:after="14"/>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Normal"/>
        <w:ind w:right="-85" w:hanging="0"/>
        <w:jc w:val="both"/>
        <w:rPr>
          <w:rFonts w:ascii="Calibri" w:hAnsi="Calibri" w:cs="Calibri" w:asciiTheme="minorHAnsi" w:hAnsiTheme="minorHAnsi"/>
          <w:bCs/>
          <w:sz w:val="20"/>
          <w:szCs w:val="20"/>
        </w:rPr>
      </w:pPr>
      <w:r>
        <w:rPr>
          <w:rFonts w:cs="Calibri" w:ascii="Calibri" w:hAnsi="Calibri" w:asciiTheme="minorHAnsi" w:hAnsiTheme="minorHAnsi"/>
          <w:sz w:val="20"/>
          <w:szCs w:val="20"/>
        </w:rPr>
        <w:t>Dlhodobý nehmotný majetok softvér sa odpisuje rovnomerne po dobu šesť rokov do výšky 100 % obstarávacej ceny. Dlhodobý hmotný majetok pri zaradení do používania účtovná jednotka zatriedi do odpisových skupín, zvolí metódu odpisovania a priradí ročnú odpisovú sadzbu. Metódu odpisovania nemení počas celej doby odpisovania. K 31.12.202</w:t>
      </w:r>
      <w:r>
        <w:rPr>
          <w:rFonts w:cs="Calibri" w:ascii="Calibri" w:hAnsi="Calibri" w:asciiTheme="minorHAnsi" w:hAnsiTheme="minorHAnsi"/>
          <w:sz w:val="20"/>
          <w:szCs w:val="20"/>
        </w:rPr>
        <w:t>4</w:t>
      </w:r>
      <w:r>
        <w:rPr>
          <w:rFonts w:cs="Calibri" w:ascii="Calibri" w:hAnsi="Calibri" w:asciiTheme="minorHAnsi" w:hAnsiTheme="minorHAnsi"/>
          <w:sz w:val="20"/>
          <w:szCs w:val="20"/>
        </w:rPr>
        <w:t xml:space="preserve"> sa všetok DHM odpisoval rovnomerným odpisovaním. </w:t>
      </w:r>
    </w:p>
    <w:p>
      <w:pPr>
        <w:pStyle w:val="Normal"/>
        <w:ind w:right="-85" w:hanging="0"/>
        <w:rPr>
          <w:rFonts w:ascii="Calibri" w:hAnsi="Calibri" w:cs="Calibri" w:asciiTheme="minorHAnsi" w:hAnsiTheme="minorHAnsi"/>
          <w:sz w:val="20"/>
          <w:szCs w:val="20"/>
        </w:rPr>
      </w:pPr>
      <w:r>
        <w:rPr>
          <w:rFonts w:cs="Calibri" w:ascii="Calibri" w:hAnsi="Calibri"/>
          <w:sz w:val="20"/>
          <w:szCs w:val="20"/>
        </w:rPr>
      </w:r>
    </w:p>
    <w:p>
      <w:pPr>
        <w:pStyle w:val="Normal"/>
        <w:ind w:right="-85" w:hanging="0"/>
        <w:jc w:val="both"/>
        <w:rPr>
          <w:rFonts w:ascii="Calibri" w:hAnsi="Calibri" w:cs="Calibri" w:asciiTheme="minorHAnsi" w:hAnsiTheme="minorHAnsi"/>
          <w:sz w:val="20"/>
          <w:szCs w:val="20"/>
        </w:rPr>
      </w:pPr>
      <w:r>
        <w:rPr>
          <w:rFonts w:cs="Calibri" w:ascii="Calibri" w:hAnsi="Calibri" w:asciiTheme="minorHAnsi" w:hAnsiTheme="minorHAnsi"/>
          <w:sz w:val="20"/>
          <w:szCs w:val="20"/>
        </w:rPr>
        <w:t>Pri hmotnom dlhodobom majetku sa od 1. 1. 2017 zmenila doba použiteľnosti v súlade s dobou odpisovania, stanovenou v zákone o dani z príjmov.</w:t>
      </w:r>
    </w:p>
    <w:p>
      <w:pPr>
        <w:pStyle w:val="Default"/>
        <w:spacing w:before="0" w:after="14"/>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g) informácia o poskytnutých dotáciách a pri dotáciách na obstaranie majetku sa uvedú zložky majetku a ich ocenenie.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O nároku na dotácie zo štátneho rozpočtu sa účtuje, ak je takmer isté, že na základe splnených podmienok na poskytnutie dotácie sa Spoločnosti daná dotácia poskytne.</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Účtovná jednotka neprijala v bežnom účtovnom období dotácie.</w:t>
      </w:r>
    </w:p>
    <w:p>
      <w:pPr>
        <w:pStyle w:val="Normal"/>
        <w:ind w:left="720" w:right="-468" w:hanging="0"/>
        <w:rPr>
          <w:rFonts w:ascii="Calibri" w:hAnsi="Calibri" w:cs="Calibri" w:asciiTheme="minorHAnsi" w:hAnsiTheme="minorHAnsi"/>
          <w:bCs/>
          <w:sz w:val="20"/>
          <w:szCs w:val="20"/>
        </w:rPr>
      </w:pPr>
      <w:r>
        <w:rPr>
          <w:rFonts w:cs="Calibri" w:ascii="Calibri" w:hAnsi="Calibri"/>
          <w:bCs/>
          <w:sz w:val="20"/>
          <w:szCs w:val="20"/>
        </w:rPr>
      </w:r>
    </w:p>
    <w:p>
      <w:pPr>
        <w:pStyle w:val="Telotextu"/>
        <w:rPr>
          <w:rFonts w:ascii="Calibri" w:hAnsi="Calibri" w:asciiTheme="minorHAnsi" w:hAnsiTheme="minorHAnsi"/>
          <w:sz w:val="20"/>
          <w:szCs w:val="18"/>
        </w:rPr>
      </w:pPr>
      <w:r>
        <w:rPr>
          <w:rFonts w:ascii="Calibri" w:hAnsi="Calibri" w:asciiTheme="minorHAnsi" w:hAnsiTheme="minorHAnsi"/>
          <w:sz w:val="20"/>
          <w:szCs w:val="18"/>
        </w:rPr>
        <w:t>Cudzia mena</w:t>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 w:val="false"/>
          <w:b w:val="false"/>
          <w:sz w:val="20"/>
          <w:szCs w:val="20"/>
        </w:rPr>
      </w:pPr>
      <w:r>
        <w:rPr>
          <w:rFonts w:cs="Calibri" w:ascii="Calibri" w:hAnsi="Calibri" w:asciiTheme="minorHAnsi" w:hAnsiTheme="minorHAnsi"/>
          <w:b w:val="false"/>
          <w:sz w:val="20"/>
          <w:szCs w:val="20"/>
        </w:rPr>
        <w:t xml:space="preserve">Prijaté a poskytnuté preddavky v cudzej mene na účet zriadený v eurách a z účtu zriadeného v eurách sa prepočítavajú na menu euro kurzom, za ktorý boli tieto hodnoty nakúpené alebo predané. </w:t>
      </w:r>
    </w:p>
    <w:p>
      <w:pPr>
        <w:pStyle w:val="Telotextu"/>
        <w:rPr>
          <w:rFonts w:ascii="Calibri" w:hAnsi="Calibri" w:cs="Calibri" w:asciiTheme="minorHAnsi" w:hAnsiTheme="minorHAnsi"/>
          <w:b w:val="false"/>
          <w:b w:val="false"/>
          <w:sz w:val="20"/>
          <w:szCs w:val="20"/>
        </w:rPr>
      </w:pPr>
      <w:r>
        <w:rPr>
          <w:rFonts w:cs="Calibri" w:ascii="Calibri" w:hAnsi="Calibri"/>
          <w:b w:val="false"/>
          <w:sz w:val="20"/>
          <w:szCs w:val="20"/>
        </w:rPr>
      </w:r>
    </w:p>
    <w:p>
      <w:pPr>
        <w:pStyle w:val="Telotextu"/>
        <w:rPr>
          <w:rFonts w:ascii="Calibri" w:hAnsi="Calibri" w:cs="Calibri" w:asciiTheme="minorHAnsi" w:hAnsiTheme="minorHAnsi"/>
          <w:bCs w:val="false"/>
          <w:sz w:val="20"/>
          <w:szCs w:val="20"/>
        </w:rPr>
      </w:pPr>
      <w:r>
        <w:rPr>
          <w:rFonts w:cs="Calibri" w:ascii="Calibri" w:hAnsi="Calibri" w:asciiTheme="minorHAnsi" w:hAnsiTheme="minorHAnsi"/>
          <w:b w:val="false"/>
          <w:sz w:val="20"/>
          <w:szCs w:val="20"/>
        </w:rPr>
        <w:t xml:space="preserve">Prijaté a poskytnuté preddavky sa ku dňu, ku ktorému sa zostavuje účtovná závierka, na menu euro už neprepočítavajú. </w:t>
      </w:r>
    </w:p>
    <w:p>
      <w:pPr>
        <w:pStyle w:val="Default"/>
        <w:rPr>
          <w:rFonts w:ascii="Calibri" w:hAnsi="Calibri" w:asciiTheme="minorHAnsi" w:hAnsiTheme="minorHAnsi"/>
          <w:color w:val="auto"/>
          <w:sz w:val="20"/>
          <w:szCs w:val="20"/>
        </w:rPr>
      </w:pPr>
      <w:r>
        <w:rPr>
          <w:rFonts w:ascii="Calibri" w:hAnsi="Calibri" w:asciiTheme="minorHAnsi" w:hAnsiTheme="minorHAnsi"/>
          <w:color w:val="auto"/>
          <w:sz w:val="20"/>
          <w:szCs w:val="20"/>
        </w:rPr>
        <w:t xml:space="preserve"> </w:t>
      </w:r>
      <w:r>
        <w:rPr>
          <w:rFonts w:ascii="Calibri" w:hAnsi="Calibri" w:asciiTheme="minorHAnsi" w:hAnsiTheme="minorHAnsi"/>
          <w:color w:val="auto"/>
          <w:sz w:val="20"/>
          <w:szCs w:val="20"/>
        </w:rPr>
        <w:t>(5) Informácie o oprave významných chýb minulých účtovných období účtovaných v bežnom účtovnom období</w:t>
      </w:r>
    </w:p>
    <w:p>
      <w:pPr>
        <w:pStyle w:val="Default"/>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Normal"/>
        <w:ind w:left="-142" w:right="-468" w:hanging="0"/>
        <w:rPr>
          <w:rFonts w:ascii="Calibri" w:hAnsi="Calibri" w:cs="Calibri" w:asciiTheme="minorHAnsi" w:hAnsiTheme="minorHAnsi"/>
          <w:sz w:val="20"/>
          <w:szCs w:val="20"/>
        </w:rPr>
      </w:pPr>
      <w:r>
        <w:rPr>
          <w:rFonts w:cs="Calibri" w:ascii="Calibri" w:hAnsi="Calibri" w:asciiTheme="minorHAnsi" w:hAnsiTheme="minorHAnsi"/>
          <w:sz w:val="20"/>
          <w:szCs w:val="20"/>
        </w:rPr>
        <w:t xml:space="preserve">V účtovnom období 2020 Účtovná jednotka nevykonala žiadne opravy významných chýb minulých účtovných období. </w:t>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IV</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ktoré vysvetľujú a dopĺňajú súvahu a výkaz ziskov a strát</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asciiTheme="minorHAnsi" w:hAnsiTheme="minorHAnsi"/>
          <w:color w:val="auto"/>
          <w:sz w:val="22"/>
          <w:szCs w:val="22"/>
        </w:rPr>
      </w:pPr>
      <w:r>
        <w:rPr>
          <w:rFonts w:ascii="Calibri" w:hAnsi="Calibri" w:asciiTheme="minorHAnsi" w:hAnsiTheme="minorHAnsi"/>
          <w:color w:val="auto"/>
          <w:sz w:val="22"/>
          <w:szCs w:val="22"/>
        </w:rPr>
        <w:t>(1) Účtovná jednotka neúčtovala o goodwille v bežnom účtovnom období ani v minulých účtovných obdobiach.</w:t>
      </w:r>
    </w:p>
    <w:p>
      <w:pPr>
        <w:pStyle w:val="Default"/>
        <w:rPr>
          <w:rFonts w:ascii="Calibri" w:hAnsi="Calibri" w:asciiTheme="minorHAnsi" w:hAnsiTheme="minorHAnsi"/>
          <w:color w:val="auto"/>
          <w:szCs w:val="22"/>
        </w:rPr>
      </w:pPr>
      <w:r>
        <w:rPr>
          <w:rFonts w:ascii="Calibri" w:hAnsi="Calibri" w:asciiTheme="minorHAnsi" w:hAnsiTheme="minorHAnsi"/>
          <w:color w:val="auto"/>
          <w:sz w:val="22"/>
          <w:szCs w:val="22"/>
        </w:rPr>
        <w:t>(2) Informácie o významných položkách majetku a záväzkoch zabezpečených derivátmi</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Normal"/>
        <w:ind w:left="-142" w:right="-468" w:hanging="0"/>
        <w:rPr>
          <w:rFonts w:ascii="Calibri" w:hAnsi="Calibri" w:cs="Calibri" w:asciiTheme="minorHAnsi" w:hAnsiTheme="minorHAnsi"/>
          <w:sz w:val="20"/>
          <w:szCs w:val="20"/>
        </w:rPr>
      </w:pPr>
      <w:r>
        <w:rPr>
          <w:rFonts w:cs="Calibri" w:ascii="Calibri" w:hAnsi="Calibri" w:asciiTheme="minorHAnsi" w:hAnsiTheme="minorHAnsi"/>
          <w:sz w:val="20"/>
          <w:szCs w:val="20"/>
        </w:rPr>
        <w:t>V účtovnom období 202</w:t>
      </w:r>
      <w:r>
        <w:rPr>
          <w:rFonts w:cs="Calibri" w:ascii="Calibri" w:hAnsi="Calibri" w:asciiTheme="minorHAnsi" w:hAnsiTheme="minorHAnsi"/>
          <w:sz w:val="20"/>
          <w:szCs w:val="20"/>
        </w:rPr>
        <w:t>4</w:t>
      </w:r>
      <w:r>
        <w:rPr>
          <w:rFonts w:cs="Calibri" w:ascii="Calibri" w:hAnsi="Calibri" w:asciiTheme="minorHAnsi" w:hAnsiTheme="minorHAnsi"/>
          <w:sz w:val="20"/>
          <w:szCs w:val="20"/>
        </w:rPr>
        <w:t xml:space="preserve"> účtovná jednotka nevykonala žiadne derivátové operácie. </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(3) Informácie o záväzkoch  </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Cs w:val="22"/>
        </w:rPr>
      </w:pPr>
      <w:r>
        <w:rPr>
          <w:rFonts w:ascii="Calibri" w:hAnsi="Calibri" w:asciiTheme="minorHAnsi" w:hAnsiTheme="minorHAnsi"/>
          <w:color w:val="auto"/>
          <w:sz w:val="22"/>
          <w:szCs w:val="22"/>
        </w:rPr>
        <w:t xml:space="preserve">a)  Informácie o štruktúre záväzkov podľa zostatkovej doby splatnosti </w:t>
      </w:r>
    </w:p>
    <w:tbl>
      <w:tblPr>
        <w:tblW w:w="5000" w:type="pct"/>
        <w:jc w:val="center"/>
        <w:tblInd w:w="0" w:type="dxa"/>
        <w:tblLayout w:type="fixed"/>
        <w:tblCellMar>
          <w:top w:w="0" w:type="dxa"/>
          <w:left w:w="108" w:type="dxa"/>
          <w:bottom w:w="0" w:type="dxa"/>
          <w:right w:w="108" w:type="dxa"/>
        </w:tblCellMar>
        <w:tblLook w:val="04a0"/>
      </w:tblPr>
      <w:tblGrid>
        <w:gridCol w:w="4356"/>
        <w:gridCol w:w="3388"/>
        <w:gridCol w:w="3028"/>
      </w:tblGrid>
      <w:tr>
        <w:trPr>
          <w:trHeight w:val="955"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asciiTheme="minorHAnsi" w:hAnsiTheme="minorHAnsi"/>
                <w:b w:val="false"/>
                <w:b w:val="false"/>
                <w:sz w:val="20"/>
                <w:szCs w:val="20"/>
              </w:rPr>
            </w:pPr>
            <w:r>
              <w:rPr>
                <w:rFonts w:ascii="Calibri" w:hAnsi="Calibri" w:asciiTheme="minorHAnsi" w:hAnsiTheme="minorHAnsi"/>
                <w:b w:val="false"/>
                <w:sz w:val="20"/>
                <w:szCs w:val="20"/>
              </w:rPr>
              <w:t>Názov položky</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asciiTheme="minorHAnsi" w:hAnsiTheme="minorHAnsi"/>
                <w:b w:val="false"/>
                <w:b w:val="false"/>
                <w:sz w:val="20"/>
                <w:szCs w:val="20"/>
              </w:rPr>
            </w:pPr>
            <w:r>
              <w:rPr>
                <w:rFonts w:ascii="Calibri" w:hAnsi="Calibri" w:asciiTheme="minorHAnsi" w:hAnsiTheme="minorHAnsi"/>
                <w:b w:val="false"/>
                <w:sz w:val="20"/>
                <w:szCs w:val="20"/>
              </w:rPr>
              <w:t>Bežné účtovné obdobie</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TopHeader"/>
              <w:widowControl w:val="false"/>
              <w:rPr>
                <w:rFonts w:ascii="Calibri" w:hAnsi="Calibri" w:asciiTheme="minorHAnsi" w:hAnsiTheme="minorHAnsi"/>
                <w:b w:val="false"/>
                <w:b w:val="false"/>
                <w:sz w:val="20"/>
                <w:szCs w:val="20"/>
              </w:rPr>
            </w:pPr>
            <w:r>
              <w:rPr>
                <w:rFonts w:ascii="Calibri" w:hAnsi="Calibri" w:asciiTheme="minorHAnsi" w:hAnsiTheme="minorHAnsi"/>
                <w:b w:val="false"/>
                <w:sz w:val="20"/>
                <w:szCs w:val="20"/>
              </w:rPr>
              <w:t>Bezprostredne predchádzajúce účtovné obdobie</w:t>
            </w:r>
          </w:p>
        </w:tc>
      </w:tr>
      <w:tr>
        <w:trPr>
          <w:trHeight w:val="413"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b/>
                <w:b/>
                <w:sz w:val="20"/>
                <w:szCs w:val="20"/>
              </w:rPr>
            </w:pPr>
            <w:r>
              <w:rPr>
                <w:rFonts w:ascii="Calibri" w:hAnsi="Calibri" w:asciiTheme="minorHAnsi" w:hAnsiTheme="minorHAnsi"/>
                <w:b/>
                <w:bCs/>
                <w:sz w:val="20"/>
                <w:szCs w:val="20"/>
              </w:rPr>
              <w:t>Dlhodobé záväzky spolu</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bCs/>
                <w:sz w:val="20"/>
                <w:szCs w:val="20"/>
              </w:rPr>
            </w:pPr>
            <w:r>
              <w:rPr>
                <w:rFonts w:ascii="Calibri" w:hAnsi="Calibri" w:asciiTheme="minorHAnsi" w:hAnsiTheme="minorHAnsi"/>
                <w:b/>
                <w:bCs/>
                <w:sz w:val="20"/>
                <w:szCs w:val="20"/>
              </w:rPr>
              <w:t>3092</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bCs/>
                <w:sz w:val="20"/>
                <w:szCs w:val="20"/>
              </w:rPr>
            </w:pPr>
            <w:r>
              <w:rPr>
                <w:rFonts w:ascii="Calibri" w:hAnsi="Calibri" w:asciiTheme="minorHAnsi" w:hAnsiTheme="minorHAnsi"/>
                <w:b/>
                <w:bCs/>
                <w:sz w:val="20"/>
                <w:szCs w:val="20"/>
              </w:rPr>
              <w:t>3092</w:t>
            </w:r>
          </w:p>
        </w:tc>
      </w:tr>
      <w:tr>
        <w:trPr>
          <w:trHeight w:val="589"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so zostatkovou dobou splatnosti nad päť rokov</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0</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0</w:t>
            </w:r>
          </w:p>
        </w:tc>
      </w:tr>
      <w:tr>
        <w:trPr>
          <w:trHeight w:val="589"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so zostatkovou dobou splatnosti jeden rok až päť rokov</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3092</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sz w:val="20"/>
                <w:szCs w:val="20"/>
              </w:rPr>
            </w:pPr>
            <w:r>
              <w:rPr>
                <w:rFonts w:ascii="Calibri" w:hAnsi="Calibri" w:asciiTheme="minorHAnsi" w:hAnsiTheme="minorHAnsi"/>
                <w:sz w:val="20"/>
                <w:szCs w:val="20"/>
              </w:rPr>
              <w:t>3092</w:t>
            </w:r>
          </w:p>
        </w:tc>
      </w:tr>
      <w:tr>
        <w:trPr>
          <w:trHeight w:val="413"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b/>
                <w:b/>
                <w:bCs/>
                <w:sz w:val="20"/>
                <w:szCs w:val="20"/>
              </w:rPr>
            </w:pPr>
            <w:r>
              <w:rPr>
                <w:rFonts w:ascii="Calibri" w:hAnsi="Calibri" w:asciiTheme="minorHAnsi" w:hAnsiTheme="minorHAnsi"/>
                <w:b/>
                <w:bCs/>
                <w:sz w:val="20"/>
                <w:szCs w:val="20"/>
              </w:rPr>
              <w:t>Krátkodobé záväzky spolu</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sz w:val="20"/>
                <w:szCs w:val="20"/>
              </w:rPr>
            </w:pPr>
            <w:r>
              <w:rPr>
                <w:rFonts w:ascii="Calibri" w:hAnsi="Calibri" w:asciiTheme="minorHAnsi" w:hAnsiTheme="minorHAnsi"/>
                <w:b/>
                <w:sz w:val="20"/>
                <w:szCs w:val="20"/>
              </w:rPr>
              <w:t>-</w:t>
            </w:r>
            <w:r>
              <w:rPr>
                <w:rFonts w:ascii="Calibri" w:hAnsi="Calibri" w:asciiTheme="minorHAnsi" w:hAnsiTheme="minorHAnsi"/>
                <w:b/>
                <w:sz w:val="20"/>
                <w:szCs w:val="20"/>
              </w:rPr>
              <w:t>50</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
                <w:b/>
                <w:sz w:val="20"/>
                <w:szCs w:val="20"/>
              </w:rPr>
            </w:pPr>
            <w:r>
              <w:rPr>
                <w:rFonts w:ascii="Calibri" w:hAnsi="Calibri" w:asciiTheme="minorHAnsi" w:hAnsiTheme="minorHAnsi"/>
                <w:b/>
                <w:sz w:val="20"/>
                <w:szCs w:val="20"/>
              </w:rPr>
              <w:t>-</w:t>
            </w:r>
            <w:r>
              <w:rPr>
                <w:rFonts w:ascii="Calibri" w:hAnsi="Calibri" w:asciiTheme="minorHAnsi" w:hAnsiTheme="minorHAnsi"/>
                <w:b/>
                <w:sz w:val="20"/>
                <w:szCs w:val="20"/>
              </w:rPr>
              <w:t>74</w:t>
            </w:r>
          </w:p>
        </w:tc>
      </w:tr>
      <w:tr>
        <w:trPr>
          <w:trHeight w:val="589"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so zostatkovou dobou splatnosti do jedného roka vrátane</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bCs/>
                <w:sz w:val="20"/>
                <w:szCs w:val="20"/>
              </w:rPr>
            </w:r>
          </w:p>
          <w:p>
            <w:pPr>
              <w:pStyle w:val="Normal"/>
              <w:widowControl w:val="false"/>
              <w:jc w:val="center"/>
              <w:rPr>
                <w:rFonts w:ascii="Calibri" w:hAnsi="Calibri" w:asciiTheme="minorHAnsi" w:hAnsiTheme="minorHAnsi"/>
                <w:bCs/>
                <w:sz w:val="20"/>
                <w:szCs w:val="20"/>
              </w:rPr>
            </w:pPr>
            <w:r>
              <w:rPr>
                <w:rFonts w:asciiTheme="minorHAnsi" w:hAnsiTheme="minorHAnsi" w:ascii="Calibri" w:hAnsi="Calibri"/>
                <w:bCs/>
                <w:sz w:val="20"/>
                <w:szCs w:val="20"/>
              </w:rPr>
              <w:t>-</w:t>
            </w:r>
            <w:r>
              <w:rPr>
                <w:rFonts w:asciiTheme="minorHAnsi" w:hAnsiTheme="minorHAnsi" w:ascii="Calibri" w:hAnsi="Calibri"/>
                <w:bCs/>
                <w:sz w:val="20"/>
                <w:szCs w:val="20"/>
              </w:rPr>
              <w:t>50</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w:t>
            </w:r>
            <w:r>
              <w:rPr>
                <w:rFonts w:ascii="Calibri" w:hAnsi="Calibri" w:asciiTheme="minorHAnsi" w:hAnsiTheme="minorHAnsi"/>
                <w:bCs/>
                <w:sz w:val="20"/>
                <w:szCs w:val="20"/>
              </w:rPr>
              <w:t>74</w:t>
            </w:r>
          </w:p>
        </w:tc>
      </w:tr>
      <w:tr>
        <w:trPr>
          <w:trHeight w:val="413" w:hRule="atLeast"/>
        </w:trPr>
        <w:tc>
          <w:tcPr>
            <w:tcW w:w="4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Calibri" w:hAnsi="Calibri" w:asciiTheme="minorHAnsi" w:hAnsiTheme="minorHAnsi"/>
                <w:sz w:val="20"/>
                <w:szCs w:val="20"/>
              </w:rPr>
            </w:pPr>
            <w:r>
              <w:rPr>
                <w:rFonts w:ascii="Calibri" w:hAnsi="Calibri" w:asciiTheme="minorHAnsi" w:hAnsiTheme="minorHAnsi"/>
                <w:sz w:val="20"/>
                <w:szCs w:val="20"/>
              </w:rPr>
              <w:t>Záväzky po lehote splatnosti</w:t>
            </w:r>
          </w:p>
        </w:tc>
        <w:tc>
          <w:tcPr>
            <w:tcW w:w="3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0</w:t>
            </w:r>
          </w:p>
        </w:tc>
        <w:tc>
          <w:tcPr>
            <w:tcW w:w="30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Calibri" w:hAnsi="Calibri" w:asciiTheme="minorHAnsi" w:hAnsiTheme="minorHAnsi"/>
                <w:bCs/>
                <w:sz w:val="20"/>
                <w:szCs w:val="20"/>
              </w:rPr>
            </w:pPr>
            <w:r>
              <w:rPr>
                <w:rFonts w:ascii="Calibri" w:hAnsi="Calibri" w:asciiTheme="minorHAnsi" w:hAnsiTheme="minorHAnsi"/>
                <w:bCs/>
                <w:sz w:val="20"/>
                <w:szCs w:val="20"/>
              </w:rPr>
              <w:t>0</w:t>
            </w:r>
          </w:p>
        </w:tc>
      </w:tr>
    </w:tbl>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b) Informácie o záväzkoch s obmedzeným právom  nakladania</w:t>
      </w:r>
    </w:p>
    <w:p>
      <w:pPr>
        <w:pStyle w:val="Normal"/>
        <w:jc w:val="both"/>
        <w:rPr>
          <w:rFonts w:ascii="Calibri" w:hAnsi="Calibri" w:asciiTheme="minorHAnsi" w:hAnsiTheme="minorHAnsi"/>
          <w:sz w:val="20"/>
          <w:szCs w:val="20"/>
        </w:rPr>
      </w:pPr>
      <w:r>
        <w:rPr>
          <w:rFonts w:ascii="Calibri" w:hAnsi="Calibri" w:asciiTheme="minorHAnsi" w:hAnsiTheme="minorHAnsi"/>
          <w:sz w:val="20"/>
          <w:szCs w:val="20"/>
        </w:rPr>
        <w:t>Účtovná jednotka nemá záväzky kryté záložným právom, nemá zriadené obmedzenie v prospech veriteľov na ich pohľadávky.</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(4) Informácie o vlastných akciách </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2"/>
          <w:szCs w:val="22"/>
        </w:rPr>
      </w:pPr>
      <w:r>
        <w:rPr>
          <w:rFonts w:ascii="Calibri" w:hAnsi="Calibri" w:asciiTheme="minorHAnsi" w:hAnsiTheme="minorHAnsi"/>
          <w:color w:val="auto"/>
          <w:sz w:val="22"/>
          <w:szCs w:val="22"/>
        </w:rPr>
        <w:t>a)  Informácie o pohybe vlastných akcií v účtovnom období - v menovitej hodnote</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4"/>
        <w:rPr>
          <w:rFonts w:ascii="Calibri" w:hAnsi="Calibri" w:asciiTheme="minorHAnsi" w:hAnsiTheme="minorHAnsi"/>
          <w:color w:val="auto"/>
          <w:sz w:val="20"/>
          <w:szCs w:val="20"/>
        </w:rPr>
      </w:pPr>
      <w:r>
        <w:rPr>
          <w:rFonts w:ascii="Calibri" w:hAnsi="Calibri" w:asciiTheme="minorHAnsi" w:hAnsiTheme="minorHAnsi"/>
          <w:color w:val="auto"/>
          <w:sz w:val="20"/>
          <w:szCs w:val="20"/>
        </w:rPr>
        <w:t>V roku 2021 spoločnosť zmenila právnu formu z akciovej spoločnosti na spoločnosť s ručeným obmedzením.</w:t>
      </w:r>
    </w:p>
    <w:p>
      <w:pPr>
        <w:pStyle w:val="Default"/>
        <w:spacing w:before="0" w:after="14"/>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both"/>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pPr>
        <w:pStyle w:val="Default"/>
        <w:jc w:val="both"/>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neúčtovala v roku 202</w:t>
      </w:r>
      <w:r>
        <w:rPr>
          <w:rFonts w:ascii="Calibri" w:hAnsi="Calibri" w:asciiTheme="minorHAnsi" w:hAnsiTheme="minorHAnsi"/>
          <w:color w:val="auto"/>
          <w:sz w:val="20"/>
          <w:szCs w:val="20"/>
        </w:rPr>
        <w:t>4</w:t>
      </w:r>
      <w:r>
        <w:rPr>
          <w:rFonts w:ascii="Calibri" w:hAnsi="Calibri" w:asciiTheme="minorHAnsi" w:hAnsiTheme="minorHAnsi"/>
          <w:color w:val="auto"/>
          <w:sz w:val="20"/>
          <w:szCs w:val="20"/>
        </w:rPr>
        <w:t xml:space="preserve"> o výnosoch alebo nákladoch, ktoré majú výnimočný rozsah alebo výskyt.</w:t>
      </w:r>
    </w:p>
    <w:p>
      <w:pPr>
        <w:pStyle w:val="Default"/>
        <w:jc w:val="both"/>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center"/>
        <w:rPr>
          <w:rFonts w:ascii="Calibri" w:hAnsi="Calibri" w:asciiTheme="minorHAnsi" w:hAnsiTheme="minorHAnsi"/>
          <w:color w:val="auto"/>
          <w:sz w:val="22"/>
          <w:szCs w:val="22"/>
        </w:rPr>
      </w:pPr>
      <w:r>
        <w:rPr>
          <w:rFonts w:ascii="Calibri" w:hAnsi="Calibri" w:asciiTheme="minorHAnsi" w:hAnsiTheme="minorHAnsi"/>
          <w:b/>
          <w:bCs/>
          <w:color w:val="auto"/>
          <w:sz w:val="22"/>
          <w:szCs w:val="22"/>
        </w:rPr>
        <w:t>Čl. V</w:t>
      </w:r>
    </w:p>
    <w:p>
      <w:pPr>
        <w:pStyle w:val="Default"/>
        <w:jc w:val="center"/>
        <w:rPr>
          <w:rFonts w:ascii="Calibri" w:hAnsi="Calibri" w:asciiTheme="minorHAnsi" w:hAnsiTheme="minorHAnsi"/>
          <w:b/>
          <w:b/>
          <w:bCs/>
          <w:color w:val="auto"/>
          <w:sz w:val="22"/>
          <w:szCs w:val="22"/>
        </w:rPr>
      </w:pPr>
      <w:r>
        <w:rPr>
          <w:rFonts w:ascii="Calibri" w:hAnsi="Calibri" w:asciiTheme="minorHAnsi" w:hAnsiTheme="minorHAnsi"/>
          <w:b/>
          <w:bCs/>
          <w:color w:val="auto"/>
          <w:sz w:val="22"/>
          <w:szCs w:val="22"/>
        </w:rPr>
        <w:t>Informácie o iných aktívach a iných pasívach</w:t>
      </w:r>
    </w:p>
    <w:p>
      <w:pPr>
        <w:pStyle w:val="Default"/>
        <w:jc w:val="center"/>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7"/>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(1) Informácie o iných aktívach a iných pasívach: </w:t>
      </w:r>
    </w:p>
    <w:p>
      <w:pPr>
        <w:pStyle w:val="Default"/>
        <w:spacing w:before="0" w:after="17"/>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spacing w:before="0" w:after="17"/>
        <w:rPr>
          <w:rFonts w:ascii="Calibri" w:hAnsi="Calibri" w:asciiTheme="minorHAnsi" w:hAnsiTheme="minorHAnsi"/>
          <w:color w:val="auto"/>
          <w:sz w:val="22"/>
          <w:szCs w:val="22"/>
        </w:rPr>
      </w:pPr>
      <w:r>
        <w:rPr>
          <w:rFonts w:ascii="Calibri" w:hAnsi="Calibri" w:asciiTheme="minorHAnsi" w:hAnsiTheme="minorHAnsi"/>
          <w:color w:val="auto"/>
          <w:sz w:val="22"/>
          <w:szCs w:val="22"/>
        </w:rPr>
        <w:t>a) Informácie o podmienenom majetku</w:t>
      </w:r>
    </w:p>
    <w:p>
      <w:pPr>
        <w:pStyle w:val="Default"/>
        <w:spacing w:before="0" w:after="17"/>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nemá vedomosť o  žiadnom podmienenom majetok, ktorý sa nevykazujú v súvahe.</w:t>
      </w:r>
    </w:p>
    <w:p>
      <w:pPr>
        <w:pStyle w:val="Default"/>
        <w:spacing w:before="0" w:after="17"/>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Nzov"/>
        <w:keepNext w:val="false"/>
        <w:widowControl w:val="false"/>
        <w:spacing w:beforeAutospacing="0" w:before="0" w:after="0"/>
        <w:jc w:val="left"/>
        <w:rPr>
          <w:rFonts w:ascii="Calibri" w:hAnsi="Calibri" w:asciiTheme="minorHAnsi" w:hAnsiTheme="minorHAnsi"/>
          <w:b w:val="false"/>
          <w:b w:val="false"/>
        </w:rPr>
      </w:pPr>
      <w:r>
        <w:rPr>
          <w:rFonts w:ascii="Calibri" w:hAnsi="Calibri" w:asciiTheme="minorHAnsi" w:hAnsiTheme="minorHAnsi"/>
          <w:b w:val="false"/>
          <w:szCs w:val="22"/>
        </w:rPr>
        <w:t xml:space="preserve">b) </w:t>
      </w:r>
      <w:r>
        <w:rPr>
          <w:rFonts w:ascii="Calibri" w:hAnsi="Calibri" w:asciiTheme="minorHAnsi" w:hAnsiTheme="minorHAnsi"/>
          <w:b w:val="false"/>
        </w:rPr>
        <w:t>Informácie o podmienených záväzkoch</w:t>
      </w:r>
    </w:p>
    <w:p>
      <w:pPr>
        <w:pStyle w:val="Default"/>
        <w:spacing w:before="0" w:after="17"/>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nemá vedomosť o žiadnych podmienených záväzkoch spoločnosti.</w:t>
      </w:r>
    </w:p>
    <w:p>
      <w:pPr>
        <w:pStyle w:val="Default"/>
        <w:spacing w:before="0" w:after="17"/>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asciiTheme="minorHAnsi" w:hAnsiTheme="minorHAnsi"/>
          <w:color w:val="auto"/>
          <w:sz w:val="22"/>
          <w:szCs w:val="22"/>
        </w:rPr>
      </w:pPr>
      <w:r>
        <w:rPr>
          <w:rFonts w:ascii="Calibri" w:hAnsi="Calibri" w:asciiTheme="minorHAnsi" w:hAnsiTheme="minorHAnsi"/>
          <w:color w:val="auto"/>
          <w:sz w:val="22"/>
          <w:szCs w:val="22"/>
        </w:rPr>
        <w:t xml:space="preserve"> </w:t>
      </w:r>
      <w:r>
        <w:rPr>
          <w:rFonts w:ascii="Calibri" w:hAnsi="Calibri" w:asciiTheme="minorHAnsi" w:hAnsiTheme="minorHAnsi"/>
          <w:color w:val="auto"/>
          <w:sz w:val="22"/>
          <w:szCs w:val="22"/>
        </w:rPr>
        <w:t xml:space="preserve">(2) Informácia o ostatných finančných povinnostiach, ktoré sa nevykazujú v účtovných výkazoch </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jc w:val="both"/>
        <w:rPr>
          <w:rFonts w:ascii="Calibri" w:hAnsi="Calibri" w:asciiTheme="minorHAnsi" w:hAnsiTheme="minorHAnsi"/>
          <w:color w:val="auto"/>
          <w:sz w:val="20"/>
          <w:szCs w:val="20"/>
        </w:rPr>
      </w:pPr>
      <w:r>
        <w:rPr>
          <w:rFonts w:ascii="Calibri" w:hAnsi="Calibri" w:asciiTheme="minorHAnsi" w:hAnsiTheme="minorHAnsi"/>
          <w:color w:val="auto"/>
          <w:sz w:val="20"/>
          <w:szCs w:val="20"/>
        </w:rPr>
        <w:t>Účtovná jednotka nemá vedomosť o žiadnych finančných povinnostiach, ktoré sa nevykazujú v účtovnej závierke.</w:t>
      </w:r>
    </w:p>
    <w:p>
      <w:pPr>
        <w:pStyle w:val="Default"/>
        <w:rPr>
          <w:rFonts w:ascii="Calibri" w:hAnsi="Calibri" w:asciiTheme="minorHAnsi" w:hAnsiTheme="minorHAnsi"/>
          <w:color w:val="auto"/>
          <w:sz w:val="22"/>
          <w:szCs w:val="22"/>
        </w:rPr>
      </w:pPr>
      <w:r>
        <w:rPr>
          <w:rFonts w:asciiTheme="minorHAnsi" w:hAnsiTheme="minorHAnsi" w:ascii="Calibri" w:hAnsi="Calibri"/>
          <w:color w:val="auto"/>
          <w:sz w:val="22"/>
          <w:szCs w:val="22"/>
        </w:rPr>
      </w:r>
    </w:p>
    <w:p>
      <w:pPr>
        <w:pStyle w:val="Default"/>
        <w:rPr>
          <w:rFonts w:ascii="Calibri" w:hAnsi="Calibri" w:cs="Calibri" w:asciiTheme="minorHAnsi" w:hAnsiTheme="minorHAnsi"/>
          <w:b/>
          <w:b/>
          <w:color w:val="auto"/>
          <w:szCs w:val="22"/>
        </w:rPr>
      </w:pPr>
      <w:r>
        <w:rPr>
          <w:rFonts w:ascii="Calibri" w:hAnsi="Calibri" w:asciiTheme="minorHAnsi" w:hAnsiTheme="minorHAnsi"/>
          <w:color w:val="auto"/>
          <w:sz w:val="22"/>
          <w:szCs w:val="22"/>
        </w:rPr>
        <w:t xml:space="preserve">(3) Informácie ku skutočnostiam sledovaným na podsúvahových účtoch  </w:t>
      </w:r>
    </w:p>
    <w:p>
      <w:pPr>
        <w:pStyle w:val="Normal"/>
        <w:ind w:right="-468" w:hanging="0"/>
        <w:rPr>
          <w:rFonts w:ascii="Calibri" w:hAnsi="Calibri" w:asciiTheme="minorHAnsi" w:hAnsiTheme="minorHAnsi"/>
          <w:szCs w:val="22"/>
        </w:rPr>
      </w:pPr>
      <w:r>
        <w:rPr>
          <w:rFonts w:asciiTheme="minorHAnsi" w:hAnsiTheme="minorHAnsi" w:ascii="Calibri" w:hAnsi="Calibri"/>
          <w:szCs w:val="22"/>
        </w:rPr>
      </w:r>
    </w:p>
    <w:p>
      <w:pPr>
        <w:pStyle w:val="Normal"/>
        <w:ind w:right="-468" w:hanging="0"/>
        <w:jc w:val="both"/>
        <w:rPr>
          <w:rFonts w:ascii="Calibri" w:hAnsi="Calibri" w:asciiTheme="minorHAnsi" w:hAnsiTheme="minorHAnsi"/>
          <w:sz w:val="20"/>
          <w:szCs w:val="20"/>
        </w:rPr>
      </w:pPr>
      <w:r>
        <w:rPr>
          <w:rFonts w:ascii="Calibri" w:hAnsi="Calibri" w:asciiTheme="minorHAnsi" w:hAnsiTheme="minorHAnsi"/>
          <w:sz w:val="20"/>
          <w:szCs w:val="20"/>
        </w:rPr>
        <w:t>Účtovná jednotka nemá vedomosť o skutočnostiach, ktoré by bolo potrebné sledovať podsúvahovo a ktorých znalosť je podstatná na posúdenie majetkoprávnej situácie účtovnej jednotky a jej ekonomických zdrojov.</w:t>
      </w:r>
    </w:p>
    <w:p>
      <w:pPr>
        <w:pStyle w:val="Default"/>
        <w:rPr>
          <w:rFonts w:ascii="Calibri" w:hAnsi="Calibri" w:asciiTheme="minorHAnsi" w:hAnsiTheme="minorHAnsi"/>
          <w:color w:val="auto"/>
          <w:sz w:val="20"/>
          <w:szCs w:val="20"/>
        </w:rPr>
      </w:pPr>
      <w:r>
        <w:rPr>
          <w:rFonts w:asciiTheme="minorHAnsi" w:hAnsiTheme="minorHAnsi" w:ascii="Calibri" w:hAnsi="Calibri"/>
          <w:color w:val="auto"/>
          <w:sz w:val="20"/>
          <w:szCs w:val="20"/>
        </w:rPr>
      </w:r>
    </w:p>
    <w:p>
      <w:pPr>
        <w:pStyle w:val="Default"/>
        <w:jc w:val="center"/>
        <w:rPr>
          <w:rFonts w:ascii="Calibri" w:hAnsi="Calibri" w:asciiTheme="minorHAnsi" w:hAnsiTheme="minorHAnsi"/>
          <w:b/>
          <w:b/>
          <w:bCs/>
          <w:color w:val="auto"/>
          <w:sz w:val="22"/>
          <w:szCs w:val="22"/>
        </w:rPr>
      </w:pPr>
      <w:r>
        <w:rPr/>
      </w:r>
    </w:p>
    <w:sectPr>
      <w:headerReference w:type="default" r:id="rId2"/>
      <w:type w:val="nextPage"/>
      <w:pgSz w:w="11906" w:h="16838"/>
      <w:pgMar w:left="567" w:right="567" w:gutter="0" w:header="708" w:top="765" w:footer="0" w:bottom="567"/>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Narrow">
    <w:charset w:val="ee"/>
    <w:family w:val="roman"/>
    <w:pitch w:val="variable"/>
  </w:font>
  <w:font w:name="Cambria">
    <w:charset w:val="ee"/>
    <w:family w:val="roman"/>
    <w:pitch w:val="variable"/>
  </w:font>
  <w:font w:name="Times New Roman">
    <w:charset w:val="ee"/>
    <w:family w:val="roman"/>
    <w:pitch w:val="variable"/>
  </w:font>
  <w:font w:name="Liberation Sans">
    <w:altName w:val="Arial"/>
    <w:charset w:val="ee"/>
    <w:family w:val="swiss"/>
    <w:pitch w:val="variable"/>
  </w:font>
  <w:font w:name="Arial">
    <w:charset w:val="ee"/>
    <w:family w:val="roman"/>
    <w:pitch w:val="variable"/>
  </w:font>
  <w:font w:name="Tms Rmn">
    <w:altName w:val="Times New Roman"/>
    <w:charset w:val="ee"/>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520" w:type="dxa"/>
      <w:jc w:val="left"/>
      <w:tblInd w:w="51" w:type="dxa"/>
      <w:tblLayout w:type="fixed"/>
      <w:tblCellMar>
        <w:top w:w="0" w:type="dxa"/>
        <w:left w:w="70" w:type="dxa"/>
        <w:bottom w:w="0" w:type="dxa"/>
        <w:right w:w="70" w:type="dxa"/>
      </w:tblCellMar>
      <w:tblLook w:val="04a0"/>
    </w:tblPr>
    <w:tblGrid>
      <w:gridCol w:w="277"/>
      <w:gridCol w:w="279"/>
      <w:gridCol w:w="278"/>
      <w:gridCol w:w="278"/>
      <w:gridCol w:w="279"/>
      <w:gridCol w:w="278"/>
      <w:gridCol w:w="278"/>
      <w:gridCol w:w="278"/>
      <w:gridCol w:w="279"/>
      <w:gridCol w:w="278"/>
      <w:gridCol w:w="278"/>
      <w:gridCol w:w="279"/>
      <w:gridCol w:w="278"/>
      <w:gridCol w:w="278"/>
      <w:gridCol w:w="279"/>
      <w:gridCol w:w="278"/>
      <w:gridCol w:w="278"/>
      <w:gridCol w:w="279"/>
      <w:gridCol w:w="278"/>
      <w:gridCol w:w="278"/>
      <w:gridCol w:w="278"/>
      <w:gridCol w:w="279"/>
      <w:gridCol w:w="278"/>
      <w:gridCol w:w="278"/>
      <w:gridCol w:w="301"/>
      <w:gridCol w:w="293"/>
      <w:gridCol w:w="300"/>
      <w:gridCol w:w="278"/>
      <w:gridCol w:w="278"/>
      <w:gridCol w:w="279"/>
      <w:gridCol w:w="278"/>
      <w:gridCol w:w="278"/>
      <w:gridCol w:w="279"/>
      <w:gridCol w:w="273"/>
    </w:tblGrid>
    <w:tr>
      <w:trPr>
        <w:trHeight w:val="300" w:hRule="atLeast"/>
      </w:trPr>
      <w:tc>
        <w:tcPr>
          <w:tcW w:w="2225" w:type="dxa"/>
          <w:gridSpan w:val="8"/>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sz w:val="20"/>
              <w:szCs w:val="20"/>
              <w:lang w:eastAsia="sk-SK"/>
            </w:rPr>
          </w:pPr>
          <w:r>
            <w:rPr>
              <w:rFonts w:ascii="Calibri" w:hAnsi="Calibri"/>
              <w:color w:val="000000"/>
              <w:sz w:val="20"/>
              <w:szCs w:val="20"/>
              <w:lang w:eastAsia="sk-SK"/>
            </w:rPr>
            <w:t>Poznámky Úč POD 3 - 01</w:t>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jc w:val="center"/>
            <w:rPr>
              <w:rFonts w:ascii="Calibri" w:hAnsi="Calibri"/>
              <w:color w:val="000000"/>
              <w:sz w:val="18"/>
              <w:szCs w:val="18"/>
              <w:lang w:eastAsia="sk-SK"/>
            </w:rPr>
          </w:pPr>
          <w:r>
            <w:rPr>
              <w:rFonts w:ascii="Calibri" w:hAnsi="Calibri"/>
              <w:color w:val="000000"/>
              <w:sz w:val="18"/>
              <w:szCs w:val="18"/>
              <w:lang w:eastAsia="sk-SK"/>
            </w:rPr>
            <w:t xml:space="preserve">                             </w:t>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594" w:type="dxa"/>
          <w:gridSpan w:val="2"/>
          <w:tcBorders/>
          <w:shd w:color="auto" w:fill="auto" w:val="clear"/>
          <w:vAlign w:val="bottom"/>
        </w:tcPr>
        <w:p>
          <w:pPr>
            <w:pStyle w:val="Normal"/>
            <w:widowControl w:val="false"/>
            <w:jc w:val="center"/>
            <w:rPr>
              <w:rFonts w:ascii="Calibri" w:hAnsi="Calibri"/>
              <w:color w:val="000000"/>
              <w:sz w:val="18"/>
              <w:szCs w:val="18"/>
              <w:lang w:eastAsia="sk-SK"/>
            </w:rPr>
          </w:pPr>
          <w:r>
            <w:rPr>
              <w:rFonts w:ascii="Calibri" w:hAnsi="Calibri"/>
              <w:color w:val="000000"/>
              <w:sz w:val="18"/>
              <w:szCs w:val="18"/>
              <w:lang w:eastAsia="sk-SK"/>
            </w:rPr>
            <w:t>IČO</w:t>
          </w:r>
        </w:p>
      </w:tc>
      <w:tc>
        <w:tcPr>
          <w:tcW w:w="300"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 </w:t>
          </w:r>
          <w:r>
            <w:rPr>
              <w:rFonts w:ascii="Calibri" w:hAnsi="Calibri"/>
              <w:color w:val="000000"/>
              <w:szCs w:val="22"/>
              <w:lang w:eastAsia="sk-SK"/>
            </w:rPr>
            <w:t>4</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5</w:t>
          </w:r>
        </w:p>
      </w:tc>
      <w:tc>
        <w:tcPr>
          <w:tcW w:w="27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6</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3</w:t>
          </w:r>
        </w:p>
      </w:tc>
      <w:tc>
        <w:tcPr>
          <w:tcW w:w="27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5</w:t>
          </w:r>
        </w:p>
      </w:tc>
      <w:tc>
        <w:tcPr>
          <w:tcW w:w="273"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0</w:t>
          </w:r>
        </w:p>
      </w:tc>
    </w:tr>
    <w:tr>
      <w:trPr>
        <w:trHeight w:val="60" w:hRule="atLeast"/>
      </w:trPr>
      <w:tc>
        <w:tcPr>
          <w:tcW w:w="3617" w:type="dxa"/>
          <w:gridSpan w:val="13"/>
          <w:tcBorders/>
          <w:shd w:color="auto" w:fill="auto" w:val="clear"/>
          <w:vAlign w:val="bottom"/>
        </w:tcPr>
        <w:p>
          <w:pPr>
            <w:pStyle w:val="Normal"/>
            <w:widowControl w:val="false"/>
            <w:rPr>
              <w:b/>
              <w:b/>
              <w:bCs/>
              <w:color w:val="990099"/>
              <w:lang w:eastAsia="sk-SK"/>
            </w:rPr>
          </w:pPr>
          <w:r>
            <w:rPr>
              <w:b/>
              <w:bCs/>
              <w:color w:val="990099"/>
              <w:szCs w:val="22"/>
              <w:lang w:eastAsia="sk-SK"/>
            </w:rPr>
            <w:t xml:space="preserve">                                                                              </w:t>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301"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93"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300"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3"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r>
    <w:tr>
      <w:trPr>
        <w:trHeight w:val="300" w:hRule="atLeast"/>
      </w:trPr>
      <w:tc>
        <w:tcPr>
          <w:tcW w:w="277"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8"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279" w:type="dxa"/>
          <w:tcBorders/>
          <w:shd w:color="auto" w:fill="auto" w:val="clear"/>
          <w:vAlign w:val="bottom"/>
        </w:tcPr>
        <w:p>
          <w:pPr>
            <w:pStyle w:val="Normal"/>
            <w:widowControl w:val="false"/>
            <w:rPr>
              <w:rFonts w:ascii="Calibri" w:hAnsi="Calibri"/>
              <w:color w:val="000000"/>
              <w:lang w:eastAsia="sk-SK"/>
            </w:rPr>
          </w:pPr>
          <w:r>
            <w:rPr>
              <w:rFonts w:ascii="Calibri" w:hAnsi="Calibri"/>
              <w:color w:val="000000"/>
              <w:lang w:eastAsia="sk-SK"/>
            </w:rPr>
          </w:r>
        </w:p>
      </w:tc>
      <w:tc>
        <w:tcPr>
          <w:tcW w:w="556" w:type="dxa"/>
          <w:gridSpan w:val="2"/>
          <w:tcBorders/>
          <w:shd w:color="auto" w:fill="auto" w:val="clear"/>
          <w:vAlign w:val="bottom"/>
        </w:tcPr>
        <w:p>
          <w:pPr>
            <w:pStyle w:val="Normal"/>
            <w:widowControl w:val="false"/>
            <w:jc w:val="center"/>
            <w:rPr>
              <w:rFonts w:ascii="Calibri" w:hAnsi="Calibri"/>
              <w:color w:val="000000"/>
              <w:lang w:eastAsia="sk-SK"/>
            </w:rPr>
          </w:pPr>
          <w:r>
            <w:rPr>
              <w:rFonts w:ascii="Calibri" w:hAnsi="Calibri"/>
              <w:color w:val="000000"/>
              <w:szCs w:val="22"/>
              <w:lang w:eastAsia="sk-SK"/>
            </w:rPr>
            <w:t>DIČ</w:t>
          </w:r>
        </w:p>
      </w:tc>
      <w:tc>
        <w:tcPr>
          <w:tcW w:w="301"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Calibri" w:hAnsi="Calibri"/>
              <w:color w:val="000000"/>
              <w:lang w:eastAsia="sk-SK"/>
            </w:rPr>
          </w:pPr>
          <w:r>
            <w:rPr>
              <w:rFonts w:ascii="Calibri" w:hAnsi="Calibri"/>
              <w:color w:val="000000"/>
              <w:szCs w:val="22"/>
              <w:lang w:eastAsia="sk-SK"/>
            </w:rPr>
            <w:t>2 </w:t>
          </w:r>
        </w:p>
      </w:tc>
      <w:tc>
        <w:tcPr>
          <w:tcW w:w="293"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0</w:t>
          </w:r>
        </w:p>
      </w:tc>
      <w:tc>
        <w:tcPr>
          <w:tcW w:w="300"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2</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2</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7</w:t>
          </w:r>
        </w:p>
      </w:tc>
      <w:tc>
        <w:tcPr>
          <w:tcW w:w="27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6</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9</w:t>
          </w:r>
        </w:p>
      </w:tc>
      <w:tc>
        <w:tcPr>
          <w:tcW w:w="278"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4</w:t>
          </w:r>
        </w:p>
      </w:tc>
      <w:tc>
        <w:tcPr>
          <w:tcW w:w="273"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Calibri" w:hAnsi="Calibri"/>
              <w:color w:val="000000"/>
              <w:lang w:eastAsia="sk-SK"/>
            </w:rPr>
          </w:pPr>
          <w:r>
            <w:rPr>
              <w:rFonts w:ascii="Calibri" w:hAnsi="Calibri"/>
              <w:color w:val="000000"/>
              <w:szCs w:val="22"/>
              <w:lang w:eastAsia="sk-SK"/>
            </w:rPr>
            <w:t>1</w:t>
          </w:r>
        </w:p>
      </w:tc>
    </w:tr>
  </w:tbl>
  <w:p>
    <w:pPr>
      <w:pStyle w:val="Zhlavi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61b1"/>
    <w:pPr>
      <w:widowControl/>
      <w:bidi w:val="0"/>
      <w:spacing w:lineRule="auto" w:line="240" w:before="0" w:after="0"/>
      <w:jc w:val="left"/>
    </w:pPr>
    <w:rPr>
      <w:rFonts w:ascii="Arial Narrow" w:hAnsi="Arial Narrow" w:eastAsia="Times New Roman" w:cs="Times New Roman"/>
      <w:color w:val="auto"/>
      <w:kern w:val="0"/>
      <w:sz w:val="22"/>
      <w:szCs w:val="24"/>
      <w:lang w:val="sk-SK" w:eastAsia="en-US" w:bidi="ar-SA"/>
    </w:rPr>
  </w:style>
  <w:style w:type="paragraph" w:styleId="Nadpis1">
    <w:name w:val="Heading 1"/>
    <w:basedOn w:val="Normal"/>
    <w:next w:val="Normal"/>
    <w:link w:val="Nadpis1Char"/>
    <w:uiPriority w:val="99"/>
    <w:qFormat/>
    <w:rsid w:val="006b0e20"/>
    <w:pPr>
      <w:keepNext w:val="true"/>
      <w:spacing w:before="240" w:after="60"/>
      <w:outlineLvl w:val="0"/>
    </w:pPr>
    <w:rPr>
      <w:rFonts w:ascii="Cambria" w:hAnsi="Cambria"/>
      <w:b/>
      <w:bCs/>
      <w:kern w:val="2"/>
      <w:sz w:val="32"/>
      <w:szCs w:val="32"/>
    </w:rPr>
  </w:style>
  <w:style w:type="character" w:styleId="DefaultParagraphFont" w:default="1">
    <w:name w:val="Default Paragraph Font"/>
    <w:uiPriority w:val="1"/>
    <w:semiHidden/>
    <w:unhideWhenUsed/>
    <w:qFormat/>
    <w:rPr/>
  </w:style>
  <w:style w:type="character" w:styleId="HlavikaChar" w:customStyle="1">
    <w:name w:val="Hlavička Char"/>
    <w:basedOn w:val="DefaultParagraphFont"/>
    <w:link w:val="Hlavika"/>
    <w:uiPriority w:val="99"/>
    <w:qFormat/>
    <w:rsid w:val="00441af2"/>
    <w:rPr/>
  </w:style>
  <w:style w:type="character" w:styleId="PtaChar" w:customStyle="1">
    <w:name w:val="Päta Char"/>
    <w:basedOn w:val="DefaultParagraphFont"/>
    <w:link w:val="Pta"/>
    <w:uiPriority w:val="99"/>
    <w:qFormat/>
    <w:rsid w:val="00441af2"/>
    <w:rPr/>
  </w:style>
  <w:style w:type="character" w:styleId="ZkladntextChar" w:customStyle="1">
    <w:name w:val="Základný text Char"/>
    <w:basedOn w:val="DefaultParagraphFont"/>
    <w:link w:val="Zkladntext"/>
    <w:uiPriority w:val="99"/>
    <w:qFormat/>
    <w:rsid w:val="00301869"/>
    <w:rPr>
      <w:rFonts w:ascii="Times New Roman" w:hAnsi="Times New Roman" w:eastAsia="Times New Roman" w:cs="Times New Roman"/>
      <w:b/>
      <w:bCs/>
      <w:sz w:val="24"/>
      <w:szCs w:val="24"/>
      <w:lang w:eastAsia="cs-CZ"/>
    </w:rPr>
  </w:style>
  <w:style w:type="character" w:styleId="Nadpis1Char" w:customStyle="1">
    <w:name w:val="Nadpis 1 Char"/>
    <w:basedOn w:val="DefaultParagraphFont"/>
    <w:link w:val="Nadpis1"/>
    <w:uiPriority w:val="99"/>
    <w:qFormat/>
    <w:rsid w:val="006b0e20"/>
    <w:rPr>
      <w:rFonts w:ascii="Cambria" w:hAnsi="Cambria" w:eastAsia="Times New Roman" w:cs="Times New Roman"/>
      <w:b/>
      <w:bCs/>
      <w:kern w:val="2"/>
      <w:sz w:val="32"/>
      <w:szCs w:val="32"/>
    </w:rPr>
  </w:style>
  <w:style w:type="character" w:styleId="NzovChar" w:customStyle="1">
    <w:name w:val="Názov Char"/>
    <w:basedOn w:val="DefaultParagraphFont"/>
    <w:link w:val="Nzov"/>
    <w:uiPriority w:val="99"/>
    <w:qFormat/>
    <w:rsid w:val="006b0e20"/>
    <w:rPr>
      <w:rFonts w:ascii="Arial Narrow" w:hAnsi="Arial Narrow" w:eastAsia="Times New Roman" w:cs="Times New Roman"/>
      <w:b/>
      <w:bCs/>
      <w:kern w:val="2"/>
      <w:szCs w:val="32"/>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link w:val="ZkladntextChar"/>
    <w:uiPriority w:val="99"/>
    <w:rsid w:val="00301869"/>
    <w:pPr>
      <w:jc w:val="both"/>
    </w:pPr>
    <w:rPr>
      <w:rFonts w:ascii="Times New Roman" w:hAnsi="Times New Roman"/>
      <w:b/>
      <w:bCs/>
      <w:sz w:val="24"/>
      <w:lang w:eastAsia="cs-CZ"/>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Default" w:customStyle="1">
    <w:name w:val="Default"/>
    <w:qFormat/>
    <w:rsid w:val="00441af2"/>
    <w:pPr>
      <w:widowControl/>
      <w:bidi w:val="0"/>
      <w:spacing w:lineRule="auto" w:line="240" w:before="0" w:after="0"/>
      <w:jc w:val="left"/>
    </w:pPr>
    <w:rPr>
      <w:rFonts w:ascii="Arial" w:hAnsi="Arial" w:cs="Arial" w:eastAsia="Calibri"/>
      <w:color w:val="000000"/>
      <w:kern w:val="0"/>
      <w:sz w:val="24"/>
      <w:szCs w:val="24"/>
      <w:lang w:val="sk-SK" w:eastAsia="en-US" w:bidi="ar-SA"/>
    </w:rPr>
  </w:style>
  <w:style w:type="paragraph" w:styleId="Hlavikaapta">
    <w:name w:val="Hlavička a päta"/>
    <w:basedOn w:val="Normal"/>
    <w:qFormat/>
    <w:pPr/>
    <w:rPr/>
  </w:style>
  <w:style w:type="paragraph" w:styleId="Zhlavie">
    <w:name w:val="Header"/>
    <w:basedOn w:val="Normal"/>
    <w:link w:val="HlavikaChar"/>
    <w:uiPriority w:val="99"/>
    <w:unhideWhenUsed/>
    <w:rsid w:val="00441af2"/>
    <w:pPr>
      <w:tabs>
        <w:tab w:val="clear" w:pos="708"/>
        <w:tab w:val="center" w:pos="4536" w:leader="none"/>
        <w:tab w:val="right" w:pos="9072" w:leader="none"/>
      </w:tabs>
    </w:pPr>
    <w:rPr/>
  </w:style>
  <w:style w:type="paragraph" w:styleId="Pta">
    <w:name w:val="Footer"/>
    <w:basedOn w:val="Normal"/>
    <w:link w:val="PtaChar"/>
    <w:uiPriority w:val="99"/>
    <w:unhideWhenUsed/>
    <w:rsid w:val="00441af2"/>
    <w:pPr>
      <w:tabs>
        <w:tab w:val="clear" w:pos="708"/>
        <w:tab w:val="center" w:pos="4536" w:leader="none"/>
        <w:tab w:val="right" w:pos="9072" w:leader="none"/>
      </w:tabs>
    </w:pPr>
    <w:rPr/>
  </w:style>
  <w:style w:type="paragraph" w:styleId="ListParagraph">
    <w:name w:val="List Paragraph"/>
    <w:basedOn w:val="Normal"/>
    <w:uiPriority w:val="34"/>
    <w:qFormat/>
    <w:rsid w:val="009f61b1"/>
    <w:pPr>
      <w:spacing w:lineRule="auto" w:line="276" w:before="0" w:after="200"/>
      <w:ind w:left="720" w:hanging="0"/>
      <w:contextualSpacing/>
    </w:pPr>
    <w:rPr>
      <w:rFonts w:ascii="Calibri" w:hAnsi="Calibri" w:eastAsia="Calibri"/>
      <w:szCs w:val="22"/>
    </w:rPr>
  </w:style>
  <w:style w:type="paragraph" w:styleId="TopHeader" w:customStyle="1">
    <w:name w:val="Top Header"/>
    <w:basedOn w:val="Normal"/>
    <w:qFormat/>
    <w:rsid w:val="00301869"/>
    <w:pPr>
      <w:jc w:val="center"/>
    </w:pPr>
    <w:rPr>
      <w:b/>
      <w:bCs/>
      <w:szCs w:val="22"/>
    </w:rPr>
  </w:style>
  <w:style w:type="paragraph" w:styleId="Tabulka" w:customStyle="1">
    <w:name w:val="Tabulka"/>
    <w:basedOn w:val="Normal"/>
    <w:qFormat/>
    <w:rsid w:val="00301869"/>
    <w:pPr/>
    <w:rPr>
      <w:rFonts w:ascii="Times New Roman" w:hAnsi="Times New Roman"/>
      <w:color w:val="000000"/>
      <w:sz w:val="18"/>
      <w:szCs w:val="20"/>
    </w:rPr>
  </w:style>
  <w:style w:type="paragraph" w:styleId="Pismenka" w:customStyle="1">
    <w:name w:val="Pismenka"/>
    <w:basedOn w:val="Telotextu"/>
    <w:qFormat/>
    <w:rsid w:val="00301869"/>
    <w:pPr>
      <w:numPr>
        <w:ilvl w:val="0"/>
        <w:numId w:val="2"/>
      </w:numPr>
      <w:tabs>
        <w:tab w:val="clear" w:pos="708"/>
        <w:tab w:val="left" w:pos="426" w:leader="none"/>
      </w:tabs>
      <w:ind w:hanging="426"/>
    </w:pPr>
    <w:rPr>
      <w:bCs w:val="false"/>
      <w:sz w:val="18"/>
      <w:szCs w:val="20"/>
      <w:lang w:eastAsia="en-US"/>
    </w:rPr>
  </w:style>
  <w:style w:type="paragraph" w:styleId="Nzov">
    <w:name w:val="Title"/>
    <w:basedOn w:val="Normal"/>
    <w:next w:val="Normal"/>
    <w:link w:val="NzovChar"/>
    <w:uiPriority w:val="99"/>
    <w:qFormat/>
    <w:rsid w:val="006b0e20"/>
    <w:pPr>
      <w:keepNext w:val="true"/>
      <w:spacing w:beforeAutospacing="1" w:after="220"/>
      <w:jc w:val="center"/>
      <w:outlineLvl w:val="0"/>
    </w:pPr>
    <w:rPr>
      <w:b/>
      <w:bCs/>
      <w:kern w:val="2"/>
      <w:szCs w:val="32"/>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Application>LibreOffice/7.2.2.2$Windows_X86_64 LibreOffice_project/02b2acce88a210515b4a5bb2e46cbfb63fe97d56</Application>
  <AppVersion>15.0000</AppVersion>
  <Pages>6</Pages>
  <Words>2213</Words>
  <Characters>13055</Characters>
  <CharactersWithSpaces>15253</CharactersWithSpaces>
  <Paragraphs>272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2022-03-29T08:34:00Z</dcterms:created>
  <dc:creator>Emilia Kukucova</dc:creator>
  <dc:description/>
  <dc:language>sk-SK</dc:language>
  <cp:lastModifiedBy/>
  <cp:lastPrinted>2025-06-18T10:51:14Z</cp:lastPrinted>
  <dcterms:modified xsi:type="dcterms:W3CDTF">2025-06-18T10:51:48Z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