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TextBody"/>
        <w:bidi w:val="0"/>
        <w:spacing w:lineRule="auto" w:line="276" w:before="0" w:after="140"/>
        <w:jc w:val="left"/>
        <w:rPr/>
      </w:pPr>
      <w:bookmarkStart w:id="0" w:name="__DdeLink__115_1224662512"/>
      <w:bookmarkStart w:id="1" w:name="__DdeLink__488_1224662512"/>
      <w:bookmarkStart w:id="2" w:name="__DdeLink__1015_3024462352"/>
      <w:bookmarkStart w:id="3" w:name="__DdeLink__196_2810667075"/>
      <w:r>
        <w:rPr>
          <w:rFonts w:ascii="ArialMT" w:hAnsi="ArialMT"/>
          <w:sz w:val="22"/>
        </w:rPr>
        <w:t>Poznámky ÚčMÚJ3</w:t>
      </w:r>
      <w:r>
        <w:rPr/>
        <w:t>–</w:t>
      </w:r>
      <w:r>
        <w:rPr>
          <w:rFonts w:ascii="ArialMT" w:hAnsi="ArialMT"/>
          <w:sz w:val="22"/>
        </w:rPr>
        <w:t xml:space="preserve">01 </w:t>
        <w:tab/>
        <w:tab/>
        <w:tab/>
        <w:tab/>
        <w:tab/>
        <w:tab/>
        <w:t>IČO:</w:t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47591463</w:t>
      </w:r>
      <w:r>
        <w:rPr>
          <w:rFonts w:ascii="ArialMT" w:hAnsi="ArialMT"/>
          <w:sz w:val="22"/>
        </w:rPr>
        <w:t xml:space="preserve"> DIČ:</w:t>
      </w:r>
      <w:bookmarkEnd w:id="2"/>
      <w:bookmarkEnd w:id="3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2023973886</w:t>
      </w:r>
      <w:r>
        <w:rPr>
          <w:rFonts w:ascii="ArialMT" w:hAnsi="ArialMT"/>
          <w:sz w:val="22"/>
        </w:rPr>
        <w:t xml:space="preserve"> </w:t>
      </w:r>
      <w:bookmarkEnd w:id="0"/>
      <w:bookmarkEnd w:id="1"/>
    </w:p>
    <w:p>
      <w:pPr>
        <w:pStyle w:val="TextBody"/>
        <w:bidi w:val="0"/>
        <w:jc w:val="both"/>
        <w:rPr/>
      </w:pPr>
      <w:r>
        <w:rPr>
          <w:rFonts w:ascii="ArialNarrow" w:hAnsi="ArialNarrow"/>
          <w:b/>
          <w:sz w:val="22"/>
        </w:rPr>
        <w:t>Poznámky k mikro účtovnej závierke za rok 202</w:t>
      </w:r>
      <w:r>
        <w:rPr>
          <w:rFonts w:ascii="ArialNarrow" w:hAnsi="ArialNarrow"/>
          <w:b/>
          <w:sz w:val="22"/>
        </w:rPr>
        <w:t>4</w:t>
      </w:r>
      <w:r>
        <w:rPr>
          <w:rFonts w:ascii="ArialNarrow" w:hAnsi="ArialNarrow"/>
          <w:b/>
          <w:sz w:val="22"/>
        </w:rPr>
        <w:t xml:space="preserve"> </w:t>
      </w:r>
    </w:p>
    <w:p>
      <w:pPr>
        <w:pStyle w:val="TextBody"/>
        <w:bidi w:val="0"/>
        <w:jc w:val="both"/>
        <w:rPr/>
      </w:pPr>
      <w:r>
        <w:rPr>
          <w:rFonts w:ascii="ArialNarrow" w:hAnsi="ArialNarrow"/>
          <w:sz w:val="22"/>
        </w:rPr>
        <w:t>zostavené podľa Opatrenia Ministerstva financií SR č.MF/15464/2013-74, ktorým sa ustanovujú podrobnosti</w:t>
        <w:br/>
        <w:t xml:space="preserve">o usporiadaní, označovaní a obsahovom vymedzení položiek individuálnej účtovnej závierky a rozsahu údajov určených z individuálnej účtovnej závierky na zverejnenie pre </w:t>
      </w:r>
      <w:r>
        <w:rPr>
          <w:rFonts w:ascii="ArialNarrow" w:hAnsi="ArialNarrow"/>
          <w:b/>
          <w:sz w:val="22"/>
        </w:rPr>
        <w:t xml:space="preserve">mikro účtovné jednotky </w:t>
      </w:r>
      <w:r>
        <w:rPr>
          <w:rFonts w:ascii="ArialNarrow" w:hAnsi="ArialNarrow"/>
          <w:sz w:val="22"/>
        </w:rPr>
        <w:t xml:space="preserve">v znení neskorších predpisov </w:t>
      </w:r>
    </w:p>
    <w:p>
      <w:pPr>
        <w:pStyle w:val="TextBody"/>
        <w:bidi w:val="0"/>
        <w:jc w:val="both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TextBody"/>
        <w:bidi w:val="0"/>
        <w:jc w:val="both"/>
        <w:rPr/>
      </w:pPr>
      <w:r>
        <w:rPr>
          <w:rFonts w:ascii="Arial" w:hAnsi="Arial"/>
          <w:b/>
          <w:sz w:val="22"/>
        </w:rPr>
        <w:t xml:space="preserve">Článok I </w:t>
      </w:r>
    </w:p>
    <w:p>
      <w:pPr>
        <w:pStyle w:val="TextBody"/>
        <w:bidi w:val="0"/>
        <w:jc w:val="both"/>
        <w:rPr/>
      </w:pPr>
      <w:r>
        <w:rPr>
          <w:rFonts w:ascii="Arial" w:hAnsi="Arial"/>
          <w:b/>
          <w:sz w:val="22"/>
        </w:rPr>
        <w:t xml:space="preserve">Všeobecné údaje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1. Identifikácia účtovnej jednotky (názov, IČO, sídlo):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Názov: </w:t>
        <w:tab/>
        <w:t xml:space="preserve">TES fin s. r. o.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IČO: </w:t>
        <w:tab/>
        <w:tab/>
      </w:r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47591463</w:t>
      </w:r>
    </w:p>
    <w:p>
      <w:pPr>
        <w:pStyle w:val="TextBody"/>
        <w:bidi w:val="0"/>
        <w:jc w:val="left"/>
        <w:rPr/>
      </w:pPr>
      <w:r>
        <w:rPr>
          <w:rFonts w:ascii="Arial" w:hAnsi="Arial"/>
          <w:i/>
          <w:sz w:val="22"/>
        </w:rPr>
        <w:t xml:space="preserve">Sídlo: </w:t>
        <w:tab/>
        <w:tab/>
      </w:r>
      <w:r>
        <w:rPr>
          <w:rFonts w:eastAsia="Songti SC" w:cs="Arial Unicode MS" w:ascii="ArialMT" w:hAnsi="ArialMT"/>
          <w:i/>
          <w:color w:val="auto"/>
          <w:kern w:val="2"/>
          <w:sz w:val="22"/>
          <w:szCs w:val="24"/>
          <w:lang w:val="en-US" w:eastAsia="zh-CN" w:bidi="hi-IN"/>
        </w:rPr>
        <w:t>Astrova 2/A, 821 01 Bratislava</w:t>
      </w:r>
    </w:p>
    <w:p>
      <w:pPr>
        <w:pStyle w:val="TextBody"/>
        <w:bidi w:val="0"/>
        <w:jc w:val="left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>2. Údaje o konsolidovanom celku - obchodné meno a sídlo konsolidujúcej účtovnej jednotky: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>3. Priemerný prepočítaný počet zamestnancov: 0</w:t>
      </w:r>
    </w:p>
    <w:p>
      <w:pPr>
        <w:pStyle w:val="TextBody"/>
        <w:bidi w:val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</w:r>
    </w:p>
    <w:p>
      <w:pPr>
        <w:pStyle w:val="TextBody"/>
        <w:bidi w:val="0"/>
        <w:jc w:val="left"/>
        <w:rPr/>
      </w:pPr>
      <w:r>
        <w:rPr>
          <w:rFonts w:ascii="Arial" w:hAnsi="Arial"/>
          <w:b/>
          <w:sz w:val="22"/>
        </w:rPr>
        <w:t>Článok II</w:t>
        <w:br/>
        <w:t xml:space="preserve">Informácie o prijatých postupoch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1. Účtovná závierka zostavená za splnenia predpokladu, že účtovná jednotka bude nepretržite pokračovať vo svojej činnosti: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 xml:space="preserve">2. Spôsob oceňovania jednotlivých položiek majetku a záväzkov, a to: </w:t>
      </w:r>
    </w:p>
    <w:p>
      <w:pPr>
        <w:pStyle w:val="TextBody"/>
        <w:bidi w:val="0"/>
        <w:jc w:val="left"/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 xml:space="preserve">Názov položky </w:t>
        <w:tab/>
        <w:tab/>
        <w:tab/>
        <w:tab/>
        <w:tab/>
        <w:t xml:space="preserve">Spôsob oceňovania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Dlhodobý nehmotný majetok: </w:t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>Dlhodobý hmotný majetok:</w:t>
        <w:tab/>
        <w:tab/>
        <w:tab/>
        <w:tab/>
        <w:t>Obstarávacia cena</w:t>
        <w:br/>
        <w:t>Dlhodobý finančný majetok:</w:t>
        <w:tab/>
        <w:tab/>
        <w:tab/>
        <w:tab/>
        <w:t>Obstarávacia cena</w:t>
        <w:br/>
        <w:t>Zásoby obstarané kúpou:</w:t>
        <w:tab/>
        <w:tab/>
        <w:tab/>
        <w:tab/>
        <w:t>Obstarávacia cena</w:t>
        <w:br/>
        <w:t xml:space="preserve">Zásoby vytvorené vlastnou činnosťou: </w:t>
        <w:tab/>
        <w:tab/>
        <w:t>Vlastné náklady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Vlastné pohľadávky: </w:t>
        <w:tab/>
        <w:tab/>
        <w:tab/>
        <w:tab/>
        <w:tab/>
        <w:t xml:space="preserve">Menovitá hodnota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Kúpené pohľadávky: </w:t>
        <w:tab/>
        <w:tab/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Krátkodobý finančný majetok: </w:t>
        <w:tab/>
        <w:tab/>
        <w:tab/>
        <w:t>Obstarávacia cena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 xml:space="preserve">Záväzky vrátane rezerv: </w:t>
        <w:tab/>
        <w:tab/>
        <w:tab/>
        <w:tab/>
        <w:t xml:space="preserve">Menovitá hodnota </w:t>
      </w:r>
    </w:p>
    <w:p>
      <w:pPr>
        <w:pStyle w:val="TextBody"/>
        <w:bidi w:val="0"/>
        <w:spacing w:lineRule="auto" w:line="240"/>
        <w:jc w:val="left"/>
        <w:rPr/>
      </w:pPr>
      <w:r>
        <w:rPr>
          <w:rFonts w:ascii="ArialMT" w:hAnsi="ArialMT"/>
          <w:sz w:val="22"/>
        </w:rPr>
        <w:t>Dlhopisy:</w:t>
        <w:tab/>
        <w:tab/>
        <w:tab/>
        <w:tab/>
        <w:tab/>
        <w:tab/>
        <w:t xml:space="preserve">Menovitá hodnota </w:t>
        <w:br/>
        <w:t>Pôžičky a úvery:</w:t>
        <w:tab/>
        <w:tab/>
        <w:tab/>
        <w:tab/>
        <w:tab/>
        <w:t xml:space="preserve">Menovitá hodnota </w:t>
        <w:br/>
        <w:t xml:space="preserve">Derivátové operácie: </w:t>
        <w:tab/>
        <w:tab/>
        <w:tab/>
        <w:tab/>
        <w:tab/>
        <w:t xml:space="preserve">Menovitá hodnota </w:t>
      </w:r>
    </w:p>
    <w:p>
      <w:pPr>
        <w:pStyle w:val="TextBody"/>
        <w:bidi w:val="0"/>
        <w:jc w:val="left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bidi w:val="0"/>
        <w:jc w:val="left"/>
        <w:rPr/>
      </w:pPr>
      <w:r>
        <w:rPr>
          <w:rFonts w:ascii="ArialNarrow" w:hAnsi="ArialNarrow"/>
          <w:sz w:val="22"/>
        </w:rPr>
        <w:t xml:space="preserve">3. Spôsob zostavenia odpisového plánu pre jednotlivé druhy dlhodobého hmotného majetku a dlhodobého nehmotného majetku, vychádza z odpisových sadzieb určených zákonom o dani z príjmu č.595/2003 Z.Z. </w:t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  <w:t xml:space="preserve">Strana 1 </w:t>
      </w:r>
    </w:p>
    <w:p>
      <w:pPr>
        <w:pStyle w:val="TextBody"/>
        <w:bidi w:val="0"/>
        <w:spacing w:lineRule="auto" w:line="276" w:before="0" w:after="140"/>
        <w:jc w:val="left"/>
        <w:rPr/>
      </w:pPr>
      <w:bookmarkStart w:id="4" w:name="__DdeLink__1015_30244623521"/>
      <w:bookmarkStart w:id="5" w:name="__DdeLink__196_28106670751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Poznámky ÚčMÚJ3–01 </w:t>
        <w:tab/>
        <w:tab/>
        <w:tab/>
        <w:tab/>
        <w:tab/>
        <w:tab/>
        <w:t>IČO:47591463 DIČ:</w:t>
      </w:r>
      <w:bookmarkEnd w:id="4"/>
      <w:bookmarkEnd w:id="5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2023973886 </w:t>
      </w:r>
      <w:r>
        <w:rPr>
          <w:rFonts w:ascii="ArialMT" w:hAnsi="ArialMT"/>
          <w:sz w:val="22"/>
        </w:rPr>
        <w:t xml:space="preserve">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4. Zmeny účtovných zásad a zmeny účtovných metód s uvedením dôvodu týchto zmien a vyčíslením ich vplyvu na finančnú hodnotu majetku, záväzkov, základného imania a výsledku hospodárenia účtovnej jednotky: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5. Informácie o dotáciách a ich oceňovanie v účtovníctve: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6. Informácie o účtovaní významných opráv chýb minulých účtovných období v bežnom účtovnom období s uvedením vplyvu na nerozdelený zisk minulých rokov alebo neuhradenú stratu minulých rokov; súčasne sa môže uviesť aj účtovanie nevýznamných chýb minulých účtovných období v bežnom účtovnom období s uvedením vplyvu na výsledok hospodárenia bežného účtovného obdobia: </w:t>
      </w:r>
    </w:p>
    <w:p>
      <w:pPr>
        <w:pStyle w:val="TextBody"/>
        <w:bidi w:val="0"/>
        <w:jc w:val="left"/>
        <w:rPr/>
      </w:pPr>
      <w:r>
        <w:rPr>
          <w:rFonts w:ascii="Arial" w:hAnsi="Arial"/>
          <w:b/>
          <w:sz w:val="22"/>
        </w:rPr>
        <w:t>Článok III</w:t>
        <w:br/>
        <w:t xml:space="preserve">Informácie, ktoré vysvetľujú a dopĺňajú súvahu a výkaz ziskov a strát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1. Informácia o sume a dôvodoch vzniku jednotlivých položiek </w:t>
      </w:r>
      <w:r>
        <w:rPr>
          <w:rFonts w:ascii="Arial" w:hAnsi="Arial"/>
          <w:b/>
          <w:sz w:val="22"/>
        </w:rPr>
        <w:t>nákladov alebo výnosov</w:t>
      </w:r>
      <w:r>
        <w:rPr>
          <w:rFonts w:ascii="ArialMT" w:hAnsi="ArialMT"/>
          <w:sz w:val="22"/>
        </w:rPr>
        <w:t xml:space="preserve">, ktoré majú výnimočný rozsah alebo výskyt, napríklad výnosy z predaja podniku alebo časti podniku, náklady z dôvodu predaja podniku alebo časti podniku, škody z dôvodu živelných pohrôm: </w:t>
      </w:r>
    </w:p>
    <w:p>
      <w:pPr>
        <w:pStyle w:val="TextBody"/>
        <w:bidi w:val="0"/>
        <w:jc w:val="left"/>
        <w:rPr/>
      </w:pPr>
      <w:r>
        <w:rPr>
          <w:rFonts w:ascii="ArialMT" w:hAnsi="ArialMT"/>
          <w:sz w:val="22"/>
        </w:rPr>
        <w:t>2. Informácie o záväzkoch, a to:</w:t>
        <w:br/>
        <w:t>- celkovej sume záväzkov so zostatkovou dobou splatnosti dlhšou ako päť rokov:</w:t>
        <w:br/>
        <w:t xml:space="preserve">- celkovej sume zabezpečených záväzkov, opis a spôsoby zabezpečenia záväzkov: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3. Informácie o vlastných akciách, a to najmä – dôvod nadobudnutia vlastných akcií, počet a menovitá hodnota nadobudnutých vlastných akcií a počet a menovitá hodnota prevedených vlastných akcií, pričom sa uvádza percentuálna hodnota týchto vlastných akcií na upísanom základnom imaní. Počet a hodnota, za ktorú sa vlastné akcie počas účtovného obdobia nadobudli a počet a hodnota, za ktorú sa vlastné akcie počas účtovného obdobia previedli na inú osobu. Počet a menovitá hodnota a hodnote, za ktorú sa vlastné akcie nadobudli a ktoré účtovná jednotka má v držbe k poslednému dňu účtovného obdobia; uvádza sa aj ich percentuálny podiel na upísanom základnom imaní: </w:t>
      </w:r>
    </w:p>
    <w:p>
      <w:pPr>
        <w:pStyle w:val="TextBody"/>
        <w:bidi w:val="0"/>
        <w:jc w:val="both"/>
        <w:rPr>
          <w:rFonts w:ascii="ArialMT" w:hAnsi="ArialMT"/>
          <w:sz w:val="22"/>
        </w:rPr>
      </w:pPr>
      <w:r>
        <w:rPr>
          <w:rFonts w:ascii="ArialMT" w:hAnsi="ArialMT"/>
          <w:sz w:val="22"/>
        </w:rPr>
        <w:t xml:space="preserve">4. Informácia, či účtovná jednotka tvorila kapitálový fond z príspevkov podľa § 123 ods. 2 a § 217a Obchodného zákonníka v znení neskorších predpisov.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5. Informácie o orgánoch účtovnej jednotky, a to: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a) výške jednotlivých druhov záruk alebo iných zabezpečení poskytnutých pre členov štatutárneho orgánu, dozorného orgánu a iného orgánu účtovnej jednotky, a to v členení za jednotlivé orgány: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b)pôžičkách poskytnutých členom štatutárneho orgánu, dozorného orgánu ainéhoorgánu účtovnej jednotky a to - celková suma poskytnutých pôžičiek k poslednému dňu účtovného obdobia v členení za jednotlivé orgány a celková suma splatených pôžičiek k poslednému dňu účtovného obdobia v členení za jednotlivé orgány a celková suma odpustených pôžičiek a odpísaných pôžičiek k poslednému dňu účtovného obdobia v členení za jednotlivé orgány: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c) hlavných podmienkach, na základe ktorých im boli záruky alebo iné zabezpečenie a pôžičky poskytnuté; pri pôžičkách sa uvádzajú úrokové sadzby: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d) celkovej sume použitých finančných prostriedkov alebo iného plnenia na súkromné účely členmi štatutárneho orgánu, dozorného orgánu a iného orgánu účtovnej jednotky, ktoré je potrebné vyúčtovať: </w:t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  <w:t xml:space="preserve">Strana 2 </w:t>
      </w:r>
    </w:p>
    <w:p>
      <w:pPr>
        <w:pStyle w:val="TextBody"/>
        <w:bidi w:val="0"/>
        <w:jc w:val="left"/>
        <w:rPr>
          <w:rFonts w:ascii="ArialMT" w:hAnsi="ArialMT"/>
          <w:sz w:val="22"/>
        </w:rPr>
      </w:pPr>
      <w:r>
        <w:rPr>
          <w:rFonts w:ascii="ArialMT" w:hAnsi="ArialMT"/>
          <w:sz w:val="22"/>
        </w:rPr>
      </w:r>
    </w:p>
    <w:p>
      <w:pPr>
        <w:pStyle w:val="TextBody"/>
        <w:bidi w:val="0"/>
        <w:spacing w:lineRule="auto" w:line="276" w:before="0" w:after="140"/>
        <w:jc w:val="left"/>
        <w:rPr/>
      </w:pPr>
      <w:bookmarkStart w:id="6" w:name="__DdeLink__1015_30244623522"/>
      <w:bookmarkStart w:id="7" w:name="__DdeLink__196_28106670752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 xml:space="preserve">Poznámky ÚčMÚJ3–01 </w:t>
        <w:tab/>
        <w:tab/>
        <w:tab/>
        <w:tab/>
        <w:tab/>
        <w:tab/>
        <w:t>IČO:47591463 DIČ:</w:t>
      </w:r>
      <w:bookmarkEnd w:id="6"/>
      <w:bookmarkEnd w:id="7"/>
      <w:r>
        <w:rPr>
          <w:rFonts w:eastAsia="Songti SC" w:cs="Arial Unicode MS" w:ascii="ArialMT" w:hAnsi="ArialMT"/>
          <w:color w:val="auto"/>
          <w:kern w:val="2"/>
          <w:sz w:val="22"/>
          <w:szCs w:val="24"/>
          <w:lang w:val="en-US" w:eastAsia="zh-CN" w:bidi="hi-IN"/>
        </w:rPr>
        <w:t>2023973886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6. Informácie o povinnostiach účtovnej jednotky, a to: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a) celkovej sume finančných povinností, ktoré sa nevykazujú v súvahe, ale sú významné na posúdenie finančnej situácie účtovnej jednotky, napríklad povinnosti nájomcu vyplývajúce z operatívneho prenájmu, z uzatvorených zmlúv na poskytnutie úveru alebo pôžičky, ktoré ešte neboli poskytnuté, finančné povinnosti vyplývajúce z licenčných a koncesionárskych zmlúv s uvedením sumy poplatku za celé zostávajúce obdobie platnosti zmluvy: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b) celkovej sume významných podmienených záväzkov, ktorými sa rozumie možná povinnosť, ktorá vznikla ako dôsledok minulej udalosti a ktorej existencia závisí od toho, či nastane alebo nenastane jedna alebo viac neistých udalostí v budúcnosti, ktorých vznik nezávisí od účtovnej jednotky, alebo existujúca povinnosť, ktorá vznikla ako dôsledok minulej udalosti, ale ktorá sa nevykazuje v súvahe, pretože nie je pravdepodobné, že na splnenie tejto povinnosti bude potrebný úbytok ekonomických úžitkov, alebo výška tejto povinnosti sa nedá spoľahlivo oceniť: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c) opise významných finančných povinností a významných podmienených záväzkov: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d) celkovej sume významných finančných povinností a významných podmienených záväzkoch voči dcérskej účtovnej jednotke a účtovnej jednotke s podstatným vplyvom: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e) opise významných povinností účtovnej jednotky vyplývajúcich z dôchodkových programov pre zamestnancov: </w:t>
      </w:r>
    </w:p>
    <w:p>
      <w:pPr>
        <w:pStyle w:val="TextBody"/>
        <w:bidi w:val="0"/>
        <w:jc w:val="both"/>
        <w:rPr/>
      </w:pPr>
      <w:r>
        <w:rPr>
          <w:rFonts w:ascii="ArialMT" w:hAnsi="ArialMT"/>
          <w:sz w:val="22"/>
        </w:rPr>
        <w:t xml:space="preserve">7. Informácie o udelení výlučného práva alebo osobitného práva, ktorým sa udelilo právo poskytovať </w:t>
      </w:r>
      <w:r>
        <w:rPr>
          <w:rFonts w:ascii="Arial" w:hAnsi="Arial"/>
          <w:b/>
          <w:sz w:val="22"/>
        </w:rPr>
        <w:t>služby vo verejnom záujme</w:t>
      </w:r>
      <w:r>
        <w:rPr>
          <w:rFonts w:ascii="ArialMT" w:hAnsi="ArialMT"/>
          <w:sz w:val="22"/>
        </w:rPr>
        <w:t>, pričom sa uvádza náhrada za túto činnosť v akejkoľvek forme, a ak sa zároveň vykonávajú aj iné činnosti, uvádzajú sa aj informácie o všetkých formách prijatej náhrady, účtovných zásadách použitých pri prideľovaní nákladov a výnosov, všetkých druhoch činnosti účtovnej jednotky:</w:t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both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jc w:val="left"/>
        <w:rPr>
          <w:rFonts w:ascii="TimesNewRomanPSMT" w:hAnsi="TimesNewRomanPSMT"/>
          <w:sz w:val="24"/>
        </w:rPr>
      </w:pPr>
      <w:r>
        <w:rPr>
          <w:rFonts w:ascii="TimesNewRomanPSMT" w:hAnsi="TimesNewRomanPSMT"/>
          <w:sz w:val="24"/>
        </w:rPr>
      </w:r>
    </w:p>
    <w:p>
      <w:pPr>
        <w:pStyle w:val="TextBody"/>
        <w:bidi w:val="0"/>
        <w:spacing w:before="0" w:after="140"/>
        <w:jc w:val="left"/>
        <w:rPr/>
      </w:pPr>
      <w:r>
        <w:rPr>
          <w:rFonts w:ascii="TimesNewRomanPSMT" w:hAnsi="TimesNewRomanPSMT"/>
          <w:sz w:val="24"/>
        </w:rPr>
        <w:t xml:space="preserve">Strana 3 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ArialMT">
    <w:charset w:val="01"/>
    <w:family w:val="roman"/>
    <w:pitch w:val="variable"/>
  </w:font>
  <w:font w:name="ArialNarrow">
    <w:charset w:val="01"/>
    <w:family w:val="roman"/>
    <w:pitch w:val="variable"/>
  </w:font>
  <w:font w:name="Arial">
    <w:charset w:val="01"/>
    <w:family w:val="roman"/>
    <w:pitch w:val="variable"/>
  </w:font>
  <w:font w:name="TimesNewRomanPSMT">
    <w:charset w:val="01"/>
    <w:family w:val="roman"/>
    <w:pitch w:val="variable"/>
  </w:font>
</w:fonts>
</file>

<file path=word/settings.xml><?xml version="1.0" encoding="utf-8"?>
<w:settings xmlns:w="http://schemas.openxmlformats.org/wordprocessingml/2006/main">
  <w:zoom w:percent="90"/>
  <w:defaultTabStop w:val="709"/>
  <w:autoHyphenation w:val="true"/>
  <w:compat>
    <w:compatSetting w:name="compatibilityMode" w:uri="http://schemas.microsoft.com/office/word" w:val="12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Songti SC" w:cs="Arial Unicode MS"/>
        <w:kern w:val="2"/>
        <w:szCs w:val="24"/>
        <w:lang w:val="en-US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left"/>
    </w:pPr>
    <w:rPr>
      <w:rFonts w:ascii="Liberation Serif" w:hAnsi="Liberation Serif" w:eastAsia="Songti SC" w:cs="Arial Unicode MS"/>
      <w:color w:val="auto"/>
      <w:kern w:val="2"/>
      <w:sz w:val="24"/>
      <w:szCs w:val="24"/>
      <w:lang w:val="en-US" w:eastAsia="zh-CN" w:bidi="hi-IN"/>
    </w:rPr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PingFang SC" w:cs="Arial Unicode M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>
      <w:rFonts w:cs="Arial Unicode M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 Unicode M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 Unicode MS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13</TotalTime>
  <Application>LibreOffice/7.5.9.2$MacOSX_AARCH64 LibreOffice_project/cdeefe45c17511d326101eed8008ac4092f278a9</Application>
  <AppVersion>15.0000</AppVersion>
  <Pages>3</Pages>
  <Words>907</Words>
  <Characters>5678</Characters>
  <CharactersWithSpaces>6649</CharactersWithSpaces>
  <Paragraphs>48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2022-06-10T14:04:20Z</dcterms:created>
  <dc:creator/>
  <dc:description/>
  <dc:language>en-US</dc:language>
  <cp:lastModifiedBy/>
  <dcterms:modified xsi:type="dcterms:W3CDTF">2025-12-04T13:38:16Z</dcterms:modified>
  <cp:revision>15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