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AABD81">
      <w:pPr>
        <w:pStyle w:val="10"/>
        <w:jc w:val="center"/>
        <w:rPr>
          <w:rFonts w:ascii="Times New Roman" w:hAnsi="Times New Roman" w:eastAsia="Times New Roman" w:cs="Times New Roman"/>
          <w:b/>
          <w:sz w:val="52"/>
          <w:szCs w:val="52"/>
        </w:rPr>
      </w:pPr>
    </w:p>
    <w:p w14:paraId="3EF981E2">
      <w:pPr>
        <w:pStyle w:val="10"/>
        <w:jc w:val="center"/>
        <w:rPr>
          <w:rFonts w:ascii="Times New Roman" w:hAnsi="Times New Roman" w:eastAsia="Times New Roman" w:cs="Times New Roman"/>
          <w:b/>
          <w:sz w:val="52"/>
          <w:szCs w:val="52"/>
        </w:rPr>
      </w:pPr>
    </w:p>
    <w:p w14:paraId="1E6295FB">
      <w:pPr>
        <w:pStyle w:val="10"/>
        <w:jc w:val="center"/>
        <w:rPr>
          <w:rFonts w:ascii="Times New Roman" w:hAnsi="Times New Roman" w:eastAsia="Times New Roman" w:cs="Times New Roman"/>
          <w:b/>
          <w:sz w:val="52"/>
          <w:szCs w:val="52"/>
        </w:rPr>
      </w:pPr>
    </w:p>
    <w:p w14:paraId="60ED40F9">
      <w:pPr>
        <w:pStyle w:val="10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6971CB5F">
      <w:pPr>
        <w:pStyle w:val="10"/>
        <w:jc w:val="center"/>
        <w:rPr>
          <w:rFonts w:ascii="Arial Black" w:hAnsi="Arial Black"/>
          <w:sz w:val="28"/>
          <w:szCs w:val="28"/>
        </w:rPr>
      </w:pPr>
      <w:r>
        <w:rPr>
          <w:rFonts w:ascii="Arial Black" w:hAnsi="Arial Black" w:eastAsia="Times New Roman" w:cs="Times New Roman"/>
          <w:b/>
          <w:sz w:val="28"/>
          <w:szCs w:val="28"/>
        </w:rPr>
        <w:t>Individuálna výro</w:t>
      </w:r>
      <w:r>
        <w:rPr>
          <w:rFonts w:ascii="Arial Black" w:hAnsi="Arial Black" w:eastAsia="Times New Roman" w:cs="Calibri"/>
          <w:b/>
          <w:sz w:val="28"/>
          <w:szCs w:val="28"/>
        </w:rPr>
        <w:t>č</w:t>
      </w:r>
      <w:r>
        <w:rPr>
          <w:rFonts w:ascii="Arial Black" w:hAnsi="Arial Black" w:eastAsia="Times New Roman" w:cs="Times New Roman"/>
          <w:b/>
          <w:sz w:val="28"/>
          <w:szCs w:val="28"/>
        </w:rPr>
        <w:t>n</w:t>
      </w:r>
      <w:r>
        <w:rPr>
          <w:rFonts w:ascii="Arial Black" w:hAnsi="Arial Black" w:eastAsia="Times New Roman" w:cs="Arial Rounded MT Bold"/>
          <w:b/>
          <w:sz w:val="28"/>
          <w:szCs w:val="28"/>
        </w:rPr>
        <w:t>á</w:t>
      </w:r>
      <w:r>
        <w:rPr>
          <w:rFonts w:ascii="Arial Black" w:hAnsi="Arial Black" w:eastAsia="Times New Roman" w:cs="Times New Roman"/>
          <w:b/>
          <w:sz w:val="28"/>
          <w:szCs w:val="28"/>
        </w:rPr>
        <w:t xml:space="preserve"> spr</w:t>
      </w:r>
      <w:r>
        <w:rPr>
          <w:rFonts w:ascii="Arial Black" w:hAnsi="Arial Black" w:eastAsia="Times New Roman" w:cs="Arial Rounded MT Bold"/>
          <w:b/>
          <w:sz w:val="28"/>
          <w:szCs w:val="28"/>
        </w:rPr>
        <w:t>á</w:t>
      </w:r>
      <w:r>
        <w:rPr>
          <w:rFonts w:ascii="Arial Black" w:hAnsi="Arial Black" w:eastAsia="Times New Roman" w:cs="Times New Roman"/>
          <w:b/>
          <w:sz w:val="28"/>
          <w:szCs w:val="28"/>
        </w:rPr>
        <w:t>va</w:t>
      </w:r>
    </w:p>
    <w:p w14:paraId="5CBD2C5A">
      <w:pPr>
        <w:pStyle w:val="10"/>
        <w:jc w:val="center"/>
        <w:rPr>
          <w:rFonts w:ascii="Arial Black" w:hAnsi="Arial Black"/>
          <w:sz w:val="28"/>
          <w:szCs w:val="28"/>
        </w:rPr>
      </w:pPr>
    </w:p>
    <w:p w14:paraId="44911269">
      <w:pPr>
        <w:pStyle w:val="10"/>
        <w:jc w:val="center"/>
        <w:rPr>
          <w:rFonts w:ascii="Arial Black" w:hAnsi="Arial Black"/>
          <w:sz w:val="28"/>
          <w:szCs w:val="28"/>
        </w:rPr>
      </w:pPr>
      <w:r>
        <w:rPr>
          <w:rFonts w:ascii="Arial Black" w:hAnsi="Arial Black" w:eastAsia="Times New Roman" w:cs="Times New Roman"/>
          <w:b/>
          <w:sz w:val="28"/>
          <w:szCs w:val="28"/>
        </w:rPr>
        <w:t>Obce Zlatá Idka</w:t>
      </w:r>
    </w:p>
    <w:p w14:paraId="16B06E1C">
      <w:pPr>
        <w:pStyle w:val="10"/>
        <w:jc w:val="center"/>
        <w:rPr>
          <w:rFonts w:ascii="Arial Black" w:hAnsi="Arial Black"/>
          <w:sz w:val="28"/>
          <w:szCs w:val="28"/>
        </w:rPr>
      </w:pPr>
    </w:p>
    <w:p w14:paraId="6B1A6256">
      <w:pPr>
        <w:pStyle w:val="10"/>
        <w:jc w:val="center"/>
        <w:rPr>
          <w:rFonts w:ascii="Arial Black" w:hAnsi="Arial Black" w:eastAsia="Times New Roman" w:cs="Times New Roman"/>
          <w:b/>
          <w:sz w:val="28"/>
          <w:szCs w:val="28"/>
        </w:rPr>
      </w:pPr>
      <w:r>
        <w:rPr>
          <w:rFonts w:ascii="Arial Black" w:hAnsi="Arial Black" w:eastAsia="Times New Roman" w:cs="Times New Roman"/>
          <w:b/>
          <w:sz w:val="28"/>
          <w:szCs w:val="28"/>
        </w:rPr>
        <w:t>rok 2024</w:t>
      </w:r>
    </w:p>
    <w:p w14:paraId="26C563DE">
      <w:pPr>
        <w:pStyle w:val="10"/>
        <w:rPr>
          <w:rFonts w:ascii="Arial Black" w:hAnsi="Arial Black"/>
          <w:sz w:val="28"/>
          <w:szCs w:val="28"/>
        </w:rPr>
      </w:pPr>
    </w:p>
    <w:p w14:paraId="2733C411">
      <w:pPr>
        <w:pStyle w:val="10"/>
        <w:jc w:val="center"/>
        <w:rPr>
          <w:rFonts w:ascii="Arial Black" w:hAnsi="Arial Black"/>
          <w:sz w:val="28"/>
          <w:szCs w:val="28"/>
        </w:rPr>
      </w:pPr>
    </w:p>
    <w:p w14:paraId="247237EC">
      <w:pPr>
        <w:pStyle w:val="10"/>
        <w:jc w:val="center"/>
        <w:rPr>
          <w:rFonts w:ascii="Arial Narrow" w:hAnsi="Arial Narrow"/>
          <w:sz w:val="28"/>
          <w:szCs w:val="28"/>
        </w:rPr>
      </w:pPr>
    </w:p>
    <w:p w14:paraId="7355964E">
      <w:pPr>
        <w:pStyle w:val="10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  <w:lang w:eastAsia="sk-SK"/>
        </w:rPr>
        <w:drawing>
          <wp:inline distT="0" distB="0" distL="0" distR="0">
            <wp:extent cx="1809750" cy="18097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04D432">
      <w:pPr>
        <w:pStyle w:val="10"/>
        <w:jc w:val="center"/>
        <w:rPr>
          <w:rFonts w:ascii="Arial Narrow" w:hAnsi="Arial Narrow"/>
          <w:sz w:val="20"/>
          <w:szCs w:val="20"/>
        </w:rPr>
      </w:pPr>
    </w:p>
    <w:p w14:paraId="2E2CDCBF">
      <w:pPr>
        <w:pStyle w:val="10"/>
        <w:jc w:val="center"/>
        <w:rPr>
          <w:rFonts w:ascii="Arial Narrow" w:hAnsi="Arial Narrow"/>
          <w:sz w:val="20"/>
          <w:szCs w:val="20"/>
        </w:rPr>
      </w:pPr>
    </w:p>
    <w:p w14:paraId="51F213C2">
      <w:pPr>
        <w:pStyle w:val="10"/>
        <w:tabs>
          <w:tab w:val="right" w:pos="8820"/>
        </w:tabs>
        <w:jc w:val="both"/>
        <w:rPr>
          <w:rFonts w:ascii="Arial Narrow" w:hAnsi="Arial Narrow"/>
          <w:sz w:val="20"/>
          <w:szCs w:val="20"/>
        </w:rPr>
      </w:pPr>
    </w:p>
    <w:p w14:paraId="347539A5">
      <w:pPr>
        <w:pStyle w:val="10"/>
        <w:tabs>
          <w:tab w:val="right" w:pos="8820"/>
        </w:tabs>
        <w:jc w:val="both"/>
        <w:rPr>
          <w:rFonts w:ascii="Arial Narrow" w:hAnsi="Arial Narrow"/>
          <w:sz w:val="20"/>
          <w:szCs w:val="20"/>
        </w:rPr>
      </w:pPr>
    </w:p>
    <w:p w14:paraId="4B32A98C">
      <w:pPr>
        <w:pStyle w:val="10"/>
        <w:tabs>
          <w:tab w:val="right" w:pos="8820"/>
        </w:tabs>
        <w:jc w:val="both"/>
        <w:rPr>
          <w:rFonts w:ascii="Arial Narrow" w:hAnsi="Arial Narrow" w:eastAsia="Times New Roman" w:cs="Times New Roman"/>
          <w:b/>
          <w:sz w:val="32"/>
          <w:szCs w:val="32"/>
        </w:rPr>
      </w:pPr>
      <w:r>
        <w:rPr>
          <w:rFonts w:ascii="Arial Narrow" w:hAnsi="Arial Narrow" w:eastAsia="Times New Roman" w:cs="Times New Roman"/>
          <w:b/>
          <w:sz w:val="20"/>
          <w:szCs w:val="20"/>
        </w:rPr>
        <w:t xml:space="preserve">               </w:t>
      </w:r>
    </w:p>
    <w:p w14:paraId="2408E5FE">
      <w:pPr>
        <w:pStyle w:val="10"/>
        <w:tabs>
          <w:tab w:val="right" w:pos="8820"/>
        </w:tabs>
        <w:jc w:val="center"/>
        <w:rPr>
          <w:rFonts w:ascii="Arial Black" w:hAnsi="Arial Black"/>
          <w:sz w:val="32"/>
          <w:szCs w:val="32"/>
        </w:rPr>
      </w:pPr>
      <w:r>
        <w:rPr>
          <w:rFonts w:ascii="Arial Black" w:hAnsi="Arial Black" w:eastAsia="Times New Roman" w:cs="Times New Roman"/>
          <w:b/>
          <w:sz w:val="32"/>
          <w:szCs w:val="32"/>
        </w:rPr>
        <w:t>Roman Beličák</w:t>
      </w:r>
    </w:p>
    <w:p w14:paraId="0D2BAB90">
      <w:pPr>
        <w:pStyle w:val="10"/>
        <w:tabs>
          <w:tab w:val="right" w:pos="8820"/>
        </w:tabs>
        <w:jc w:val="center"/>
        <w:rPr>
          <w:rFonts w:ascii="Arial Black" w:hAnsi="Arial Black"/>
          <w:sz w:val="32"/>
          <w:szCs w:val="32"/>
        </w:rPr>
      </w:pPr>
      <w:r>
        <w:rPr>
          <w:rFonts w:ascii="Arial Black" w:hAnsi="Arial Black" w:eastAsia="Times New Roman" w:cs="Times New Roman"/>
          <w:b/>
          <w:sz w:val="32"/>
          <w:szCs w:val="32"/>
        </w:rPr>
        <w:t>starosta obce</w:t>
      </w:r>
    </w:p>
    <w:p w14:paraId="7520B1A1">
      <w:pPr>
        <w:jc w:val="center"/>
        <w:rPr>
          <w:rFonts w:ascii="Arial Narrow" w:hAnsi="Arial Narrow"/>
          <w:sz w:val="32"/>
          <w:szCs w:val="32"/>
        </w:rPr>
      </w:pPr>
    </w:p>
    <w:p w14:paraId="36D5D27A">
      <w:pPr>
        <w:jc w:val="center"/>
        <w:rPr>
          <w:rFonts w:ascii="Arial Narrow" w:hAnsi="Arial Narrow"/>
          <w:sz w:val="20"/>
          <w:szCs w:val="20"/>
        </w:rPr>
      </w:pPr>
    </w:p>
    <w:p w14:paraId="2E556032">
      <w:pPr>
        <w:jc w:val="center"/>
        <w:rPr>
          <w:rFonts w:ascii="Arial Narrow" w:hAnsi="Arial Narrow"/>
          <w:sz w:val="20"/>
          <w:szCs w:val="20"/>
        </w:rPr>
      </w:pPr>
    </w:p>
    <w:p w14:paraId="5323485D">
      <w:pPr>
        <w:jc w:val="center"/>
        <w:rPr>
          <w:rFonts w:ascii="Arial Narrow" w:hAnsi="Arial Narrow"/>
          <w:sz w:val="20"/>
          <w:szCs w:val="20"/>
        </w:rPr>
      </w:pPr>
    </w:p>
    <w:p w14:paraId="2F08816E">
      <w:pPr>
        <w:jc w:val="center"/>
        <w:rPr>
          <w:rFonts w:ascii="Arial Narrow" w:hAnsi="Arial Narrow"/>
          <w:sz w:val="20"/>
          <w:szCs w:val="20"/>
        </w:rPr>
      </w:pPr>
    </w:p>
    <w:p w14:paraId="7A925821">
      <w:pPr>
        <w:jc w:val="center"/>
        <w:rPr>
          <w:rFonts w:ascii="Arial Narrow" w:hAnsi="Arial Narrow"/>
          <w:sz w:val="20"/>
          <w:szCs w:val="20"/>
        </w:rPr>
      </w:pPr>
    </w:p>
    <w:p w14:paraId="33232429">
      <w:pPr>
        <w:jc w:val="center"/>
        <w:rPr>
          <w:rFonts w:ascii="Arial Narrow" w:hAnsi="Arial Narrow"/>
          <w:sz w:val="20"/>
          <w:szCs w:val="20"/>
        </w:rPr>
      </w:pPr>
    </w:p>
    <w:p w14:paraId="671F7437">
      <w:pPr>
        <w:jc w:val="center"/>
        <w:rPr>
          <w:rFonts w:ascii="Arial Narrow" w:hAnsi="Arial Narrow"/>
          <w:sz w:val="20"/>
          <w:szCs w:val="20"/>
        </w:rPr>
      </w:pPr>
    </w:p>
    <w:p w14:paraId="6DAF6C2E">
      <w:pPr>
        <w:jc w:val="center"/>
        <w:rPr>
          <w:rFonts w:ascii="Arial Narrow" w:hAnsi="Arial Narrow"/>
          <w:sz w:val="20"/>
          <w:szCs w:val="20"/>
        </w:rPr>
      </w:pPr>
    </w:p>
    <w:p w14:paraId="6C83680D">
      <w:pPr>
        <w:jc w:val="center"/>
        <w:rPr>
          <w:rFonts w:ascii="Arial Narrow" w:hAnsi="Arial Narrow"/>
          <w:sz w:val="20"/>
          <w:szCs w:val="20"/>
        </w:rPr>
      </w:pPr>
    </w:p>
    <w:p w14:paraId="2F85F617">
      <w:pPr>
        <w:jc w:val="center"/>
        <w:rPr>
          <w:rFonts w:ascii="Arial Narrow" w:hAnsi="Arial Narrow"/>
          <w:sz w:val="20"/>
          <w:szCs w:val="20"/>
        </w:rPr>
      </w:pPr>
    </w:p>
    <w:sdt>
      <w:sdtPr>
        <w:rPr>
          <w:rFonts w:asciiTheme="minorHAnsi" w:hAnsiTheme="minorHAnsi" w:eastAsiaTheme="minorHAnsi" w:cstheme="minorBidi"/>
          <w:color w:val="auto"/>
          <w:sz w:val="22"/>
          <w:szCs w:val="22"/>
          <w:lang w:eastAsia="en-US"/>
        </w:rPr>
        <w:id w:val="-975751024"/>
        <w:docPartObj>
          <w:docPartGallery w:val="Table of Contents"/>
          <w:docPartUnique/>
        </w:docPartObj>
      </w:sdtPr>
      <w:sdtEndPr>
        <w:rPr>
          <w:rFonts w:asciiTheme="minorHAnsi" w:hAnsiTheme="minorHAnsi" w:eastAsiaTheme="minorHAnsi" w:cstheme="minorBidi"/>
          <w:b/>
          <w:bCs/>
          <w:color w:val="auto"/>
          <w:sz w:val="22"/>
          <w:szCs w:val="22"/>
          <w:lang w:eastAsia="en-US"/>
        </w:rPr>
      </w:sdtEndPr>
      <w:sdtContent>
        <w:p w14:paraId="3077CD1D">
          <w:pPr>
            <w:pStyle w:val="40"/>
            <w:rPr>
              <w:sz w:val="20"/>
              <w:szCs w:val="20"/>
            </w:rPr>
          </w:pPr>
          <w:r>
            <w:rPr>
              <w:sz w:val="20"/>
              <w:szCs w:val="20"/>
            </w:rPr>
            <w:t>Obsah</w:t>
          </w:r>
        </w:p>
        <w:p w14:paraId="41451E31">
          <w:pPr>
            <w:pStyle w:val="18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TOC \o "1-3" \h \z \u </w:instrText>
          </w:r>
          <w:r>
            <w:rPr>
              <w:sz w:val="20"/>
              <w:szCs w:val="20"/>
            </w:rPr>
            <w:fldChar w:fldCharType="separate"/>
          </w:r>
          <w:r>
            <w:fldChar w:fldCharType="begin"/>
          </w:r>
          <w:r>
            <w:instrText xml:space="preserve"> HYPERLINK \l "_Toc74047025"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1. Úvodné slovo starostu obce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_Toc74047025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3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35609745">
          <w:pPr>
            <w:pStyle w:val="18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"_Toc74047026"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2. Identifikačné údaje obce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_Toc74047026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3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41F6FEFE">
          <w:pPr>
            <w:pStyle w:val="18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"_Toc74047027"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3. Organizačná štruktúra obce a identifikácia vedúcich predstaviteľov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_Toc74047027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3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679A4241">
          <w:pPr>
            <w:pStyle w:val="18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"_Toc74047029"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4. Poslanie, vízie, ciele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_Toc74047029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4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688677A8">
          <w:pPr>
            <w:pStyle w:val="18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"_Toc74047030"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5. Základná charakteristika obce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_Toc74047030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4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506C2105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"_Toc74047031"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5.1. Geografické údaje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_Toc74047031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4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64832757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"_Toc74047032"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5.2. Demografické údaje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_Toc74047032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5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12D8F96B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"_Toc74047033"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5.3. Ekonomické údaje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_Toc74047033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6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4A76AD4A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"_Toc74047034"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5.4. Symboly obce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_Toc74047034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6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2837DAB3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"_Toc74047035"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5.5. História obce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_Toc74047035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3DE65E58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"_Toc74047036"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5.6. Pamiatky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_Toc74047036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1704496C">
          <w:pPr>
            <w:pStyle w:val="18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"_Toc74047037"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  <w:lang w:eastAsia="sk-SK"/>
            </w:rPr>
            <w:t>6. Plnenie funkcií obce (prenesené kompetencie, originálne kompetencie)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_Toc74047037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85B5B7B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"_Toc74047038" </w:instrText>
          </w:r>
          <w:r>
            <w:fldChar w:fldCharType="separate"/>
          </w:r>
          <w:r>
            <w:rPr>
              <w:rStyle w:val="13"/>
              <w:rFonts w:ascii="Arial Narrow" w:hAnsi="Arial Narrow" w:eastAsia="Times New Roman"/>
              <w:sz w:val="20"/>
              <w:szCs w:val="20"/>
            </w:rPr>
            <w:t>6.1. Výchova a vzdelávanie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_Toc74047038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1C4923BA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"_Toc74047039" </w:instrText>
          </w:r>
          <w:r>
            <w:fldChar w:fldCharType="separate"/>
          </w:r>
          <w:r>
            <w:rPr>
              <w:rStyle w:val="13"/>
              <w:rFonts w:ascii="Arial Narrow" w:hAnsi="Arial Narrow" w:eastAsia="Times New Roman"/>
              <w:sz w:val="20"/>
              <w:szCs w:val="20"/>
            </w:rPr>
            <w:t>6.2. Zdravotníctvo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_Toc74047039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0D2E3366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"_Toc74047040" </w:instrText>
          </w:r>
          <w:r>
            <w:fldChar w:fldCharType="separate"/>
          </w:r>
          <w:r>
            <w:rPr>
              <w:rStyle w:val="13"/>
              <w:rFonts w:ascii="Arial Narrow" w:hAnsi="Arial Narrow" w:eastAsia="Times New Roman"/>
              <w:sz w:val="20"/>
              <w:szCs w:val="20"/>
            </w:rPr>
            <w:t>6.3. Sociálne zabezpečenie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_Toc74047040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7634DC3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"_Toc74047041"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6.4. Kultúra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_Toc74047041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481963CC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"_Toc74047041"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6.5. Doprava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_Toc74047041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39B63B91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"_Toc74047041"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6.6. Územné plánoivanie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_Toc74047041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09D45904">
          <w:pPr>
            <w:pStyle w:val="19"/>
            <w:tabs>
              <w:tab w:val="right" w:leader="dot" w:pos="9062"/>
            </w:tabs>
            <w:ind w:left="0"/>
            <w:rPr>
              <w:rFonts w:cstheme="minorBidi"/>
              <w:sz w:val="20"/>
              <w:szCs w:val="20"/>
            </w:rPr>
          </w:pPr>
          <w:r>
            <w:t xml:space="preserve">    </w:t>
          </w:r>
          <w:r>
            <w:fldChar w:fldCharType="begin"/>
          </w:r>
          <w:r>
            <w:instrText xml:space="preserve"> HYPERLINK \l "_Toc74047042"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6.7 Hospodárstvo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_Toc74047042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4AF21580">
          <w:pPr>
            <w:pStyle w:val="18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"_Toc74047043"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7. Informácia o vývoji obce z pohľadu rozpočtovníctva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_Toc74047043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2E150EFB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"_Toc74047044"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7.1. Plnenie príjmov za rok 2023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_Toc74047044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9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23CA9449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"_Toc74047046" </w:instrText>
          </w:r>
          <w:r>
            <w:fldChar w:fldCharType="separate"/>
          </w:r>
          <w:r>
            <w:rPr>
              <w:rStyle w:val="13"/>
              <w:rFonts w:ascii="Arial Narrow" w:hAnsi="Arial Narrow" w:cs="Arial"/>
              <w:i/>
              <w:iCs/>
              <w:caps/>
              <w:sz w:val="20"/>
              <w:szCs w:val="20"/>
            </w:rPr>
            <w:t>7.2. Čerpanie výdavkov za rok 2023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_Toc74047046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14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1277D594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"_Toc74047052" </w:instrText>
          </w:r>
          <w:r>
            <w:fldChar w:fldCharType="separate"/>
          </w:r>
          <w:r>
            <w:rPr>
              <w:rStyle w:val="13"/>
              <w:rFonts w:ascii="Arial Narrow" w:hAnsi="Arial Narrow" w:cs="Arial"/>
              <w:i/>
              <w:iCs/>
              <w:caps/>
              <w:sz w:val="20"/>
              <w:szCs w:val="20"/>
            </w:rPr>
            <w:t>7.3. Prebytok/ schodok rozpočtového hospodárenia za rok 2023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_Toc74047052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17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2179708F">
          <w:pPr>
            <w:pStyle w:val="18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"_Toc74047053" </w:instrText>
          </w:r>
          <w:r>
            <w:fldChar w:fldCharType="separate"/>
          </w:r>
          <w:r>
            <w:rPr>
              <w:rStyle w:val="13"/>
              <w:rFonts w:ascii="Arial Narrow" w:hAnsi="Arial Narrow" w:cs="Arial"/>
              <w:sz w:val="20"/>
              <w:szCs w:val="20"/>
            </w:rPr>
            <w:t>8. Vývoj hodnoty majetku a zdrojov jeho krytia za uplynulé roky vyjadrujú nasledovné tabuľky: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_Toc74047053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18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02094A50">
          <w:pPr>
            <w:pStyle w:val="18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"_Toc74047054"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9. Hospodársky výsledok  za rok 2023 – Vývoj nákladov a výnosov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_Toc74047054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20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C22ED76">
          <w:pPr>
            <w:pStyle w:val="18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"_Toc74047055"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10. Ostatné dôležité informácie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_Toc74047055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22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0A68E24F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"_Toc74047056"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10.1 Prijaté granty a transfery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_Toc74047056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22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6EC15636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"_Toc74047057"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10.2 Poskytnuté dotácie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_Toc74047057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23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4D164281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"_Toc74047058"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10.3 Významné investičné akcie v roku 2023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_Toc74047058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24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3DBC7D50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"_Toc74047059"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10.4 Predpokladaný budúci vývoj činností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_Toc74047059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24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4AFFA14">
          <w:pPr>
            <w:pStyle w:val="19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"_Toc74047060" </w:instrText>
          </w:r>
          <w:r>
            <w:fldChar w:fldCharType="separate"/>
          </w:r>
          <w:r>
            <w:rPr>
              <w:rStyle w:val="13"/>
              <w:rFonts w:ascii="Arial Narrow" w:hAnsi="Arial Narrow"/>
              <w:sz w:val="20"/>
              <w:szCs w:val="20"/>
            </w:rPr>
            <w:t>10.5 Udalosti osobitného významu po ukončení účtovného obdobia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_Toc74047060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24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0CDB0B9A">
          <w:pPr>
            <w:pStyle w:val="19"/>
            <w:tabs>
              <w:tab w:val="right" w:leader="dot" w:pos="9062"/>
            </w:tabs>
            <w:ind w:left="0"/>
            <w:rPr>
              <w:rFonts w:cstheme="minorBidi"/>
              <w:sz w:val="20"/>
              <w:szCs w:val="20"/>
            </w:rPr>
          </w:pPr>
        </w:p>
        <w:p w14:paraId="3CC0B912">
          <w:pPr>
            <w:tabs>
              <w:tab w:val="left" w:pos="1230"/>
            </w:tabs>
          </w:pP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tab/>
          </w:r>
        </w:p>
      </w:sdtContent>
    </w:sdt>
    <w:p w14:paraId="511C4F99">
      <w:pPr>
        <w:rPr>
          <w:rFonts w:ascii="Arial Narrow" w:hAnsi="Arial Narrow"/>
          <w:sz w:val="20"/>
          <w:szCs w:val="20"/>
        </w:rPr>
      </w:pPr>
    </w:p>
    <w:p w14:paraId="625D925E">
      <w:pPr>
        <w:spacing w:before="474" w:after="0"/>
        <w:ind w:left="131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393B8363">
      <w:pPr>
        <w:spacing w:before="47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AE5F9E9">
      <w:pPr>
        <w:pStyle w:val="2"/>
        <w:rPr>
          <w:rFonts w:ascii="Arial Narrow" w:hAnsi="Arial Narrow"/>
          <w:sz w:val="24"/>
          <w:szCs w:val="24"/>
        </w:rPr>
      </w:pPr>
      <w:bookmarkStart w:id="0" w:name="_Toc74047025"/>
      <w:r>
        <w:rPr>
          <w:rFonts w:ascii="Arial Narrow" w:hAnsi="Arial Narrow"/>
          <w:color w:val="000000"/>
          <w:sz w:val="24"/>
          <w:szCs w:val="24"/>
        </w:rPr>
        <w:t>1. Úvodné slovo starostu obce</w:t>
      </w:r>
      <w:bookmarkEnd w:id="0"/>
      <w:r>
        <w:rPr>
          <w:rFonts w:ascii="Arial Narrow" w:hAnsi="Arial Narrow"/>
          <w:color w:val="000000"/>
          <w:sz w:val="24"/>
          <w:szCs w:val="24"/>
        </w:rPr>
        <w:t> </w:t>
      </w:r>
    </w:p>
    <w:p w14:paraId="7B9306DE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</w:p>
    <w:p w14:paraId="27DE83F2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>Vážení spoluobčania,</w:t>
      </w:r>
    </w:p>
    <w:p w14:paraId="04938E6A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</w:p>
    <w:p w14:paraId="017A3C8D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color w:val="C00000"/>
          <w:sz w:val="20"/>
          <w:szCs w:val="20"/>
        </w:rPr>
        <w:t xml:space="preserve">             </w:t>
      </w:r>
      <w:r>
        <w:rPr>
          <w:rFonts w:ascii="Arial Narrow" w:hAnsi="Arial Narrow"/>
          <w:b/>
          <w:bCs/>
          <w:sz w:val="20"/>
          <w:szCs w:val="20"/>
        </w:rPr>
        <w:t xml:space="preserve">predkladám Vám výročnú správu obce za rok 2024, ktorá zobrazuje aktuálny stav našej obce. Je zostavená na základe výsledkov ekonomických ukazovateľov a míľnikov, ktoré sme v uplynulom roku dosiahli. Poskytuje podrobný opis stavu a činností vykonávaných obcou a verne zachytáva stav hospodárenia obce pri zabezpečovaní základných potrieb občanov. </w:t>
      </w:r>
    </w:p>
    <w:p w14:paraId="6C65A8A8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</w:p>
    <w:p w14:paraId="5F0A5BEF">
      <w:pPr>
        <w:spacing w:before="133" w:after="0" w:line="240" w:lineRule="auto"/>
        <w:ind w:right="2352" w:firstLine="4302" w:firstLineChars="2150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Roman Beličák - starosta obce</w:t>
      </w:r>
    </w:p>
    <w:p w14:paraId="310F83D7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</w:p>
    <w:p w14:paraId="52375102">
      <w:pPr>
        <w:pStyle w:val="2"/>
        <w:rPr>
          <w:rFonts w:ascii="Arial Narrow" w:hAnsi="Arial Narrow"/>
          <w:i/>
          <w:iCs/>
          <w:color w:val="000000"/>
          <w:sz w:val="24"/>
          <w:szCs w:val="24"/>
        </w:rPr>
      </w:pPr>
      <w:bookmarkStart w:id="1" w:name="_Toc74047026"/>
      <w:r>
        <w:rPr>
          <w:rFonts w:ascii="Arial Narrow" w:hAnsi="Arial Narrow"/>
          <w:color w:val="000000"/>
          <w:sz w:val="24"/>
          <w:szCs w:val="24"/>
        </w:rPr>
        <w:t>2. Identifikačné údaje obce</w:t>
      </w:r>
      <w:bookmarkEnd w:id="1"/>
    </w:p>
    <w:p w14:paraId="6DFB9F83">
      <w:pPr>
        <w:spacing w:before="570" w:after="0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  Názov: Obec Zlatá Idka</w:t>
      </w:r>
    </w:p>
    <w:p w14:paraId="2AE64EAB">
      <w:pPr>
        <w:spacing w:before="135" w:after="0" w:line="240" w:lineRule="auto"/>
        <w:ind w:left="128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Sídlo: Zlatá Idka 159. 044 61</w:t>
      </w:r>
    </w:p>
    <w:p w14:paraId="00D825F5">
      <w:pPr>
        <w:spacing w:before="133" w:after="0" w:line="240" w:lineRule="auto"/>
        <w:ind w:left="119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IČO:  00324957</w:t>
      </w:r>
    </w:p>
    <w:p w14:paraId="5146E5C8">
      <w:pPr>
        <w:spacing w:before="135" w:after="0" w:line="240" w:lineRule="auto"/>
        <w:ind w:left="117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DIČ: 2021245182</w:t>
      </w:r>
    </w:p>
    <w:p w14:paraId="76B9FC07">
      <w:pPr>
        <w:spacing w:before="133" w:after="0" w:line="240" w:lineRule="auto"/>
        <w:ind w:left="128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Štatutárny orgán obce: starosta </w:t>
      </w:r>
    </w:p>
    <w:p w14:paraId="594E45D2">
      <w:pPr>
        <w:spacing w:before="135" w:after="0" w:line="240" w:lineRule="auto"/>
        <w:ind w:left="120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Telefón: 055 4669 111</w:t>
      </w:r>
    </w:p>
    <w:p w14:paraId="1DC5E018">
      <w:pPr>
        <w:spacing w:before="133" w:after="0" w:line="240" w:lineRule="auto"/>
        <w:ind w:left="118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E-mail: zlataidka@zlataidka. sk </w:t>
      </w:r>
    </w:p>
    <w:p w14:paraId="399FEB49">
      <w:pPr>
        <w:spacing w:before="135" w:after="0" w:line="240" w:lineRule="auto"/>
        <w:ind w:left="116"/>
        <w:rPr>
          <w:rFonts w:ascii="Arial Narrow" w:hAnsi="Arial Narrow" w:eastAsia="Times New Roman" w:cs="Times New Roman"/>
          <w:color w:val="0000FF"/>
          <w:sz w:val="20"/>
          <w:szCs w:val="20"/>
          <w:u w:val="single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Webová stránka: </w:t>
      </w:r>
      <w:r>
        <w:fldChar w:fldCharType="begin"/>
      </w:r>
      <w:r>
        <w:instrText xml:space="preserve"> HYPERLINK "http://www.obeczlataidka.sk" </w:instrText>
      </w:r>
      <w:r>
        <w:fldChar w:fldCharType="separate"/>
      </w:r>
      <w:r>
        <w:rPr>
          <w:rStyle w:val="29"/>
          <w:rFonts w:ascii="Arial Narrow" w:hAnsi="Arial Narrow" w:eastAsia="Times New Roman" w:cs="Times New Roman"/>
          <w:sz w:val="20"/>
          <w:szCs w:val="20"/>
          <w:lang w:eastAsia="sk-SK"/>
        </w:rPr>
        <w:t>www.obeczlataidka.sk</w:t>
      </w:r>
      <w:r>
        <w:rPr>
          <w:rStyle w:val="29"/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</w:p>
    <w:p w14:paraId="14DD2F83">
      <w:pPr>
        <w:spacing w:before="135" w:after="0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</w:p>
    <w:p w14:paraId="77BFA26A">
      <w:pPr>
        <w:spacing w:before="133" w:after="0" w:line="240" w:lineRule="auto"/>
        <w:ind w:right="2816"/>
        <w:jc w:val="right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 </w:t>
      </w:r>
    </w:p>
    <w:p w14:paraId="1E9E4D5C">
      <w:pPr>
        <w:pStyle w:val="2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bookmarkStart w:id="2" w:name="_Toc74047027"/>
      <w:r>
        <w:rPr>
          <w:rFonts w:ascii="Arial Narrow" w:hAnsi="Arial Narrow"/>
          <w:color w:val="000000"/>
          <w:sz w:val="24"/>
          <w:szCs w:val="24"/>
        </w:rPr>
        <w:t>3. Organizačná štruktúra obce a identifikácia vedúcich</w:t>
      </w:r>
      <w:bookmarkEnd w:id="2"/>
      <w:r>
        <w:rPr>
          <w:rFonts w:ascii="Arial Narrow" w:hAnsi="Arial Narrow"/>
          <w:color w:val="000000"/>
          <w:sz w:val="24"/>
          <w:szCs w:val="24"/>
        </w:rPr>
        <w:t xml:space="preserve"> </w:t>
      </w:r>
      <w:bookmarkStart w:id="3" w:name="_Toc74047028"/>
      <w:r>
        <w:rPr>
          <w:rFonts w:ascii="Arial Narrow" w:hAnsi="Arial Narrow"/>
          <w:color w:val="000000"/>
          <w:sz w:val="24"/>
          <w:szCs w:val="24"/>
        </w:rPr>
        <w:t>predstaviteľov</w:t>
      </w:r>
      <w:bookmarkEnd w:id="3"/>
      <w:r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2249C817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120CA50B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6A147B26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51107B0A">
      <w:pPr>
        <w:pStyle w:val="10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>Starosta obce:                       Roman Beličák</w:t>
      </w:r>
    </w:p>
    <w:p w14:paraId="7CBE4330">
      <w:pPr>
        <w:pStyle w:val="10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Poverený zastupovaním starostu obce:         </w:t>
      </w:r>
    </w:p>
    <w:p w14:paraId="42E8F018">
      <w:pPr>
        <w:pStyle w:val="10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                                             Ing. Dávid Molnár</w:t>
      </w:r>
    </w:p>
    <w:p w14:paraId="1DEC7346">
      <w:pPr>
        <w:pStyle w:val="10"/>
        <w:jc w:val="both"/>
        <w:rPr>
          <w:rFonts w:ascii="Arial Narrow" w:hAnsi="Arial Narrow" w:cs="Times New Roman"/>
          <w:sz w:val="20"/>
          <w:szCs w:val="20"/>
        </w:rPr>
      </w:pPr>
    </w:p>
    <w:p w14:paraId="750B8D2F">
      <w:pPr>
        <w:pStyle w:val="10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Hlavný kontrolór obce:          JUDr. Svetlana  Pavlíková </w:t>
      </w:r>
    </w:p>
    <w:p w14:paraId="101DA359">
      <w:pPr>
        <w:pStyle w:val="10"/>
        <w:jc w:val="both"/>
        <w:rPr>
          <w:rFonts w:ascii="Arial Narrow" w:hAnsi="Arial Narrow" w:cs="Times New Roman"/>
          <w:sz w:val="20"/>
          <w:szCs w:val="20"/>
        </w:rPr>
      </w:pPr>
    </w:p>
    <w:p w14:paraId="4EEA2D71">
      <w:pPr>
        <w:pStyle w:val="10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>Obecné zastupiteľstvo:         Zuzana Beličáková</w:t>
      </w:r>
    </w:p>
    <w:p w14:paraId="61C0D79D">
      <w:pPr>
        <w:pStyle w:val="10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                                              Slávka Rusnáková</w:t>
      </w:r>
    </w:p>
    <w:p w14:paraId="0CA56386">
      <w:pPr>
        <w:pStyle w:val="10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                                              Ing. Adrej Jacko</w:t>
      </w:r>
    </w:p>
    <w:p w14:paraId="2209CB42">
      <w:pPr>
        <w:pStyle w:val="10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                                              Roland Molnár </w:t>
      </w:r>
    </w:p>
    <w:p w14:paraId="3536E13A">
      <w:pPr>
        <w:pStyle w:val="10"/>
        <w:ind w:firstLine="2100" w:firstLineChars="1050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>Ing. Dávid  Molnár</w:t>
      </w:r>
    </w:p>
    <w:p w14:paraId="03C1A383">
      <w:pPr>
        <w:pStyle w:val="10"/>
        <w:jc w:val="both"/>
        <w:rPr>
          <w:rFonts w:ascii="Arial Narrow" w:hAnsi="Arial Narrow" w:cs="Times New Roman"/>
          <w:sz w:val="20"/>
          <w:szCs w:val="20"/>
        </w:rPr>
      </w:pPr>
    </w:p>
    <w:p w14:paraId="61905985">
      <w:pPr>
        <w:pStyle w:val="10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>Obecný úrad:                         Martina Idésová</w:t>
      </w:r>
    </w:p>
    <w:p w14:paraId="6991CF49">
      <w:pPr>
        <w:pStyle w:val="10"/>
        <w:jc w:val="both"/>
        <w:rPr>
          <w:rFonts w:ascii="Arial Narrow" w:hAnsi="Arial Narrow" w:eastAsia="Times New Roman" w:cs="Times New Roman"/>
          <w:sz w:val="20"/>
          <w:szCs w:val="20"/>
        </w:rPr>
      </w:pPr>
    </w:p>
    <w:p w14:paraId="1C4A07F0">
      <w:pPr>
        <w:pStyle w:val="10"/>
        <w:jc w:val="both"/>
        <w:rPr>
          <w:rFonts w:ascii="Arial Narrow" w:hAnsi="Arial Narrow" w:eastAsia="Times New Roman" w:cs="Times New Roman"/>
          <w:sz w:val="20"/>
          <w:szCs w:val="20"/>
        </w:rPr>
      </w:pPr>
    </w:p>
    <w:p w14:paraId="33E1E3C7">
      <w:pPr>
        <w:pStyle w:val="2"/>
        <w:rPr>
          <w:rFonts w:ascii="Arial Narrow" w:hAnsi="Arial Narrow"/>
          <w:color w:val="000000"/>
          <w:sz w:val="24"/>
          <w:szCs w:val="24"/>
        </w:rPr>
      </w:pPr>
      <w:bookmarkStart w:id="4" w:name="_Toc74047029"/>
      <w:r>
        <w:rPr>
          <w:rFonts w:ascii="Arial Narrow" w:hAnsi="Arial Narrow"/>
          <w:color w:val="000000"/>
          <w:sz w:val="24"/>
          <w:szCs w:val="24"/>
        </w:rPr>
        <w:t>4. Poslanie, vízie, ciele</w:t>
      </w:r>
      <w:bookmarkEnd w:id="4"/>
      <w:r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4183D3D7">
      <w:pPr>
        <w:pStyle w:val="2"/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</w:pPr>
    </w:p>
    <w:p w14:paraId="40A59E86">
      <w:pPr>
        <w:pStyle w:val="2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r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  <w:t>P</w:t>
      </w:r>
      <w:r>
        <w:rPr>
          <w:rFonts w:ascii="Arial Narrow" w:hAnsi="Arial Narrow"/>
          <w:i/>
          <w:iCs/>
          <w:color w:val="000000"/>
          <w:sz w:val="20"/>
          <w:szCs w:val="20"/>
          <w:u w:val="single"/>
          <w:lang w:eastAsia="sk-SK"/>
        </w:rPr>
        <w:t>oslanie obce:</w:t>
      </w:r>
      <w:r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  <w:t> </w:t>
      </w:r>
    </w:p>
    <w:p w14:paraId="7DFA5C0A">
      <w:pPr>
        <w:spacing w:before="128" w:after="0" w:line="240" w:lineRule="auto"/>
        <w:ind w:left="95" w:right="229" w:firstLine="735"/>
        <w:jc w:val="both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Obec Zlatá Idka je samostatný územný samosprávny a správny celok Slovenskej republiky.  Združuje osoby, ktoré majú na jej území trvalý pobyt. Obec je právnickou osobou, ktorá za  podmienok ustanovených zákonom samostatne hospodári s vlastným majetkom a s vlastnými  príjmami. Základnou úlohou obce pri výkone samosprávy je starostlivosť o všestranný rozvoj  jej územia a potreby jej obyvateľov.  </w:t>
      </w:r>
    </w:p>
    <w:p w14:paraId="6712636E">
      <w:pPr>
        <w:spacing w:before="31" w:after="0" w:line="240" w:lineRule="auto"/>
        <w:ind w:left="95" w:right="232" w:firstLine="22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3A1E981E">
      <w:pPr>
        <w:spacing w:before="31" w:after="0" w:line="240" w:lineRule="auto"/>
        <w:ind w:left="95" w:right="232" w:firstLine="22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Poslaním obce je slúžiť všetkým obyvateľom, ktorým ponúkame jedinečné služby, vytvárať  podmienky pre vyvážený rozvoj obce, chrániť všetkých jej obyvateľov, ale aj okolitú prírodu a  jej zdroje. Obyvatelia obce, ktorí žijú alebo pracujú v obci predstavujú prioritu. </w:t>
      </w:r>
    </w:p>
    <w:p w14:paraId="63A350F3">
      <w:pPr>
        <w:spacing w:before="31" w:after="0" w:line="240" w:lineRule="auto"/>
        <w:ind w:left="95" w:right="232" w:firstLine="22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789D1C83">
      <w:pPr>
        <w:spacing w:before="448" w:after="0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Vízie obce:</w:t>
      </w: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lang w:eastAsia="sk-SK"/>
        </w:rPr>
        <w:t> </w:t>
      </w:r>
    </w:p>
    <w:p w14:paraId="0052CD8E">
      <w:pPr>
        <w:spacing w:before="128" w:after="0" w:line="240" w:lineRule="auto"/>
        <w:ind w:left="114" w:right="229" w:firstLine="711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Rozvíjať aktivity v obci, ktoré vedú k spokojnému životu všetkých občanov a  zabezpečovať neustály ekonomický, sociálny, kultúrny a spoločenský rast obce. Obec Zlatá Idka je obcou, ktorá sa stará o rovnovážne zabezpečenie verejných služieb, ktoré sú  nevyhnutné pre plnohodnotný život jej obyvateľov. V obci sa úspešne rozvíja podnikanie a tým sú vytvorené podmienky pre zamestnanie miestnych obyvateľov. </w:t>
      </w:r>
    </w:p>
    <w:p w14:paraId="6B485618">
      <w:pPr>
        <w:spacing w:before="448" w:after="0" w:line="240" w:lineRule="auto"/>
        <w:ind w:left="128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Ciele obce:</w:t>
      </w: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lang w:eastAsia="sk-SK"/>
        </w:rPr>
        <w:t> </w:t>
      </w:r>
    </w:p>
    <w:p w14:paraId="0461EFB8">
      <w:pPr>
        <w:spacing w:before="130" w:after="0" w:line="240" w:lineRule="auto"/>
        <w:ind w:left="113" w:right="229" w:firstLine="711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Zabezpečiť trvalo udržateľný rozvoj obce Zlatá Idka, po ekonomickej, sociálnej, kultúrnej  stránke. Ekonomický, kultúrny a spoločenský rast bude zabezpečený prostredníctvom  disponibilného potenciálu nachádzajúceho sa v ľudských, prírodných a ekonomických  zdrojoch. Zabezpečiť ochranu životného prostredia a jeho zveľaďovanie. Posilniť vybavenosť  územia obce vybudovaním technickej, environmentálnej infraštruktúry a infraštruktúry  cestovného ruchu podporujúcej rozvoj obce, budovanie občianskej a sociálnej infraštruktúry.  Zlepšiť stav obecného majetku budovaním a rekonštrukciou miestnej infraštruktúry. </w:t>
      </w:r>
    </w:p>
    <w:p w14:paraId="143FE8D9">
      <w:pPr>
        <w:pStyle w:val="10"/>
        <w:jc w:val="both"/>
        <w:rPr>
          <w:rFonts w:ascii="Arial Narrow" w:hAnsi="Arial Narrow" w:cs="Times New Roman"/>
          <w:b/>
          <w:bCs/>
          <w:sz w:val="20"/>
          <w:szCs w:val="20"/>
        </w:rPr>
      </w:pPr>
    </w:p>
    <w:p w14:paraId="5A7337C3">
      <w:pPr>
        <w:pStyle w:val="10"/>
        <w:jc w:val="both"/>
        <w:rPr>
          <w:rFonts w:ascii="Arial Narrow" w:hAnsi="Arial Narrow" w:cs="Times New Roman"/>
          <w:b/>
          <w:bCs/>
          <w:sz w:val="20"/>
          <w:szCs w:val="20"/>
        </w:rPr>
      </w:pPr>
    </w:p>
    <w:p w14:paraId="627D42D4">
      <w:pPr>
        <w:pStyle w:val="2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bookmarkStart w:id="5" w:name="_Toc74047030"/>
      <w:r>
        <w:rPr>
          <w:rFonts w:ascii="Arial Narrow" w:hAnsi="Arial Narrow"/>
          <w:color w:val="000000"/>
          <w:sz w:val="24"/>
          <w:szCs w:val="24"/>
        </w:rPr>
        <w:t>5. Základná charakteristika obce</w:t>
      </w:r>
      <w:bookmarkEnd w:id="5"/>
      <w:r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59E52F0D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00CC9096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              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Podľa §1 zákona č. 369/1990 Zb. o obecnom zriadení je obec „samostatný územný  samosprávny a správny celok Slovenskej republiky, združuje osoby ktoré majú na jej území  trvalý pobyt. Obec je právnickou osobou, ktorá za podmienok ustanovených zákonom  samostatne hospodári s vlastným majetkom a s vlastnými príjmami. Základnou úlohou obce pri  výkone samosprávy je starostlivosť o všestranný rozvoj jej územia a o potreby jej obyvateľov“.  </w:t>
      </w:r>
    </w:p>
    <w:p w14:paraId="6DF8849D">
      <w:pPr>
        <w:spacing w:after="0"/>
        <w:ind w:left="113" w:right="675" w:firstLine="9"/>
        <w:rPr>
          <w:rFonts w:ascii="Arial Narrow" w:hAnsi="Arial Narrow" w:eastAsia="Times New Roman" w:cs="Times New Roman"/>
          <w:sz w:val="20"/>
          <w:szCs w:val="20"/>
          <w:lang w:eastAsia="sk-SK"/>
        </w:rPr>
      </w:pPr>
    </w:p>
    <w:p w14:paraId="54F01B68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  </w:t>
      </w:r>
    </w:p>
    <w:p w14:paraId="53BA8F3F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6" w:name="_Toc74047031"/>
      <w:r>
        <w:rPr>
          <w:rFonts w:ascii="Arial Narrow" w:hAnsi="Arial Narrow"/>
          <w:b/>
          <w:bCs/>
          <w:color w:val="000000"/>
          <w:sz w:val="24"/>
          <w:szCs w:val="24"/>
        </w:rPr>
        <w:t>5.1. Geografické údaje</w:t>
      </w:r>
      <w:bookmarkEnd w:id="6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70E2038B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E4349B1">
      <w:pPr>
        <w:spacing w:before="128" w:after="0" w:line="240" w:lineRule="auto"/>
        <w:ind w:left="115" w:right="234" w:firstLine="709"/>
        <w:jc w:val="both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Z administratívneho hľadiska je obec začlenená do okresu Košice - okolie  a Košického samosprávneho kraja. Región – Abov. Z hľadiska výškovej polohy patrí kataster obce Zlatá Idka do nízkej vysočiny. Nadmorská výška obce Zlatá Idka je 668 m.n.m. </w:t>
      </w:r>
      <w:r>
        <w:rPr>
          <w:rFonts w:ascii="Arial Narrow" w:hAnsi="Arial Narrow" w:eastAsia="Times New Roman" w:cs="Times New Roman"/>
          <w:sz w:val="20"/>
          <w:szCs w:val="20"/>
        </w:rPr>
        <w:t xml:space="preserve">Rozloha katastrálneho územia obce je 1687 ha. </w:t>
      </w:r>
    </w:p>
    <w:p w14:paraId="39604826">
      <w:pPr>
        <w:spacing w:before="27" w:after="0" w:line="240" w:lineRule="auto"/>
        <w:ind w:left="115" w:right="229"/>
        <w:jc w:val="both"/>
        <w:rPr>
          <w:rFonts w:ascii="Arial Narrow" w:hAnsi="Arial Narrow" w:eastAsia="Times New Roman" w:cs="Times New Roman"/>
          <w:sz w:val="20"/>
          <w:szCs w:val="20"/>
          <w:lang w:eastAsia="sk-SK"/>
        </w:rPr>
      </w:pPr>
    </w:p>
    <w:p w14:paraId="64B8C46A">
      <w:pPr>
        <w:pStyle w:val="10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   Kataster obce susedí: mesto Košice, </w:t>
      </w:r>
    </w:p>
    <w:p w14:paraId="296C3E15">
      <w:pPr>
        <w:pStyle w:val="10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                                       obce: Hýľov, Vyšný Klátov, Nižný Klátov,</w:t>
      </w:r>
      <w:r>
        <w:rPr>
          <w:rFonts w:ascii="Arial Narrow" w:hAnsi="Arial Narrow" w:cs="Times New Roman"/>
          <w:sz w:val="20"/>
          <w:szCs w:val="20"/>
        </w:rPr>
        <w:t xml:space="preserve"> Rudník, Jasov,  Poproč</w:t>
      </w:r>
    </w:p>
    <w:p w14:paraId="059154F2">
      <w:pPr>
        <w:spacing w:after="0"/>
        <w:ind w:left="113" w:right="675" w:firstLine="9"/>
        <w:rPr>
          <w:rFonts w:ascii="Arial Narrow" w:hAnsi="Arial Narrow"/>
          <w:color w:val="000000"/>
          <w:sz w:val="20"/>
          <w:szCs w:val="20"/>
        </w:rPr>
      </w:pPr>
    </w:p>
    <w:p w14:paraId="3A40C30D">
      <w:pPr>
        <w:spacing w:after="0"/>
        <w:ind w:left="113" w:right="675" w:firstLine="9"/>
        <w:rPr>
          <w:rFonts w:ascii="Arial Narrow" w:hAnsi="Arial Narrow"/>
          <w:color w:val="000000"/>
          <w:sz w:val="20"/>
          <w:szCs w:val="20"/>
        </w:rPr>
      </w:pPr>
    </w:p>
    <w:p w14:paraId="658F442C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7" w:name="_Toc74047032"/>
      <w:r>
        <w:rPr>
          <w:rFonts w:ascii="Arial Narrow" w:hAnsi="Arial Narrow"/>
          <w:b/>
          <w:bCs/>
          <w:color w:val="000000"/>
          <w:sz w:val="24"/>
          <w:szCs w:val="24"/>
        </w:rPr>
        <w:t>5.2. Demografické údaje</w:t>
      </w:r>
      <w:bookmarkEnd w:id="7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0024F7D9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49854B2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03A9BE50">
      <w:pPr>
        <w:spacing w:before="128" w:after="0" w:line="240" w:lineRule="auto"/>
        <w:ind w:left="118" w:right="229" w:firstLine="712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Obec Zlatá Idka patrí do kategórie malých obcí. Podľa Štatistického úradu SR k 31.12.202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val="en-US" w:eastAsia="sk-SK"/>
        </w:rPr>
        <w:t>4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žilo v obci 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val="en-US" w:eastAsia="sk-SK"/>
        </w:rPr>
        <w:t>432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obyvateľov prihlásených na trvalý pobyt (muži- 2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val="en-US" w:eastAsia="sk-SK"/>
        </w:rPr>
        <w:t>18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, ženy 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val="en-US" w:eastAsia="sk-SK"/>
        </w:rPr>
        <w:t>214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).</w:t>
      </w:r>
    </w:p>
    <w:p w14:paraId="333364A1">
      <w:pPr>
        <w:spacing w:before="128" w:after="0" w:line="240" w:lineRule="auto"/>
        <w:ind w:right="229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3EFD1434">
      <w:pPr>
        <w:spacing w:before="128" w:after="0" w:line="240" w:lineRule="auto"/>
        <w:ind w:right="229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Vekové  zloženie obyvateľstva je nasledujúce:  </w:t>
      </w:r>
    </w:p>
    <w:p w14:paraId="7BA09EC2">
      <w:pPr>
        <w:spacing w:before="128" w:after="0" w:line="240" w:lineRule="auto"/>
        <w:ind w:right="229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4C2B1B24">
      <w:pPr>
        <w:spacing w:before="128" w:after="0" w:line="240" w:lineRule="auto"/>
        <w:ind w:right="229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6487F2B1">
      <w:pPr>
        <w:spacing w:before="128" w:after="0" w:line="240" w:lineRule="auto"/>
        <w:ind w:right="229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drawing>
          <wp:inline distT="0" distB="0" distL="0" distR="0">
            <wp:extent cx="5760720" cy="1920240"/>
            <wp:effectExtent l="0" t="0" r="0" b="3810"/>
            <wp:docPr id="347083026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7083026" name="Obrázok 3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2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02868D">
      <w:pPr>
        <w:spacing w:before="128" w:after="0" w:line="240" w:lineRule="auto"/>
        <w:ind w:right="229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42396E2D">
      <w:pPr>
        <w:spacing w:before="128" w:after="0" w:line="240" w:lineRule="auto"/>
        <w:ind w:right="229"/>
      </w:pPr>
    </w:p>
    <w:p w14:paraId="117FCC6B">
      <w:pPr>
        <w:spacing w:before="128" w:after="0" w:line="240" w:lineRule="auto"/>
        <w:ind w:right="229"/>
      </w:pPr>
      <w:r>
        <w:t>VEKOVÁ ŠTRUKTÚRA OBYVATEĽSTVA K 31.12.2024</w:t>
      </w:r>
    </w:p>
    <w:p w14:paraId="6FDBAE73">
      <w:pPr>
        <w:spacing w:before="128" w:after="0" w:line="240" w:lineRule="auto"/>
        <w:ind w:right="229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6621E176">
      <w:pPr>
        <w:spacing w:after="240" w:line="240" w:lineRule="auto"/>
        <w:jc w:val="center"/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  <w:drawing>
          <wp:inline distT="0" distB="0" distL="0" distR="0">
            <wp:extent cx="5760720" cy="1920240"/>
            <wp:effectExtent l="0" t="0" r="0" b="3810"/>
            <wp:docPr id="532025370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025370" name="Obrázok 6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2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AC224B">
      <w:pPr>
        <w:spacing w:after="240" w:line="240" w:lineRule="auto"/>
        <w:jc w:val="center"/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</w:pPr>
    </w:p>
    <w:p w14:paraId="2F85287D">
      <w:pPr>
        <w:spacing w:after="240" w:line="240" w:lineRule="auto"/>
        <w:jc w:val="center"/>
        <w:rPr>
          <w:rFonts w:ascii="Arial Narrow" w:hAnsi="Arial Narrow" w:eastAsia="Times New Roman" w:cs="Times New Roman"/>
          <w:sz w:val="20"/>
          <w:szCs w:val="20"/>
          <w:lang w:eastAsia="sk-SK"/>
        </w:rPr>
      </w:pPr>
    </w:p>
    <w:p w14:paraId="0DCB31D3">
      <w:pPr>
        <w:spacing w:after="0" w:line="240" w:lineRule="auto"/>
        <w:ind w:left="113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2C608B2C">
      <w:pPr>
        <w:spacing w:before="461" w:after="0" w:line="240" w:lineRule="auto"/>
        <w:ind w:left="104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lang w:eastAsia="sk-SK"/>
        </w:rPr>
        <w:t>D</w:t>
      </w: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emografický vývoj obce:</w:t>
      </w:r>
    </w:p>
    <w:p w14:paraId="5F202C3E">
      <w:pPr>
        <w:spacing w:after="240" w:line="240" w:lineRule="auto"/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</w:pPr>
    </w:p>
    <w:p w14:paraId="13FCC4F5">
      <w:pPr>
        <w:spacing w:after="240" w:line="240" w:lineRule="auto"/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  <w:drawing>
          <wp:inline distT="0" distB="0" distL="0" distR="0">
            <wp:extent cx="5760720" cy="1920240"/>
            <wp:effectExtent l="0" t="0" r="0" b="3810"/>
            <wp:docPr id="654546740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4546740" name="Obrázok 7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2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1FAD90">
      <w:pPr>
        <w:spacing w:after="240" w:line="240" w:lineRule="auto"/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</w:pPr>
    </w:p>
    <w:p w14:paraId="3233323A">
      <w:pPr>
        <w:spacing w:after="240" w:line="240" w:lineRule="auto"/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</w:pPr>
    </w:p>
    <w:p w14:paraId="7B527AD0">
      <w:pPr>
        <w:spacing w:after="240" w:line="240" w:lineRule="auto"/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  <w:drawing>
          <wp:inline distT="0" distB="0" distL="0" distR="0">
            <wp:extent cx="5760720" cy="1920240"/>
            <wp:effectExtent l="0" t="0" r="0" b="3810"/>
            <wp:docPr id="12077229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772299" name="Obrázok 1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2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A4F8E8">
      <w:pPr>
        <w:spacing w:after="0" w:line="240" w:lineRule="auto"/>
        <w:ind w:left="113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05E0812D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1BACF9C6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38A86BE5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8" w:name="_Toc74047033"/>
      <w:r>
        <w:rPr>
          <w:rFonts w:ascii="Arial Narrow" w:hAnsi="Arial Narrow"/>
          <w:b/>
          <w:bCs/>
          <w:color w:val="000000"/>
          <w:sz w:val="24"/>
          <w:szCs w:val="24"/>
        </w:rPr>
        <w:t>5.3. Ekonomické údaje</w:t>
      </w:r>
      <w:bookmarkEnd w:id="8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72CE1BF1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250140D0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  <w:lang w:eastAsia="sk-SK"/>
        </w:rPr>
        <w:drawing>
          <wp:inline distT="0" distB="0" distL="0" distR="0">
            <wp:extent cx="5760720" cy="1920240"/>
            <wp:effectExtent l="0" t="0" r="0" b="3810"/>
            <wp:docPr id="3" name="Obrázok 3" descr="C:\Users\russke0053\Downloads\chart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 descr="C:\Users\russke0053\Downloads\chart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BDA71F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4EE8C281">
      <w:pPr>
        <w:spacing w:before="128" w:after="0" w:line="240" w:lineRule="auto"/>
        <w:ind w:left="121" w:right="229" w:firstLine="704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drawing>
          <wp:inline distT="0" distB="0" distL="0" distR="0">
            <wp:extent cx="5760720" cy="1920240"/>
            <wp:effectExtent l="0" t="0" r="0" b="3810"/>
            <wp:docPr id="5" name="Obrázok 5" descr="C:\Users\russke0053\Downloads\chart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5" descr="C:\Users\russke0053\Downloads\chart (1)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2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.  </w:t>
      </w:r>
    </w:p>
    <w:p w14:paraId="34A8DFC7">
      <w:pPr>
        <w:spacing w:after="0" w:line="240" w:lineRule="auto"/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4ADAEC17">
      <w:pPr>
        <w:spacing w:after="0" w:line="240" w:lineRule="auto"/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</w:pPr>
    </w:p>
    <w:p w14:paraId="5478BC71">
      <w:pPr>
        <w:spacing w:after="0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</w:p>
    <w:p w14:paraId="2C1CAB47">
      <w:pPr>
        <w:spacing w:after="0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sz w:val="20"/>
          <w:szCs w:val="20"/>
          <w:lang w:eastAsia="sk-SK"/>
        </w:rPr>
        <w:t xml:space="preserve">                 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Obec Zlatá Idka sa snaží ponúknuť prácu nezamestnaným občanom prostredníctvom  menších obecných služieb s cieľom, aby obdobie, kedy nemôžu nájsť uplatnenie na trhu práce  využili na udržiavanie svojich doterajších zručností a pracovných návykov a zároveň zlepšovať  životné prostredie, ekonomické a sociálne podmienky v obci.</w:t>
      </w:r>
    </w:p>
    <w:p w14:paraId="53A2D5CE">
      <w:pPr>
        <w:spacing w:before="526" w:after="0" w:line="240" w:lineRule="auto"/>
        <w:ind w:right="231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0A5B4AB4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9" w:name="_Toc74047034"/>
      <w:r>
        <w:rPr>
          <w:rFonts w:ascii="Arial Narrow" w:hAnsi="Arial Narrow"/>
          <w:b/>
          <w:bCs/>
          <w:color w:val="000000"/>
          <w:sz w:val="24"/>
          <w:szCs w:val="24"/>
        </w:rPr>
        <w:t>5.4. Symboly obce</w:t>
      </w:r>
      <w:bookmarkEnd w:id="9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0D740FC3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07584677">
      <w:pPr>
        <w:pStyle w:val="25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008AF1E4">
      <w:pPr>
        <w:pStyle w:val="25"/>
        <w:spacing w:line="240" w:lineRule="auto"/>
        <w:jc w:val="both"/>
        <w:rPr>
          <w:rFonts w:ascii="Arial Narrow" w:hAnsi="Arial Narrow" w:eastAsia="Times New Roman" w:cs="Times New Roman"/>
          <w:b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Erb obce :   </w:t>
      </w:r>
      <w:r>
        <w:rPr>
          <w:rFonts w:ascii="Arial Narrow" w:hAnsi="Arial Narrow" w:eastAsia="Times New Roman" w:cs="Times New Roman"/>
          <w:b/>
          <w:sz w:val="20"/>
          <w:szCs w:val="20"/>
        </w:rPr>
        <w:t xml:space="preserve"> </w:t>
      </w:r>
      <w:r>
        <w:rPr>
          <w:rFonts w:ascii="Arial Narrow" w:hAnsi="Arial Narrow" w:eastAsia="Times New Roman" w:cs="Times New Roman"/>
          <w:b/>
          <w:sz w:val="20"/>
          <w:szCs w:val="20"/>
        </w:rPr>
        <w:drawing>
          <wp:inline distT="0" distB="0" distL="0" distR="0">
            <wp:extent cx="552450" cy="5524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24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B71CC6">
      <w:pPr>
        <w:pStyle w:val="25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10E3F879">
      <w:pPr>
        <w:pStyle w:val="25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1D30913D">
      <w:pPr>
        <w:pStyle w:val="25"/>
        <w:spacing w:line="24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Vlajka obce</w:t>
      </w:r>
      <w:r>
        <w:rPr>
          <w:rFonts w:ascii="Arial Narrow" w:hAnsi="Arial Narrow"/>
          <w:sz w:val="20"/>
          <w:szCs w:val="20"/>
        </w:rPr>
        <w:t xml:space="preserve">: </w:t>
      </w:r>
      <w:r>
        <w:rPr>
          <w:rFonts w:ascii="Arial Narrow" w:hAnsi="Arial Narrow"/>
          <w:sz w:val="20"/>
          <w:szCs w:val="20"/>
        </w:rPr>
        <w:drawing>
          <wp:inline distT="0" distB="0" distL="0" distR="0">
            <wp:extent cx="638175" cy="561975"/>
            <wp:effectExtent l="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51846" cy="573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C3BD04">
      <w:pPr>
        <w:pStyle w:val="25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7675C33B">
      <w:pPr>
        <w:pStyle w:val="25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493E2F6A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0" w:name="_Toc74047035"/>
      <w:r>
        <w:rPr>
          <w:rFonts w:ascii="Arial Narrow" w:hAnsi="Arial Narrow"/>
          <w:b/>
          <w:bCs/>
          <w:color w:val="000000"/>
          <w:sz w:val="24"/>
          <w:szCs w:val="24"/>
        </w:rPr>
        <w:t>5.5. História obce</w:t>
      </w:r>
      <w:bookmarkEnd w:id="10"/>
    </w:p>
    <w:p w14:paraId="6ED95AA8">
      <w:pPr>
        <w:shd w:val="clear" w:color="auto" w:fill="FFFFFF"/>
        <w:spacing w:before="30" w:after="30" w:line="240" w:lineRule="auto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7BA7144">
      <w:pPr>
        <w:shd w:val="clear" w:color="auto" w:fill="FFFFFF"/>
        <w:spacing w:before="30" w:after="30" w:line="240" w:lineRule="auto"/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         </w:t>
      </w:r>
      <w:r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  <w:t xml:space="preserve"> Názov obce je doložený z roku 1349 ako Ida, z roku 1459 ako Arany-Yda, v roku 1612 ako Gulden-Eidten, v roku 1630 ako Arany Ida, v rokoch 1808 ako Zlatá Idka; po maďarsky Arany-idka,, Aranyida.</w:t>
      </w:r>
      <w:r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  <w:br w:type="textWrapping"/>
      </w:r>
      <w:r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  <w:t>Obec bola administratívne začlenená pod Abovsko-turniansku župu; pred rokom 1960 pod okres Moldava nad Bodvou, kraj Košice; po roku 1960 pod okres Košice-vidiek, kraj Východoslovenský.</w:t>
      </w:r>
      <w:r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  <w:br w:type="textWrapping"/>
      </w:r>
      <w:r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  <w:t>Obec s richtárom, kráľovskou baňou na zlato a striebro a obyvateľstvom deleným na „občanov, hostí a baníkov“ sa spomína z roku 1349. Obec aj s právom dolovať prešla v roku 1459 z kráľovského majetku do vlastníctva mesta Košice. V 2. polovici 16. storočia baníctvo upadlo.  V roku 1715 – 20 mala 5 domácností. V roku 1767 sa dostala do rúk eráru, ktorý začal dolovať meď a postavil 2 hámre.V roku 1772 tu bývalo 26 poddanských rodín, v roku 1828 mala 96 domov a 724 obyvateľov. V usadlosti Reka pracovala do roku 1807 medená huta. V rokoch 1807 – 1891 odkryli do 20 nových šachiet, v roku 1823/4 začala pracovať amalgámová huta, ktorá bola v činnosti do I. svetovej vojny. Po zastavení ťažby v baniach väčšina obyvateľov pracovala v lesnom hospodárstve. Obec bola v rokoch 1938-44 pripojenou k Maďarsku. V roku 1943 časť vyhorela. V jej chotári v rokoch 1943-44 pôsobila partizánska skupina Petőfi. JRD, založené v roku 1960, bolo v roku 1963 zlúčené s JRD Hýľov. Je tu lesný závod. Značná časť obyvateľstva pracuje v priemyselných podnikoch v Košiciach.</w:t>
      </w:r>
    </w:p>
    <w:p w14:paraId="5C3E02C2">
      <w:pPr>
        <w:shd w:val="clear" w:color="auto" w:fill="FFFFFF"/>
        <w:spacing w:before="30" w:after="30" w:line="240" w:lineRule="auto"/>
        <w:jc w:val="both"/>
        <w:rPr>
          <w:rFonts w:ascii="Arial Narrow" w:hAnsi="Arial Narrow" w:eastAsia="Times New Roman" w:cs="Times New Roman"/>
          <w:i/>
          <w:iCs/>
          <w:color w:val="333333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333333"/>
          <w:sz w:val="20"/>
          <w:szCs w:val="20"/>
          <w:lang w:eastAsia="sk-SK"/>
        </w:rPr>
        <w:t>Zdroj: Vlastivedný slovník obcí na Slovensku, 3. časť</w:t>
      </w:r>
    </w:p>
    <w:p w14:paraId="2C1E8433">
      <w:pPr>
        <w:spacing w:after="0"/>
        <w:ind w:left="113" w:right="675" w:firstLine="9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1671015C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1" w:name="_Toc74047036"/>
      <w:r>
        <w:rPr>
          <w:rFonts w:ascii="Arial Narrow" w:hAnsi="Arial Narrow"/>
          <w:b/>
          <w:bCs/>
          <w:color w:val="000000"/>
          <w:sz w:val="24"/>
          <w:szCs w:val="24"/>
        </w:rPr>
        <w:t>5.6. Pamiatky</w:t>
      </w:r>
      <w:bookmarkEnd w:id="11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1AB850BD">
      <w:pPr>
        <w:shd w:val="clear" w:color="auto" w:fill="FFFFFF"/>
        <w:spacing w:before="72" w:after="0" w:line="240" w:lineRule="auto"/>
        <w:outlineLvl w:val="2"/>
        <w:rPr>
          <w:rFonts w:ascii="Arial Narrow" w:hAnsi="Arial Narrow" w:eastAsia="Times New Roman" w:cs="Arial"/>
          <w:b/>
          <w:bCs/>
          <w:color w:val="000000"/>
          <w:sz w:val="24"/>
          <w:szCs w:val="24"/>
          <w:lang w:eastAsia="sk-SK"/>
        </w:rPr>
      </w:pPr>
      <w:r>
        <w:rPr>
          <w:rFonts w:ascii="Arial Narrow" w:hAnsi="Arial Narrow" w:eastAsia="Times New Roman" w:cs="Arial"/>
          <w:b/>
          <w:bCs/>
          <w:color w:val="000000"/>
          <w:sz w:val="24"/>
          <w:szCs w:val="24"/>
          <w:lang w:eastAsia="sk-SK"/>
        </w:rPr>
        <w:t xml:space="preserve"> </w:t>
      </w:r>
    </w:p>
    <w:p w14:paraId="5E8D13F1">
      <w:pPr>
        <w:shd w:val="clear" w:color="auto" w:fill="FFFFFF"/>
        <w:spacing w:before="72" w:after="0" w:line="240" w:lineRule="auto"/>
        <w:outlineLvl w:val="2"/>
        <w:rPr>
          <w:rFonts w:ascii="Arial Narrow" w:hAnsi="Arial Narrow" w:eastAsia="Times New Roman" w:cs="Arial"/>
          <w:b/>
          <w:bCs/>
          <w:color w:val="000000"/>
          <w:sz w:val="24"/>
          <w:szCs w:val="24"/>
          <w:lang w:eastAsia="sk-SK"/>
        </w:rPr>
      </w:pPr>
      <w:r>
        <w:fldChar w:fldCharType="begin"/>
      </w:r>
      <w:r>
        <w:instrText xml:space="preserve"> HYPERLINK "https://sk.wikipedia.org/wiki/R%C3%ADmskokatol%C3%ADcka_cirkev_na_Slovensku"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t>Rímskokatolícky</w:t>
      </w: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t> kostol Všetkých svätých,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 xml:space="preserve"> jednoloďová </w:t>
      </w:r>
      <w:r>
        <w:fldChar w:fldCharType="begin"/>
      </w:r>
      <w:r>
        <w:instrText xml:space="preserve"> HYPERLINK "https://sk.wikipedia.org/wiki/Barok" \o "Rímskokatolícka cirkev na Slovensku"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barokovo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-</w:t>
      </w:r>
      <w:r>
        <w:fldChar w:fldCharType="begin"/>
      </w:r>
      <w:r>
        <w:instrText xml:space="preserve"> HYPERLINK "https://sk.wikipedia.org/wiki/Klasicizmus"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klasicistická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 stavba s polygonálne ukončeným </w:t>
      </w:r>
      <w:r>
        <w:fldChar w:fldCharType="begin"/>
      </w:r>
      <w:r>
        <w:instrText xml:space="preserve"> HYPERLINK "https://sk.wikipedia.org/wiki/Presbyt%C3%A9rium" \o "Presbytérium"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presbytériom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 a vežou tvoriacou súčasť jej hmoty z roku </w:t>
      </w:r>
      <w:r>
        <w:fldChar w:fldCharType="begin"/>
      </w:r>
      <w:r>
        <w:instrText xml:space="preserve"> HYPERLINK "https://sk.wikipedia.org/wiki/1768" \o "1768"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1768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. Úpravami prešiel v roku </w:t>
      </w:r>
      <w:r>
        <w:fldChar w:fldCharType="begin"/>
      </w:r>
      <w:r>
        <w:instrText xml:space="preserve"> HYPERLINK "https://sk.wikipedia.org/wiki/1830" \o "1830"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1830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 a po požiari v roku </w:t>
      </w:r>
      <w:r>
        <w:fldChar w:fldCharType="begin"/>
      </w:r>
      <w:r>
        <w:instrText xml:space="preserve"> HYPERLINK "https://sk.wikipedia.org/wiki/1853" \o "1853"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1853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. Fasády kostola sú hladké, veža je ukončená zvonovitou helmicou.</w:t>
      </w:r>
    </w:p>
    <w:p w14:paraId="7162B9E9">
      <w:pPr>
        <w:shd w:val="clear" w:color="auto" w:fill="FFFFFF"/>
        <w:spacing w:before="100" w:beforeAutospacing="1" w:after="24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t>Dedinská zvonica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 xml:space="preserve"> v časti Rieka, jednoduchá trojpodlažná kamenná stavba na pôdoryse štvorca z roku </w:t>
      </w:r>
      <w:r>
        <w:fldChar w:fldCharType="begin"/>
      </w:r>
      <w:r>
        <w:instrText xml:space="preserve"> HYPERLINK "https://sk.wikipedia.org/wiki/1823" \o "1823"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t>1823</w:t>
      </w: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.</w:t>
      </w:r>
      <w:r>
        <w:fldChar w:fldCharType="begin"/>
      </w:r>
      <w:r>
        <w:instrText xml:space="preserve"> HYPERLINK "https://sk.wikipedia.org/wiki/Zlat%C3%A1_Idka" \l "cite_note-5"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u w:val="single"/>
          <w:vertAlign w:val="superscript"/>
          <w:lang w:eastAsia="sk-SK"/>
        </w:rPr>
        <w:t>]</w:t>
      </w:r>
      <w:r>
        <w:rPr>
          <w:rFonts w:ascii="Arial Narrow" w:hAnsi="Arial Narrow" w:eastAsia="Times New Roman" w:cs="Times New Roman"/>
          <w:sz w:val="20"/>
          <w:szCs w:val="20"/>
          <w:u w:val="single"/>
          <w:vertAlign w:val="superscript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u w:val="single"/>
          <w:vertAlign w:val="superscript"/>
          <w:lang w:eastAsia="sk-SK"/>
        </w:rPr>
        <w:t xml:space="preserve"> 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Fasáda zvonice je z neomietaného lomového kameňa, ukončená je šindľovou ihlanovou strechou.</w:t>
      </w:r>
    </w:p>
    <w:p w14:paraId="524555AD">
      <w:pPr>
        <w:shd w:val="clear" w:color="auto" w:fill="FFFFFF"/>
        <w:spacing w:before="100" w:beforeAutospacing="1" w:after="24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t>Budova správy baní, prícestný hostinec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, dvojpodlažná trojtraktová bloková baroková stavba s manzardovou strechou z roku </w:t>
      </w:r>
      <w:r>
        <w:fldChar w:fldCharType="begin"/>
      </w:r>
      <w:r>
        <w:instrText xml:space="preserve"> HYPERLINK "https://sk.wikipedia.org/wiki/1767" \o "1767"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1767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. Úpravami prešiel v prvej polovici </w:t>
      </w:r>
      <w:r>
        <w:fldChar w:fldCharType="begin"/>
      </w:r>
      <w:r>
        <w:instrText xml:space="preserve"> HYPERLINK "https://sk.wikipedia.org/wiki/19._storo%C4%8Die" \o "19. storočie"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19. storočia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. Nachádza sa v časti Rieka.</w:t>
      </w:r>
    </w:p>
    <w:p w14:paraId="76CFBAD4">
      <w:pPr>
        <w:spacing w:after="0" w:line="240" w:lineRule="auto"/>
        <w:ind w:left="113"/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  <w:t>Zdroj: Wikipédia</w:t>
      </w:r>
    </w:p>
    <w:p w14:paraId="0B586068">
      <w:pPr>
        <w:spacing w:after="0" w:line="240" w:lineRule="auto"/>
        <w:ind w:left="113"/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</w:pPr>
    </w:p>
    <w:p w14:paraId="2CC2846F">
      <w:pPr>
        <w:pStyle w:val="2"/>
        <w:rPr>
          <w:rFonts w:ascii="Arial Narrow" w:hAnsi="Arial Narrow"/>
          <w:color w:val="000000"/>
          <w:sz w:val="24"/>
          <w:szCs w:val="24"/>
          <w:lang w:eastAsia="sk-SK"/>
        </w:rPr>
      </w:pPr>
      <w:bookmarkStart w:id="12" w:name="_Toc74047037"/>
      <w:r>
        <w:rPr>
          <w:rFonts w:ascii="Arial Narrow" w:hAnsi="Arial Narrow"/>
          <w:color w:val="000000"/>
          <w:sz w:val="26"/>
          <w:szCs w:val="26"/>
          <w:lang w:eastAsia="sk-SK"/>
        </w:rPr>
        <w:t>6. Plnenie funkcií obce (prenesené kompetencie, originálne kompetencie)</w:t>
      </w:r>
      <w:bookmarkEnd w:id="12"/>
      <w:r>
        <w:rPr>
          <w:rFonts w:ascii="Arial Narrow" w:hAnsi="Arial Narrow"/>
          <w:color w:val="000000"/>
          <w:sz w:val="26"/>
          <w:szCs w:val="26"/>
          <w:lang w:eastAsia="sk-SK"/>
        </w:rPr>
        <w:t> </w:t>
      </w:r>
      <w:r>
        <w:rPr>
          <w:rFonts w:ascii="Arial Narrow" w:hAnsi="Arial Narrow"/>
          <w:color w:val="000000"/>
          <w:sz w:val="24"/>
          <w:szCs w:val="24"/>
          <w:lang w:eastAsia="sk-SK"/>
        </w:rPr>
        <w:t> </w:t>
      </w:r>
    </w:p>
    <w:p w14:paraId="5AEDFC5B">
      <w:pPr>
        <w:rPr>
          <w:lang w:val="zh-CN" w:eastAsia="sk-SK"/>
        </w:rPr>
      </w:pPr>
    </w:p>
    <w:p w14:paraId="68C2F884">
      <w:pPr>
        <w:pStyle w:val="3"/>
        <w:rPr>
          <w:rFonts w:ascii="Arial Narrow" w:hAnsi="Arial Narrow" w:eastAsia="Times New Roman" w:cs="Times New Roman"/>
          <w:sz w:val="24"/>
          <w:szCs w:val="24"/>
          <w:lang w:eastAsia="sk-SK"/>
        </w:rPr>
      </w:pPr>
      <w:bookmarkStart w:id="13" w:name="_Toc74047038"/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6.1. Výchova a vzdelávanie</w:t>
      </w:r>
      <w:bookmarkEnd w:id="13"/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  </w:t>
      </w:r>
    </w:p>
    <w:p w14:paraId="0E4F6A40">
      <w:pPr>
        <w:spacing w:before="443" w:after="0" w:line="240" w:lineRule="auto"/>
        <w:ind w:left="117" w:right="229" w:firstLine="11"/>
        <w:jc w:val="both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         Školopovinné deti z obce navštevujú základné školy v Nižnom Klátove a Košiciach. Najbližšie stredné školy, ktoré študenti navštevujú sú v Košiciach. Predškolské zariadenia navštevujú deti v obci Hyľov, Rudník a v meste Košice.</w:t>
      </w:r>
    </w:p>
    <w:p w14:paraId="1298D3B7">
      <w:pPr>
        <w:pStyle w:val="3"/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</w:pPr>
      <w:bookmarkStart w:id="14" w:name="_Toc74047039"/>
    </w:p>
    <w:p w14:paraId="480B89BB">
      <w:pPr>
        <w:pStyle w:val="3"/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6.2. Zdravotníctvo</w:t>
      </w:r>
      <w:bookmarkEnd w:id="14"/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 </w:t>
      </w:r>
    </w:p>
    <w:p w14:paraId="41FAD88B">
      <w:pPr>
        <w:pStyle w:val="3"/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</w:pPr>
    </w:p>
    <w:p w14:paraId="01ACCD0F">
      <w:pPr>
        <w:spacing w:before="128" w:after="0" w:line="240" w:lineRule="auto"/>
        <w:ind w:right="229"/>
        <w:jc w:val="both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         Základná a odborná  zdravotná starostlivosť je zabezpečovaná v Košiciach a Moldave nad Bodvou, ktorá je zabezpečovaná prostredníctvom  siete zdravotníckych zariadení pre obyvateľov regiónu. </w:t>
      </w:r>
    </w:p>
    <w:p w14:paraId="65F99DAD">
      <w:pPr>
        <w:pStyle w:val="3"/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</w:pPr>
      <w:bookmarkStart w:id="15" w:name="_Toc74047040"/>
    </w:p>
    <w:p w14:paraId="7931C234">
      <w:pPr>
        <w:pStyle w:val="3"/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6.3. Sociálne zabezpečenie</w:t>
      </w:r>
      <w:bookmarkEnd w:id="15"/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 </w:t>
      </w:r>
    </w:p>
    <w:p w14:paraId="5A14CF05">
      <w:pPr>
        <w:pStyle w:val="3"/>
        <w:rPr>
          <w:rFonts w:ascii="Arial Narrow" w:hAnsi="Arial Narrow" w:eastAsia="Times New Roman" w:cs="Times New Roman"/>
          <w:sz w:val="20"/>
          <w:szCs w:val="20"/>
          <w:lang w:eastAsia="sk-SK"/>
        </w:rPr>
      </w:pPr>
    </w:p>
    <w:p w14:paraId="68409866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     V súčasnosti obec Zlatá Idka neposkytuje, nezabezpečuje a nemá zapísanú sociálnu službu v Registri poskytovateľov sociálnych služieb Košického samosprávneho kraja.</w:t>
      </w:r>
    </w:p>
    <w:p w14:paraId="07D3F7B6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Obec v prípade potreby podporuje:</w:t>
      </w:r>
    </w:p>
    <w:p w14:paraId="226F9B47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40443B8E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- poskytovanie sociálnych služieb s verejnými a neverejnými poskytovateľmi pre potreby obce na základe zmluvy s poskytovateľom.</w:t>
      </w:r>
    </w:p>
    <w:p w14:paraId="29650C40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0BB09975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Zoznam poskytovateľov sociálnych služieb v územnom obvode obce Zlatá Idka:</w:t>
      </w:r>
    </w:p>
    <w:p w14:paraId="7F7FD151">
      <w:pPr>
        <w:pStyle w:val="37"/>
        <w:numPr>
          <w:ilvl w:val="0"/>
          <w:numId w:val="1"/>
        </w:numPr>
        <w:ind w:right="675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V súčasnosti nie je registrovaný iný verejný alebo neverejný poskytovateľ sociálnej</w:t>
      </w:r>
    </w:p>
    <w:p w14:paraId="5C74A72A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služby v územnom obvode obce Zlatá Idka a žiadny subjekt neponúkol spoluprácu</w:t>
      </w:r>
    </w:p>
    <w:p w14:paraId="21F94E45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pri poskytovaní potrebných sociálnych služieb v územnom obvode obce Zlatá Idka.</w:t>
      </w:r>
    </w:p>
    <w:p w14:paraId="5969AA5B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5539D8D9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2B238AEB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  </w:t>
      </w:r>
      <w:bookmarkStart w:id="16" w:name="_Toc74047041"/>
      <w:r>
        <w:rPr>
          <w:rFonts w:ascii="Arial Narrow" w:hAnsi="Arial Narrow"/>
          <w:b/>
          <w:bCs/>
          <w:color w:val="000000"/>
          <w:sz w:val="24"/>
          <w:szCs w:val="24"/>
        </w:rPr>
        <w:t>6.4. Kultúra</w:t>
      </w:r>
      <w:bookmarkEnd w:id="16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 </w:t>
      </w:r>
    </w:p>
    <w:p w14:paraId="0FFE07E4">
      <w:pPr>
        <w:spacing w:before="6" w:after="0"/>
        <w:ind w:right="757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A4EDE1C">
      <w:pPr>
        <w:spacing w:before="6" w:after="0"/>
        <w:ind w:right="757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05391FE9">
      <w:pPr>
        <w:spacing w:before="6" w:after="0"/>
        <w:ind w:right="757"/>
        <w:jc w:val="both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 xml:space="preserve">           V obci sa nachádza kultúrny dom, ktorý slúži na organizovanie  rôznych kultúrnych podujatí, rodinných osláv a stretnutí. Obec organizuje kultúrne podujatia ako Deň obce, Mikuláš pre deti. Pre dôchodcov a deti - výlet na Kojšovskú hoľu vláčikom.</w:t>
      </w:r>
    </w:p>
    <w:p w14:paraId="12CFE146">
      <w:pPr>
        <w:spacing w:after="0"/>
        <w:ind w:right="675"/>
        <w:jc w:val="both"/>
        <w:rPr>
          <w:rFonts w:ascii="Arial Narrow" w:hAnsi="Arial Narrow"/>
          <w:sz w:val="20"/>
          <w:szCs w:val="20"/>
        </w:rPr>
      </w:pPr>
    </w:p>
    <w:p w14:paraId="599A2D5E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  6.5. Doprava</w:t>
      </w:r>
    </w:p>
    <w:p w14:paraId="3FEF2A96">
      <w:r>
        <w:t xml:space="preserve">     </w:t>
      </w:r>
    </w:p>
    <w:p w14:paraId="7AE9480A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    Prímesku autobusovú dopravu v obci zabezpečuje EUROBUS a.s. V obci sú vybudované zastávky so zastrešením a sedením.</w:t>
      </w:r>
    </w:p>
    <w:p w14:paraId="63A18DF7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  6.6. Územné plánovanie</w:t>
      </w:r>
    </w:p>
    <w:p w14:paraId="2DE8B0D2">
      <w:r>
        <w:t xml:space="preserve">     </w:t>
      </w:r>
    </w:p>
    <w:p w14:paraId="336BBB68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   Územný plán obce Zlata Idka bol vypracovaný v roku 1995. Zmeny a úpravy územného plánu obec riešila doplnkami ( 6 doplnkami). </w:t>
      </w:r>
    </w:p>
    <w:p w14:paraId="18E0228E">
      <w:pPr>
        <w:rPr>
          <w:rFonts w:ascii="Arial Narrow" w:hAnsi="Arial Narrow"/>
          <w:color w:val="C00000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</w:t>
      </w:r>
    </w:p>
    <w:p w14:paraId="2D025238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7" w:name="_Toc74047042"/>
      <w:r>
        <w:rPr>
          <w:rFonts w:ascii="Arial Narrow" w:hAnsi="Arial Narrow"/>
          <w:b/>
          <w:bCs/>
          <w:color w:val="000000"/>
          <w:sz w:val="24"/>
          <w:szCs w:val="24"/>
        </w:rPr>
        <w:t>6.7 Hospodárstvo</w:t>
      </w:r>
      <w:bookmarkEnd w:id="17"/>
    </w:p>
    <w:p w14:paraId="4310F709">
      <w:pPr>
        <w:pStyle w:val="3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2BE3674">
      <w:pPr>
        <w:spacing w:before="128" w:after="0" w:line="240" w:lineRule="auto"/>
        <w:ind w:left="110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Najvýznamnejšie podnikateľské subjekty v obci sú : </w:t>
      </w:r>
    </w:p>
    <w:p w14:paraId="0D36D768">
      <w:pPr>
        <w:pStyle w:val="37"/>
        <w:numPr>
          <w:ilvl w:val="0"/>
          <w:numId w:val="1"/>
        </w:numPr>
        <w:spacing w:before="128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KOREKT PLUS s.r.o.</w:t>
      </w:r>
    </w:p>
    <w:p w14:paraId="58CF1278">
      <w:pPr>
        <w:pStyle w:val="37"/>
        <w:numPr>
          <w:ilvl w:val="0"/>
          <w:numId w:val="1"/>
        </w:numPr>
        <w:spacing w:before="128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CHEMAKO s.r.o.</w:t>
      </w:r>
    </w:p>
    <w:p w14:paraId="3E4A387C">
      <w:pPr>
        <w:pStyle w:val="37"/>
        <w:spacing w:before="128"/>
        <w:ind w:left="0"/>
        <w:rPr>
          <w:rFonts w:ascii="Arial Narrow" w:hAnsi="Arial Narrow"/>
          <w:color w:val="000000"/>
          <w:sz w:val="20"/>
          <w:szCs w:val="20"/>
        </w:rPr>
      </w:pPr>
    </w:p>
    <w:p w14:paraId="63698097">
      <w:pPr>
        <w:pStyle w:val="2"/>
        <w:rPr>
          <w:rFonts w:ascii="Arial Narrow" w:hAnsi="Arial Narrow"/>
          <w:color w:val="FF0000"/>
          <w:sz w:val="24"/>
          <w:szCs w:val="24"/>
        </w:rPr>
      </w:pPr>
      <w:bookmarkStart w:id="18" w:name="_Toc74047043"/>
      <w:r>
        <w:rPr>
          <w:rFonts w:ascii="Arial Narrow" w:hAnsi="Arial Narrow"/>
          <w:color w:val="FF0000"/>
          <w:sz w:val="24"/>
          <w:szCs w:val="24"/>
        </w:rPr>
        <w:t>7. Informácia o vývoji obce z pohľadu rozpočtovníctva</w:t>
      </w:r>
      <w:bookmarkEnd w:id="18"/>
      <w:r>
        <w:rPr>
          <w:rFonts w:ascii="Arial Narrow" w:hAnsi="Arial Narrow"/>
          <w:color w:val="FF0000"/>
          <w:sz w:val="24"/>
          <w:szCs w:val="24"/>
        </w:rPr>
        <w:t> </w:t>
      </w:r>
    </w:p>
    <w:p w14:paraId="21AF4C93">
      <w:pPr>
        <w:ind w:left="709"/>
        <w:jc w:val="both"/>
        <w:rPr>
          <w:rFonts w:ascii="Arial Narrow" w:hAnsi="Arial Narrow" w:cs="Arial"/>
          <w:sz w:val="20"/>
          <w:szCs w:val="20"/>
        </w:rPr>
      </w:pPr>
      <w:bookmarkStart w:id="19" w:name="_Hlk133228031"/>
      <w:r>
        <w:rPr>
          <w:rFonts w:ascii="Arial Narrow" w:hAnsi="Arial Narrow" w:cs="Arial"/>
          <w:sz w:val="20"/>
          <w:szCs w:val="20"/>
        </w:rPr>
        <w:t>Základným   nástrojom  finančného  hospodárenia  obce  bol   rozpočet   obce   na  rok   2024.</w:t>
      </w:r>
    </w:p>
    <w:p w14:paraId="36934A61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4269E32C">
      <w:pPr>
        <w:ind w:left="709"/>
        <w:jc w:val="both"/>
        <w:rPr>
          <w:rFonts w:ascii="Arial Narrow" w:hAnsi="Arial Narrow" w:cs="Arial"/>
          <w:b/>
          <w:color w:val="FF0000"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Obecné zastupiteľstvo schválilo rozpočet na rok 2024 na svojom zasadnutí uznesením č.76/2023 dňa: 16.12.2023    </w:t>
      </w:r>
      <w:r>
        <w:rPr>
          <w:rFonts w:ascii="Arial Narrow" w:hAnsi="Arial Narrow" w:cs="Arial"/>
          <w:b/>
          <w:color w:val="FF0000"/>
          <w:sz w:val="20"/>
          <w:szCs w:val="20"/>
        </w:rPr>
        <w:t>.</w:t>
      </w:r>
    </w:p>
    <w:p w14:paraId="3A8D99E9">
      <w:pPr>
        <w:ind w:left="709"/>
        <w:jc w:val="both"/>
        <w:rPr>
          <w:rFonts w:ascii="Arial Narrow" w:hAnsi="Arial Narrow" w:cs="Arial"/>
          <w:bCs/>
          <w:color w:val="FF0000"/>
          <w:sz w:val="20"/>
          <w:szCs w:val="20"/>
        </w:rPr>
      </w:pPr>
    </w:p>
    <w:p w14:paraId="3CD75279">
      <w:pPr>
        <w:ind w:left="709"/>
        <w:jc w:val="both"/>
        <w:rPr>
          <w:rFonts w:ascii="Arial Narrow" w:hAnsi="Arial Narrow" w:cs="Arial"/>
          <w:color w:val="FF0000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Obec zostavila rozpočet podľa ustanovenia § 10 odsek 7) zákona č.583/2004 Z.z. o rozpočtových pravidlách územnej samosprávy a o zmene a doplnení niektorých zákonov v znení neskorších predpisov. Rozpočet obce na rok 2024 bol zostavený ako prebytkový. Bežný rozpočet bol zostavený ako prebytkový, kapitálový ako schodkový</w:t>
      </w:r>
      <w:r>
        <w:rPr>
          <w:rFonts w:ascii="Arial Narrow" w:hAnsi="Arial Narrow" w:cs="Arial"/>
          <w:color w:val="FF0000"/>
          <w:sz w:val="20"/>
          <w:szCs w:val="20"/>
        </w:rPr>
        <w:t xml:space="preserve">. </w:t>
      </w:r>
    </w:p>
    <w:p w14:paraId="2B11320B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1D546E9C">
      <w:pPr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     Vývoj rozpočtového hospodárenia v roku 2024 si vyžiadal úpravu príjmových a výdavkových položiek.</w:t>
      </w:r>
    </w:p>
    <w:p w14:paraId="5A586859">
      <w:pPr>
        <w:jc w:val="both"/>
        <w:rPr>
          <w:rFonts w:ascii="Arial Narrow" w:hAnsi="Arial Narrow" w:cs="Arial"/>
          <w:sz w:val="20"/>
          <w:szCs w:val="20"/>
        </w:rPr>
      </w:pPr>
    </w:p>
    <w:p w14:paraId="6A87C484">
      <w:p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           Zmeny rozpočtu: </w:t>
      </w:r>
    </w:p>
    <w:p w14:paraId="7E545FBD">
      <w:pPr>
        <w:numPr>
          <w:ilvl w:val="0"/>
          <w:numId w:val="2"/>
        </w:numPr>
        <w:spacing w:after="0" w:line="24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prvá  zmena  schválená obecným zastupiteľstvom dňa 21.06.2024 uznesením č.21/2024</w:t>
      </w:r>
    </w:p>
    <w:p w14:paraId="35E04DA8">
      <w:pPr>
        <w:numPr>
          <w:ilvl w:val="0"/>
          <w:numId w:val="2"/>
        </w:numPr>
        <w:spacing w:after="0" w:line="240" w:lineRule="auto"/>
        <w:jc w:val="both"/>
        <w:rPr>
          <w:b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druhá zmena schválená obecným zastupiteľstvom dňa 18.10.2024 uznesením č.40/2024 </w:t>
      </w:r>
    </w:p>
    <w:p w14:paraId="41C89BC0">
      <w:pPr>
        <w:ind w:left="720"/>
        <w:jc w:val="both"/>
        <w:rPr>
          <w:rFonts w:ascii="Arial Narrow" w:hAnsi="Arial Narrow"/>
          <w:sz w:val="20"/>
          <w:szCs w:val="20"/>
        </w:rPr>
      </w:pPr>
    </w:p>
    <w:p w14:paraId="1FEEEEA6">
      <w:pPr>
        <w:ind w:left="709"/>
        <w:jc w:val="both"/>
        <w:rPr>
          <w:rFonts w:ascii="Cambria" w:hAnsi="Cambria" w:cs="Arial"/>
          <w:sz w:val="20"/>
          <w:szCs w:val="20"/>
        </w:rPr>
      </w:pPr>
    </w:p>
    <w:p w14:paraId="09D65869">
      <w:pPr>
        <w:tabs>
          <w:tab w:val="left" w:pos="2355"/>
          <w:tab w:val="center" w:pos="4536"/>
        </w:tabs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      Rozpočet obce na rok 2024 v €:    </w:t>
      </w:r>
    </w:p>
    <w:p w14:paraId="552D2E7C">
      <w:pPr>
        <w:tabs>
          <w:tab w:val="left" w:pos="2355"/>
          <w:tab w:val="center" w:pos="4536"/>
        </w:tabs>
        <w:rPr>
          <w:rFonts w:ascii="Cambria" w:hAnsi="Cambria" w:cs="Arial"/>
          <w:b/>
          <w:sz w:val="20"/>
          <w:szCs w:val="20"/>
        </w:rPr>
      </w:pPr>
    </w:p>
    <w:tbl>
      <w:tblPr>
        <w:tblStyle w:val="7"/>
        <w:tblW w:w="85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43"/>
        <w:gridCol w:w="1496"/>
        <w:gridCol w:w="1368"/>
        <w:gridCol w:w="1541"/>
      </w:tblGrid>
      <w:tr w14:paraId="54CBD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0" w:type="auto"/>
            <w:shd w:val="clear" w:color="auto" w:fill="D9D9D9"/>
          </w:tcPr>
          <w:p w14:paraId="57DD22C8">
            <w:pPr>
              <w:tabs>
                <w:tab w:val="left" w:pos="2355"/>
                <w:tab w:val="center" w:pos="4536"/>
              </w:tabs>
              <w:jc w:val="right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/>
          </w:tcPr>
          <w:p w14:paraId="40FAE4CC">
            <w:pPr>
              <w:tabs>
                <w:tab w:val="left" w:pos="2355"/>
                <w:tab w:val="center" w:pos="4536"/>
              </w:tabs>
              <w:jc w:val="right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Schválený</w:t>
            </w:r>
          </w:p>
          <w:p w14:paraId="0232841E">
            <w:pPr>
              <w:tabs>
                <w:tab w:val="left" w:pos="2355"/>
                <w:tab w:val="center" w:pos="4536"/>
              </w:tabs>
              <w:jc w:val="right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2024</w:t>
            </w:r>
          </w:p>
        </w:tc>
        <w:tc>
          <w:tcPr>
            <w:tcW w:w="1368" w:type="dxa"/>
            <w:shd w:val="clear" w:color="auto" w:fill="D9D9D9"/>
          </w:tcPr>
          <w:p w14:paraId="699800EE">
            <w:pPr>
              <w:tabs>
                <w:tab w:val="left" w:pos="2355"/>
                <w:tab w:val="center" w:pos="4536"/>
              </w:tabs>
              <w:jc w:val="right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Upravený k</w:t>
            </w:r>
          </w:p>
          <w:p w14:paraId="7061810D">
            <w:pPr>
              <w:tabs>
                <w:tab w:val="left" w:pos="2355"/>
                <w:tab w:val="center" w:pos="4536"/>
              </w:tabs>
              <w:jc w:val="right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31.12.2024</w:t>
            </w:r>
          </w:p>
        </w:tc>
        <w:tc>
          <w:tcPr>
            <w:tcW w:w="1541" w:type="dxa"/>
            <w:shd w:val="clear" w:color="auto" w:fill="D9D9D9"/>
          </w:tcPr>
          <w:p w14:paraId="6B67D90F">
            <w:pPr>
              <w:tabs>
                <w:tab w:val="left" w:pos="2355"/>
                <w:tab w:val="center" w:pos="4536"/>
              </w:tabs>
              <w:jc w:val="right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Skutočnosť k</w:t>
            </w:r>
          </w:p>
          <w:p w14:paraId="0078A5E9">
            <w:pPr>
              <w:tabs>
                <w:tab w:val="left" w:pos="2355"/>
                <w:tab w:val="center" w:pos="4536"/>
              </w:tabs>
              <w:jc w:val="right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31.12.2024</w:t>
            </w:r>
          </w:p>
        </w:tc>
      </w:tr>
      <w:tr w14:paraId="5E4FB8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</w:tcPr>
          <w:p w14:paraId="60E19647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Bežné príjmy celkom</w:t>
            </w:r>
          </w:p>
        </w:tc>
        <w:tc>
          <w:tcPr>
            <w:tcW w:w="1496" w:type="dxa"/>
          </w:tcPr>
          <w:p w14:paraId="284A1ACA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194 700,00</w:t>
            </w:r>
          </w:p>
        </w:tc>
        <w:tc>
          <w:tcPr>
            <w:tcW w:w="1368" w:type="dxa"/>
          </w:tcPr>
          <w:p w14:paraId="0421D985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194 700,00</w:t>
            </w:r>
          </w:p>
        </w:tc>
        <w:tc>
          <w:tcPr>
            <w:tcW w:w="1541" w:type="dxa"/>
          </w:tcPr>
          <w:p w14:paraId="0173397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202 669,77</w:t>
            </w:r>
          </w:p>
        </w:tc>
      </w:tr>
      <w:tr w14:paraId="18A54B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</w:tcPr>
          <w:p w14:paraId="4627811B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Bežné výdavky celkom</w:t>
            </w:r>
          </w:p>
        </w:tc>
        <w:tc>
          <w:tcPr>
            <w:tcW w:w="1496" w:type="dxa"/>
          </w:tcPr>
          <w:p w14:paraId="3C7B289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172 400,00</w:t>
            </w:r>
          </w:p>
        </w:tc>
        <w:tc>
          <w:tcPr>
            <w:tcW w:w="1368" w:type="dxa"/>
          </w:tcPr>
          <w:p w14:paraId="6FABED0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172 400,00</w:t>
            </w:r>
          </w:p>
        </w:tc>
        <w:tc>
          <w:tcPr>
            <w:tcW w:w="1541" w:type="dxa"/>
          </w:tcPr>
          <w:p w14:paraId="70DD30A2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169 227,41</w:t>
            </w:r>
          </w:p>
        </w:tc>
      </w:tr>
      <w:tr w14:paraId="36B070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shd w:val="clear" w:color="auto" w:fill="D9E2F3"/>
          </w:tcPr>
          <w:p w14:paraId="7CD32754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Sumár bežného rozpočtu</w:t>
            </w:r>
          </w:p>
        </w:tc>
        <w:tc>
          <w:tcPr>
            <w:tcW w:w="1496" w:type="dxa"/>
            <w:shd w:val="clear" w:color="auto" w:fill="D9E2F3"/>
          </w:tcPr>
          <w:p w14:paraId="59FF9CFE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22 300,00</w:t>
            </w:r>
          </w:p>
        </w:tc>
        <w:tc>
          <w:tcPr>
            <w:tcW w:w="1368" w:type="dxa"/>
            <w:shd w:val="clear" w:color="auto" w:fill="D9E2F3"/>
          </w:tcPr>
          <w:p w14:paraId="7B95F8E8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22 300,00</w:t>
            </w:r>
          </w:p>
        </w:tc>
        <w:tc>
          <w:tcPr>
            <w:tcW w:w="1541" w:type="dxa"/>
            <w:shd w:val="clear" w:color="auto" w:fill="D9E2F3"/>
          </w:tcPr>
          <w:p w14:paraId="09CD757C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33 442,36</w:t>
            </w:r>
          </w:p>
        </w:tc>
      </w:tr>
      <w:tr w14:paraId="591727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</w:tcPr>
          <w:p w14:paraId="608F4F98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496" w:type="dxa"/>
          </w:tcPr>
          <w:p w14:paraId="7FA6D83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368" w:type="dxa"/>
          </w:tcPr>
          <w:p w14:paraId="4A33A4CC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541" w:type="dxa"/>
          </w:tcPr>
          <w:p w14:paraId="5288F9B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</w:tr>
      <w:tr w14:paraId="27B8A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" w:hRule="atLeast"/>
          <w:jc w:val="center"/>
        </w:trPr>
        <w:tc>
          <w:tcPr>
            <w:tcW w:w="0" w:type="auto"/>
          </w:tcPr>
          <w:p w14:paraId="37DF0952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Kapitálové príjmy celkom</w:t>
            </w:r>
          </w:p>
        </w:tc>
        <w:tc>
          <w:tcPr>
            <w:tcW w:w="1496" w:type="dxa"/>
          </w:tcPr>
          <w:p w14:paraId="2087F1E5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3 284 498,19</w:t>
            </w:r>
          </w:p>
        </w:tc>
        <w:tc>
          <w:tcPr>
            <w:tcW w:w="1368" w:type="dxa"/>
          </w:tcPr>
          <w:p w14:paraId="04A2712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3 284 498,19</w:t>
            </w:r>
          </w:p>
        </w:tc>
        <w:tc>
          <w:tcPr>
            <w:tcW w:w="1541" w:type="dxa"/>
          </w:tcPr>
          <w:p w14:paraId="568FDAD5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4 463,85</w:t>
            </w:r>
          </w:p>
        </w:tc>
      </w:tr>
      <w:tr w14:paraId="13247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</w:tcPr>
          <w:p w14:paraId="3FD11D1A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Kapitálové výdavky celkom</w:t>
            </w:r>
          </w:p>
        </w:tc>
        <w:tc>
          <w:tcPr>
            <w:tcW w:w="1496" w:type="dxa"/>
          </w:tcPr>
          <w:p w14:paraId="4E3803B0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3 352 355,19</w:t>
            </w:r>
          </w:p>
        </w:tc>
        <w:tc>
          <w:tcPr>
            <w:tcW w:w="1368" w:type="dxa"/>
          </w:tcPr>
          <w:p w14:paraId="0D31F747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3 408 455,19</w:t>
            </w:r>
          </w:p>
        </w:tc>
        <w:tc>
          <w:tcPr>
            <w:tcW w:w="1541" w:type="dxa"/>
          </w:tcPr>
          <w:p w14:paraId="387319B3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122 169,07</w:t>
            </w:r>
          </w:p>
        </w:tc>
      </w:tr>
      <w:tr w14:paraId="58056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shd w:val="clear" w:color="auto" w:fill="D9E2F3"/>
          </w:tcPr>
          <w:p w14:paraId="5BDAC5F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Sumár kapitálového rozpočtu</w:t>
            </w:r>
          </w:p>
        </w:tc>
        <w:tc>
          <w:tcPr>
            <w:tcW w:w="1496" w:type="dxa"/>
            <w:shd w:val="clear" w:color="auto" w:fill="D9E2F3"/>
          </w:tcPr>
          <w:p w14:paraId="43816C8C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-67 857,00</w:t>
            </w:r>
          </w:p>
        </w:tc>
        <w:tc>
          <w:tcPr>
            <w:tcW w:w="1368" w:type="dxa"/>
            <w:shd w:val="clear" w:color="auto" w:fill="D9E2F3"/>
          </w:tcPr>
          <w:p w14:paraId="70BDDD6F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-123 957,00</w:t>
            </w:r>
          </w:p>
        </w:tc>
        <w:tc>
          <w:tcPr>
            <w:tcW w:w="1541" w:type="dxa"/>
            <w:shd w:val="clear" w:color="auto" w:fill="D9E2F3"/>
          </w:tcPr>
          <w:p w14:paraId="4E85829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-117 705,22</w:t>
            </w:r>
          </w:p>
        </w:tc>
      </w:tr>
      <w:tr w14:paraId="31BCA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</w:tcPr>
          <w:p w14:paraId="3D1F30BF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496" w:type="dxa"/>
          </w:tcPr>
          <w:p w14:paraId="13067264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368" w:type="dxa"/>
          </w:tcPr>
          <w:p w14:paraId="5D55FA0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541" w:type="dxa"/>
          </w:tcPr>
          <w:p w14:paraId="486AC210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</w:tr>
      <w:tr w14:paraId="2FCEC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</w:tcPr>
          <w:p w14:paraId="4623A414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Finančné operácie príjmové</w:t>
            </w:r>
          </w:p>
        </w:tc>
        <w:tc>
          <w:tcPr>
            <w:tcW w:w="1496" w:type="dxa"/>
          </w:tcPr>
          <w:p w14:paraId="7A70254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67 857,00</w:t>
            </w:r>
          </w:p>
        </w:tc>
        <w:tc>
          <w:tcPr>
            <w:tcW w:w="1368" w:type="dxa"/>
          </w:tcPr>
          <w:p w14:paraId="4187E242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103 957,00</w:t>
            </w:r>
          </w:p>
        </w:tc>
        <w:tc>
          <w:tcPr>
            <w:tcW w:w="1541" w:type="dxa"/>
          </w:tcPr>
          <w:p w14:paraId="4795A01B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116 112,00</w:t>
            </w:r>
          </w:p>
        </w:tc>
      </w:tr>
      <w:tr w14:paraId="42FAC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</w:tcPr>
          <w:p w14:paraId="37056A31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Finančné operácie výdavkové</w:t>
            </w:r>
          </w:p>
        </w:tc>
        <w:tc>
          <w:tcPr>
            <w:tcW w:w="1496" w:type="dxa"/>
          </w:tcPr>
          <w:p w14:paraId="34131F1A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0,00</w:t>
            </w:r>
          </w:p>
        </w:tc>
        <w:tc>
          <w:tcPr>
            <w:tcW w:w="1368" w:type="dxa"/>
          </w:tcPr>
          <w:p w14:paraId="4ADEE06F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0,00</w:t>
            </w:r>
          </w:p>
        </w:tc>
        <w:tc>
          <w:tcPr>
            <w:tcW w:w="1541" w:type="dxa"/>
          </w:tcPr>
          <w:p w14:paraId="3A0DFD0E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0,00</w:t>
            </w:r>
          </w:p>
        </w:tc>
      </w:tr>
      <w:tr w14:paraId="10C41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shd w:val="clear" w:color="auto" w:fill="D9E2F3"/>
          </w:tcPr>
          <w:p w14:paraId="49783015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Sumár finančných operácii</w:t>
            </w:r>
          </w:p>
        </w:tc>
        <w:tc>
          <w:tcPr>
            <w:tcW w:w="1496" w:type="dxa"/>
            <w:shd w:val="clear" w:color="auto" w:fill="D9E2F3"/>
          </w:tcPr>
          <w:p w14:paraId="66744FCF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67 857,00</w:t>
            </w:r>
          </w:p>
        </w:tc>
        <w:tc>
          <w:tcPr>
            <w:tcW w:w="1368" w:type="dxa"/>
            <w:shd w:val="clear" w:color="auto" w:fill="D9E2F3"/>
          </w:tcPr>
          <w:p w14:paraId="7FCFF528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103 957,00</w:t>
            </w:r>
          </w:p>
        </w:tc>
        <w:tc>
          <w:tcPr>
            <w:tcW w:w="1541" w:type="dxa"/>
            <w:shd w:val="clear" w:color="auto" w:fill="D9E2F3"/>
          </w:tcPr>
          <w:p w14:paraId="28584135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116 112,00</w:t>
            </w:r>
          </w:p>
        </w:tc>
      </w:tr>
      <w:tr w14:paraId="7B340C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" w:hRule="atLeast"/>
          <w:jc w:val="center"/>
        </w:trPr>
        <w:tc>
          <w:tcPr>
            <w:tcW w:w="0" w:type="auto"/>
          </w:tcPr>
          <w:p w14:paraId="6FEF189A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496" w:type="dxa"/>
          </w:tcPr>
          <w:p w14:paraId="4BE172E5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368" w:type="dxa"/>
          </w:tcPr>
          <w:p w14:paraId="727536EF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541" w:type="dxa"/>
          </w:tcPr>
          <w:p w14:paraId="346261A3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</w:tr>
      <w:tr w14:paraId="2BD12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</w:tcPr>
          <w:p w14:paraId="610E7FD1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Celkové príjmy spolu</w:t>
            </w:r>
          </w:p>
        </w:tc>
        <w:tc>
          <w:tcPr>
            <w:tcW w:w="1496" w:type="dxa"/>
          </w:tcPr>
          <w:p w14:paraId="4B6D1ECF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3 547 055,19</w:t>
            </w:r>
          </w:p>
        </w:tc>
        <w:tc>
          <w:tcPr>
            <w:tcW w:w="1368" w:type="dxa"/>
          </w:tcPr>
          <w:p w14:paraId="64018343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3 583 155,19</w:t>
            </w:r>
          </w:p>
        </w:tc>
        <w:tc>
          <w:tcPr>
            <w:tcW w:w="1541" w:type="dxa"/>
          </w:tcPr>
          <w:p w14:paraId="21F4C7A0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323 245,62</w:t>
            </w:r>
          </w:p>
        </w:tc>
      </w:tr>
      <w:tr w14:paraId="2211B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</w:tcPr>
          <w:p w14:paraId="6B4CD627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Celkové výdavky spolu</w:t>
            </w:r>
          </w:p>
        </w:tc>
        <w:tc>
          <w:tcPr>
            <w:tcW w:w="1496" w:type="dxa"/>
          </w:tcPr>
          <w:p w14:paraId="6D7BEED7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3 524 755,19</w:t>
            </w:r>
          </w:p>
        </w:tc>
        <w:tc>
          <w:tcPr>
            <w:tcW w:w="1368" w:type="dxa"/>
          </w:tcPr>
          <w:p w14:paraId="758F0A72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3 580 855,19</w:t>
            </w:r>
          </w:p>
        </w:tc>
        <w:tc>
          <w:tcPr>
            <w:tcW w:w="1541" w:type="dxa"/>
          </w:tcPr>
          <w:p w14:paraId="77B74284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291 396,48</w:t>
            </w:r>
          </w:p>
        </w:tc>
      </w:tr>
      <w:tr w14:paraId="511A7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shd w:val="clear" w:color="auto" w:fill="D9E2F3"/>
          </w:tcPr>
          <w:p w14:paraId="35C2E482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Účtovný prebytok/schodok</w:t>
            </w:r>
          </w:p>
        </w:tc>
        <w:tc>
          <w:tcPr>
            <w:tcW w:w="1496" w:type="dxa"/>
            <w:shd w:val="clear" w:color="auto" w:fill="D9E2F3"/>
          </w:tcPr>
          <w:p w14:paraId="19344FB7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22 300,00</w:t>
            </w:r>
          </w:p>
        </w:tc>
        <w:tc>
          <w:tcPr>
            <w:tcW w:w="1368" w:type="dxa"/>
            <w:shd w:val="clear" w:color="auto" w:fill="D9E2F3"/>
          </w:tcPr>
          <w:p w14:paraId="6AC8CD04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2 300,00</w:t>
            </w:r>
          </w:p>
        </w:tc>
        <w:tc>
          <w:tcPr>
            <w:tcW w:w="1541" w:type="dxa"/>
            <w:shd w:val="clear" w:color="auto" w:fill="D9E2F3"/>
          </w:tcPr>
          <w:p w14:paraId="4AD17DB4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31 849,14</w:t>
            </w:r>
          </w:p>
        </w:tc>
      </w:tr>
    </w:tbl>
    <w:p w14:paraId="08C6F16D">
      <w:pPr>
        <w:jc w:val="both"/>
        <w:rPr>
          <w:rFonts w:ascii="Arial Narrow" w:hAnsi="Arial Narrow" w:cs="Arial"/>
          <w:color w:val="FF0000"/>
          <w:sz w:val="20"/>
          <w:szCs w:val="20"/>
        </w:rPr>
      </w:pPr>
    </w:p>
    <w:bookmarkEnd w:id="19"/>
    <w:p w14:paraId="3D548A4C">
      <w:pPr>
        <w:tabs>
          <w:tab w:val="left" w:pos="2355"/>
          <w:tab w:val="center" w:pos="4536"/>
        </w:tabs>
        <w:rPr>
          <w:rFonts w:ascii="Cambria" w:hAnsi="Cambria" w:cs="Arial"/>
          <w:b/>
          <w:color w:val="FF0000"/>
          <w:sz w:val="20"/>
          <w:szCs w:val="20"/>
        </w:rPr>
      </w:pPr>
    </w:p>
    <w:p w14:paraId="430E566E">
      <w:pPr>
        <w:tabs>
          <w:tab w:val="left" w:pos="2355"/>
          <w:tab w:val="center" w:pos="4536"/>
        </w:tabs>
        <w:rPr>
          <w:rFonts w:ascii="Arial Narrow" w:hAnsi="Arial Narrow" w:cs="Arial"/>
          <w:b/>
          <w:color w:val="FF0000"/>
          <w:sz w:val="20"/>
          <w:szCs w:val="20"/>
        </w:rPr>
      </w:pPr>
      <w:r>
        <w:rPr>
          <w:rFonts w:ascii="Arial Narrow" w:hAnsi="Arial Narrow" w:cs="Arial"/>
          <w:b/>
          <w:color w:val="FF0000"/>
          <w:sz w:val="20"/>
          <w:szCs w:val="20"/>
        </w:rPr>
        <w:t xml:space="preserve">                           </w:t>
      </w:r>
    </w:p>
    <w:p w14:paraId="0C61343A">
      <w:pPr>
        <w:pStyle w:val="3"/>
        <w:rPr>
          <w:rFonts w:ascii="Arial Narrow" w:hAnsi="Arial Narrow"/>
          <w:b/>
          <w:bCs/>
          <w:color w:val="FF0000"/>
        </w:rPr>
      </w:pPr>
      <w:bookmarkStart w:id="20" w:name="_Toc74047044"/>
      <w:r>
        <w:rPr>
          <w:rFonts w:ascii="Arial Narrow" w:hAnsi="Arial Narrow"/>
          <w:b/>
          <w:bCs/>
          <w:color w:val="FF0000"/>
        </w:rPr>
        <w:t>7.1. Plnenie príjmov za rok 202</w:t>
      </w:r>
      <w:bookmarkEnd w:id="20"/>
      <w:r>
        <w:rPr>
          <w:rFonts w:ascii="Arial Narrow" w:hAnsi="Arial Narrow"/>
          <w:b/>
          <w:bCs/>
          <w:color w:val="FF0000"/>
        </w:rPr>
        <w:t>4</w:t>
      </w:r>
    </w:p>
    <w:p w14:paraId="508F7CB5">
      <w:pPr>
        <w:ind w:left="709"/>
        <w:rPr>
          <w:rFonts w:ascii="Arial Narrow" w:hAnsi="Arial Narrow" w:cs="Arial"/>
          <w:b/>
          <w:i/>
          <w:iCs/>
          <w:caps/>
          <w:color w:val="C00000"/>
          <w:sz w:val="20"/>
          <w:szCs w:val="20"/>
        </w:rPr>
      </w:pPr>
      <w:bookmarkStart w:id="21" w:name="_Hlk133228327"/>
    </w:p>
    <w:p w14:paraId="30EE6834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Za rok 2024  boli dosiahnuté </w:t>
      </w:r>
      <w:r>
        <w:rPr>
          <w:rFonts w:ascii="Arial Narrow" w:hAnsi="Arial Narrow" w:cs="Arial"/>
          <w:b/>
          <w:sz w:val="20"/>
          <w:szCs w:val="20"/>
        </w:rPr>
        <w:t>celkové príjmy spolu s finančnými operáciami</w:t>
      </w:r>
      <w:r>
        <w:rPr>
          <w:rFonts w:ascii="Arial Narrow" w:hAnsi="Arial Narrow" w:cs="Arial"/>
          <w:bCs/>
          <w:sz w:val="20"/>
          <w:szCs w:val="20"/>
        </w:rPr>
        <w:t xml:space="preserve"> v sume 323 245,62</w:t>
      </w:r>
      <w:r>
        <w:rPr>
          <w:rFonts w:ascii="Arial Narrow" w:hAnsi="Arial Narrow" w:cs="Arial"/>
          <w:b/>
          <w:sz w:val="20"/>
          <w:szCs w:val="20"/>
        </w:rPr>
        <w:t xml:space="preserve"> eur</w:t>
      </w:r>
      <w:r>
        <w:rPr>
          <w:rFonts w:ascii="Arial Narrow" w:hAnsi="Arial Narrow" w:cs="Arial"/>
          <w:bCs/>
          <w:sz w:val="20"/>
          <w:szCs w:val="20"/>
        </w:rPr>
        <w:t xml:space="preserve"> čo predstavuje 9,02 % plnenie upraveného rozpočtu.</w:t>
      </w:r>
    </w:p>
    <w:bookmarkEnd w:id="21"/>
    <w:p w14:paraId="260EA730">
      <w:pPr>
        <w:ind w:left="709"/>
        <w:rPr>
          <w:rFonts w:ascii="Arial Narrow" w:hAnsi="Arial Narrow" w:cs="Arial"/>
          <w:b/>
          <w:i/>
          <w:sz w:val="20"/>
          <w:szCs w:val="20"/>
        </w:rPr>
      </w:pPr>
    </w:p>
    <w:tbl>
      <w:tblPr>
        <w:tblStyle w:val="7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6700E1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vAlign w:val="center"/>
          </w:tcPr>
          <w:p w14:paraId="5FFC7B3B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Schválený rozpočet                  </w:t>
            </w:r>
          </w:p>
          <w:p w14:paraId="58F8CD2A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2024</w:t>
            </w:r>
          </w:p>
        </w:tc>
        <w:tc>
          <w:tcPr>
            <w:tcW w:w="2202" w:type="dxa"/>
            <w:shd w:val="clear" w:color="auto" w:fill="D9D9D9"/>
          </w:tcPr>
          <w:p w14:paraId="691ED758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Upravený</w:t>
            </w:r>
          </w:p>
          <w:p w14:paraId="682B7DED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2024</w:t>
            </w:r>
          </w:p>
        </w:tc>
        <w:tc>
          <w:tcPr>
            <w:tcW w:w="2233" w:type="dxa"/>
            <w:shd w:val="clear" w:color="auto" w:fill="D9D9D9"/>
            <w:vAlign w:val="center"/>
          </w:tcPr>
          <w:p w14:paraId="6B92C9EA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Skutočnosť k 31.12.2024</w:t>
            </w:r>
          </w:p>
        </w:tc>
        <w:tc>
          <w:tcPr>
            <w:tcW w:w="1672" w:type="dxa"/>
            <w:shd w:val="clear" w:color="auto" w:fill="D9D9D9"/>
            <w:vAlign w:val="center"/>
          </w:tcPr>
          <w:p w14:paraId="007A5959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%  plnenia</w:t>
            </w:r>
          </w:p>
        </w:tc>
      </w:tr>
      <w:tr w14:paraId="45A1A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vAlign w:val="center"/>
          </w:tcPr>
          <w:p w14:paraId="382F0835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3 547 055,19</w:t>
            </w:r>
          </w:p>
        </w:tc>
        <w:tc>
          <w:tcPr>
            <w:tcW w:w="2202" w:type="dxa"/>
            <w:vAlign w:val="center"/>
          </w:tcPr>
          <w:p w14:paraId="4E67FAEE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              3 583 155,19</w:t>
            </w:r>
          </w:p>
        </w:tc>
        <w:tc>
          <w:tcPr>
            <w:tcW w:w="2233" w:type="dxa"/>
            <w:vAlign w:val="center"/>
          </w:tcPr>
          <w:p w14:paraId="362C173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323 245,62</w:t>
            </w:r>
          </w:p>
        </w:tc>
        <w:tc>
          <w:tcPr>
            <w:tcW w:w="1672" w:type="dxa"/>
            <w:vAlign w:val="center"/>
          </w:tcPr>
          <w:p w14:paraId="3F5220A0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9,02</w:t>
            </w:r>
          </w:p>
        </w:tc>
      </w:tr>
    </w:tbl>
    <w:p w14:paraId="4A434EB2">
      <w:pPr>
        <w:rPr>
          <w:rFonts w:ascii="Arial Narrow" w:hAnsi="Arial Narrow" w:cs="Arial"/>
          <w:b/>
          <w:i/>
          <w:iCs/>
          <w:caps/>
          <w:color w:val="FF0000"/>
        </w:rPr>
      </w:pPr>
    </w:p>
    <w:p w14:paraId="12D69156">
      <w:pPr>
        <w:rPr>
          <w:rFonts w:ascii="Arial Narrow" w:hAnsi="Arial Narrow" w:cs="Arial"/>
          <w:b/>
          <w:i/>
          <w:iCs/>
          <w:caps/>
          <w:color w:val="FF0000"/>
        </w:rPr>
      </w:pPr>
      <w:r>
        <w:rPr>
          <w:rFonts w:ascii="Arial Narrow" w:hAnsi="Arial Narrow" w:cs="Arial"/>
          <w:b/>
          <w:i/>
          <w:iCs/>
          <w:caps/>
          <w:color w:val="FF0000"/>
        </w:rPr>
        <w:t xml:space="preserve"> Bežné príjmy </w:t>
      </w:r>
    </w:p>
    <w:p w14:paraId="030E3131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Bežné príjmy obce dosiahli za rok 2024 sumu 202 669,77 eur, čo je v porovnaní s upraveným rozpočtom zvýšenie o 7 969,77   eur. </w:t>
      </w:r>
    </w:p>
    <w:p w14:paraId="32E7EEC9">
      <w:pPr>
        <w:rPr>
          <w:rFonts w:ascii="Arial Narrow" w:hAnsi="Arial Narrow" w:cs="Arial"/>
          <w:bCs/>
          <w:sz w:val="20"/>
          <w:szCs w:val="20"/>
        </w:rPr>
      </w:pPr>
    </w:p>
    <w:p w14:paraId="2D2A9449">
      <w:pPr>
        <w:rPr>
          <w:rFonts w:ascii="Arial Narrow" w:hAnsi="Arial Narrow" w:cs="Arial"/>
          <w:bCs/>
          <w:sz w:val="20"/>
          <w:szCs w:val="20"/>
        </w:rPr>
      </w:pPr>
    </w:p>
    <w:tbl>
      <w:tblPr>
        <w:tblStyle w:val="7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63C6D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vAlign w:val="center"/>
          </w:tcPr>
          <w:p w14:paraId="68C1613D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Schválený rozpočet                  </w:t>
            </w:r>
          </w:p>
          <w:p w14:paraId="17AA4C36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2024</w:t>
            </w:r>
          </w:p>
        </w:tc>
        <w:tc>
          <w:tcPr>
            <w:tcW w:w="2202" w:type="dxa"/>
            <w:shd w:val="clear" w:color="auto" w:fill="D9D9D9"/>
          </w:tcPr>
          <w:p w14:paraId="7EEC92B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Upravený</w:t>
            </w:r>
          </w:p>
          <w:p w14:paraId="3860B987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2024</w:t>
            </w:r>
          </w:p>
        </w:tc>
        <w:tc>
          <w:tcPr>
            <w:tcW w:w="2233" w:type="dxa"/>
            <w:shd w:val="clear" w:color="auto" w:fill="D9D9D9"/>
            <w:vAlign w:val="center"/>
          </w:tcPr>
          <w:p w14:paraId="56D54AD1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Skutočnosť k 31.12.2024</w:t>
            </w:r>
          </w:p>
        </w:tc>
        <w:tc>
          <w:tcPr>
            <w:tcW w:w="1672" w:type="dxa"/>
            <w:shd w:val="clear" w:color="auto" w:fill="D9D9D9"/>
            <w:vAlign w:val="center"/>
          </w:tcPr>
          <w:p w14:paraId="70226C5A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%  plnenia</w:t>
            </w:r>
          </w:p>
        </w:tc>
      </w:tr>
      <w:tr w14:paraId="0337A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vAlign w:val="center"/>
          </w:tcPr>
          <w:p w14:paraId="1F9C0EE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194 700,00</w:t>
            </w:r>
          </w:p>
        </w:tc>
        <w:tc>
          <w:tcPr>
            <w:tcW w:w="2202" w:type="dxa"/>
            <w:vAlign w:val="center"/>
          </w:tcPr>
          <w:p w14:paraId="60F8A398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              194 700,00</w:t>
            </w:r>
          </w:p>
        </w:tc>
        <w:tc>
          <w:tcPr>
            <w:tcW w:w="2233" w:type="dxa"/>
            <w:vAlign w:val="center"/>
          </w:tcPr>
          <w:p w14:paraId="42754EF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202 669,77</w:t>
            </w:r>
          </w:p>
        </w:tc>
        <w:tc>
          <w:tcPr>
            <w:tcW w:w="1672" w:type="dxa"/>
            <w:vAlign w:val="center"/>
          </w:tcPr>
          <w:p w14:paraId="32C09FCA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104,09</w:t>
            </w:r>
          </w:p>
        </w:tc>
      </w:tr>
    </w:tbl>
    <w:p w14:paraId="2816B78C">
      <w:pPr>
        <w:rPr>
          <w:rFonts w:ascii="Arial Narrow" w:hAnsi="Arial Narrow" w:cs="Arial"/>
          <w:bCs/>
          <w:color w:val="C00000"/>
          <w:sz w:val="20"/>
          <w:szCs w:val="20"/>
        </w:rPr>
      </w:pPr>
    </w:p>
    <w:p w14:paraId="3E48F48A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>Bežné príjmy tvoria:</w:t>
      </w:r>
    </w:p>
    <w:p w14:paraId="12EFBA4A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 </w:t>
      </w:r>
    </w:p>
    <w:p w14:paraId="1766FCC4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>- daňové príjmy  v sume 172 303,61 eur</w:t>
      </w:r>
    </w:p>
    <w:p w14:paraId="6EE6DE3A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- nedaňové príjmy  v sume   </w:t>
      </w:r>
      <w:r>
        <w:rPr>
          <w:rFonts w:ascii="Arial Narrow" w:hAnsi="Arial Narrow" w:cs="Arial"/>
          <w:sz w:val="20"/>
          <w:szCs w:val="20"/>
        </w:rPr>
        <w:t>18 255,37</w:t>
      </w:r>
      <w:r>
        <w:rPr>
          <w:rFonts w:ascii="Arial Narrow" w:hAnsi="Arial Narrow" w:cs="Arial"/>
          <w:bCs/>
          <w:sz w:val="20"/>
          <w:szCs w:val="20"/>
        </w:rPr>
        <w:t xml:space="preserve">eur </w:t>
      </w:r>
    </w:p>
    <w:p w14:paraId="1215B06E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- granty a transfery v sume  </w:t>
      </w:r>
      <w:r>
        <w:rPr>
          <w:rFonts w:ascii="Arial Narrow" w:hAnsi="Arial Narrow" w:cs="Arial"/>
          <w:sz w:val="20"/>
          <w:szCs w:val="20"/>
        </w:rPr>
        <w:t xml:space="preserve">12 110,79 </w:t>
      </w:r>
      <w:r>
        <w:rPr>
          <w:rFonts w:ascii="Arial Narrow" w:hAnsi="Arial Narrow" w:cs="Arial"/>
          <w:bCs/>
          <w:sz w:val="20"/>
          <w:szCs w:val="20"/>
        </w:rPr>
        <w:t>eur</w:t>
      </w:r>
    </w:p>
    <w:p w14:paraId="1690E35A">
      <w:pPr>
        <w:rPr>
          <w:rFonts w:ascii="Arial Narrow" w:hAnsi="Arial Narrow" w:cs="Arial"/>
          <w:b/>
          <w:i/>
          <w:iCs/>
          <w:color w:val="FF0000"/>
        </w:rPr>
      </w:pPr>
    </w:p>
    <w:p w14:paraId="259F05ED">
      <w:pPr>
        <w:rPr>
          <w:rFonts w:ascii="Arial Narrow" w:hAnsi="Arial Narrow" w:cs="Arial"/>
          <w:b/>
          <w:i/>
          <w:iCs/>
          <w:color w:val="FF0000"/>
        </w:rPr>
      </w:pPr>
      <w:r>
        <w:rPr>
          <w:rFonts w:ascii="Arial Narrow" w:hAnsi="Arial Narrow" w:cs="Arial"/>
          <w:b/>
          <w:i/>
          <w:iCs/>
          <w:color w:val="FF0000"/>
        </w:rPr>
        <w:t>- Daňové príjmy</w:t>
      </w:r>
    </w:p>
    <w:p w14:paraId="70F47133">
      <w:pPr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Daňové príjmy spolu  dosiahli za rok 2024 sumu 172 303,61 eur, čo je 96,15 % plnenie rozpočtu.</w:t>
      </w:r>
    </w:p>
    <w:p w14:paraId="56A83EC4">
      <w:pPr>
        <w:rPr>
          <w:rFonts w:ascii="Arial Narrow" w:hAnsi="Arial Narrow" w:cs="Arial"/>
          <w:b/>
        </w:rPr>
      </w:pPr>
    </w:p>
    <w:tbl>
      <w:tblPr>
        <w:tblStyle w:val="7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78BF8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vAlign w:val="center"/>
          </w:tcPr>
          <w:p w14:paraId="0E95E899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Schválený rozpočet                  </w:t>
            </w:r>
          </w:p>
          <w:p w14:paraId="44CAA1D0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2024</w:t>
            </w:r>
          </w:p>
        </w:tc>
        <w:tc>
          <w:tcPr>
            <w:tcW w:w="2202" w:type="dxa"/>
            <w:shd w:val="clear" w:color="auto" w:fill="D9D9D9"/>
          </w:tcPr>
          <w:p w14:paraId="3502DC4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Upravený</w:t>
            </w:r>
          </w:p>
          <w:p w14:paraId="1ED344B2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2024</w:t>
            </w:r>
          </w:p>
        </w:tc>
        <w:tc>
          <w:tcPr>
            <w:tcW w:w="2233" w:type="dxa"/>
            <w:shd w:val="clear" w:color="auto" w:fill="D9D9D9"/>
            <w:vAlign w:val="center"/>
          </w:tcPr>
          <w:p w14:paraId="10BE9C08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Skutočnosť k 31.12.2024</w:t>
            </w:r>
          </w:p>
        </w:tc>
        <w:tc>
          <w:tcPr>
            <w:tcW w:w="1672" w:type="dxa"/>
            <w:shd w:val="clear" w:color="auto" w:fill="D9D9D9"/>
            <w:vAlign w:val="center"/>
          </w:tcPr>
          <w:p w14:paraId="37B1F447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%  plnenia</w:t>
            </w:r>
          </w:p>
        </w:tc>
      </w:tr>
      <w:tr w14:paraId="6B977B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vAlign w:val="center"/>
          </w:tcPr>
          <w:p w14:paraId="5E68A40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179 200,00</w:t>
            </w:r>
          </w:p>
        </w:tc>
        <w:tc>
          <w:tcPr>
            <w:tcW w:w="2202" w:type="dxa"/>
            <w:vAlign w:val="center"/>
          </w:tcPr>
          <w:p w14:paraId="421F3EE1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              179 200,00</w:t>
            </w:r>
          </w:p>
        </w:tc>
        <w:tc>
          <w:tcPr>
            <w:tcW w:w="2233" w:type="dxa"/>
            <w:vAlign w:val="center"/>
          </w:tcPr>
          <w:p w14:paraId="363D9FF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172 303,61</w:t>
            </w:r>
          </w:p>
        </w:tc>
        <w:tc>
          <w:tcPr>
            <w:tcW w:w="1672" w:type="dxa"/>
            <w:vAlign w:val="center"/>
          </w:tcPr>
          <w:p w14:paraId="78A84F33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96,15</w:t>
            </w:r>
          </w:p>
        </w:tc>
      </w:tr>
    </w:tbl>
    <w:p w14:paraId="1669FF16">
      <w:pPr>
        <w:jc w:val="both"/>
        <w:rPr>
          <w:rFonts w:ascii="Arial Narrow" w:hAnsi="Arial Narrow" w:cs="Arial"/>
          <w:b/>
          <w:i/>
          <w:sz w:val="20"/>
          <w:szCs w:val="20"/>
        </w:rPr>
      </w:pPr>
    </w:p>
    <w:p w14:paraId="766582FF">
      <w:pPr>
        <w:ind w:left="709"/>
        <w:jc w:val="both"/>
        <w:rPr>
          <w:rFonts w:ascii="Arial Narrow" w:hAnsi="Arial Narrow" w:cs="Arial"/>
          <w:b/>
          <w:i/>
          <w:sz w:val="20"/>
          <w:szCs w:val="20"/>
        </w:rPr>
      </w:pPr>
    </w:p>
    <w:p w14:paraId="56DD22BF">
      <w:pPr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a) Výnos dane z príjmov poukázaný územnej samospráve </w:t>
      </w:r>
    </w:p>
    <w:p w14:paraId="5D6ACCEB">
      <w:pPr>
        <w:spacing w:before="12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Z predpokladanej finančnej čiastky vo výške 120 000,00 € z výnosu dane z príjmov boli k 31.12.2024 poukázané prostriedky zo ŠR vo výške  122 292,36 €, čo predstavuje plnenie na 101,91 %. </w:t>
      </w:r>
    </w:p>
    <w:p w14:paraId="6801CA87">
      <w:pPr>
        <w:spacing w:before="120"/>
        <w:jc w:val="both"/>
        <w:rPr>
          <w:rFonts w:ascii="Arial Narrow" w:hAnsi="Arial Narrow" w:cs="Arial"/>
          <w:sz w:val="20"/>
          <w:szCs w:val="20"/>
        </w:rPr>
      </w:pPr>
    </w:p>
    <w:tbl>
      <w:tblPr>
        <w:tblStyle w:val="16"/>
        <w:tblW w:w="8700" w:type="dxa"/>
        <w:tblInd w:w="3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6"/>
        <w:gridCol w:w="1579"/>
        <w:gridCol w:w="1718"/>
        <w:gridCol w:w="1808"/>
        <w:gridCol w:w="1639"/>
      </w:tblGrid>
      <w:tr w14:paraId="0EAF27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6" w:type="dxa"/>
          </w:tcPr>
          <w:p w14:paraId="587911C7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1579" w:type="dxa"/>
          </w:tcPr>
          <w:p w14:paraId="21821F7D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2024</w:t>
            </w:r>
          </w:p>
        </w:tc>
        <w:tc>
          <w:tcPr>
            <w:tcW w:w="1718" w:type="dxa"/>
          </w:tcPr>
          <w:p w14:paraId="2F39D2C3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1808" w:type="dxa"/>
          </w:tcPr>
          <w:p w14:paraId="5841D6FA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639" w:type="dxa"/>
          </w:tcPr>
          <w:p w14:paraId="3FB441E0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</w:tr>
      <w:tr w14:paraId="371F11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6" w:type="dxa"/>
          </w:tcPr>
          <w:p w14:paraId="21EDA41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 xml:space="preserve"> Suma (€)</w:t>
            </w:r>
          </w:p>
        </w:tc>
        <w:tc>
          <w:tcPr>
            <w:tcW w:w="1579" w:type="dxa"/>
          </w:tcPr>
          <w:p w14:paraId="154B1B10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172 303,61</w:t>
            </w:r>
          </w:p>
        </w:tc>
        <w:tc>
          <w:tcPr>
            <w:tcW w:w="1718" w:type="dxa"/>
          </w:tcPr>
          <w:p w14:paraId="61755B8A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120 139,96</w:t>
            </w:r>
          </w:p>
        </w:tc>
        <w:tc>
          <w:tcPr>
            <w:tcW w:w="1808" w:type="dxa"/>
          </w:tcPr>
          <w:p w14:paraId="05A1ACC2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117 901,05</w:t>
            </w:r>
          </w:p>
        </w:tc>
        <w:tc>
          <w:tcPr>
            <w:tcW w:w="1639" w:type="dxa"/>
          </w:tcPr>
          <w:p w14:paraId="55FFC489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105 495,42</w:t>
            </w:r>
          </w:p>
        </w:tc>
      </w:tr>
    </w:tbl>
    <w:p w14:paraId="49E693F8">
      <w:pPr>
        <w:jc w:val="both"/>
        <w:rPr>
          <w:rFonts w:ascii="Arial Narrow" w:hAnsi="Arial Narrow" w:cs="Arial"/>
          <w:color w:val="FF0000"/>
          <w:sz w:val="20"/>
          <w:szCs w:val="20"/>
        </w:rPr>
      </w:pPr>
      <w:r>
        <w:rPr>
          <w:rFonts w:ascii="Arial Narrow" w:hAnsi="Arial Narrow" w:cs="Arial"/>
          <w:color w:val="FF0000"/>
          <w:sz w:val="20"/>
          <w:szCs w:val="20"/>
        </w:rPr>
        <w:t xml:space="preserve">   </w:t>
      </w:r>
    </w:p>
    <w:p w14:paraId="5390CF35">
      <w:pPr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b) Daň z majetku z </w:t>
      </w:r>
      <w:r>
        <w:rPr>
          <w:rFonts w:ascii="Arial Narrow" w:hAnsi="Arial Narrow" w:cs="Arial"/>
          <w:sz w:val="20"/>
          <w:szCs w:val="20"/>
        </w:rPr>
        <w:t> rozpočtovaných 42 200,00 € bol skutočný príjem k 31.12.2024 vo výške 43 178,18 €, čo je 102,31% plnenie.</w:t>
      </w:r>
    </w:p>
    <w:p w14:paraId="77F1CD68">
      <w:pPr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</w:t>
      </w:r>
      <w:r>
        <w:rPr>
          <w:rFonts w:ascii="Arial Narrow" w:hAnsi="Arial Narrow" w:cs="Arial"/>
          <w:b/>
          <w:sz w:val="20"/>
          <w:szCs w:val="20"/>
        </w:rPr>
        <w:t>Daň z pozemkov-</w:t>
      </w:r>
      <w:r>
        <w:rPr>
          <w:rFonts w:ascii="Arial Narrow" w:hAnsi="Arial Narrow" w:cs="Arial"/>
          <w:sz w:val="20"/>
          <w:szCs w:val="20"/>
        </w:rPr>
        <w:t xml:space="preserve"> skutočný príjem k 31.12.2024 vo výške 24 702,96€.                    </w:t>
      </w:r>
    </w:p>
    <w:p w14:paraId="221266D2">
      <w:pPr>
        <w:spacing w:before="120"/>
        <w:ind w:firstLine="200" w:firstLineChars="100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rPr>
          <w:rFonts w:ascii="Arial Narrow" w:hAnsi="Arial Narrow" w:cs="Arial"/>
          <w:b/>
          <w:bCs/>
          <w:sz w:val="20"/>
          <w:szCs w:val="20"/>
        </w:rPr>
        <w:t xml:space="preserve">Daň zo stavieb </w:t>
      </w:r>
      <w:r>
        <w:rPr>
          <w:rFonts w:ascii="Arial Narrow" w:hAnsi="Arial Narrow" w:cs="Arial"/>
          <w:sz w:val="20"/>
          <w:szCs w:val="20"/>
        </w:rPr>
        <w:t xml:space="preserve"> - skutočný príjem k 31.12.2024 vo výške 18 411,52€.</w:t>
      </w:r>
    </w:p>
    <w:p w14:paraId="099C2D3E">
      <w:pPr>
        <w:spacing w:before="120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rPr>
          <w:rFonts w:ascii="Arial Narrow" w:hAnsi="Arial Narrow" w:cs="Arial"/>
          <w:b/>
          <w:bCs/>
          <w:sz w:val="20"/>
          <w:szCs w:val="20"/>
        </w:rPr>
        <w:t xml:space="preserve">     Daň z bytov   - </w:t>
      </w:r>
      <w:r>
        <w:rPr>
          <w:rFonts w:ascii="Arial Narrow" w:hAnsi="Arial Narrow" w:cs="Arial"/>
          <w:sz w:val="20"/>
          <w:szCs w:val="20"/>
        </w:rPr>
        <w:t>skutočný príjem k 31.12.2024 vo výške 63,70€.</w:t>
      </w:r>
    </w:p>
    <w:p w14:paraId="100A8926">
      <w:pPr>
        <w:jc w:val="both"/>
        <w:rPr>
          <w:rFonts w:ascii="Arial Narrow" w:hAnsi="Arial Narrow" w:cs="Arial"/>
          <w:b/>
          <w:sz w:val="20"/>
          <w:szCs w:val="20"/>
        </w:rPr>
      </w:pPr>
    </w:p>
    <w:p w14:paraId="440F0AF6">
      <w:pPr>
        <w:jc w:val="both"/>
        <w:rPr>
          <w:rFonts w:ascii="Arial Narrow" w:hAnsi="Arial Narrow" w:cs="Arial"/>
          <w:sz w:val="20"/>
          <w:szCs w:val="20"/>
        </w:rPr>
      </w:pPr>
    </w:p>
    <w:tbl>
      <w:tblPr>
        <w:tblStyle w:val="16"/>
        <w:tblW w:w="0" w:type="auto"/>
        <w:tblInd w:w="70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8"/>
        <w:gridCol w:w="1550"/>
        <w:gridCol w:w="1692"/>
        <w:gridCol w:w="1759"/>
        <w:gridCol w:w="1759"/>
      </w:tblGrid>
      <w:tr w14:paraId="433527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8" w:type="dxa"/>
          </w:tcPr>
          <w:p w14:paraId="73AC48D0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1550" w:type="dxa"/>
          </w:tcPr>
          <w:p w14:paraId="7D3BAEA5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2024</w:t>
            </w:r>
          </w:p>
        </w:tc>
        <w:tc>
          <w:tcPr>
            <w:tcW w:w="1692" w:type="dxa"/>
          </w:tcPr>
          <w:p w14:paraId="38EC08A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1759" w:type="dxa"/>
          </w:tcPr>
          <w:p w14:paraId="73AE808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759" w:type="dxa"/>
          </w:tcPr>
          <w:p w14:paraId="6B2B3516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</w:tr>
      <w:tr w14:paraId="36108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8" w:type="dxa"/>
          </w:tcPr>
          <w:p w14:paraId="2A4B57C7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1550" w:type="dxa"/>
          </w:tcPr>
          <w:p w14:paraId="18E9CDBE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43 178,18</w:t>
            </w:r>
          </w:p>
        </w:tc>
        <w:tc>
          <w:tcPr>
            <w:tcW w:w="1692" w:type="dxa"/>
          </w:tcPr>
          <w:p w14:paraId="71321812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37 173,14</w:t>
            </w:r>
          </w:p>
        </w:tc>
        <w:tc>
          <w:tcPr>
            <w:tcW w:w="1759" w:type="dxa"/>
          </w:tcPr>
          <w:p w14:paraId="036B428F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38 105,37</w:t>
            </w:r>
          </w:p>
        </w:tc>
        <w:tc>
          <w:tcPr>
            <w:tcW w:w="1759" w:type="dxa"/>
          </w:tcPr>
          <w:p w14:paraId="63B99FBD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40 563,38</w:t>
            </w:r>
          </w:p>
        </w:tc>
      </w:tr>
    </w:tbl>
    <w:p w14:paraId="2E1E009C">
      <w:pPr>
        <w:jc w:val="both"/>
        <w:rPr>
          <w:rFonts w:ascii="Arial Narrow" w:hAnsi="Arial Narrow" w:cs="Arial"/>
          <w:sz w:val="20"/>
          <w:szCs w:val="20"/>
        </w:rPr>
      </w:pPr>
    </w:p>
    <w:p w14:paraId="664757A6">
      <w:pPr>
        <w:spacing w:before="120"/>
        <w:jc w:val="both"/>
        <w:rPr>
          <w:rFonts w:ascii="Arial Narrow" w:hAnsi="Arial Narrow" w:cs="Arial"/>
          <w:sz w:val="20"/>
          <w:szCs w:val="20"/>
        </w:rPr>
      </w:pPr>
    </w:p>
    <w:p w14:paraId="273E9B73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c) Dane za tovary a služby </w:t>
      </w:r>
      <w:r>
        <w:rPr>
          <w:rFonts w:ascii="Arial Narrow" w:hAnsi="Arial Narrow" w:cs="Arial"/>
          <w:sz w:val="20"/>
          <w:szCs w:val="20"/>
        </w:rPr>
        <w:t> rozpočtovaných 17 000,00 € bol skutočný príjem k 31.12.2024 vo výške 6 833,07€, čo je 40,20% plnenie</w:t>
      </w:r>
    </w:p>
    <w:p w14:paraId="33617D45">
      <w:pPr>
        <w:spacing w:before="120"/>
        <w:ind w:firstLine="100" w:firstLineChars="50"/>
        <w:jc w:val="both"/>
        <w:rPr>
          <w:rFonts w:ascii="Arial Narrow" w:hAnsi="Arial Narrow" w:cs="Arial"/>
          <w:b/>
          <w:color w:val="FF0000"/>
          <w:sz w:val="20"/>
          <w:szCs w:val="20"/>
        </w:rPr>
      </w:pPr>
    </w:p>
    <w:p w14:paraId="6A0915B9">
      <w:pPr>
        <w:spacing w:before="120"/>
        <w:jc w:val="both"/>
        <w:rPr>
          <w:rFonts w:ascii="Arial Narrow" w:hAnsi="Arial Narrow" w:cs="Arial"/>
          <w:b/>
          <w:color w:val="FF0000"/>
          <w:sz w:val="20"/>
          <w:szCs w:val="20"/>
        </w:rPr>
      </w:pPr>
      <w:r>
        <w:rPr>
          <w:rFonts w:ascii="Arial Narrow" w:hAnsi="Arial Narrow" w:cs="Arial"/>
          <w:b/>
          <w:color w:val="FF0000"/>
          <w:sz w:val="20"/>
          <w:szCs w:val="20"/>
        </w:rPr>
        <w:t xml:space="preserve">- Daň za psa  </w:t>
      </w:r>
    </w:p>
    <w:p w14:paraId="4E7D420C">
      <w:pPr>
        <w:spacing w:before="120"/>
        <w:jc w:val="both"/>
        <w:rPr>
          <w:rFonts w:ascii="Arial Narrow" w:hAnsi="Arial Narrow"/>
          <w:color w:val="FF0000"/>
          <w:sz w:val="20"/>
          <w:szCs w:val="20"/>
        </w:rPr>
      </w:pPr>
      <w:r>
        <w:rPr>
          <w:rFonts w:ascii="Arial Narrow" w:hAnsi="Arial Narrow"/>
          <w:color w:val="FF0000"/>
          <w:sz w:val="20"/>
          <w:szCs w:val="20"/>
        </w:rPr>
        <w:t xml:space="preserve">                      </w:t>
      </w:r>
      <w:r>
        <w:rPr>
          <w:rFonts w:ascii="Arial Narrow" w:hAnsi="Arial Narrow"/>
          <w:sz w:val="20"/>
          <w:szCs w:val="20"/>
        </w:rPr>
        <w:t xml:space="preserve"> -  </w:t>
      </w:r>
      <w:r>
        <w:rPr>
          <w:rFonts w:ascii="Arial Narrow" w:hAnsi="Arial Narrow" w:cs="Arial"/>
          <w:sz w:val="20"/>
          <w:szCs w:val="20"/>
        </w:rPr>
        <w:t xml:space="preserve">skutočný príjem k 31.12.2024 vo výške 1 142,14 </w:t>
      </w:r>
      <w:r>
        <w:rPr>
          <w:rFonts w:ascii="Arial Narrow" w:hAnsi="Arial Narrow"/>
          <w:sz w:val="20"/>
          <w:szCs w:val="20"/>
        </w:rPr>
        <w:t>€.</w:t>
      </w:r>
    </w:p>
    <w:tbl>
      <w:tblPr>
        <w:tblStyle w:val="16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7"/>
        <w:gridCol w:w="1569"/>
        <w:gridCol w:w="1706"/>
        <w:gridCol w:w="1706"/>
        <w:gridCol w:w="1674"/>
      </w:tblGrid>
      <w:tr w14:paraId="193D5D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87" w:type="dxa"/>
          </w:tcPr>
          <w:p w14:paraId="135B7E62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1569" w:type="dxa"/>
          </w:tcPr>
          <w:p w14:paraId="4B5226A0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2024</w:t>
            </w:r>
          </w:p>
        </w:tc>
        <w:tc>
          <w:tcPr>
            <w:tcW w:w="1706" w:type="dxa"/>
          </w:tcPr>
          <w:p w14:paraId="35D6A4B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1706" w:type="dxa"/>
          </w:tcPr>
          <w:p w14:paraId="070A390F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674" w:type="dxa"/>
          </w:tcPr>
          <w:p w14:paraId="62070DA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</w:tr>
      <w:tr w14:paraId="4CC91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87" w:type="dxa"/>
          </w:tcPr>
          <w:p w14:paraId="5E03F12E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1569" w:type="dxa"/>
          </w:tcPr>
          <w:p w14:paraId="319F16DD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1 142,14</w:t>
            </w:r>
          </w:p>
        </w:tc>
        <w:tc>
          <w:tcPr>
            <w:tcW w:w="1706" w:type="dxa"/>
          </w:tcPr>
          <w:p w14:paraId="27A3A527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918,86</w:t>
            </w:r>
          </w:p>
        </w:tc>
        <w:tc>
          <w:tcPr>
            <w:tcW w:w="1706" w:type="dxa"/>
          </w:tcPr>
          <w:p w14:paraId="6744E345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988,00</w:t>
            </w:r>
          </w:p>
        </w:tc>
        <w:tc>
          <w:tcPr>
            <w:tcW w:w="1674" w:type="dxa"/>
          </w:tcPr>
          <w:p w14:paraId="06A7E4D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916,0</w:t>
            </w:r>
          </w:p>
        </w:tc>
      </w:tr>
    </w:tbl>
    <w:p w14:paraId="1797D186">
      <w:pPr>
        <w:spacing w:before="120"/>
        <w:jc w:val="both"/>
        <w:rPr>
          <w:rFonts w:ascii="Arial Narrow" w:hAnsi="Arial Narrow"/>
          <w:color w:val="FF0000"/>
          <w:sz w:val="20"/>
          <w:szCs w:val="20"/>
        </w:rPr>
      </w:pPr>
    </w:p>
    <w:p w14:paraId="2E9A55FD">
      <w:pPr>
        <w:spacing w:before="120"/>
        <w:ind w:firstLine="100" w:firstLineChars="50"/>
        <w:jc w:val="both"/>
        <w:rPr>
          <w:rFonts w:ascii="Arial Narrow" w:hAnsi="Arial Narrow" w:cs="Arial"/>
          <w:b/>
          <w:color w:val="FF0000"/>
          <w:sz w:val="20"/>
          <w:szCs w:val="20"/>
        </w:rPr>
      </w:pPr>
      <w:r>
        <w:rPr>
          <w:rFonts w:ascii="Arial Narrow" w:hAnsi="Arial Narrow"/>
          <w:color w:val="FF0000"/>
          <w:sz w:val="20"/>
          <w:szCs w:val="20"/>
        </w:rPr>
        <w:t xml:space="preserve">-  </w:t>
      </w:r>
      <w:r>
        <w:rPr>
          <w:rFonts w:ascii="Arial Narrow" w:hAnsi="Arial Narrow" w:cs="Arial"/>
          <w:b/>
          <w:color w:val="FF0000"/>
          <w:sz w:val="20"/>
          <w:szCs w:val="20"/>
        </w:rPr>
        <w:t>Daň za ubytovaciu kapacitu</w:t>
      </w:r>
    </w:p>
    <w:p w14:paraId="4DA62262">
      <w:pPr>
        <w:spacing w:before="120"/>
        <w:ind w:left="709"/>
        <w:jc w:val="both"/>
        <w:rPr>
          <w:rFonts w:ascii="Arial Narrow" w:hAnsi="Arial Narrow" w:cs="Arial"/>
          <w:color w:val="FF0000"/>
          <w:sz w:val="20"/>
          <w:szCs w:val="20"/>
        </w:rPr>
      </w:pPr>
      <w:r>
        <w:rPr>
          <w:rFonts w:ascii="Arial Narrow" w:hAnsi="Arial Narrow" w:cs="Arial"/>
          <w:b/>
          <w:color w:val="FF0000"/>
          <w:sz w:val="20"/>
          <w:szCs w:val="20"/>
        </w:rPr>
        <w:t xml:space="preserve">     </w:t>
      </w:r>
      <w:r>
        <w:rPr>
          <w:rFonts w:ascii="Arial Narrow" w:hAnsi="Arial Narrow" w:cs="Arial"/>
          <w:color w:val="FF0000"/>
          <w:sz w:val="20"/>
          <w:szCs w:val="20"/>
        </w:rPr>
        <w:t xml:space="preserve"> </w:t>
      </w:r>
      <w:r>
        <w:rPr>
          <w:rFonts w:ascii="Arial Narrow" w:hAnsi="Arial Narrow" w:cs="Arial"/>
          <w:sz w:val="20"/>
          <w:szCs w:val="20"/>
        </w:rPr>
        <w:t>-   skutočný príjem k 31.12.2024 vo výške 752,50eur.</w:t>
      </w:r>
    </w:p>
    <w:tbl>
      <w:tblPr>
        <w:tblStyle w:val="16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5"/>
        <w:gridCol w:w="1556"/>
        <w:gridCol w:w="1721"/>
        <w:gridCol w:w="1695"/>
        <w:gridCol w:w="1695"/>
      </w:tblGrid>
      <w:tr w14:paraId="63C34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75" w:type="dxa"/>
          </w:tcPr>
          <w:p w14:paraId="73AF8020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1556" w:type="dxa"/>
          </w:tcPr>
          <w:p w14:paraId="417D906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2024</w:t>
            </w:r>
          </w:p>
        </w:tc>
        <w:tc>
          <w:tcPr>
            <w:tcW w:w="1721" w:type="dxa"/>
          </w:tcPr>
          <w:p w14:paraId="52E1C60F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1695" w:type="dxa"/>
          </w:tcPr>
          <w:p w14:paraId="3D8160DD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695" w:type="dxa"/>
          </w:tcPr>
          <w:p w14:paraId="547A6D17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</w:tr>
      <w:tr w14:paraId="57A9F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75" w:type="dxa"/>
          </w:tcPr>
          <w:p w14:paraId="0DEB04C6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1556" w:type="dxa"/>
          </w:tcPr>
          <w:p w14:paraId="511082A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752,50</w:t>
            </w:r>
          </w:p>
        </w:tc>
        <w:tc>
          <w:tcPr>
            <w:tcW w:w="1721" w:type="dxa"/>
          </w:tcPr>
          <w:p w14:paraId="37EA466F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1000,50</w:t>
            </w:r>
          </w:p>
        </w:tc>
        <w:tc>
          <w:tcPr>
            <w:tcW w:w="1695" w:type="dxa"/>
          </w:tcPr>
          <w:p w14:paraId="158E7091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672,00</w:t>
            </w:r>
          </w:p>
        </w:tc>
        <w:tc>
          <w:tcPr>
            <w:tcW w:w="1695" w:type="dxa"/>
          </w:tcPr>
          <w:p w14:paraId="683084B3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300,00</w:t>
            </w:r>
          </w:p>
        </w:tc>
      </w:tr>
    </w:tbl>
    <w:p w14:paraId="1B53EACE">
      <w:pPr>
        <w:spacing w:before="120"/>
        <w:ind w:left="709"/>
        <w:jc w:val="both"/>
        <w:rPr>
          <w:rFonts w:ascii="Arial Narrow" w:hAnsi="Arial Narrow" w:cs="Arial"/>
          <w:color w:val="FF0000"/>
          <w:sz w:val="20"/>
          <w:szCs w:val="20"/>
        </w:rPr>
      </w:pPr>
    </w:p>
    <w:p w14:paraId="5A85B19C">
      <w:pPr>
        <w:spacing w:before="120"/>
        <w:jc w:val="both"/>
        <w:rPr>
          <w:rFonts w:ascii="Arial Narrow" w:hAnsi="Arial Narrow" w:cs="Arial"/>
          <w:b/>
          <w:color w:val="FF0000"/>
          <w:sz w:val="20"/>
          <w:szCs w:val="20"/>
        </w:rPr>
      </w:pPr>
      <w:r>
        <w:rPr>
          <w:rFonts w:ascii="Arial Narrow" w:hAnsi="Arial Narrow" w:cs="Arial"/>
          <w:b/>
          <w:color w:val="FF0000"/>
          <w:sz w:val="20"/>
          <w:szCs w:val="20"/>
        </w:rPr>
        <w:t xml:space="preserve">-  Poplatok za komunálny odpad a drobný stavebný odpad </w:t>
      </w:r>
    </w:p>
    <w:p w14:paraId="127569CA">
      <w:pPr>
        <w:spacing w:before="120"/>
        <w:ind w:firstLine="400" w:firstLineChars="20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   -  skutočný príjem k 31.12.2024 vo výške 4 938,43</w:t>
      </w:r>
      <w:r>
        <w:rPr>
          <w:rFonts w:ascii="Arial Narrow" w:hAnsi="Arial Narrow"/>
          <w:sz w:val="20"/>
          <w:szCs w:val="20"/>
        </w:rPr>
        <w:t>€</w:t>
      </w:r>
      <w:r>
        <w:rPr>
          <w:rFonts w:ascii="Arial Narrow" w:hAnsi="Arial Narrow" w:cs="Arial"/>
          <w:sz w:val="20"/>
          <w:szCs w:val="20"/>
        </w:rPr>
        <w:t>.  Obec eviduje pohľadávku za komunálny odpad vo výške 3 536,67 eur</w:t>
      </w:r>
    </w:p>
    <w:p w14:paraId="3E2C11F0">
      <w:pPr>
        <w:spacing w:before="120"/>
        <w:jc w:val="both"/>
        <w:rPr>
          <w:rFonts w:ascii="Arial Narrow" w:hAnsi="Arial Narrow" w:cs="Arial"/>
          <w:sz w:val="20"/>
          <w:szCs w:val="20"/>
        </w:rPr>
      </w:pPr>
    </w:p>
    <w:tbl>
      <w:tblPr>
        <w:tblStyle w:val="16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3"/>
        <w:gridCol w:w="1527"/>
        <w:gridCol w:w="1675"/>
        <w:gridCol w:w="1744"/>
        <w:gridCol w:w="1743"/>
      </w:tblGrid>
      <w:tr w14:paraId="1C185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3" w:type="dxa"/>
          </w:tcPr>
          <w:p w14:paraId="269FC04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1527" w:type="dxa"/>
          </w:tcPr>
          <w:p w14:paraId="17BCFE1E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2024</w:t>
            </w:r>
          </w:p>
        </w:tc>
        <w:tc>
          <w:tcPr>
            <w:tcW w:w="1675" w:type="dxa"/>
          </w:tcPr>
          <w:p w14:paraId="1899E355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1744" w:type="dxa"/>
          </w:tcPr>
          <w:p w14:paraId="4539F279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743" w:type="dxa"/>
          </w:tcPr>
          <w:p w14:paraId="1CBE8EBF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</w:tr>
      <w:tr w14:paraId="30210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3" w:type="dxa"/>
          </w:tcPr>
          <w:p w14:paraId="39AD0C9E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1527" w:type="dxa"/>
          </w:tcPr>
          <w:p w14:paraId="73EE9EF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4 938,43</w:t>
            </w:r>
          </w:p>
        </w:tc>
        <w:tc>
          <w:tcPr>
            <w:tcW w:w="1675" w:type="dxa"/>
          </w:tcPr>
          <w:p w14:paraId="4F726CF9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11 411,58</w:t>
            </w:r>
          </w:p>
        </w:tc>
        <w:tc>
          <w:tcPr>
            <w:tcW w:w="1744" w:type="dxa"/>
          </w:tcPr>
          <w:p w14:paraId="7D704E3F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10 508,58</w:t>
            </w:r>
          </w:p>
        </w:tc>
        <w:tc>
          <w:tcPr>
            <w:tcW w:w="1743" w:type="dxa"/>
          </w:tcPr>
          <w:p w14:paraId="6D9C3A69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13 117,25</w:t>
            </w:r>
          </w:p>
        </w:tc>
      </w:tr>
    </w:tbl>
    <w:p w14:paraId="404E6E96">
      <w:pPr>
        <w:rPr>
          <w:rFonts w:ascii="Arial Narrow" w:hAnsi="Arial Narrow" w:cs="Arial"/>
          <w:b/>
          <w:caps/>
        </w:rPr>
      </w:pPr>
      <w:r>
        <w:rPr>
          <w:rFonts w:ascii="Arial Narrow" w:hAnsi="Arial Narrow" w:cs="Arial"/>
          <w:sz w:val="20"/>
          <w:szCs w:val="20"/>
        </w:rPr>
        <w:t xml:space="preserve"> </w:t>
      </w:r>
    </w:p>
    <w:p w14:paraId="2892B6C4">
      <w:pPr>
        <w:rPr>
          <w:rFonts w:ascii="Arial Narrow" w:hAnsi="Arial Narrow" w:cs="Arial"/>
          <w:b/>
          <w:caps/>
          <w:color w:val="FF0000"/>
        </w:rPr>
      </w:pPr>
    </w:p>
    <w:p w14:paraId="7FE701AB">
      <w:pPr>
        <w:rPr>
          <w:rFonts w:ascii="Arial Narrow" w:hAnsi="Arial Narrow" w:cs="Arial"/>
          <w:b/>
          <w:caps/>
          <w:color w:val="FF0000"/>
        </w:rPr>
      </w:pPr>
      <w:r>
        <w:rPr>
          <w:rFonts w:ascii="Arial Narrow" w:hAnsi="Arial Narrow" w:cs="Arial"/>
          <w:b/>
          <w:i/>
          <w:iCs/>
          <w:color w:val="FF0000"/>
        </w:rPr>
        <w:t xml:space="preserve">- Nedaňové príjmy </w:t>
      </w:r>
    </w:p>
    <w:p w14:paraId="158136B7">
      <w:pPr>
        <w:ind w:left="709"/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/>
          <w:color w:val="FF0000"/>
        </w:rPr>
        <w:t xml:space="preserve"> </w:t>
      </w:r>
      <w:r>
        <w:rPr>
          <w:rFonts w:ascii="Arial Narrow" w:hAnsi="Arial Narrow" w:cs="Arial"/>
          <w:bCs/>
          <w:sz w:val="20"/>
          <w:szCs w:val="20"/>
        </w:rPr>
        <w:t>Skutočné nedaňové príjmy dosiahli sumu 18 255,37 eur čo predstavuje  202,84% plnenie rozpočtu.</w:t>
      </w:r>
    </w:p>
    <w:p w14:paraId="5D67C266">
      <w:pPr>
        <w:ind w:left="709"/>
        <w:rPr>
          <w:rFonts w:ascii="Arial Narrow" w:hAnsi="Arial Narrow" w:cs="Arial"/>
          <w:bCs/>
          <w:sz w:val="20"/>
          <w:szCs w:val="20"/>
        </w:rPr>
      </w:pPr>
    </w:p>
    <w:tbl>
      <w:tblPr>
        <w:tblStyle w:val="7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4D9087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vAlign w:val="center"/>
          </w:tcPr>
          <w:p w14:paraId="7ACF62B5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Schválený rozpočet                  </w:t>
            </w:r>
          </w:p>
          <w:p w14:paraId="6ED80CE3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2024</w:t>
            </w:r>
          </w:p>
        </w:tc>
        <w:tc>
          <w:tcPr>
            <w:tcW w:w="2202" w:type="dxa"/>
            <w:shd w:val="clear" w:color="auto" w:fill="D9D9D9"/>
          </w:tcPr>
          <w:p w14:paraId="2B46CFB8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Upravený rozpočet</w:t>
            </w:r>
          </w:p>
          <w:p w14:paraId="193DE68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2024</w:t>
            </w:r>
          </w:p>
        </w:tc>
        <w:tc>
          <w:tcPr>
            <w:tcW w:w="2233" w:type="dxa"/>
            <w:shd w:val="clear" w:color="auto" w:fill="D9D9D9"/>
            <w:vAlign w:val="center"/>
          </w:tcPr>
          <w:p w14:paraId="0924A8F6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Skutočnosť k 31.12.2024</w:t>
            </w:r>
          </w:p>
        </w:tc>
        <w:tc>
          <w:tcPr>
            <w:tcW w:w="1672" w:type="dxa"/>
            <w:shd w:val="clear" w:color="auto" w:fill="D9D9D9"/>
            <w:vAlign w:val="center"/>
          </w:tcPr>
          <w:p w14:paraId="3912CE4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%  plnenia</w:t>
            </w:r>
          </w:p>
        </w:tc>
      </w:tr>
      <w:tr w14:paraId="78E83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vAlign w:val="center"/>
          </w:tcPr>
          <w:p w14:paraId="6F41157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9 000,00</w:t>
            </w:r>
          </w:p>
        </w:tc>
        <w:tc>
          <w:tcPr>
            <w:tcW w:w="2202" w:type="dxa"/>
            <w:vAlign w:val="center"/>
          </w:tcPr>
          <w:p w14:paraId="6A77ABA6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9 000,00</w:t>
            </w:r>
          </w:p>
        </w:tc>
        <w:tc>
          <w:tcPr>
            <w:tcW w:w="2233" w:type="dxa"/>
            <w:vAlign w:val="center"/>
          </w:tcPr>
          <w:p w14:paraId="6E3B5265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18 255,37</w:t>
            </w:r>
          </w:p>
        </w:tc>
        <w:tc>
          <w:tcPr>
            <w:tcW w:w="1672" w:type="dxa"/>
            <w:vAlign w:val="center"/>
          </w:tcPr>
          <w:p w14:paraId="2E14E902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202,84</w:t>
            </w:r>
          </w:p>
        </w:tc>
      </w:tr>
    </w:tbl>
    <w:p w14:paraId="0C878B36">
      <w:pPr>
        <w:rPr>
          <w:rFonts w:ascii="Arial Narrow" w:hAnsi="Arial Narrow" w:cs="Arial"/>
          <w:b/>
          <w:i/>
          <w:color w:val="FF0000"/>
          <w:sz w:val="20"/>
          <w:szCs w:val="20"/>
        </w:rPr>
      </w:pPr>
    </w:p>
    <w:p w14:paraId="4D069FB9">
      <w:pPr>
        <w:pStyle w:val="37"/>
        <w:numPr>
          <w:ilvl w:val="0"/>
          <w:numId w:val="3"/>
        </w:numPr>
        <w:jc w:val="both"/>
        <w:rPr>
          <w:rFonts w:ascii="Arial Narrow" w:hAnsi="Arial Narrow" w:cs="Arial"/>
          <w:b/>
          <w:color w:val="FF0000"/>
          <w:sz w:val="20"/>
          <w:szCs w:val="20"/>
        </w:rPr>
      </w:pPr>
      <w:r>
        <w:rPr>
          <w:rFonts w:ascii="Arial Narrow" w:hAnsi="Arial Narrow" w:cs="Arial"/>
          <w:b/>
          <w:color w:val="FF0000"/>
          <w:sz w:val="20"/>
          <w:szCs w:val="20"/>
        </w:rPr>
        <w:t>Príjmy z podnikania a z vlastníctva majetku (pol. 210)</w:t>
      </w:r>
    </w:p>
    <w:p w14:paraId="733934C4">
      <w:pPr>
        <w:pStyle w:val="37"/>
        <w:ind w:left="1069"/>
        <w:jc w:val="both"/>
        <w:rPr>
          <w:rFonts w:ascii="Arial Narrow" w:hAnsi="Arial Narrow" w:cs="Arial"/>
          <w:b/>
          <w:color w:val="FF0000"/>
          <w:sz w:val="20"/>
          <w:szCs w:val="20"/>
        </w:rPr>
      </w:pPr>
    </w:p>
    <w:p w14:paraId="74E18D31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Z rozpočtovaných 600,00 € bol skutočný príjem k 31.12.2024 vo výške 4 696,84€ čo je 782,81% plnenie. Ide o príjem z prenajatých pozemkov budov, priestorov a objektov.  Dividendy za akcie od Východoslovenskej vodárenskej spoločnosti neboli vyplácané. </w:t>
      </w:r>
    </w:p>
    <w:p w14:paraId="71063D55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color w:val="FF0000"/>
          <w:sz w:val="20"/>
          <w:szCs w:val="20"/>
        </w:rPr>
        <w:t xml:space="preserve"> </w:t>
      </w:r>
    </w:p>
    <w:tbl>
      <w:tblPr>
        <w:tblStyle w:val="16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9"/>
        <w:gridCol w:w="1561"/>
        <w:gridCol w:w="1701"/>
        <w:gridCol w:w="1701"/>
        <w:gridCol w:w="1700"/>
      </w:tblGrid>
      <w:tr w14:paraId="52E16A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79" w:type="dxa"/>
          </w:tcPr>
          <w:p w14:paraId="04DECC31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1561" w:type="dxa"/>
          </w:tcPr>
          <w:p w14:paraId="6C023915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2024</w:t>
            </w:r>
          </w:p>
        </w:tc>
        <w:tc>
          <w:tcPr>
            <w:tcW w:w="1701" w:type="dxa"/>
          </w:tcPr>
          <w:p w14:paraId="58FC5603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1701" w:type="dxa"/>
          </w:tcPr>
          <w:p w14:paraId="23B54063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700" w:type="dxa"/>
          </w:tcPr>
          <w:p w14:paraId="043ADFD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</w:tr>
      <w:tr w14:paraId="5711D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79" w:type="dxa"/>
          </w:tcPr>
          <w:p w14:paraId="7F518A97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1561" w:type="dxa"/>
          </w:tcPr>
          <w:p w14:paraId="6C4745D9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782,81</w:t>
            </w:r>
          </w:p>
        </w:tc>
        <w:tc>
          <w:tcPr>
            <w:tcW w:w="1701" w:type="dxa"/>
          </w:tcPr>
          <w:p w14:paraId="51896D8F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658,96</w:t>
            </w:r>
          </w:p>
        </w:tc>
        <w:tc>
          <w:tcPr>
            <w:tcW w:w="1701" w:type="dxa"/>
          </w:tcPr>
          <w:p w14:paraId="26A38F5C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254,72</w:t>
            </w:r>
          </w:p>
        </w:tc>
        <w:tc>
          <w:tcPr>
            <w:tcW w:w="1700" w:type="dxa"/>
          </w:tcPr>
          <w:p w14:paraId="675322E4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516,84</w:t>
            </w:r>
          </w:p>
        </w:tc>
      </w:tr>
    </w:tbl>
    <w:p w14:paraId="3B038960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7B82C78B">
      <w:pPr>
        <w:ind w:left="709"/>
        <w:jc w:val="both"/>
        <w:rPr>
          <w:rFonts w:ascii="Arial Narrow" w:hAnsi="Arial Narrow" w:cs="Arial"/>
          <w:b/>
          <w:color w:val="FF0000"/>
          <w:sz w:val="20"/>
          <w:szCs w:val="20"/>
        </w:rPr>
      </w:pPr>
    </w:p>
    <w:p w14:paraId="0DE0339F">
      <w:pPr>
        <w:ind w:left="709"/>
        <w:jc w:val="both"/>
        <w:rPr>
          <w:rFonts w:ascii="Arial Narrow" w:hAnsi="Arial Narrow" w:cs="Arial"/>
          <w:b/>
          <w:color w:val="FF0000"/>
          <w:sz w:val="20"/>
          <w:szCs w:val="20"/>
        </w:rPr>
      </w:pPr>
      <w:r>
        <w:rPr>
          <w:rFonts w:ascii="Arial Narrow" w:hAnsi="Arial Narrow" w:cs="Arial"/>
          <w:b/>
          <w:color w:val="FF0000"/>
          <w:sz w:val="20"/>
          <w:szCs w:val="20"/>
        </w:rPr>
        <w:t>b) Administratívne poplatky (pol. 221)</w:t>
      </w:r>
    </w:p>
    <w:p w14:paraId="1004FD94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rozpočtovaných 1 200,00 € bol skutočný príjem k 31.12.2024 vo výške 2 478,00€, čo je 206,5% plnenie.</w:t>
      </w:r>
    </w:p>
    <w:p w14:paraId="6AF129B8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tbl>
      <w:tblPr>
        <w:tblStyle w:val="16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3"/>
        <w:gridCol w:w="1540"/>
        <w:gridCol w:w="1685"/>
        <w:gridCol w:w="1727"/>
        <w:gridCol w:w="1727"/>
      </w:tblGrid>
      <w:tr w14:paraId="2CE44A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3" w:type="dxa"/>
          </w:tcPr>
          <w:p w14:paraId="0999B68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1540" w:type="dxa"/>
          </w:tcPr>
          <w:p w14:paraId="0F2D75F1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2024</w:t>
            </w:r>
          </w:p>
        </w:tc>
        <w:tc>
          <w:tcPr>
            <w:tcW w:w="1685" w:type="dxa"/>
          </w:tcPr>
          <w:p w14:paraId="24272FFF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1727" w:type="dxa"/>
          </w:tcPr>
          <w:p w14:paraId="271F73B9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727" w:type="dxa"/>
          </w:tcPr>
          <w:p w14:paraId="596D04EC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</w:tr>
      <w:tr w14:paraId="1381FB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3" w:type="dxa"/>
          </w:tcPr>
          <w:p w14:paraId="0E476320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1540" w:type="dxa"/>
          </w:tcPr>
          <w:p w14:paraId="2DCB4FF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2 478,00</w:t>
            </w:r>
          </w:p>
        </w:tc>
        <w:tc>
          <w:tcPr>
            <w:tcW w:w="1685" w:type="dxa"/>
          </w:tcPr>
          <w:p w14:paraId="1ABD931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1 124,00</w:t>
            </w:r>
          </w:p>
        </w:tc>
        <w:tc>
          <w:tcPr>
            <w:tcW w:w="1727" w:type="dxa"/>
          </w:tcPr>
          <w:p w14:paraId="4950F01D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2 396,00</w:t>
            </w:r>
          </w:p>
        </w:tc>
        <w:tc>
          <w:tcPr>
            <w:tcW w:w="1727" w:type="dxa"/>
          </w:tcPr>
          <w:p w14:paraId="049E55CE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4 260,00</w:t>
            </w:r>
          </w:p>
        </w:tc>
      </w:tr>
    </w:tbl>
    <w:p w14:paraId="4F19B974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408BF56F">
      <w:pPr>
        <w:ind w:left="709"/>
        <w:jc w:val="both"/>
        <w:rPr>
          <w:rFonts w:ascii="Arial Narrow" w:hAnsi="Arial Narrow" w:cs="Arial"/>
          <w:b/>
          <w:color w:val="FF0000"/>
          <w:sz w:val="20"/>
          <w:szCs w:val="20"/>
        </w:rPr>
      </w:pPr>
      <w:r>
        <w:rPr>
          <w:rFonts w:ascii="Arial Narrow" w:hAnsi="Arial Narrow" w:cs="Arial"/>
          <w:b/>
          <w:color w:val="FF0000"/>
          <w:sz w:val="20"/>
          <w:szCs w:val="20"/>
        </w:rPr>
        <w:t>c) Pokuty a penále (pol. 222)</w:t>
      </w:r>
    </w:p>
    <w:p w14:paraId="510EC9A8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rozpočtových 5 000,00  eur v skutočnosti bol príjem  1515,00 eur, čo je 30,32 % plnenie.</w:t>
      </w:r>
    </w:p>
    <w:p w14:paraId="522B799F">
      <w:pPr>
        <w:ind w:left="709"/>
        <w:jc w:val="both"/>
        <w:rPr>
          <w:rFonts w:ascii="Arial Narrow" w:hAnsi="Arial Narrow" w:cs="Arial"/>
          <w:color w:val="FF0000"/>
          <w:sz w:val="20"/>
          <w:szCs w:val="20"/>
        </w:rPr>
      </w:pPr>
    </w:p>
    <w:p w14:paraId="5E36A2E4">
      <w:pPr>
        <w:ind w:left="709"/>
        <w:jc w:val="both"/>
        <w:rPr>
          <w:rFonts w:ascii="Arial Narrow" w:hAnsi="Arial Narrow" w:cs="Arial"/>
          <w:b/>
          <w:color w:val="FF0000"/>
          <w:sz w:val="20"/>
          <w:szCs w:val="20"/>
        </w:rPr>
      </w:pPr>
      <w:r>
        <w:rPr>
          <w:rFonts w:ascii="Arial Narrow" w:hAnsi="Arial Narrow" w:cs="Arial"/>
          <w:b/>
          <w:color w:val="FF0000"/>
          <w:sz w:val="20"/>
          <w:szCs w:val="20"/>
        </w:rPr>
        <w:t>d) Poplatky za stravné, za predaj výrobkov a služieb (pol.223)</w:t>
      </w:r>
    </w:p>
    <w:p w14:paraId="7E6F01AE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rozpočtových  2 200,00 eur bol skutočný príjem 2 298,74 eur, čo je 104,49 % plnenie.</w:t>
      </w:r>
    </w:p>
    <w:p w14:paraId="2B500380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>Ide o príjem z poplatkov za hrobové miesto, vyhlásenie v miestom rozhlase, predaj KUKA nádob a príjem za stravné od zamestnancov.</w:t>
      </w:r>
    </w:p>
    <w:p w14:paraId="670381C1">
      <w:pPr>
        <w:ind w:left="709"/>
        <w:jc w:val="both"/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</w:t>
      </w:r>
    </w:p>
    <w:tbl>
      <w:tblPr>
        <w:tblStyle w:val="16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3"/>
        <w:gridCol w:w="1541"/>
        <w:gridCol w:w="1686"/>
        <w:gridCol w:w="1726"/>
        <w:gridCol w:w="1726"/>
      </w:tblGrid>
      <w:tr w14:paraId="243CE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3" w:type="dxa"/>
          </w:tcPr>
          <w:p w14:paraId="163AC58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1541" w:type="dxa"/>
          </w:tcPr>
          <w:p w14:paraId="6E8D357D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2024</w:t>
            </w:r>
          </w:p>
        </w:tc>
        <w:tc>
          <w:tcPr>
            <w:tcW w:w="1686" w:type="dxa"/>
          </w:tcPr>
          <w:p w14:paraId="73A0C73E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1726" w:type="dxa"/>
          </w:tcPr>
          <w:p w14:paraId="748749D0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726" w:type="dxa"/>
          </w:tcPr>
          <w:p w14:paraId="2FCBB794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</w:tr>
      <w:tr w14:paraId="5B810F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3" w:type="dxa"/>
          </w:tcPr>
          <w:p w14:paraId="1B657B91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1541" w:type="dxa"/>
          </w:tcPr>
          <w:p w14:paraId="3889390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2 298,74</w:t>
            </w:r>
          </w:p>
        </w:tc>
        <w:tc>
          <w:tcPr>
            <w:tcW w:w="1686" w:type="dxa"/>
          </w:tcPr>
          <w:p w14:paraId="5B5D7D54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1 966,53</w:t>
            </w:r>
          </w:p>
        </w:tc>
        <w:tc>
          <w:tcPr>
            <w:tcW w:w="1726" w:type="dxa"/>
          </w:tcPr>
          <w:p w14:paraId="17F79092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6 816,46</w:t>
            </w:r>
          </w:p>
        </w:tc>
        <w:tc>
          <w:tcPr>
            <w:tcW w:w="1726" w:type="dxa"/>
          </w:tcPr>
          <w:p w14:paraId="5F98EF6A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2 024,54</w:t>
            </w:r>
          </w:p>
        </w:tc>
      </w:tr>
    </w:tbl>
    <w:p w14:paraId="17F3371C">
      <w:pPr>
        <w:ind w:left="709"/>
        <w:jc w:val="both"/>
        <w:rPr>
          <w:rFonts w:ascii="Arial Narrow" w:hAnsi="Arial Narrow" w:cs="Arial"/>
          <w:bCs/>
          <w:sz w:val="20"/>
          <w:szCs w:val="20"/>
        </w:rPr>
      </w:pPr>
    </w:p>
    <w:p w14:paraId="501BAC35">
      <w:pPr>
        <w:ind w:left="709"/>
        <w:jc w:val="both"/>
        <w:rPr>
          <w:rFonts w:ascii="Arial Narrow" w:hAnsi="Arial Narrow" w:cs="Arial"/>
          <w:color w:val="FF0000"/>
          <w:sz w:val="20"/>
          <w:szCs w:val="20"/>
        </w:rPr>
      </w:pPr>
    </w:p>
    <w:p w14:paraId="599D9641">
      <w:pPr>
        <w:ind w:left="709"/>
        <w:jc w:val="both"/>
        <w:rPr>
          <w:rFonts w:ascii="Arial Narrow" w:hAnsi="Arial Narrow" w:cs="Arial"/>
          <w:b/>
          <w:color w:val="FF0000"/>
          <w:sz w:val="20"/>
          <w:szCs w:val="20"/>
        </w:rPr>
      </w:pPr>
      <w:r>
        <w:rPr>
          <w:rFonts w:ascii="Arial Narrow" w:hAnsi="Arial Narrow" w:cs="Arial"/>
          <w:b/>
          <w:color w:val="FF0000"/>
          <w:sz w:val="20"/>
          <w:szCs w:val="20"/>
        </w:rPr>
        <w:t>e) Úroky z tuzemských účtov (pol. 240)</w:t>
      </w:r>
    </w:p>
    <w:p w14:paraId="02D9DF55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rozpočtovaných 0 € bol skutočný príjem k 31.12.203 vo výške 0 €, čo je 0 % plnenie. Ide o príjem z úrokov na bežných účtoch.</w:t>
      </w:r>
    </w:p>
    <w:p w14:paraId="2F25B4C9">
      <w:pPr>
        <w:ind w:left="709"/>
        <w:jc w:val="both"/>
        <w:rPr>
          <w:rFonts w:ascii="Arial Narrow" w:hAnsi="Arial Narrow" w:cs="Arial"/>
          <w:color w:val="FF0000"/>
          <w:sz w:val="20"/>
          <w:szCs w:val="20"/>
        </w:rPr>
      </w:pPr>
    </w:p>
    <w:p w14:paraId="79357949">
      <w:pPr>
        <w:ind w:left="709"/>
        <w:jc w:val="both"/>
        <w:rPr>
          <w:rFonts w:ascii="Arial Narrow" w:hAnsi="Arial Narrow" w:cs="Arial"/>
          <w:b/>
          <w:bCs/>
          <w:color w:val="FF0000"/>
          <w:sz w:val="20"/>
          <w:szCs w:val="20"/>
        </w:rPr>
      </w:pPr>
      <w:r>
        <w:rPr>
          <w:rFonts w:ascii="Arial Narrow" w:hAnsi="Arial Narrow" w:cs="Arial"/>
          <w:b/>
          <w:bCs/>
          <w:color w:val="FF0000"/>
          <w:sz w:val="20"/>
          <w:szCs w:val="20"/>
        </w:rPr>
        <w:t>f) Ostatné príjmy (pol 292)</w:t>
      </w:r>
    </w:p>
    <w:p w14:paraId="68D8B6B5">
      <w:pPr>
        <w:ind w:left="709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rPr>
          <w:rFonts w:ascii="Arial Narrow" w:hAnsi="Arial Narrow" w:cs="Arial"/>
          <w:b/>
          <w:bCs/>
          <w:sz w:val="20"/>
          <w:szCs w:val="20"/>
        </w:rPr>
        <w:t>Z rozpočtovaných 0,00 bol skutočný príjem 7 265,79eur.</w:t>
      </w:r>
    </w:p>
    <w:p w14:paraId="0B0A36B6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Ide o príjem za dobropisy, mylné platby a duplicitné platby.</w:t>
      </w:r>
    </w:p>
    <w:p w14:paraId="59C3DDAF">
      <w:pPr>
        <w:shd w:val="clear" w:color="auto" w:fill="F8F8F8"/>
        <w:spacing w:before="100" w:beforeAutospacing="1" w:after="100" w:afterAutospacing="1" w:line="240" w:lineRule="auto"/>
        <w:rPr>
          <w:rFonts w:ascii="Arial Narrow" w:hAnsi="Arial Narrow" w:eastAsia="Times New Roman" w:cs="Arial"/>
          <w:b/>
          <w:bCs/>
          <w:i/>
          <w:iCs/>
          <w:color w:val="FF0000"/>
          <w:lang w:eastAsia="sk-SK"/>
        </w:rPr>
      </w:pPr>
      <w:r>
        <w:rPr>
          <w:rFonts w:ascii="Arial Narrow" w:hAnsi="Arial Narrow" w:eastAsia="Times New Roman" w:cs="Arial"/>
          <w:b/>
          <w:bCs/>
          <w:i/>
          <w:iCs/>
          <w:color w:val="FF0000"/>
          <w:lang w:val="en-US" w:eastAsia="sk-SK"/>
        </w:rPr>
        <w:t xml:space="preserve">- </w:t>
      </w:r>
      <w:r>
        <w:rPr>
          <w:rFonts w:ascii="Arial Narrow" w:hAnsi="Arial Narrow" w:eastAsia="Times New Roman" w:cs="Arial"/>
          <w:b/>
          <w:bCs/>
          <w:i/>
          <w:iCs/>
          <w:color w:val="FF0000"/>
          <w:lang w:eastAsia="sk-SK"/>
        </w:rPr>
        <w:t>Granty a transfery</w:t>
      </w:r>
    </w:p>
    <w:p w14:paraId="62828B96">
      <w:pPr>
        <w:rPr>
          <w:rFonts w:ascii="Arial Narrow" w:hAnsi="Arial Narrow" w:cs="Arial"/>
          <w:b/>
          <w:caps/>
          <w:color w:val="C00000"/>
          <w:sz w:val="20"/>
          <w:szCs w:val="20"/>
        </w:rPr>
      </w:pPr>
      <w:r>
        <w:rPr>
          <w:rFonts w:ascii="Arial Narrow" w:hAnsi="Arial Narrow" w:cs="Arial"/>
          <w:b/>
          <w:caps/>
          <w:color w:val="FF0000"/>
          <w:sz w:val="20"/>
          <w:szCs w:val="20"/>
        </w:rPr>
        <w:t xml:space="preserve">   </w:t>
      </w:r>
      <w:r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       </w:t>
      </w:r>
      <w:r>
        <w:rPr>
          <w:rFonts w:ascii="Arial Narrow" w:hAnsi="Arial Narrow" w:cs="Arial"/>
          <w:bCs/>
          <w:sz w:val="20"/>
          <w:szCs w:val="20"/>
        </w:rPr>
        <w:t>Skutočné príjmy z grantov a transferov dosiahli sumu 12 110,79 čo predstavuje 186,32 % plnenie rozpočtu.</w:t>
      </w:r>
      <w:r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                      </w:t>
      </w:r>
    </w:p>
    <w:p w14:paraId="433E8915">
      <w:pPr>
        <w:ind w:left="709"/>
        <w:rPr>
          <w:rFonts w:ascii="Arial Narrow" w:hAnsi="Arial Narrow" w:cs="Arial"/>
          <w:b/>
          <w:color w:val="C00000"/>
        </w:rPr>
      </w:pPr>
      <w:r>
        <w:rPr>
          <w:rFonts w:ascii="Arial Narrow" w:hAnsi="Arial Narrow" w:cs="Arial"/>
          <w:b/>
          <w:color w:val="C00000"/>
        </w:rPr>
        <w:t xml:space="preserve"> </w:t>
      </w:r>
    </w:p>
    <w:tbl>
      <w:tblPr>
        <w:tblStyle w:val="7"/>
        <w:tblW w:w="8577" w:type="dxa"/>
        <w:tblInd w:w="4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59DD9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vAlign w:val="center"/>
          </w:tcPr>
          <w:p w14:paraId="5A40564E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Schválený rozpočet                  </w:t>
            </w:r>
          </w:p>
          <w:p w14:paraId="0998C014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2024</w:t>
            </w:r>
          </w:p>
        </w:tc>
        <w:tc>
          <w:tcPr>
            <w:tcW w:w="2202" w:type="dxa"/>
            <w:shd w:val="clear" w:color="auto" w:fill="D9D9D9"/>
          </w:tcPr>
          <w:p w14:paraId="054A43A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Upravený rozpočet</w:t>
            </w:r>
          </w:p>
          <w:p w14:paraId="5C45F8B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2024</w:t>
            </w:r>
          </w:p>
        </w:tc>
        <w:tc>
          <w:tcPr>
            <w:tcW w:w="2233" w:type="dxa"/>
            <w:shd w:val="clear" w:color="auto" w:fill="D9D9D9"/>
            <w:vAlign w:val="center"/>
          </w:tcPr>
          <w:p w14:paraId="25C549B0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Skutočnosť k 31.12.2024</w:t>
            </w:r>
          </w:p>
        </w:tc>
        <w:tc>
          <w:tcPr>
            <w:tcW w:w="1672" w:type="dxa"/>
            <w:shd w:val="clear" w:color="auto" w:fill="D9D9D9"/>
            <w:vAlign w:val="center"/>
          </w:tcPr>
          <w:p w14:paraId="7A07AAB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%  plnenia</w:t>
            </w:r>
          </w:p>
        </w:tc>
      </w:tr>
      <w:tr w14:paraId="757F1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70" w:type="dxa"/>
            <w:vAlign w:val="center"/>
          </w:tcPr>
          <w:p w14:paraId="2A095425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6 500,00</w:t>
            </w:r>
          </w:p>
        </w:tc>
        <w:tc>
          <w:tcPr>
            <w:tcW w:w="2202" w:type="dxa"/>
            <w:vAlign w:val="center"/>
          </w:tcPr>
          <w:p w14:paraId="5DF2B670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6 500,00</w:t>
            </w:r>
          </w:p>
        </w:tc>
        <w:tc>
          <w:tcPr>
            <w:tcW w:w="2233" w:type="dxa"/>
            <w:vAlign w:val="center"/>
          </w:tcPr>
          <w:p w14:paraId="5FC5D76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12 110,79</w:t>
            </w:r>
          </w:p>
        </w:tc>
        <w:tc>
          <w:tcPr>
            <w:tcW w:w="1672" w:type="dxa"/>
            <w:vAlign w:val="center"/>
          </w:tcPr>
          <w:p w14:paraId="41A87E6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186,32</w:t>
            </w:r>
          </w:p>
        </w:tc>
      </w:tr>
    </w:tbl>
    <w:p w14:paraId="23A62F30">
      <w:pPr>
        <w:ind w:left="709"/>
        <w:jc w:val="center"/>
        <w:rPr>
          <w:rFonts w:ascii="Arial Narrow" w:hAnsi="Arial Narrow" w:cs="Arial"/>
          <w:b/>
          <w:color w:val="C00000"/>
        </w:rPr>
      </w:pPr>
    </w:p>
    <w:p w14:paraId="2F3B1E4E">
      <w:pPr>
        <w:ind w:left="1069"/>
        <w:rPr>
          <w:rFonts w:ascii="Arial Narrow" w:hAnsi="Arial Narrow"/>
          <w:sz w:val="18"/>
          <w:szCs w:val="18"/>
        </w:rPr>
      </w:pPr>
    </w:p>
    <w:p w14:paraId="039AC93C">
      <w:pPr>
        <w:outlineLvl w:val="0"/>
        <w:rPr>
          <w:rFonts w:ascii="Arial Narrow" w:hAnsi="Arial Narrow" w:cs="Arial"/>
          <w:b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</w:t>
      </w:r>
      <w:r>
        <w:rPr>
          <w:rFonts w:ascii="Arial Narrow" w:hAnsi="Arial Narrow" w:cs="Arial"/>
          <w:b/>
          <w:sz w:val="18"/>
          <w:szCs w:val="18"/>
        </w:rPr>
        <w:t xml:space="preserve">Obec prijala nasledovné granty a transfery : </w:t>
      </w:r>
    </w:p>
    <w:p w14:paraId="35ECCFD8">
      <w:pPr>
        <w:ind w:left="709"/>
        <w:outlineLvl w:val="0"/>
        <w:rPr>
          <w:rFonts w:ascii="Arial Narrow" w:hAnsi="Arial Narrow" w:cs="Arial"/>
          <w:b/>
          <w:sz w:val="18"/>
          <w:szCs w:val="18"/>
        </w:rPr>
      </w:pPr>
    </w:p>
    <w:tbl>
      <w:tblPr>
        <w:tblStyle w:val="7"/>
        <w:tblW w:w="8222" w:type="dxa"/>
        <w:tblInd w:w="8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3"/>
        <w:gridCol w:w="2990"/>
        <w:gridCol w:w="1773"/>
        <w:gridCol w:w="2746"/>
      </w:tblGrid>
      <w:tr w14:paraId="4A1D66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Header/>
        </w:trPr>
        <w:tc>
          <w:tcPr>
            <w:tcW w:w="713" w:type="dxa"/>
            <w:shd w:val="clear" w:color="auto" w:fill="D9D9D9"/>
            <w:vAlign w:val="center"/>
          </w:tcPr>
          <w:p w14:paraId="15B35C9E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P.č.</w:t>
            </w:r>
          </w:p>
        </w:tc>
        <w:tc>
          <w:tcPr>
            <w:tcW w:w="2990" w:type="dxa"/>
            <w:shd w:val="clear" w:color="auto" w:fill="D9D9D9"/>
            <w:vAlign w:val="center"/>
          </w:tcPr>
          <w:p w14:paraId="74489333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Poskytovateľ  </w:t>
            </w:r>
          </w:p>
        </w:tc>
        <w:tc>
          <w:tcPr>
            <w:tcW w:w="1773" w:type="dxa"/>
            <w:shd w:val="clear" w:color="auto" w:fill="D9D9D9"/>
            <w:vAlign w:val="center"/>
          </w:tcPr>
          <w:p w14:paraId="6C7F3AFF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v €</w:t>
            </w:r>
          </w:p>
        </w:tc>
        <w:tc>
          <w:tcPr>
            <w:tcW w:w="2746" w:type="dxa"/>
            <w:shd w:val="clear" w:color="auto" w:fill="D9D9D9"/>
            <w:vAlign w:val="center"/>
          </w:tcPr>
          <w:p w14:paraId="75C15B8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Účel </w:t>
            </w:r>
          </w:p>
        </w:tc>
      </w:tr>
      <w:tr w14:paraId="6D86B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vAlign w:val="center"/>
          </w:tcPr>
          <w:p w14:paraId="73C54F02">
            <w:pPr>
              <w:numPr>
                <w:ilvl w:val="0"/>
                <w:numId w:val="4"/>
              </w:numPr>
              <w:spacing w:after="0" w:line="240" w:lineRule="auto"/>
              <w:ind w:left="60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362FEE7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Ministerstvo vnútra SR </w:t>
            </w:r>
          </w:p>
        </w:tc>
        <w:tc>
          <w:tcPr>
            <w:tcW w:w="1773" w:type="dxa"/>
            <w:vAlign w:val="center"/>
          </w:tcPr>
          <w:p w14:paraId="64C1676D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26,00</w:t>
            </w:r>
          </w:p>
        </w:tc>
        <w:tc>
          <w:tcPr>
            <w:tcW w:w="2746" w:type="dxa"/>
            <w:vAlign w:val="center"/>
          </w:tcPr>
          <w:p w14:paraId="7E687363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Dotácia  Register adries</w:t>
            </w:r>
          </w:p>
        </w:tc>
      </w:tr>
      <w:tr w14:paraId="09853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shd w:val="clear" w:color="auto" w:fill="FFFFFF"/>
            <w:vAlign w:val="center"/>
          </w:tcPr>
          <w:p w14:paraId="45207EAA">
            <w:pPr>
              <w:numPr>
                <w:ilvl w:val="0"/>
                <w:numId w:val="4"/>
              </w:numPr>
              <w:spacing w:after="0" w:line="240" w:lineRule="auto"/>
              <w:ind w:left="60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shd w:val="clear" w:color="auto" w:fill="FFFFFF"/>
            <w:vAlign w:val="center"/>
          </w:tcPr>
          <w:p w14:paraId="6F577EF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shd w:val="clear" w:color="auto" w:fill="FFFFFF"/>
            <w:vAlign w:val="center"/>
          </w:tcPr>
          <w:p w14:paraId="6001C7F4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129,69</w:t>
            </w:r>
          </w:p>
        </w:tc>
        <w:tc>
          <w:tcPr>
            <w:tcW w:w="2746" w:type="dxa"/>
            <w:shd w:val="clear" w:color="auto" w:fill="FFFFFF"/>
            <w:vAlign w:val="center"/>
          </w:tcPr>
          <w:p w14:paraId="755B2596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Dotácia REGOB</w:t>
            </w:r>
          </w:p>
        </w:tc>
      </w:tr>
      <w:tr w14:paraId="150AC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shd w:val="clear" w:color="auto" w:fill="FFFFFF"/>
            <w:vAlign w:val="center"/>
          </w:tcPr>
          <w:p w14:paraId="45CF2180">
            <w:pPr>
              <w:numPr>
                <w:ilvl w:val="0"/>
                <w:numId w:val="4"/>
              </w:numPr>
              <w:spacing w:after="0" w:line="240" w:lineRule="auto"/>
              <w:ind w:left="600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shd w:val="clear" w:color="auto" w:fill="FFFFFF"/>
            <w:vAlign w:val="center"/>
          </w:tcPr>
          <w:p w14:paraId="3F2D2C71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shd w:val="clear" w:color="auto" w:fill="FFFFFF"/>
            <w:vAlign w:val="center"/>
          </w:tcPr>
          <w:p w14:paraId="4AD308D9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47,56</w:t>
            </w:r>
          </w:p>
        </w:tc>
        <w:tc>
          <w:tcPr>
            <w:tcW w:w="2746" w:type="dxa"/>
            <w:shd w:val="clear" w:color="auto" w:fill="FFFFFF"/>
            <w:vAlign w:val="center"/>
          </w:tcPr>
          <w:p w14:paraId="3752EAF2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Dotácia Životné prostredie</w:t>
            </w:r>
          </w:p>
        </w:tc>
      </w:tr>
      <w:tr w14:paraId="14366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vAlign w:val="center"/>
          </w:tcPr>
          <w:p w14:paraId="625A3D67">
            <w:pPr>
              <w:numPr>
                <w:ilvl w:val="0"/>
                <w:numId w:val="4"/>
              </w:numPr>
              <w:spacing w:after="0" w:line="240" w:lineRule="auto"/>
              <w:ind w:left="600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2BDD5211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vAlign w:val="center"/>
          </w:tcPr>
          <w:p w14:paraId="19C82581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2 738,01</w:t>
            </w:r>
          </w:p>
        </w:tc>
        <w:tc>
          <w:tcPr>
            <w:tcW w:w="2746" w:type="dxa"/>
            <w:vAlign w:val="center"/>
          </w:tcPr>
          <w:p w14:paraId="6471E3C0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Voľby, referendum</w:t>
            </w:r>
          </w:p>
        </w:tc>
      </w:tr>
      <w:tr w14:paraId="4F3AFD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vAlign w:val="center"/>
          </w:tcPr>
          <w:p w14:paraId="0FE4F061">
            <w:pPr>
              <w:numPr>
                <w:ilvl w:val="0"/>
                <w:numId w:val="4"/>
              </w:numPr>
              <w:spacing w:after="0" w:line="240" w:lineRule="auto"/>
              <w:ind w:left="600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7A0C4E2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vAlign w:val="center"/>
          </w:tcPr>
          <w:p w14:paraId="3F7AAAB5">
            <w:pPr>
              <w:tabs>
                <w:tab w:val="decimal" w:pos="1351"/>
              </w:tabs>
              <w:wordWrap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188,52</w:t>
            </w:r>
          </w:p>
        </w:tc>
        <w:tc>
          <w:tcPr>
            <w:tcW w:w="2746" w:type="dxa"/>
            <w:vAlign w:val="center"/>
          </w:tcPr>
          <w:p w14:paraId="4034F9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Energošeky</w:t>
            </w:r>
          </w:p>
        </w:tc>
      </w:tr>
      <w:tr w14:paraId="1AE26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vAlign w:val="center"/>
          </w:tcPr>
          <w:p w14:paraId="7427FCE4">
            <w:pPr>
              <w:numPr>
                <w:ilvl w:val="0"/>
                <w:numId w:val="4"/>
              </w:numPr>
              <w:spacing w:after="0" w:line="240" w:lineRule="auto"/>
              <w:ind w:left="60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5B70EEEE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Dobrovoľná  požiar. ochrana  SR</w:t>
            </w:r>
          </w:p>
        </w:tc>
        <w:tc>
          <w:tcPr>
            <w:tcW w:w="1773" w:type="dxa"/>
            <w:vAlign w:val="center"/>
          </w:tcPr>
          <w:p w14:paraId="4B010496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3 000,00</w:t>
            </w:r>
          </w:p>
        </w:tc>
        <w:tc>
          <w:tcPr>
            <w:tcW w:w="2746" w:type="dxa"/>
            <w:vAlign w:val="center"/>
          </w:tcPr>
          <w:p w14:paraId="764C7A2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Dotácia pre požiarnu ochranu v obci</w:t>
            </w:r>
          </w:p>
        </w:tc>
      </w:tr>
      <w:tr w14:paraId="5321E2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vAlign w:val="center"/>
          </w:tcPr>
          <w:p w14:paraId="369B6010">
            <w:pPr>
              <w:numPr>
                <w:ilvl w:val="0"/>
                <w:numId w:val="4"/>
              </w:numPr>
              <w:spacing w:after="0" w:line="240" w:lineRule="auto"/>
              <w:ind w:left="60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57ED5DD2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Obec Nižný klátov</w:t>
            </w:r>
          </w:p>
        </w:tc>
        <w:tc>
          <w:tcPr>
            <w:tcW w:w="1773" w:type="dxa"/>
            <w:vAlign w:val="center"/>
          </w:tcPr>
          <w:p w14:paraId="46C08027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2746" w:type="dxa"/>
            <w:vAlign w:val="center"/>
          </w:tcPr>
          <w:p w14:paraId="7DCA8963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Transfer Požiarna ochrana</w:t>
            </w:r>
          </w:p>
        </w:tc>
      </w:tr>
      <w:tr w14:paraId="211D1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vAlign w:val="center"/>
          </w:tcPr>
          <w:p w14:paraId="073928DD">
            <w:pPr>
              <w:numPr>
                <w:ilvl w:val="0"/>
                <w:numId w:val="4"/>
              </w:numPr>
              <w:spacing w:after="0" w:line="240" w:lineRule="auto"/>
              <w:ind w:left="60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49960B5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Fyzická osoba</w:t>
            </w:r>
          </w:p>
        </w:tc>
        <w:tc>
          <w:tcPr>
            <w:tcW w:w="1773" w:type="dxa"/>
            <w:vAlign w:val="center"/>
          </w:tcPr>
          <w:p w14:paraId="1320CEA1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2 900,00</w:t>
            </w:r>
          </w:p>
        </w:tc>
        <w:tc>
          <w:tcPr>
            <w:tcW w:w="2746" w:type="dxa"/>
            <w:vAlign w:val="center"/>
          </w:tcPr>
          <w:p w14:paraId="2B43BFAE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Dar </w:t>
            </w:r>
          </w:p>
        </w:tc>
      </w:tr>
      <w:tr w14:paraId="1D119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vAlign w:val="center"/>
          </w:tcPr>
          <w:p w14:paraId="35D629CA">
            <w:pPr>
              <w:numPr>
                <w:ilvl w:val="0"/>
                <w:numId w:val="4"/>
              </w:numPr>
              <w:spacing w:after="0" w:line="240" w:lineRule="auto"/>
              <w:ind w:left="60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277D6685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Úrad práce</w:t>
            </w:r>
          </w:p>
        </w:tc>
        <w:tc>
          <w:tcPr>
            <w:tcW w:w="1773" w:type="dxa"/>
            <w:vAlign w:val="center"/>
          </w:tcPr>
          <w:p w14:paraId="2A122ADF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17,11</w:t>
            </w:r>
          </w:p>
        </w:tc>
        <w:tc>
          <w:tcPr>
            <w:tcW w:w="2746" w:type="dxa"/>
            <w:vAlign w:val="center"/>
          </w:tcPr>
          <w:p w14:paraId="595A4AF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Aktivačná činnosť</w:t>
            </w:r>
          </w:p>
        </w:tc>
      </w:tr>
      <w:tr w14:paraId="2BB45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vAlign w:val="center"/>
          </w:tcPr>
          <w:p w14:paraId="3A4D0F03">
            <w:pPr>
              <w:numPr>
                <w:ilvl w:val="0"/>
                <w:numId w:val="4"/>
              </w:numPr>
              <w:spacing w:after="0" w:line="240" w:lineRule="auto"/>
              <w:ind w:left="60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4DBE71F1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Úrad práce</w:t>
            </w:r>
          </w:p>
        </w:tc>
        <w:tc>
          <w:tcPr>
            <w:tcW w:w="1773" w:type="dxa"/>
            <w:vAlign w:val="center"/>
          </w:tcPr>
          <w:p w14:paraId="111AED8E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1 200,00</w:t>
            </w:r>
          </w:p>
        </w:tc>
        <w:tc>
          <w:tcPr>
            <w:tcW w:w="2746" w:type="dxa"/>
            <w:vAlign w:val="center"/>
          </w:tcPr>
          <w:p w14:paraId="234E6920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Detské prídavky</w:t>
            </w:r>
          </w:p>
        </w:tc>
      </w:tr>
      <w:tr w14:paraId="72D73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vAlign w:val="center"/>
          </w:tcPr>
          <w:p w14:paraId="2AF52414">
            <w:pPr>
              <w:numPr>
                <w:ilvl w:val="0"/>
                <w:numId w:val="4"/>
              </w:numPr>
              <w:spacing w:after="0" w:line="240" w:lineRule="auto"/>
              <w:ind w:left="60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59690E4C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Environmentálny fond</w:t>
            </w:r>
          </w:p>
        </w:tc>
        <w:tc>
          <w:tcPr>
            <w:tcW w:w="1773" w:type="dxa"/>
            <w:vAlign w:val="center"/>
          </w:tcPr>
          <w:p w14:paraId="4743F609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363,90</w:t>
            </w:r>
          </w:p>
        </w:tc>
        <w:tc>
          <w:tcPr>
            <w:tcW w:w="2746" w:type="dxa"/>
            <w:vAlign w:val="center"/>
          </w:tcPr>
          <w:p w14:paraId="5C507E4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Uloženie odpadov</w:t>
            </w:r>
          </w:p>
        </w:tc>
      </w:tr>
      <w:tr w14:paraId="5638A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vAlign w:val="center"/>
          </w:tcPr>
          <w:p w14:paraId="5AE6DA15">
            <w:pPr>
              <w:numPr>
                <w:ilvl w:val="0"/>
                <w:numId w:val="4"/>
              </w:numPr>
              <w:spacing w:after="0" w:line="240" w:lineRule="auto"/>
              <w:ind w:left="60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vAlign w:val="center"/>
          </w:tcPr>
          <w:p w14:paraId="3C6AD0A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Dotácia KSK</w:t>
            </w:r>
          </w:p>
        </w:tc>
        <w:tc>
          <w:tcPr>
            <w:tcW w:w="1773" w:type="dxa"/>
            <w:vAlign w:val="center"/>
          </w:tcPr>
          <w:p w14:paraId="6DE5E6D3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1000,00</w:t>
            </w:r>
          </w:p>
        </w:tc>
        <w:tc>
          <w:tcPr>
            <w:tcW w:w="2746" w:type="dxa"/>
            <w:vAlign w:val="center"/>
          </w:tcPr>
          <w:p w14:paraId="5F7141D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Defibrilátor</w:t>
            </w:r>
          </w:p>
        </w:tc>
      </w:tr>
    </w:tbl>
    <w:p w14:paraId="1DB8E919">
      <w:pPr>
        <w:ind w:left="709"/>
        <w:outlineLvl w:val="0"/>
        <w:rPr>
          <w:rFonts w:ascii="Arial Narrow" w:hAnsi="Arial Narrow" w:cs="Arial"/>
          <w:sz w:val="20"/>
        </w:rPr>
      </w:pPr>
    </w:p>
    <w:p w14:paraId="2834FA83">
      <w:pPr>
        <w:ind w:left="709"/>
        <w:jc w:val="both"/>
        <w:rPr>
          <w:rFonts w:ascii="Arial Narrow" w:hAnsi="Arial Narrow" w:cs="Arial"/>
          <w:sz w:val="20"/>
          <w:szCs w:val="20"/>
          <w:lang w:val="sk-SK" w:eastAsia="sk-SK"/>
        </w:rPr>
      </w:pPr>
      <w:r>
        <w:rPr>
          <w:rFonts w:ascii="Arial Narrow" w:hAnsi="Arial Narrow" w:cs="Arial"/>
          <w:sz w:val="20"/>
          <w:szCs w:val="20"/>
          <w:lang w:val="sk-SK" w:eastAsia="sk-SK"/>
        </w:rPr>
        <w:t xml:space="preserve">Granty a transfery boli účelovo viazané a boli použité v súlade s ich účelom. </w:t>
      </w:r>
    </w:p>
    <w:p w14:paraId="0A39140B">
      <w:pPr>
        <w:ind w:left="709"/>
        <w:jc w:val="both"/>
        <w:rPr>
          <w:rFonts w:ascii="Arial Narrow" w:hAnsi="Arial Narrow" w:cs="Arial"/>
          <w:sz w:val="20"/>
          <w:szCs w:val="20"/>
          <w:lang w:val="sk-SK" w:eastAsia="sk-SK"/>
        </w:rPr>
      </w:pPr>
    </w:p>
    <w:tbl>
      <w:tblPr>
        <w:tblStyle w:val="16"/>
        <w:tblW w:w="0" w:type="auto"/>
        <w:tblInd w:w="7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2"/>
        <w:gridCol w:w="1531"/>
        <w:gridCol w:w="1677"/>
        <w:gridCol w:w="1718"/>
        <w:gridCol w:w="1754"/>
      </w:tblGrid>
      <w:tr w14:paraId="03E03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2" w:type="dxa"/>
          </w:tcPr>
          <w:p w14:paraId="4B935D82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Rok</w:t>
            </w:r>
          </w:p>
        </w:tc>
        <w:tc>
          <w:tcPr>
            <w:tcW w:w="1531" w:type="dxa"/>
          </w:tcPr>
          <w:p w14:paraId="5DE2D3E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2024</w:t>
            </w:r>
          </w:p>
        </w:tc>
        <w:tc>
          <w:tcPr>
            <w:tcW w:w="1677" w:type="dxa"/>
          </w:tcPr>
          <w:p w14:paraId="71EFC925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2023</w:t>
            </w:r>
          </w:p>
        </w:tc>
        <w:tc>
          <w:tcPr>
            <w:tcW w:w="1718" w:type="dxa"/>
          </w:tcPr>
          <w:p w14:paraId="37215E49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2022</w:t>
            </w:r>
          </w:p>
        </w:tc>
        <w:tc>
          <w:tcPr>
            <w:tcW w:w="1754" w:type="dxa"/>
          </w:tcPr>
          <w:p w14:paraId="442DEA3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2021</w:t>
            </w:r>
          </w:p>
        </w:tc>
      </w:tr>
      <w:tr w14:paraId="3455B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12" w:type="dxa"/>
          </w:tcPr>
          <w:p w14:paraId="121973D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1531" w:type="dxa"/>
          </w:tcPr>
          <w:p w14:paraId="7B0FFAB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12 110,79</w:t>
            </w:r>
          </w:p>
        </w:tc>
        <w:tc>
          <w:tcPr>
            <w:tcW w:w="1677" w:type="dxa"/>
          </w:tcPr>
          <w:p w14:paraId="5687AE7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14 598,78</w:t>
            </w:r>
          </w:p>
        </w:tc>
        <w:tc>
          <w:tcPr>
            <w:tcW w:w="1718" w:type="dxa"/>
          </w:tcPr>
          <w:p w14:paraId="0E82858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7 646,72</w:t>
            </w:r>
          </w:p>
        </w:tc>
        <w:tc>
          <w:tcPr>
            <w:tcW w:w="1754" w:type="dxa"/>
          </w:tcPr>
          <w:p w14:paraId="74959F3C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30 803,06</w:t>
            </w:r>
          </w:p>
        </w:tc>
      </w:tr>
    </w:tbl>
    <w:p w14:paraId="06CAB599">
      <w:pPr>
        <w:rPr>
          <w:rFonts w:ascii="Arial Narrow" w:hAnsi="Arial Narrow" w:cs="Arial"/>
          <w:b/>
          <w:i/>
          <w:iCs/>
          <w:caps/>
          <w:color w:val="FF0000"/>
        </w:rPr>
      </w:pPr>
      <w:r>
        <w:rPr>
          <w:rFonts w:ascii="Arial Narrow" w:hAnsi="Arial Narrow" w:cs="Arial"/>
          <w:b/>
          <w:i/>
          <w:iCs/>
          <w:caps/>
          <w:color w:val="FF0000"/>
        </w:rPr>
        <w:t xml:space="preserve">    </w:t>
      </w:r>
    </w:p>
    <w:p w14:paraId="6E778B7D">
      <w:pPr>
        <w:rPr>
          <w:rFonts w:ascii="Arial Narrow" w:hAnsi="Arial Narrow" w:cs="Arial"/>
          <w:b/>
          <w:i/>
          <w:iCs/>
          <w:color w:val="FF0000"/>
        </w:rPr>
      </w:pPr>
      <w:r>
        <w:rPr>
          <w:rFonts w:ascii="Arial Narrow" w:hAnsi="Arial Narrow" w:cs="Arial"/>
          <w:b/>
          <w:i/>
          <w:iCs/>
          <w:color w:val="FF0000"/>
        </w:rPr>
        <w:t>KAPITÁLOVÉ PRÍJMY</w:t>
      </w:r>
    </w:p>
    <w:p w14:paraId="5076C4F7">
      <w:pPr>
        <w:rPr>
          <w:rFonts w:ascii="Arial Narrow" w:hAnsi="Arial Narrow" w:cs="Arial"/>
          <w:b/>
          <w:caps/>
          <w:color w:val="C00000"/>
          <w:sz w:val="18"/>
          <w:szCs w:val="18"/>
        </w:rPr>
      </w:pPr>
    </w:p>
    <w:p w14:paraId="50149CFF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 </w:t>
      </w:r>
      <w:r>
        <w:rPr>
          <w:rFonts w:ascii="Arial Narrow" w:hAnsi="Arial Narrow" w:cs="Arial"/>
          <w:sz w:val="20"/>
          <w:szCs w:val="20"/>
        </w:rPr>
        <w:t>Z rozpočtovaných 3 284 498,19 eur bol skutočný príjem  4 463,85 eur čo predstavuje 0,14% plnenie rozpočtu.</w:t>
      </w:r>
    </w:p>
    <w:p w14:paraId="32F39700">
      <w:pPr>
        <w:ind w:left="709"/>
        <w:rPr>
          <w:rFonts w:ascii="Arial Narrow" w:hAnsi="Arial Narrow" w:cs="Arial"/>
          <w:sz w:val="20"/>
          <w:szCs w:val="20"/>
        </w:rPr>
      </w:pPr>
    </w:p>
    <w:tbl>
      <w:tblPr>
        <w:tblStyle w:val="7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48DFA1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vAlign w:val="center"/>
          </w:tcPr>
          <w:p w14:paraId="7A04CC0D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Schválený rozpočet                  </w:t>
            </w:r>
          </w:p>
          <w:p w14:paraId="6A056F47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2024</w:t>
            </w:r>
          </w:p>
        </w:tc>
        <w:tc>
          <w:tcPr>
            <w:tcW w:w="2202" w:type="dxa"/>
            <w:shd w:val="clear" w:color="auto" w:fill="D9D9D9"/>
          </w:tcPr>
          <w:p w14:paraId="3CB3DF9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Upravený</w:t>
            </w:r>
          </w:p>
          <w:p w14:paraId="237698B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2024</w:t>
            </w:r>
          </w:p>
        </w:tc>
        <w:tc>
          <w:tcPr>
            <w:tcW w:w="2233" w:type="dxa"/>
            <w:shd w:val="clear" w:color="auto" w:fill="D9D9D9"/>
            <w:vAlign w:val="center"/>
          </w:tcPr>
          <w:p w14:paraId="402F1540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Skutočnosť k 31.12.2024</w:t>
            </w:r>
          </w:p>
        </w:tc>
        <w:tc>
          <w:tcPr>
            <w:tcW w:w="1672" w:type="dxa"/>
            <w:shd w:val="clear" w:color="auto" w:fill="D9D9D9"/>
            <w:vAlign w:val="center"/>
          </w:tcPr>
          <w:p w14:paraId="4F709B51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%  plnenia</w:t>
            </w:r>
          </w:p>
        </w:tc>
      </w:tr>
      <w:tr w14:paraId="1FB4D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vAlign w:val="center"/>
          </w:tcPr>
          <w:p w14:paraId="502BF72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3 284 498,19</w:t>
            </w:r>
          </w:p>
        </w:tc>
        <w:tc>
          <w:tcPr>
            <w:tcW w:w="2202" w:type="dxa"/>
            <w:vAlign w:val="center"/>
          </w:tcPr>
          <w:p w14:paraId="6A81419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3 284 498,19</w:t>
            </w:r>
          </w:p>
        </w:tc>
        <w:tc>
          <w:tcPr>
            <w:tcW w:w="2233" w:type="dxa"/>
            <w:vAlign w:val="center"/>
          </w:tcPr>
          <w:p w14:paraId="153C8BF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4 463,85</w:t>
            </w:r>
          </w:p>
        </w:tc>
        <w:tc>
          <w:tcPr>
            <w:tcW w:w="1672" w:type="dxa"/>
            <w:vAlign w:val="center"/>
          </w:tcPr>
          <w:p w14:paraId="7125136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0,14</w:t>
            </w:r>
          </w:p>
        </w:tc>
      </w:tr>
    </w:tbl>
    <w:p w14:paraId="62761A5E">
      <w:pPr>
        <w:ind w:left="709"/>
        <w:rPr>
          <w:rFonts w:ascii="Arial Narrow" w:hAnsi="Arial Narrow" w:cs="Arial"/>
          <w:b/>
        </w:rPr>
      </w:pPr>
    </w:p>
    <w:p w14:paraId="1F571A51">
      <w:pPr>
        <w:ind w:left="709"/>
        <w:rPr>
          <w:rFonts w:ascii="Arial Narrow" w:hAnsi="Arial Narrow" w:cs="Arial"/>
        </w:rPr>
      </w:pPr>
    </w:p>
    <w:p w14:paraId="374EDDAD">
      <w:pPr>
        <w:ind w:left="100" w:hanging="100" w:hangingChars="5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Ide o príjem z predaja obecných pozemkov v sume 4 463,85 eura. </w:t>
      </w:r>
    </w:p>
    <w:p w14:paraId="34B694AD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</w:t>
      </w:r>
    </w:p>
    <w:p w14:paraId="61C1E49E">
      <w:pPr>
        <w:rPr>
          <w:rFonts w:ascii="Arial Narrow" w:hAnsi="Arial Narrow" w:cs="Arial"/>
          <w:sz w:val="20"/>
          <w:szCs w:val="20"/>
        </w:rPr>
      </w:pPr>
    </w:p>
    <w:p w14:paraId="690440F9">
      <w:pPr>
        <w:rPr>
          <w:rFonts w:ascii="Arial Narrow" w:hAnsi="Arial Narrow" w:cs="Arial"/>
          <w:b/>
          <w:i/>
          <w:iCs/>
          <w:color w:val="FF0000"/>
        </w:rPr>
      </w:pPr>
    </w:p>
    <w:p w14:paraId="13345623">
      <w:pPr>
        <w:ind w:left="198" w:leftChars="90" w:firstLine="500" w:firstLineChars="250"/>
        <w:rPr>
          <w:rFonts w:ascii="Arial Narrow" w:hAnsi="Arial Narrow" w:cs="Arial"/>
          <w:color w:val="FF0000"/>
          <w:sz w:val="20"/>
          <w:szCs w:val="20"/>
        </w:rPr>
      </w:pPr>
      <w:r>
        <w:rPr>
          <w:rFonts w:ascii="Arial Narrow" w:hAnsi="Arial Narrow" w:cs="Arial"/>
          <w:b/>
          <w:color w:val="FF0000"/>
          <w:sz w:val="20"/>
          <w:szCs w:val="20"/>
        </w:rPr>
        <w:t xml:space="preserve"> </w:t>
      </w:r>
    </w:p>
    <w:tbl>
      <w:tblPr>
        <w:tblStyle w:val="16"/>
        <w:tblpPr w:leftFromText="180" w:rightFromText="180" w:vertAnchor="text" w:horzAnchor="page" w:tblpX="1693" w:tblpY="31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7"/>
        <w:gridCol w:w="1735"/>
        <w:gridCol w:w="1830"/>
        <w:gridCol w:w="1874"/>
        <w:gridCol w:w="1806"/>
      </w:tblGrid>
      <w:tr w14:paraId="2B80B6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7" w:type="dxa"/>
            <w:shd w:val="clear" w:color="auto" w:fill="D7D7D7" w:themeFill="background1" w:themeFillShade="D8"/>
          </w:tcPr>
          <w:p w14:paraId="3CB6D1C2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1735" w:type="dxa"/>
            <w:shd w:val="clear" w:color="auto" w:fill="D7D7D7" w:themeFill="background1" w:themeFillShade="D8"/>
          </w:tcPr>
          <w:p w14:paraId="26D77F7F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2024</w:t>
            </w:r>
          </w:p>
        </w:tc>
        <w:tc>
          <w:tcPr>
            <w:tcW w:w="1830" w:type="dxa"/>
            <w:shd w:val="clear" w:color="auto" w:fill="D7D7D7" w:themeFill="background1" w:themeFillShade="D8"/>
          </w:tcPr>
          <w:p w14:paraId="79850B4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1874" w:type="dxa"/>
            <w:shd w:val="clear" w:color="auto" w:fill="D7D7D7" w:themeFill="background1" w:themeFillShade="D8"/>
          </w:tcPr>
          <w:p w14:paraId="71EBCB21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806" w:type="dxa"/>
            <w:shd w:val="clear" w:color="auto" w:fill="D7D7D7" w:themeFill="background1" w:themeFillShade="D8"/>
          </w:tcPr>
          <w:p w14:paraId="5A909C52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sk-SK"/>
              </w:rPr>
              <w:t>2021</w:t>
            </w:r>
          </w:p>
        </w:tc>
      </w:tr>
      <w:tr w14:paraId="3DCA0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17" w:type="dxa"/>
          </w:tcPr>
          <w:p w14:paraId="0F340793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1735" w:type="dxa"/>
          </w:tcPr>
          <w:p w14:paraId="1A32622F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4 463,85</w:t>
            </w:r>
          </w:p>
        </w:tc>
        <w:tc>
          <w:tcPr>
            <w:tcW w:w="1830" w:type="dxa"/>
          </w:tcPr>
          <w:p w14:paraId="20A23C2C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val="en-US" w:eastAsia="sk-SK"/>
              </w:rPr>
              <w:t>121 341,10</w:t>
            </w:r>
          </w:p>
        </w:tc>
        <w:tc>
          <w:tcPr>
            <w:tcW w:w="1874" w:type="dxa"/>
          </w:tcPr>
          <w:p w14:paraId="1B3816C5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34 200,00</w:t>
            </w:r>
          </w:p>
        </w:tc>
        <w:tc>
          <w:tcPr>
            <w:tcW w:w="1806" w:type="dxa"/>
          </w:tcPr>
          <w:p w14:paraId="3C94BA1E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sz w:val="20"/>
                <w:szCs w:val="20"/>
                <w:lang w:eastAsia="sk-SK"/>
              </w:rPr>
              <w:t>256,00</w:t>
            </w:r>
          </w:p>
        </w:tc>
      </w:tr>
    </w:tbl>
    <w:p w14:paraId="34EDAF62">
      <w:pPr>
        <w:rPr>
          <w:rFonts w:ascii="Arial Narrow" w:hAnsi="Arial Narrow" w:cs="Arial"/>
          <w:b/>
          <w:i/>
          <w:iCs/>
          <w:color w:val="FF0000"/>
        </w:rPr>
      </w:pPr>
    </w:p>
    <w:p w14:paraId="7D7774A2">
      <w:pPr>
        <w:rPr>
          <w:rFonts w:ascii="Arial Narrow" w:hAnsi="Arial Narrow" w:cs="Arial"/>
          <w:b/>
          <w:i/>
          <w:iCs/>
          <w:color w:val="FF0000"/>
        </w:rPr>
      </w:pPr>
    </w:p>
    <w:p w14:paraId="00F4FCE7">
      <w:pPr>
        <w:rPr>
          <w:rFonts w:ascii="Arial Narrow" w:hAnsi="Arial Narrow" w:cs="Arial"/>
          <w:b/>
          <w:i/>
          <w:iCs/>
          <w:color w:val="FF0000"/>
          <w:sz w:val="20"/>
        </w:rPr>
      </w:pPr>
      <w:r>
        <w:rPr>
          <w:rFonts w:ascii="Arial Narrow" w:hAnsi="Arial Narrow" w:cs="Arial"/>
          <w:b/>
          <w:i/>
          <w:iCs/>
          <w:color w:val="FF0000"/>
        </w:rPr>
        <w:t>FINANČNÉ PRÍJMY</w:t>
      </w:r>
    </w:p>
    <w:p w14:paraId="032B0DD1">
      <w:pPr>
        <w:ind w:left="709"/>
        <w:rPr>
          <w:rFonts w:ascii="Arial Narrow" w:hAnsi="Arial Narrow" w:cs="Arial"/>
          <w:b/>
          <w:i/>
          <w:iCs/>
          <w:caps/>
        </w:rPr>
      </w:pPr>
    </w:p>
    <w:tbl>
      <w:tblPr>
        <w:tblStyle w:val="7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518AC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vAlign w:val="center"/>
          </w:tcPr>
          <w:p w14:paraId="7A6A2B26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Schválený rozpočet                  </w:t>
            </w:r>
          </w:p>
          <w:p w14:paraId="0162722E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2024</w:t>
            </w:r>
          </w:p>
        </w:tc>
        <w:tc>
          <w:tcPr>
            <w:tcW w:w="2202" w:type="dxa"/>
            <w:shd w:val="clear" w:color="auto" w:fill="D9D9D9"/>
          </w:tcPr>
          <w:p w14:paraId="03DE1486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Upravený</w:t>
            </w:r>
          </w:p>
          <w:p w14:paraId="36BBA330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2024</w:t>
            </w:r>
          </w:p>
        </w:tc>
        <w:tc>
          <w:tcPr>
            <w:tcW w:w="2233" w:type="dxa"/>
            <w:shd w:val="clear" w:color="auto" w:fill="D9D9D9"/>
            <w:vAlign w:val="center"/>
          </w:tcPr>
          <w:p w14:paraId="3E605CD3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Skutočnosť k 31.12.2024</w:t>
            </w:r>
          </w:p>
        </w:tc>
        <w:tc>
          <w:tcPr>
            <w:tcW w:w="1672" w:type="dxa"/>
            <w:shd w:val="clear" w:color="auto" w:fill="D9D9D9"/>
            <w:vAlign w:val="center"/>
          </w:tcPr>
          <w:p w14:paraId="78C3758D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%  plnenia</w:t>
            </w:r>
          </w:p>
        </w:tc>
      </w:tr>
      <w:tr w14:paraId="3B235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vAlign w:val="center"/>
          </w:tcPr>
          <w:p w14:paraId="7C6A107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67 857,00</w:t>
            </w:r>
          </w:p>
        </w:tc>
        <w:tc>
          <w:tcPr>
            <w:tcW w:w="2202" w:type="dxa"/>
            <w:vAlign w:val="center"/>
          </w:tcPr>
          <w:p w14:paraId="281E5D3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103 957,00</w:t>
            </w:r>
          </w:p>
        </w:tc>
        <w:tc>
          <w:tcPr>
            <w:tcW w:w="2233" w:type="dxa"/>
            <w:vAlign w:val="center"/>
          </w:tcPr>
          <w:p w14:paraId="4519E64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116 112,00</w:t>
            </w:r>
          </w:p>
        </w:tc>
        <w:tc>
          <w:tcPr>
            <w:tcW w:w="1672" w:type="dxa"/>
            <w:vAlign w:val="center"/>
          </w:tcPr>
          <w:p w14:paraId="3A731496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111,69</w:t>
            </w:r>
          </w:p>
        </w:tc>
      </w:tr>
    </w:tbl>
    <w:p w14:paraId="0F2F32A9">
      <w:pPr>
        <w:ind w:left="709"/>
        <w:jc w:val="center"/>
        <w:rPr>
          <w:rFonts w:ascii="Arial Narrow" w:hAnsi="Arial Narrow" w:cs="Arial"/>
          <w:b/>
          <w:i/>
          <w:iCs/>
          <w:caps/>
        </w:rPr>
      </w:pPr>
    </w:p>
    <w:p w14:paraId="4B9CC29D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Cs/>
          <w:caps/>
          <w:sz w:val="20"/>
          <w:szCs w:val="20"/>
        </w:rPr>
        <w:t xml:space="preserve">  </w:t>
      </w:r>
      <w:r>
        <w:rPr>
          <w:rFonts w:ascii="Arial Narrow" w:hAnsi="Arial Narrow" w:cs="Arial"/>
          <w:sz w:val="20"/>
          <w:szCs w:val="20"/>
        </w:rPr>
        <w:t>Súčasťou rozpočtu obce sú aj finančné operácie:</w:t>
      </w:r>
    </w:p>
    <w:p w14:paraId="675AD6A6">
      <w:pPr>
        <w:rPr>
          <w:rFonts w:ascii="Arial Narrow" w:hAnsi="Arial Narrow" w:cs="Arial"/>
          <w:sz w:val="20"/>
          <w:szCs w:val="20"/>
        </w:rPr>
      </w:pPr>
    </w:p>
    <w:p w14:paraId="4F9A37CD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</w:t>
      </w:r>
      <w:r>
        <w:rPr>
          <w:rFonts w:ascii="Arial Narrow" w:hAnsi="Arial Narrow" w:cs="Arial"/>
          <w:sz w:val="20"/>
          <w:szCs w:val="20"/>
        </w:rPr>
        <w:t>Z rozpočtovaných po úprave 103 957,00 eur bol skutočný príjem k 31.12.2024 vo výške 116 112,00 eur.</w:t>
      </w:r>
    </w:p>
    <w:p w14:paraId="5AF7D794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Zapojenie prostriedkov z Rezervného fondu v sume 36 120,00eur z toho:</w:t>
      </w:r>
    </w:p>
    <w:p w14:paraId="0DC1F666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- doplnky traktor</w:t>
      </w:r>
    </w:p>
    <w:p w14:paraId="10262905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- nákup pozemkov</w:t>
      </w:r>
    </w:p>
    <w:p w14:paraId="41DB60EF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Zapojenie vylúčených prostriedkov z minulého roku v sumu 79 992,00 eur</w:t>
      </w:r>
    </w:p>
    <w:p w14:paraId="3C7E7FC0">
      <w:pPr>
        <w:ind w:left="36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- traktor</w:t>
      </w:r>
    </w:p>
    <w:p w14:paraId="5D54D8A6">
      <w:pPr>
        <w:pStyle w:val="3"/>
        <w:rPr>
          <w:rFonts w:ascii="Arial Narrow" w:hAnsi="Arial Narrow" w:cs="Arial"/>
          <w:b/>
          <w:i/>
          <w:iCs/>
          <w:caps/>
          <w:color w:val="FF0000"/>
        </w:rPr>
      </w:pPr>
      <w:bookmarkStart w:id="22" w:name="_Toc74047046"/>
    </w:p>
    <w:p w14:paraId="698D872B">
      <w:pPr>
        <w:pStyle w:val="3"/>
        <w:rPr>
          <w:rFonts w:ascii="Arial Narrow" w:hAnsi="Arial Narrow" w:cs="Arial"/>
          <w:b/>
          <w:i/>
          <w:iCs/>
          <w:caps/>
          <w:color w:val="FF0000"/>
        </w:rPr>
      </w:pPr>
      <w:r>
        <w:rPr>
          <w:rFonts w:ascii="Arial Narrow" w:hAnsi="Arial Narrow" w:cs="Arial"/>
          <w:b/>
          <w:i/>
          <w:iCs/>
          <w:caps/>
          <w:color w:val="FF0000"/>
        </w:rPr>
        <w:t>7.2. Čerpanie výdavkov za rok 202</w:t>
      </w:r>
      <w:bookmarkEnd w:id="22"/>
      <w:r>
        <w:rPr>
          <w:rFonts w:ascii="Arial Narrow" w:hAnsi="Arial Narrow" w:cs="Arial"/>
          <w:b/>
          <w:i/>
          <w:iCs/>
          <w:caps/>
          <w:color w:val="FF0000"/>
        </w:rPr>
        <w:t>4</w:t>
      </w:r>
    </w:p>
    <w:p w14:paraId="0374B0F2">
      <w:pPr>
        <w:rPr>
          <w:rFonts w:ascii="Arial Narrow" w:hAnsi="Arial Narrow" w:cs="Arial"/>
          <w:b/>
          <w:i/>
          <w:iCs/>
          <w:caps/>
          <w:color w:val="C00000"/>
        </w:rPr>
      </w:pPr>
      <w:bookmarkStart w:id="23" w:name="_Hlk133226818"/>
    </w:p>
    <w:p w14:paraId="36207434">
      <w:pPr>
        <w:ind w:left="709"/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Za rok 2024 sa realizovali </w:t>
      </w:r>
      <w:r>
        <w:rPr>
          <w:rFonts w:ascii="Arial Narrow" w:hAnsi="Arial Narrow" w:cs="Arial"/>
          <w:b/>
          <w:sz w:val="20"/>
          <w:szCs w:val="20"/>
        </w:rPr>
        <w:t>celkové výdavky spolu s finančnými operáciami</w:t>
      </w:r>
      <w:r>
        <w:rPr>
          <w:rFonts w:ascii="Arial Narrow" w:hAnsi="Arial Narrow" w:cs="Arial"/>
          <w:bCs/>
          <w:sz w:val="20"/>
          <w:szCs w:val="20"/>
        </w:rPr>
        <w:t xml:space="preserve"> v úhrnom objeme 3 524 755,19  eur čo predstavuje  8,14  % plnenie rozpočtu.</w:t>
      </w:r>
    </w:p>
    <w:bookmarkEnd w:id="23"/>
    <w:p w14:paraId="02BB8493">
      <w:pPr>
        <w:rPr>
          <w:rFonts w:ascii="Arial Narrow" w:hAnsi="Arial Narrow" w:cs="Arial"/>
          <w:i/>
          <w:iCs/>
          <w:sz w:val="20"/>
          <w:szCs w:val="20"/>
        </w:rPr>
      </w:pPr>
    </w:p>
    <w:tbl>
      <w:tblPr>
        <w:tblStyle w:val="7"/>
        <w:tblW w:w="8188" w:type="dxa"/>
        <w:tblInd w:w="7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6"/>
        <w:gridCol w:w="2155"/>
        <w:gridCol w:w="2461"/>
        <w:gridCol w:w="1156"/>
      </w:tblGrid>
      <w:tr w14:paraId="6402C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16" w:type="dxa"/>
            <w:shd w:val="clear" w:color="auto" w:fill="D9D9D9"/>
            <w:vAlign w:val="center"/>
          </w:tcPr>
          <w:p w14:paraId="520260BD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Rozpočet na rok 2024</w:t>
            </w:r>
          </w:p>
        </w:tc>
        <w:tc>
          <w:tcPr>
            <w:tcW w:w="2155" w:type="dxa"/>
            <w:shd w:val="clear" w:color="auto" w:fill="D9D9D9"/>
          </w:tcPr>
          <w:p w14:paraId="1E276F2B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 xml:space="preserve">Upravený </w:t>
            </w:r>
          </w:p>
          <w:p w14:paraId="155963F5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rozpočet 2024</w:t>
            </w:r>
          </w:p>
        </w:tc>
        <w:tc>
          <w:tcPr>
            <w:tcW w:w="2461" w:type="dxa"/>
            <w:shd w:val="clear" w:color="auto" w:fill="D9D9D9"/>
            <w:vAlign w:val="center"/>
          </w:tcPr>
          <w:p w14:paraId="04941A0A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Skutočnosť</w:t>
            </w:r>
          </w:p>
          <w:p w14:paraId="3630FEBF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 xml:space="preserve"> k 31.12.2024</w:t>
            </w:r>
          </w:p>
        </w:tc>
        <w:tc>
          <w:tcPr>
            <w:tcW w:w="1156" w:type="dxa"/>
            <w:shd w:val="clear" w:color="auto" w:fill="D9D9D9"/>
            <w:vAlign w:val="center"/>
          </w:tcPr>
          <w:p w14:paraId="3FC045B2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% skutočné plnenia</w:t>
            </w:r>
          </w:p>
        </w:tc>
      </w:tr>
      <w:tr w14:paraId="26A83A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16" w:type="dxa"/>
            <w:vAlign w:val="center"/>
          </w:tcPr>
          <w:p w14:paraId="5B3826D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3 524 755,19</w:t>
            </w:r>
          </w:p>
        </w:tc>
        <w:tc>
          <w:tcPr>
            <w:tcW w:w="2155" w:type="dxa"/>
            <w:vAlign w:val="center"/>
          </w:tcPr>
          <w:p w14:paraId="1907F10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3 580 855,19</w:t>
            </w:r>
          </w:p>
        </w:tc>
        <w:tc>
          <w:tcPr>
            <w:tcW w:w="2461" w:type="dxa"/>
            <w:vAlign w:val="center"/>
          </w:tcPr>
          <w:p w14:paraId="56D702E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291 396,48</w:t>
            </w:r>
          </w:p>
        </w:tc>
        <w:tc>
          <w:tcPr>
            <w:tcW w:w="1156" w:type="dxa"/>
            <w:vAlign w:val="center"/>
          </w:tcPr>
          <w:p w14:paraId="4B7A4C9E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8,14</w:t>
            </w:r>
          </w:p>
        </w:tc>
      </w:tr>
    </w:tbl>
    <w:p w14:paraId="228CA94D">
      <w:pPr>
        <w:ind w:left="1069"/>
        <w:jc w:val="both"/>
        <w:rPr>
          <w:rFonts w:ascii="Arial Narrow" w:hAnsi="Arial Narrow" w:cs="Arial"/>
        </w:rPr>
      </w:pPr>
    </w:p>
    <w:p w14:paraId="3EC59274">
      <w:pPr>
        <w:rPr>
          <w:rFonts w:ascii="Arial Narrow" w:hAnsi="Arial Narrow" w:cs="Arial"/>
          <w:b/>
          <w:caps/>
          <w:color w:val="FF0000"/>
        </w:rPr>
      </w:pPr>
    </w:p>
    <w:p w14:paraId="6C2C7D66">
      <w:pPr>
        <w:rPr>
          <w:rFonts w:ascii="Arial Narrow" w:hAnsi="Arial Narrow" w:cs="Arial"/>
          <w:b/>
          <w:i/>
          <w:iCs/>
          <w:caps/>
          <w:color w:val="FF0000"/>
        </w:rPr>
      </w:pPr>
      <w:r>
        <w:rPr>
          <w:rFonts w:ascii="Arial Narrow" w:hAnsi="Arial Narrow" w:cs="Arial"/>
          <w:b/>
          <w:i/>
          <w:iCs/>
          <w:caps/>
          <w:color w:val="FF0000"/>
        </w:rPr>
        <w:t xml:space="preserve"> Bežné výdavky  </w:t>
      </w:r>
    </w:p>
    <w:p w14:paraId="41CD07E0">
      <w:pPr>
        <w:rPr>
          <w:rFonts w:ascii="Arial Narrow" w:hAnsi="Arial Narrow" w:cs="Arial"/>
          <w:b/>
          <w:i/>
          <w:iCs/>
          <w:caps/>
          <w:color w:val="FF0000"/>
        </w:rPr>
      </w:pPr>
    </w:p>
    <w:p w14:paraId="02DDB2D0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   Z hľadiska ročného rozpočtu sa čerpali bežné výdavky vo výške 169 227,41 na 98,16  %.</w:t>
      </w:r>
    </w:p>
    <w:tbl>
      <w:tblPr>
        <w:tblStyle w:val="7"/>
        <w:tblW w:w="8222" w:type="dxa"/>
        <w:tblInd w:w="8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9"/>
        <w:gridCol w:w="2227"/>
        <w:gridCol w:w="2509"/>
        <w:gridCol w:w="1127"/>
      </w:tblGrid>
      <w:tr w14:paraId="563590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359" w:type="dxa"/>
            <w:shd w:val="clear" w:color="auto" w:fill="D9D9D9"/>
            <w:vAlign w:val="center"/>
          </w:tcPr>
          <w:p w14:paraId="42D3A072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 xml:space="preserve"> Rozpočet na rok 2024</w:t>
            </w:r>
          </w:p>
        </w:tc>
        <w:tc>
          <w:tcPr>
            <w:tcW w:w="2227" w:type="dxa"/>
            <w:shd w:val="clear" w:color="auto" w:fill="D9D9D9"/>
          </w:tcPr>
          <w:p w14:paraId="0146843A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Upravený</w:t>
            </w:r>
          </w:p>
          <w:p w14:paraId="3240F729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 xml:space="preserve"> rozpočet 2024</w:t>
            </w:r>
          </w:p>
        </w:tc>
        <w:tc>
          <w:tcPr>
            <w:tcW w:w="2509" w:type="dxa"/>
            <w:shd w:val="clear" w:color="auto" w:fill="D9D9D9"/>
            <w:vAlign w:val="center"/>
          </w:tcPr>
          <w:p w14:paraId="34D1DA6B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Skutočnosť</w:t>
            </w:r>
          </w:p>
          <w:p w14:paraId="16F9988E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 xml:space="preserve"> k 31.12.2024</w:t>
            </w:r>
          </w:p>
        </w:tc>
        <w:tc>
          <w:tcPr>
            <w:tcW w:w="1127" w:type="dxa"/>
            <w:shd w:val="clear" w:color="auto" w:fill="D9D9D9"/>
            <w:vAlign w:val="center"/>
          </w:tcPr>
          <w:p w14:paraId="6BAC25B1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% skutočné plnenia</w:t>
            </w:r>
          </w:p>
        </w:tc>
      </w:tr>
      <w:tr w14:paraId="145AD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359" w:type="dxa"/>
            <w:vAlign w:val="center"/>
          </w:tcPr>
          <w:p w14:paraId="2ED158C0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                  172 400,00</w:t>
            </w:r>
          </w:p>
        </w:tc>
        <w:tc>
          <w:tcPr>
            <w:tcW w:w="2227" w:type="dxa"/>
            <w:vAlign w:val="center"/>
          </w:tcPr>
          <w:p w14:paraId="7772011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172 400,00</w:t>
            </w:r>
          </w:p>
        </w:tc>
        <w:tc>
          <w:tcPr>
            <w:tcW w:w="2509" w:type="dxa"/>
            <w:vAlign w:val="center"/>
          </w:tcPr>
          <w:p w14:paraId="1ACA9D70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169 227,41</w:t>
            </w:r>
          </w:p>
        </w:tc>
        <w:tc>
          <w:tcPr>
            <w:tcW w:w="1127" w:type="dxa"/>
            <w:vAlign w:val="center"/>
          </w:tcPr>
          <w:p w14:paraId="2D31B7C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98,16</w:t>
            </w:r>
          </w:p>
        </w:tc>
      </w:tr>
    </w:tbl>
    <w:p w14:paraId="02830C44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3BE8B6A8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4ED4970A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5FD2F598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6F646077">
      <w:pPr>
        <w:tabs>
          <w:tab w:val="center" w:pos="6480"/>
        </w:tabs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v tom :   </w:t>
      </w:r>
      <w:r>
        <w:rPr>
          <w:rFonts w:ascii="Arial Narrow" w:hAnsi="Arial Narrow" w:cs="Arial"/>
          <w:b/>
          <w:sz w:val="20"/>
          <w:szCs w:val="20"/>
        </w:rPr>
        <w:tab/>
      </w:r>
    </w:p>
    <w:tbl>
      <w:tblPr>
        <w:tblStyle w:val="7"/>
        <w:tblW w:w="8505" w:type="dxa"/>
        <w:tblInd w:w="8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6"/>
        <w:gridCol w:w="1469"/>
        <w:gridCol w:w="1082"/>
        <w:gridCol w:w="1418"/>
        <w:gridCol w:w="850"/>
      </w:tblGrid>
      <w:tr w14:paraId="4E31C6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shd w:val="clear" w:color="auto" w:fill="D9D9D9"/>
            <w:vAlign w:val="center"/>
          </w:tcPr>
          <w:p w14:paraId="6B89CCCB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Funkčná klasifikácia </w:t>
            </w:r>
          </w:p>
        </w:tc>
        <w:tc>
          <w:tcPr>
            <w:tcW w:w="1469" w:type="dxa"/>
            <w:shd w:val="clear" w:color="auto" w:fill="D9D9D9"/>
            <w:vAlign w:val="center"/>
          </w:tcPr>
          <w:p w14:paraId="4246F2AF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Schválený</w:t>
            </w:r>
          </w:p>
          <w:p w14:paraId="03A0B13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rozpočet</w:t>
            </w:r>
          </w:p>
        </w:tc>
        <w:tc>
          <w:tcPr>
            <w:tcW w:w="1082" w:type="dxa"/>
            <w:shd w:val="clear" w:color="auto" w:fill="D9D9D9"/>
          </w:tcPr>
          <w:p w14:paraId="0BCB9C7F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Upravený</w:t>
            </w:r>
          </w:p>
          <w:p w14:paraId="3A5F16BC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rozpočet</w:t>
            </w:r>
          </w:p>
        </w:tc>
        <w:tc>
          <w:tcPr>
            <w:tcW w:w="1418" w:type="dxa"/>
            <w:shd w:val="clear" w:color="auto" w:fill="D9D9D9"/>
            <w:vAlign w:val="center"/>
          </w:tcPr>
          <w:p w14:paraId="4AA269C4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Skutočnosť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1EBFFE47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% plnenia</w:t>
            </w:r>
          </w:p>
        </w:tc>
      </w:tr>
      <w:tr w14:paraId="001C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vAlign w:val="center"/>
          </w:tcPr>
          <w:p w14:paraId="4E8DE4D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01.1.1. Výkonné a zákon. orgány – obce</w:t>
            </w:r>
          </w:p>
        </w:tc>
        <w:tc>
          <w:tcPr>
            <w:tcW w:w="1469" w:type="dxa"/>
            <w:vAlign w:val="center"/>
          </w:tcPr>
          <w:p w14:paraId="37461497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117 500,00</w:t>
            </w:r>
          </w:p>
        </w:tc>
        <w:tc>
          <w:tcPr>
            <w:tcW w:w="1082" w:type="dxa"/>
            <w:vAlign w:val="center"/>
          </w:tcPr>
          <w:p w14:paraId="1A7F50D2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117 500,00</w:t>
            </w:r>
          </w:p>
        </w:tc>
        <w:tc>
          <w:tcPr>
            <w:tcW w:w="1418" w:type="dxa"/>
            <w:vAlign w:val="center"/>
          </w:tcPr>
          <w:p w14:paraId="4353D9B3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120 620,95</w:t>
            </w:r>
          </w:p>
        </w:tc>
        <w:tc>
          <w:tcPr>
            <w:tcW w:w="850" w:type="dxa"/>
            <w:vAlign w:val="center"/>
          </w:tcPr>
          <w:p w14:paraId="2246EE3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102,66</w:t>
            </w:r>
          </w:p>
        </w:tc>
      </w:tr>
      <w:tr w14:paraId="3BB95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vAlign w:val="center"/>
          </w:tcPr>
          <w:p w14:paraId="08CD8DB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01.1.2. Finančné a rozpočtové záležitosti</w:t>
            </w:r>
          </w:p>
        </w:tc>
        <w:tc>
          <w:tcPr>
            <w:tcW w:w="1469" w:type="dxa"/>
            <w:vAlign w:val="center"/>
          </w:tcPr>
          <w:p w14:paraId="047CD572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082" w:type="dxa"/>
            <w:vAlign w:val="center"/>
          </w:tcPr>
          <w:p w14:paraId="349D4956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vAlign w:val="center"/>
          </w:tcPr>
          <w:p w14:paraId="769FD925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850" w:type="dxa"/>
            <w:vAlign w:val="center"/>
          </w:tcPr>
          <w:p w14:paraId="5DE76BBA">
            <w:pPr>
              <w:jc w:val="right"/>
              <w:rPr>
                <w:rFonts w:ascii="Arial Narrow" w:hAnsi="Arial Narrow" w:cs="Arial"/>
                <w:color w:val="C00000"/>
                <w:sz w:val="18"/>
                <w:szCs w:val="18"/>
              </w:rPr>
            </w:pPr>
          </w:p>
        </w:tc>
      </w:tr>
      <w:tr w14:paraId="764727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vAlign w:val="center"/>
          </w:tcPr>
          <w:p w14:paraId="7CA20F26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01.6.0. Všeobecné verejne služby</w:t>
            </w:r>
          </w:p>
        </w:tc>
        <w:tc>
          <w:tcPr>
            <w:tcW w:w="1469" w:type="dxa"/>
            <w:vAlign w:val="center"/>
          </w:tcPr>
          <w:p w14:paraId="1680DCC3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1 000,00</w:t>
            </w:r>
          </w:p>
        </w:tc>
        <w:tc>
          <w:tcPr>
            <w:tcW w:w="1082" w:type="dxa"/>
            <w:vAlign w:val="center"/>
          </w:tcPr>
          <w:p w14:paraId="681F375A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1 000,00</w:t>
            </w:r>
          </w:p>
        </w:tc>
        <w:tc>
          <w:tcPr>
            <w:tcW w:w="1418" w:type="dxa"/>
            <w:vAlign w:val="center"/>
          </w:tcPr>
          <w:p w14:paraId="651A9ABC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2 909,85</w:t>
            </w:r>
          </w:p>
        </w:tc>
        <w:tc>
          <w:tcPr>
            <w:tcW w:w="850" w:type="dxa"/>
            <w:vAlign w:val="center"/>
          </w:tcPr>
          <w:p w14:paraId="0225BA2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290,99</w:t>
            </w:r>
          </w:p>
        </w:tc>
      </w:tr>
      <w:tr w14:paraId="2EF48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vAlign w:val="center"/>
          </w:tcPr>
          <w:p w14:paraId="6EDB159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caps/>
                <w:sz w:val="18"/>
                <w:szCs w:val="18"/>
              </w:rPr>
              <w:t xml:space="preserve">01.8.0 </w:t>
            </w:r>
            <w:r>
              <w:rPr>
                <w:rFonts w:ascii="Arial Narrow" w:hAnsi="Arial Narrow" w:cs="Arial"/>
                <w:sz w:val="18"/>
                <w:szCs w:val="18"/>
              </w:rPr>
              <w:t>Transfery všeobecnej povahy</w:t>
            </w:r>
          </w:p>
        </w:tc>
        <w:tc>
          <w:tcPr>
            <w:tcW w:w="1469" w:type="dxa"/>
            <w:vAlign w:val="center"/>
          </w:tcPr>
          <w:p w14:paraId="3A65E89A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6 000,00</w:t>
            </w:r>
          </w:p>
        </w:tc>
        <w:tc>
          <w:tcPr>
            <w:tcW w:w="1082" w:type="dxa"/>
            <w:vAlign w:val="center"/>
          </w:tcPr>
          <w:p w14:paraId="0E2799DB">
            <w:pPr>
              <w:tabs>
                <w:tab w:val="decimal" w:pos="1317"/>
              </w:tabs>
              <w:wordWrap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6 000,00</w:t>
            </w:r>
          </w:p>
        </w:tc>
        <w:tc>
          <w:tcPr>
            <w:tcW w:w="1418" w:type="dxa"/>
            <w:vAlign w:val="center"/>
          </w:tcPr>
          <w:p w14:paraId="04C8DD6C">
            <w:pPr>
              <w:tabs>
                <w:tab w:val="decimal" w:pos="1317"/>
              </w:tabs>
              <w:wordWrap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4 802,20</w:t>
            </w:r>
          </w:p>
        </w:tc>
        <w:tc>
          <w:tcPr>
            <w:tcW w:w="850" w:type="dxa"/>
            <w:vAlign w:val="center"/>
          </w:tcPr>
          <w:p w14:paraId="6DE76433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80,04</w:t>
            </w:r>
          </w:p>
        </w:tc>
      </w:tr>
      <w:tr w14:paraId="4BFBE4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vAlign w:val="center"/>
          </w:tcPr>
          <w:p w14:paraId="2D59263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0320 Požiarna ochrana</w:t>
            </w:r>
          </w:p>
        </w:tc>
        <w:tc>
          <w:tcPr>
            <w:tcW w:w="1469" w:type="dxa"/>
            <w:vAlign w:val="center"/>
          </w:tcPr>
          <w:p w14:paraId="2514CC1D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9 600,00</w:t>
            </w:r>
          </w:p>
        </w:tc>
        <w:tc>
          <w:tcPr>
            <w:tcW w:w="1082" w:type="dxa"/>
            <w:vAlign w:val="center"/>
          </w:tcPr>
          <w:p w14:paraId="5ACD74BA">
            <w:pPr>
              <w:tabs>
                <w:tab w:val="decimal" w:pos="1317"/>
              </w:tabs>
              <w:wordWrap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9 600,00</w:t>
            </w:r>
          </w:p>
        </w:tc>
        <w:tc>
          <w:tcPr>
            <w:tcW w:w="1418" w:type="dxa"/>
            <w:vAlign w:val="center"/>
          </w:tcPr>
          <w:p w14:paraId="6C497C33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8 567,17</w:t>
            </w:r>
          </w:p>
        </w:tc>
        <w:tc>
          <w:tcPr>
            <w:tcW w:w="850" w:type="dxa"/>
            <w:vAlign w:val="center"/>
          </w:tcPr>
          <w:p w14:paraId="66FC82F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89,24</w:t>
            </w:r>
          </w:p>
        </w:tc>
      </w:tr>
      <w:tr w14:paraId="2CFC43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3686" w:type="dxa"/>
            <w:vAlign w:val="center"/>
          </w:tcPr>
          <w:p w14:paraId="4B9D6D92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05.1.0 Nakladanie s odpadmi</w:t>
            </w:r>
          </w:p>
        </w:tc>
        <w:tc>
          <w:tcPr>
            <w:tcW w:w="1469" w:type="dxa"/>
            <w:vAlign w:val="center"/>
          </w:tcPr>
          <w:p w14:paraId="7C24D6A1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10 100,00</w:t>
            </w:r>
          </w:p>
        </w:tc>
        <w:tc>
          <w:tcPr>
            <w:tcW w:w="1082" w:type="dxa"/>
            <w:vAlign w:val="center"/>
          </w:tcPr>
          <w:p w14:paraId="0E20685A">
            <w:pPr>
              <w:tabs>
                <w:tab w:val="decimal" w:pos="1317"/>
              </w:tabs>
              <w:wordWrap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10 100,00</w:t>
            </w:r>
          </w:p>
        </w:tc>
        <w:tc>
          <w:tcPr>
            <w:tcW w:w="1418" w:type="dxa"/>
            <w:vAlign w:val="center"/>
          </w:tcPr>
          <w:p w14:paraId="61720399">
            <w:pPr>
              <w:tabs>
                <w:tab w:val="decimal" w:pos="1317"/>
              </w:tabs>
              <w:wordWrap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10 472,94</w:t>
            </w:r>
          </w:p>
        </w:tc>
        <w:tc>
          <w:tcPr>
            <w:tcW w:w="850" w:type="dxa"/>
            <w:vAlign w:val="center"/>
          </w:tcPr>
          <w:p w14:paraId="10B9EB5B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103,69</w:t>
            </w:r>
          </w:p>
        </w:tc>
      </w:tr>
      <w:tr w14:paraId="369C0A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vAlign w:val="center"/>
          </w:tcPr>
          <w:p w14:paraId="7ECE82C0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06.4.0 Verejné osvetlenie</w:t>
            </w:r>
          </w:p>
        </w:tc>
        <w:tc>
          <w:tcPr>
            <w:tcW w:w="1469" w:type="dxa"/>
            <w:vAlign w:val="center"/>
          </w:tcPr>
          <w:p w14:paraId="12345FD0">
            <w:pPr>
              <w:tabs>
                <w:tab w:val="decimal" w:pos="1317"/>
              </w:tabs>
              <w:wordWrap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9 800,00</w:t>
            </w:r>
          </w:p>
        </w:tc>
        <w:tc>
          <w:tcPr>
            <w:tcW w:w="1082" w:type="dxa"/>
            <w:vAlign w:val="center"/>
          </w:tcPr>
          <w:p w14:paraId="56CEBBFE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9 800,00</w:t>
            </w:r>
          </w:p>
        </w:tc>
        <w:tc>
          <w:tcPr>
            <w:tcW w:w="1418" w:type="dxa"/>
            <w:vAlign w:val="center"/>
          </w:tcPr>
          <w:p w14:paraId="4A001BA6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5 873,36</w:t>
            </w:r>
          </w:p>
        </w:tc>
        <w:tc>
          <w:tcPr>
            <w:tcW w:w="850" w:type="dxa"/>
            <w:vAlign w:val="center"/>
          </w:tcPr>
          <w:p w14:paraId="2F01C052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59,93</w:t>
            </w:r>
          </w:p>
        </w:tc>
      </w:tr>
      <w:tr w14:paraId="38B93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vAlign w:val="center"/>
          </w:tcPr>
          <w:p w14:paraId="58A1408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07.4.0  Ochrana, podpora a rozvoj verejného zdravia</w:t>
            </w:r>
          </w:p>
        </w:tc>
        <w:tc>
          <w:tcPr>
            <w:tcW w:w="1469" w:type="dxa"/>
            <w:vAlign w:val="center"/>
          </w:tcPr>
          <w:p w14:paraId="2F3A4B64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082" w:type="dxa"/>
            <w:vAlign w:val="center"/>
          </w:tcPr>
          <w:p w14:paraId="1914B7BB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vAlign w:val="center"/>
          </w:tcPr>
          <w:p w14:paraId="20FCAA18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850" w:type="dxa"/>
            <w:vAlign w:val="center"/>
          </w:tcPr>
          <w:p w14:paraId="0214BE1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14:paraId="1849A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vAlign w:val="center"/>
          </w:tcPr>
          <w:p w14:paraId="1E5A9DB3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08.1.0 Rekreačné a športové služby</w:t>
            </w:r>
          </w:p>
        </w:tc>
        <w:tc>
          <w:tcPr>
            <w:tcW w:w="1469" w:type="dxa"/>
            <w:vAlign w:val="center"/>
          </w:tcPr>
          <w:p w14:paraId="41AE841C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5 000,00</w:t>
            </w:r>
          </w:p>
        </w:tc>
        <w:tc>
          <w:tcPr>
            <w:tcW w:w="1082" w:type="dxa"/>
            <w:vAlign w:val="center"/>
          </w:tcPr>
          <w:p w14:paraId="549A4802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5 000,00</w:t>
            </w:r>
          </w:p>
        </w:tc>
        <w:tc>
          <w:tcPr>
            <w:tcW w:w="1418" w:type="dxa"/>
            <w:vAlign w:val="center"/>
          </w:tcPr>
          <w:p w14:paraId="3819F131">
            <w:pPr>
              <w:tabs>
                <w:tab w:val="decimal" w:pos="1317"/>
              </w:tabs>
              <w:wordWrap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3 000,00</w:t>
            </w:r>
          </w:p>
        </w:tc>
        <w:tc>
          <w:tcPr>
            <w:tcW w:w="850" w:type="dxa"/>
            <w:vAlign w:val="center"/>
          </w:tcPr>
          <w:p w14:paraId="7A3D7E03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60     </w:t>
            </w:r>
          </w:p>
        </w:tc>
      </w:tr>
      <w:tr w14:paraId="5A6BA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vAlign w:val="center"/>
          </w:tcPr>
          <w:p w14:paraId="30E83E06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08.2.0 Kultúra</w:t>
            </w:r>
          </w:p>
        </w:tc>
        <w:tc>
          <w:tcPr>
            <w:tcW w:w="1469" w:type="dxa"/>
            <w:vAlign w:val="center"/>
          </w:tcPr>
          <w:p w14:paraId="1373F711">
            <w:pPr>
              <w:tabs>
                <w:tab w:val="decimal" w:pos="1317"/>
              </w:tabs>
              <w:wordWrap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12 000,00</w:t>
            </w:r>
          </w:p>
        </w:tc>
        <w:tc>
          <w:tcPr>
            <w:tcW w:w="1082" w:type="dxa"/>
            <w:vAlign w:val="center"/>
          </w:tcPr>
          <w:p w14:paraId="19C21629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12 000,00</w:t>
            </w:r>
          </w:p>
        </w:tc>
        <w:tc>
          <w:tcPr>
            <w:tcW w:w="1418" w:type="dxa"/>
            <w:vAlign w:val="center"/>
          </w:tcPr>
          <w:p w14:paraId="1F27B45C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11  887,47</w:t>
            </w:r>
          </w:p>
        </w:tc>
        <w:tc>
          <w:tcPr>
            <w:tcW w:w="850" w:type="dxa"/>
            <w:vAlign w:val="center"/>
          </w:tcPr>
          <w:p w14:paraId="4CD3304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99,06              </w:t>
            </w:r>
          </w:p>
        </w:tc>
      </w:tr>
      <w:tr w14:paraId="298F1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vAlign w:val="center"/>
          </w:tcPr>
          <w:p w14:paraId="14F591F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08.3.0. Vysielacie a vydavateľské služby</w:t>
            </w:r>
          </w:p>
        </w:tc>
        <w:tc>
          <w:tcPr>
            <w:tcW w:w="1469" w:type="dxa"/>
            <w:vAlign w:val="center"/>
          </w:tcPr>
          <w:p w14:paraId="3AA966E3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400,00</w:t>
            </w:r>
          </w:p>
        </w:tc>
        <w:tc>
          <w:tcPr>
            <w:tcW w:w="1082" w:type="dxa"/>
            <w:vAlign w:val="center"/>
          </w:tcPr>
          <w:p w14:paraId="67FCF1BB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400,00</w:t>
            </w:r>
          </w:p>
        </w:tc>
        <w:tc>
          <w:tcPr>
            <w:tcW w:w="1418" w:type="dxa"/>
            <w:vAlign w:val="center"/>
          </w:tcPr>
          <w:p w14:paraId="31456739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1 093,47</w:t>
            </w:r>
          </w:p>
        </w:tc>
        <w:tc>
          <w:tcPr>
            <w:tcW w:w="850" w:type="dxa"/>
            <w:vAlign w:val="center"/>
          </w:tcPr>
          <w:p w14:paraId="6838C257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273,37</w:t>
            </w:r>
          </w:p>
        </w:tc>
      </w:tr>
      <w:tr w14:paraId="5C8F0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</w:trPr>
        <w:tc>
          <w:tcPr>
            <w:tcW w:w="3686" w:type="dxa"/>
            <w:vAlign w:val="center"/>
          </w:tcPr>
          <w:p w14:paraId="60F9C96F">
            <w:pPr>
              <w:rPr>
                <w:rFonts w:ascii="Arial Narrow" w:hAnsi="Arial Narrow" w:cs="Arial"/>
                <w:bCs/>
                <w:cap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caps/>
                <w:sz w:val="18"/>
                <w:szCs w:val="18"/>
              </w:rPr>
              <w:t xml:space="preserve">08.4.0.  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Náboženské služby</w:t>
            </w:r>
          </w:p>
        </w:tc>
        <w:tc>
          <w:tcPr>
            <w:tcW w:w="1469" w:type="dxa"/>
            <w:vAlign w:val="center"/>
          </w:tcPr>
          <w:p w14:paraId="48E9F8BC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1000,00</w:t>
            </w:r>
          </w:p>
        </w:tc>
        <w:tc>
          <w:tcPr>
            <w:tcW w:w="1082" w:type="dxa"/>
            <w:vAlign w:val="center"/>
          </w:tcPr>
          <w:p w14:paraId="403FC747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1000,00</w:t>
            </w:r>
          </w:p>
        </w:tc>
        <w:tc>
          <w:tcPr>
            <w:tcW w:w="1418" w:type="dxa"/>
            <w:vAlign w:val="center"/>
          </w:tcPr>
          <w:p w14:paraId="18FE7B9F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14:paraId="36E58CB5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14:paraId="0BADF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</w:trPr>
        <w:tc>
          <w:tcPr>
            <w:tcW w:w="3686" w:type="dxa"/>
            <w:vAlign w:val="center"/>
          </w:tcPr>
          <w:p w14:paraId="7FDD6112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Spolu</w:t>
            </w:r>
          </w:p>
        </w:tc>
        <w:tc>
          <w:tcPr>
            <w:tcW w:w="1469" w:type="dxa"/>
            <w:vAlign w:val="center"/>
          </w:tcPr>
          <w:p w14:paraId="5A006240">
            <w:pPr>
              <w:wordWrap w:val="0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172 400,00</w:t>
            </w:r>
          </w:p>
        </w:tc>
        <w:tc>
          <w:tcPr>
            <w:tcW w:w="1082" w:type="dxa"/>
            <w:vAlign w:val="center"/>
          </w:tcPr>
          <w:p w14:paraId="3BE583D4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172 400,00</w:t>
            </w:r>
          </w:p>
        </w:tc>
        <w:tc>
          <w:tcPr>
            <w:tcW w:w="1418" w:type="dxa"/>
            <w:vAlign w:val="center"/>
          </w:tcPr>
          <w:p w14:paraId="438EA9F3">
            <w:pPr>
              <w:wordWrap w:val="0"/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169 227,41</w:t>
            </w:r>
          </w:p>
        </w:tc>
        <w:tc>
          <w:tcPr>
            <w:tcW w:w="850" w:type="dxa"/>
            <w:vAlign w:val="center"/>
          </w:tcPr>
          <w:p w14:paraId="726F9A12">
            <w:pPr>
              <w:jc w:val="right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    </w:t>
            </w:r>
          </w:p>
        </w:tc>
      </w:tr>
    </w:tbl>
    <w:p w14:paraId="32875A79">
      <w:pPr>
        <w:rPr>
          <w:rFonts w:ascii="Arial Narrow" w:hAnsi="Arial Narrow" w:cs="Arial"/>
          <w:sz w:val="20"/>
          <w:szCs w:val="20"/>
        </w:rPr>
      </w:pPr>
    </w:p>
    <w:p w14:paraId="4A04188D">
      <w:pPr>
        <w:numPr>
          <w:ilvl w:val="0"/>
          <w:numId w:val="5"/>
        </w:numPr>
        <w:spacing w:after="0" w:line="240" w:lineRule="auto"/>
        <w:ind w:left="142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Mzdy, platy, služobné príjmy a ostatné osobné vyrovnania (pol. 610)             </w:t>
      </w:r>
    </w:p>
    <w:p w14:paraId="2890AA32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rozpočtovaných po úprave 43 300,00€ bolo skutočné čerpanie k 31.12.2024 vo výške 42 443,22 €, čo je 98,02</w:t>
      </w:r>
    </w:p>
    <w:p w14:paraId="77DE3C95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% čerpanie. Patria sem mzdové prostriedky starostu a zamestnancov obce (obecný úrad, kontrolór obce).</w:t>
      </w:r>
    </w:p>
    <w:p w14:paraId="4605B47E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520992E6">
      <w:pPr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           </w:t>
      </w:r>
      <w:r>
        <w:rPr>
          <w:rFonts w:ascii="Arial Narrow" w:hAnsi="Arial Narrow" w:cs="Arial"/>
          <w:b/>
          <w:sz w:val="20"/>
          <w:szCs w:val="20"/>
        </w:rPr>
        <w:t xml:space="preserve">  b) Poistné a príspevok do poisťovní (pol. 620)                        </w:t>
      </w:r>
    </w:p>
    <w:p w14:paraId="34A66986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rozpočtovaných  po úprave 19 000,00€ bolo skutočne čerpané k 31.12.2024 vo výške 16 829,45€,  čo je 88,58 % čerpanie. Sú tu zahrnuté odvody poistného z miezd starostu, zamestnancov obce a poslancov za zamestnávateľa.</w:t>
      </w:r>
    </w:p>
    <w:p w14:paraId="5F826464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      c) Tovary a služby (pol. 630)                                           </w:t>
      </w:r>
    </w:p>
    <w:p w14:paraId="1BF0217F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Z rozpočtovaných po úprave 96 200,00€ bolo skutočne čerpané k 31.12.2024 vo výške 97 012,74 €, čo je 100,84% čerpanie. Ide o prevádzkové výdavky všetkých stredísk OcÚ, ako sú cestovné náhrady, energie, materiál, dopravné, rutinná a štandardná údržba, nájomné za nájom a ostatné tovary a služby. </w:t>
      </w:r>
    </w:p>
    <w:p w14:paraId="7E5D8E00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5E1AA82D">
      <w:pPr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                     d) Bežné transfery (pol. 640)                                            </w:t>
      </w:r>
    </w:p>
    <w:p w14:paraId="41CD0F25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rozpočtovaných po úprave 13 900,00€ bolo skutočne čerpané k 31.12.2024 vo výške 12 942,00€, čo predstavuje 93,11 % čerpanie. V danej položke sú zahrnuté transfer pre DHZ , TJ Pokrok Zlatá Idka, Spoločný úrad OcÚ Beniakovce, Rudohorie, ZMOS.</w:t>
      </w:r>
    </w:p>
    <w:p w14:paraId="63262FF8">
      <w:pPr>
        <w:ind w:left="709"/>
        <w:rPr>
          <w:rFonts w:ascii="Arial Narrow" w:hAnsi="Arial Narrow" w:cs="Arial"/>
          <w:b/>
          <w:sz w:val="20"/>
          <w:szCs w:val="20"/>
        </w:rPr>
      </w:pPr>
    </w:p>
    <w:p w14:paraId="116D5536">
      <w:pPr>
        <w:ind w:left="709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      e) Splácanie úrokov z úveru(650)</w:t>
      </w:r>
    </w:p>
    <w:p w14:paraId="26B8F549">
      <w:pPr>
        <w:ind w:left="709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rozpočtových 0,00 EUR bolo skutočne čerpané 0 EUR k 31.12.2024</w:t>
      </w:r>
    </w:p>
    <w:p w14:paraId="1DB12C20">
      <w:pPr>
        <w:rPr>
          <w:rFonts w:ascii="Arial Narrow" w:hAnsi="Arial Narrow" w:cs="Arial"/>
          <w:b/>
          <w:i/>
          <w:iCs/>
          <w:caps/>
          <w:color w:val="FF0000"/>
        </w:rPr>
      </w:pPr>
    </w:p>
    <w:p w14:paraId="4BE72340">
      <w:pPr>
        <w:rPr>
          <w:rFonts w:ascii="Arial Narrow" w:hAnsi="Arial Narrow" w:cs="Arial"/>
          <w:i/>
          <w:iCs/>
          <w:color w:val="FF0000"/>
          <w:sz w:val="20"/>
          <w:szCs w:val="20"/>
        </w:rPr>
      </w:pPr>
      <w:r>
        <w:rPr>
          <w:rFonts w:ascii="Arial Narrow" w:hAnsi="Arial Narrow" w:cs="Arial"/>
          <w:bCs/>
          <w:color w:val="FF0000"/>
          <w:sz w:val="20"/>
          <w:szCs w:val="20"/>
        </w:rPr>
        <w:t xml:space="preserve">             </w:t>
      </w:r>
    </w:p>
    <w:p w14:paraId="5B4EA1E5">
      <w:pPr>
        <w:rPr>
          <w:rFonts w:ascii="Arial Narrow" w:hAnsi="Arial Narrow" w:cs="Arial"/>
          <w:b/>
          <w:caps/>
          <w:color w:val="FF0000"/>
          <w:sz w:val="20"/>
          <w:szCs w:val="20"/>
        </w:rPr>
      </w:pPr>
      <w:r>
        <w:rPr>
          <w:rFonts w:ascii="Arial Narrow" w:hAnsi="Arial Narrow" w:cs="Arial"/>
          <w:b/>
          <w:i/>
          <w:iCs/>
          <w:caps/>
          <w:color w:val="FF0000"/>
          <w:sz w:val="20"/>
          <w:szCs w:val="20"/>
        </w:rPr>
        <w:t xml:space="preserve"> </w:t>
      </w:r>
      <w:r>
        <w:rPr>
          <w:rFonts w:ascii="Arial Narrow" w:hAnsi="Arial Narrow" w:cs="Arial"/>
          <w:b/>
          <w:i/>
          <w:iCs/>
          <w:color w:val="FF0000"/>
        </w:rPr>
        <w:t>KAPITÁLOVÉ VÝDAVKY</w:t>
      </w:r>
      <w:r>
        <w:rPr>
          <w:rFonts w:ascii="Arial Narrow" w:hAnsi="Arial Narrow" w:cs="Arial"/>
          <w:b/>
          <w:i/>
          <w:iCs/>
          <w:caps/>
          <w:color w:val="FF0000"/>
        </w:rPr>
        <w:t xml:space="preserve"> </w:t>
      </w:r>
      <w:r>
        <w:rPr>
          <w:rFonts w:ascii="Arial Narrow" w:hAnsi="Arial Narrow" w:cs="Arial"/>
          <w:b/>
          <w:caps/>
          <w:color w:val="FF0000"/>
          <w:sz w:val="20"/>
          <w:szCs w:val="20"/>
        </w:rPr>
        <w:t xml:space="preserve"> </w:t>
      </w:r>
    </w:p>
    <w:p w14:paraId="5648BACF">
      <w:pPr>
        <w:ind w:left="709"/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       </w:t>
      </w:r>
      <w:r>
        <w:rPr>
          <w:rFonts w:ascii="Arial Narrow" w:hAnsi="Arial Narrow" w:cs="Arial"/>
          <w:bCs/>
          <w:sz w:val="20"/>
          <w:szCs w:val="20"/>
        </w:rPr>
        <w:t>V rok 2024 sa čerpali kapitálové výdavky v objeme 122 169,07 eur  čo predstavuje  3,58% plnenie voči rozpočtu.</w:t>
      </w:r>
      <w:r>
        <w:rPr>
          <w:rFonts w:ascii="Arial Narrow" w:hAnsi="Arial Narrow" w:cs="Arial"/>
          <w:b/>
        </w:rPr>
        <w:tab/>
      </w:r>
    </w:p>
    <w:p w14:paraId="4F36995F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tbl>
      <w:tblPr>
        <w:tblStyle w:val="7"/>
        <w:tblW w:w="8222" w:type="dxa"/>
        <w:tblInd w:w="8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9"/>
        <w:gridCol w:w="2227"/>
        <w:gridCol w:w="2509"/>
        <w:gridCol w:w="1127"/>
      </w:tblGrid>
      <w:tr w14:paraId="07D9B3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359" w:type="dxa"/>
            <w:shd w:val="clear" w:color="auto" w:fill="D9D9D9"/>
            <w:vAlign w:val="center"/>
          </w:tcPr>
          <w:p w14:paraId="1A0B99DA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Rozpočet na rok 2024</w:t>
            </w:r>
          </w:p>
        </w:tc>
        <w:tc>
          <w:tcPr>
            <w:tcW w:w="2227" w:type="dxa"/>
            <w:shd w:val="clear" w:color="auto" w:fill="D9D9D9"/>
          </w:tcPr>
          <w:p w14:paraId="3D48FE88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Upravený</w:t>
            </w:r>
          </w:p>
          <w:p w14:paraId="3CE6CCF0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 xml:space="preserve"> rozpočet 2024</w:t>
            </w:r>
          </w:p>
        </w:tc>
        <w:tc>
          <w:tcPr>
            <w:tcW w:w="2509" w:type="dxa"/>
            <w:shd w:val="clear" w:color="auto" w:fill="D9D9D9"/>
            <w:vAlign w:val="center"/>
          </w:tcPr>
          <w:p w14:paraId="1DE49E04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Skutočnosť</w:t>
            </w:r>
          </w:p>
          <w:p w14:paraId="2A2A3E18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 xml:space="preserve"> k 31.12.2024</w:t>
            </w:r>
          </w:p>
        </w:tc>
        <w:tc>
          <w:tcPr>
            <w:tcW w:w="1127" w:type="dxa"/>
            <w:shd w:val="clear" w:color="auto" w:fill="D9D9D9"/>
            <w:vAlign w:val="center"/>
          </w:tcPr>
          <w:p w14:paraId="36372169">
            <w:pPr>
              <w:jc w:val="center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% skutočné plnenia</w:t>
            </w:r>
          </w:p>
        </w:tc>
      </w:tr>
      <w:tr w14:paraId="0AA910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359" w:type="dxa"/>
            <w:vAlign w:val="center"/>
          </w:tcPr>
          <w:p w14:paraId="279A644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3 352 355,19</w:t>
            </w:r>
          </w:p>
        </w:tc>
        <w:tc>
          <w:tcPr>
            <w:tcW w:w="2227" w:type="dxa"/>
            <w:vAlign w:val="center"/>
          </w:tcPr>
          <w:p w14:paraId="40AB408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3 408 455,19</w:t>
            </w:r>
          </w:p>
        </w:tc>
        <w:tc>
          <w:tcPr>
            <w:tcW w:w="2509" w:type="dxa"/>
            <w:vAlign w:val="center"/>
          </w:tcPr>
          <w:p w14:paraId="14066F60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122 169,07</w:t>
            </w:r>
          </w:p>
        </w:tc>
        <w:tc>
          <w:tcPr>
            <w:tcW w:w="1127" w:type="dxa"/>
            <w:vAlign w:val="center"/>
          </w:tcPr>
          <w:p w14:paraId="5FFF159A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3,58</w:t>
            </w:r>
          </w:p>
        </w:tc>
      </w:tr>
    </w:tbl>
    <w:p w14:paraId="44E704E4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29894D73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Kapitálové výdavky: </w:t>
      </w:r>
    </w:p>
    <w:p w14:paraId="1922E1BE">
      <w:pPr>
        <w:pStyle w:val="43"/>
        <w:rPr>
          <w:color w:val="auto"/>
          <w:sz w:val="20"/>
          <w:szCs w:val="20"/>
          <w:highlight w:val="yellow"/>
        </w:rPr>
      </w:pPr>
    </w:p>
    <w:p w14:paraId="6C6BBC95">
      <w:pPr>
        <w:pStyle w:val="43"/>
        <w:rPr>
          <w:color w:val="auto"/>
          <w:sz w:val="20"/>
          <w:szCs w:val="20"/>
        </w:rPr>
      </w:pPr>
    </w:p>
    <w:p w14:paraId="415F7661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Nákup pozemkov – z rozpočtovaných po úprave 5 040,00 eur  bolo čerpanie 6 200,00 eur, to je 123,02% čerpanie</w:t>
      </w:r>
    </w:p>
    <w:p w14:paraId="227DD544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toho:</w:t>
      </w:r>
    </w:p>
    <w:p w14:paraId="21635A21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-nákup pozemkov 6 200,00 eur</w:t>
      </w:r>
    </w:p>
    <w:p w14:paraId="782595B8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470C6B4D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Nehmotné aktíva – z rozpočtovaných 3 500,00 eur  bolo čerpanie 0,00 eur.</w:t>
      </w:r>
    </w:p>
    <w:p w14:paraId="30713B95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-územný plán 0,00 eur</w:t>
      </w:r>
    </w:p>
    <w:p w14:paraId="7B57B799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6E45B27E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Realizácia nových stavieb – z rozpočtovaných 3 368 855,19 eur bolo skutočné čerpanie 0,00 eur</w:t>
      </w:r>
    </w:p>
    <w:p w14:paraId="7A83C760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700D24E6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Modernizácia a rekonštrukcia stavieb- z rozpočtovaných po úprave  0,00 eur bolo čerpanie 8 427,00 eur.</w:t>
      </w:r>
    </w:p>
    <w:p w14:paraId="3807D92A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- Stavebné úpravy podkrovia Kultúrny dom   8 427,08 eur.</w:t>
      </w:r>
    </w:p>
    <w:p w14:paraId="4092563C">
      <w:pPr>
        <w:outlineLvl w:val="0"/>
        <w:rPr>
          <w:rFonts w:ascii="Arial Narrow" w:hAnsi="Arial Narrow" w:cs="Arial"/>
          <w:sz w:val="20"/>
          <w:szCs w:val="20"/>
        </w:rPr>
      </w:pPr>
    </w:p>
    <w:p w14:paraId="50183D22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089ACDB4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Prevádzkové pracovné stroje – z rozpočtovaných po úprave 0,00eur bolo čerpanie 79 872,00 eur.</w:t>
      </w:r>
    </w:p>
    <w:p w14:paraId="3D9A6422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Z toho: </w:t>
      </w:r>
    </w:p>
    <w:p w14:paraId="717D0735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- traktor 79 872,00 eur</w:t>
      </w:r>
    </w:p>
    <w:p w14:paraId="4E96627C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2A1F95D9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Prevádzkové pracovné stroje – z rozpočtovaných po úprave 31 060,00eur bolo čerpanie 27 669,99 eur, to je 89,09  % čerpanie </w:t>
      </w:r>
    </w:p>
    <w:p w14:paraId="3BE358C5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toho:</w:t>
      </w:r>
    </w:p>
    <w:p w14:paraId="276CC3E2">
      <w:pPr>
        <w:ind w:left="709"/>
        <w:outlineLvl w:val="0"/>
        <w:rPr>
          <w:rFonts w:ascii="Arial Narrow" w:hAnsi="Arial Narrow" w:cs="Arial"/>
          <w:color w:val="0000FF"/>
          <w:sz w:val="20"/>
          <w:szCs w:val="20"/>
        </w:rPr>
      </w:pPr>
      <w:r>
        <w:rPr>
          <w:rFonts w:ascii="Arial Narrow" w:hAnsi="Arial Narrow" w:cs="Arial"/>
          <w:color w:val="0000FF"/>
          <w:sz w:val="20"/>
          <w:szCs w:val="20"/>
        </w:rPr>
        <w:t>-</w:t>
      </w:r>
      <w:r>
        <w:rPr>
          <w:rFonts w:ascii="Arial Narrow" w:hAnsi="Arial Narrow" w:cs="Arial"/>
          <w:sz w:val="20"/>
          <w:szCs w:val="20"/>
        </w:rPr>
        <w:t>doplnky traktor 27 669,99 eur</w:t>
      </w:r>
    </w:p>
    <w:p w14:paraId="5E7D8AC3">
      <w:pPr>
        <w:rPr>
          <w:rFonts w:ascii="Arial Narrow" w:hAnsi="Arial Narrow" w:cs="Arial"/>
          <w:b/>
          <w:caps/>
          <w:color w:val="FF0000"/>
          <w:sz w:val="20"/>
          <w:szCs w:val="20"/>
        </w:rPr>
      </w:pPr>
    </w:p>
    <w:p w14:paraId="425CDC2F">
      <w:pPr>
        <w:rPr>
          <w:rFonts w:ascii="Arial Narrow" w:hAnsi="Arial Narrow" w:cs="Arial"/>
          <w:color w:val="FF0000"/>
        </w:rPr>
      </w:pPr>
      <w:r>
        <w:rPr>
          <w:rFonts w:ascii="Arial Narrow" w:hAnsi="Arial Narrow" w:cs="Arial"/>
          <w:b/>
          <w:caps/>
          <w:color w:val="FF0000"/>
          <w:sz w:val="20"/>
          <w:szCs w:val="20"/>
        </w:rPr>
        <w:t xml:space="preserve">    </w:t>
      </w:r>
      <w:bookmarkStart w:id="24" w:name="_Toc74047052"/>
    </w:p>
    <w:p w14:paraId="4DE369E5">
      <w:pPr>
        <w:jc w:val="both"/>
        <w:rPr>
          <w:rFonts w:ascii="Arial Narrow" w:hAnsi="Arial Narrow" w:cs="Arial"/>
          <w:b/>
          <w:bCs/>
          <w:i/>
          <w:iCs/>
          <w:color w:val="FF0000"/>
        </w:rPr>
      </w:pPr>
      <w:r>
        <w:rPr>
          <w:rFonts w:ascii="Arial Narrow" w:hAnsi="Arial Narrow" w:cs="Arial"/>
          <w:b/>
          <w:bCs/>
          <w:i/>
          <w:iCs/>
          <w:color w:val="FF0000"/>
        </w:rPr>
        <w:t>FINANČNÉ VÝDAVKY</w:t>
      </w:r>
    </w:p>
    <w:p w14:paraId="4C5C3C4E">
      <w:pPr>
        <w:outlineLvl w:val="0"/>
        <w:rPr>
          <w:rFonts w:ascii="Arial Narrow" w:hAnsi="Arial Narrow" w:cs="Arial"/>
          <w:b/>
          <w:color w:val="FF0000"/>
          <w:sz w:val="20"/>
          <w:szCs w:val="20"/>
        </w:rPr>
      </w:pPr>
      <w:r>
        <w:rPr>
          <w:rFonts w:ascii="Arial Narrow" w:hAnsi="Arial Narrow" w:cs="Arial"/>
          <w:b/>
          <w:caps/>
          <w:color w:val="FF0000"/>
          <w:sz w:val="18"/>
          <w:szCs w:val="18"/>
        </w:rPr>
        <w:t xml:space="preserve">  </w:t>
      </w:r>
      <w:r>
        <w:rPr>
          <w:rFonts w:ascii="Arial Narrow" w:hAnsi="Arial Narrow" w:cs="Arial"/>
          <w:b/>
          <w:sz w:val="20"/>
          <w:szCs w:val="20"/>
        </w:rPr>
        <w:t>Súčasťou rozpočtu obce sú aj výdavkové operácie ktoré zahrňujú v sume 0,00 eur.:</w:t>
      </w:r>
    </w:p>
    <w:p w14:paraId="56C3133B">
      <w:pPr>
        <w:jc w:val="both"/>
        <w:rPr>
          <w:rFonts w:ascii="Arial Narrow" w:hAnsi="Arial Narrow" w:cs="Arial"/>
          <w:color w:val="FF0000"/>
          <w:sz w:val="18"/>
          <w:szCs w:val="18"/>
        </w:rPr>
      </w:pPr>
      <w:r>
        <w:rPr>
          <w:rFonts w:ascii="Arial Narrow" w:hAnsi="Arial Narrow" w:cs="Arial"/>
          <w:color w:val="FF0000"/>
          <w:sz w:val="20"/>
          <w:szCs w:val="20"/>
        </w:rPr>
        <w:t xml:space="preserve">          </w:t>
      </w:r>
      <w:r>
        <w:rPr>
          <w:rFonts w:ascii="Arial Narrow" w:hAnsi="Arial Narrow" w:cs="Arial"/>
          <w:b/>
          <w:bCs/>
          <w:i/>
          <w:iCs/>
          <w:color w:val="FF0000"/>
          <w:sz w:val="24"/>
          <w:szCs w:val="24"/>
        </w:rPr>
        <w:t xml:space="preserve"> </w:t>
      </w:r>
    </w:p>
    <w:p w14:paraId="4B159C4B">
      <w:pPr>
        <w:jc w:val="both"/>
        <w:rPr>
          <w:rFonts w:ascii="Arial Narrow" w:hAnsi="Arial Narrow" w:cs="Arial"/>
          <w:b/>
          <w:i/>
          <w:iCs/>
          <w:caps/>
          <w:color w:val="FF0000"/>
        </w:rPr>
      </w:pPr>
      <w:r>
        <w:rPr>
          <w:rFonts w:ascii="Arial Narrow" w:hAnsi="Arial Narrow" w:cs="Arial"/>
          <w:b/>
          <w:i/>
          <w:iCs/>
          <w:caps/>
          <w:color w:val="FF0000"/>
        </w:rPr>
        <w:t>7.3. Prebytok/ schodok rozpočtového hospodárenia za rok 202</w:t>
      </w:r>
      <w:bookmarkEnd w:id="24"/>
      <w:r>
        <w:rPr>
          <w:rFonts w:ascii="Arial Narrow" w:hAnsi="Arial Narrow" w:cs="Arial"/>
          <w:b/>
          <w:i/>
          <w:iCs/>
          <w:caps/>
          <w:color w:val="FF0000"/>
        </w:rPr>
        <w:t>4</w:t>
      </w:r>
    </w:p>
    <w:p w14:paraId="31B02D46">
      <w:pPr>
        <w:ind w:left="709"/>
        <w:rPr>
          <w:rFonts w:ascii="Arial Narrow" w:hAnsi="Arial Narrow" w:cs="Arial"/>
          <w:b/>
          <w:i/>
          <w:iCs/>
          <w:caps/>
          <w:color w:val="C00000"/>
        </w:rPr>
      </w:pPr>
    </w:p>
    <w:p w14:paraId="6CC7189F">
      <w:pPr>
        <w:jc w:val="both"/>
        <w:rPr>
          <w:rFonts w:ascii="Arial Narrow" w:hAnsi="Arial Narrow" w:cs="Arial"/>
          <w:b/>
          <w:sz w:val="20"/>
          <w:szCs w:val="20"/>
        </w:rPr>
      </w:pPr>
    </w:p>
    <w:tbl>
      <w:tblPr>
        <w:tblStyle w:val="7"/>
        <w:tblW w:w="82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76"/>
        <w:gridCol w:w="4784"/>
      </w:tblGrid>
      <w:tr w14:paraId="37E7FF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3476" w:type="dxa"/>
            <w:shd w:val="clear" w:color="auto" w:fill="D9D9D9"/>
            <w:vAlign w:val="center"/>
          </w:tcPr>
          <w:p w14:paraId="485CCDA5">
            <w:pPr>
              <w:jc w:val="center"/>
              <w:rPr>
                <w:rFonts w:ascii="Arial Narrow" w:hAnsi="Arial Narrow" w:cs="Arial"/>
                <w:b/>
                <w:i/>
                <w:iCs/>
              </w:rPr>
            </w:pPr>
            <w:bookmarkStart w:id="25" w:name="_Hlk133227150"/>
            <w:r>
              <w:rPr>
                <w:rFonts w:ascii="Arial Narrow" w:hAnsi="Arial Narrow" w:cs="Arial"/>
                <w:b/>
                <w:i/>
                <w:iCs/>
              </w:rPr>
              <w:t>HOSPODÁRENIE OBCE</w:t>
            </w:r>
          </w:p>
        </w:tc>
        <w:tc>
          <w:tcPr>
            <w:tcW w:w="4784" w:type="dxa"/>
            <w:shd w:val="clear" w:color="auto" w:fill="D9D9D9"/>
            <w:vAlign w:val="center"/>
          </w:tcPr>
          <w:p w14:paraId="1E129936">
            <w:pPr>
              <w:jc w:val="right"/>
              <w:rPr>
                <w:rFonts w:ascii="Arial Narrow" w:hAnsi="Arial Narrow" w:cs="Arial"/>
                <w:b/>
                <w:i/>
                <w:iCs/>
              </w:rPr>
            </w:pPr>
            <w:r>
              <w:rPr>
                <w:rFonts w:ascii="Arial Narrow" w:hAnsi="Arial Narrow" w:cs="Arial"/>
                <w:b/>
                <w:i/>
                <w:iCs/>
              </w:rPr>
              <w:t>Skutočnosť k 31.12.2024</w:t>
            </w:r>
          </w:p>
        </w:tc>
      </w:tr>
      <w:tr w14:paraId="156C16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vAlign w:val="center"/>
          </w:tcPr>
          <w:p w14:paraId="2AC6022C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Bežné príjmy spolu</w:t>
            </w:r>
          </w:p>
        </w:tc>
        <w:tc>
          <w:tcPr>
            <w:tcW w:w="4784" w:type="dxa"/>
            <w:vAlign w:val="center"/>
          </w:tcPr>
          <w:p w14:paraId="35523346">
            <w:pPr>
              <w:wordWrap w:val="0"/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202 669,77</w:t>
            </w:r>
          </w:p>
        </w:tc>
      </w:tr>
      <w:tr w14:paraId="0CE45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vAlign w:val="center"/>
          </w:tcPr>
          <w:p w14:paraId="393E8CA7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Bežné výdavky spolu</w:t>
            </w:r>
          </w:p>
        </w:tc>
        <w:tc>
          <w:tcPr>
            <w:tcW w:w="4784" w:type="dxa"/>
            <w:vAlign w:val="center"/>
          </w:tcPr>
          <w:p w14:paraId="2F214105">
            <w:pPr>
              <w:wordWrap w:val="0"/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169 227,41</w:t>
            </w:r>
          </w:p>
        </w:tc>
      </w:tr>
      <w:tr w14:paraId="06FC9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3476" w:type="dxa"/>
            <w:shd w:val="clear" w:color="auto" w:fill="D9E2F3"/>
            <w:vAlign w:val="center"/>
          </w:tcPr>
          <w:p w14:paraId="71C7AE1E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Bežný rozpočet</w:t>
            </w:r>
          </w:p>
        </w:tc>
        <w:tc>
          <w:tcPr>
            <w:tcW w:w="4784" w:type="dxa"/>
            <w:shd w:val="clear" w:color="auto" w:fill="D9E2F3"/>
            <w:vAlign w:val="center"/>
          </w:tcPr>
          <w:p w14:paraId="33BE9369">
            <w:pPr>
              <w:wordWrap w:val="0"/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                                                   33 442,36</w:t>
            </w:r>
          </w:p>
        </w:tc>
      </w:tr>
      <w:tr w14:paraId="57458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vAlign w:val="center"/>
          </w:tcPr>
          <w:p w14:paraId="37AFEEB8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Kapitálové príjmy spolu</w:t>
            </w:r>
          </w:p>
        </w:tc>
        <w:tc>
          <w:tcPr>
            <w:tcW w:w="4784" w:type="dxa"/>
            <w:vAlign w:val="center"/>
          </w:tcPr>
          <w:p w14:paraId="436F13E5">
            <w:pPr>
              <w:wordWrap w:val="0"/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4 463,85</w:t>
            </w:r>
          </w:p>
        </w:tc>
      </w:tr>
      <w:tr w14:paraId="07B2C7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vAlign w:val="center"/>
          </w:tcPr>
          <w:p w14:paraId="687C1C89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Kapitálové výdavky spolu</w:t>
            </w:r>
          </w:p>
        </w:tc>
        <w:tc>
          <w:tcPr>
            <w:tcW w:w="4784" w:type="dxa"/>
            <w:vAlign w:val="center"/>
          </w:tcPr>
          <w:p w14:paraId="44439AEE">
            <w:pPr>
              <w:wordWrap w:val="0"/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122 169,07</w:t>
            </w:r>
          </w:p>
        </w:tc>
      </w:tr>
      <w:tr w14:paraId="55352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35" w:hRule="atLeast"/>
          <w:jc w:val="center"/>
        </w:trPr>
        <w:tc>
          <w:tcPr>
            <w:tcW w:w="3476" w:type="dxa"/>
            <w:shd w:val="clear" w:color="auto" w:fill="D9E2F3"/>
            <w:vAlign w:val="center"/>
          </w:tcPr>
          <w:p w14:paraId="6B3DF919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Kapitálový rozpočet</w:t>
            </w:r>
          </w:p>
        </w:tc>
        <w:tc>
          <w:tcPr>
            <w:tcW w:w="4784" w:type="dxa"/>
            <w:shd w:val="clear" w:color="auto" w:fill="D9E2F3"/>
            <w:vAlign w:val="center"/>
          </w:tcPr>
          <w:p w14:paraId="64C1A716">
            <w:pPr>
              <w:wordWrap w:val="0"/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-107 705,22</w:t>
            </w:r>
          </w:p>
        </w:tc>
      </w:tr>
      <w:tr w14:paraId="07F0EC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3476" w:type="dxa"/>
            <w:shd w:val="clear" w:color="auto" w:fill="D9E2F3"/>
            <w:vAlign w:val="center"/>
          </w:tcPr>
          <w:p w14:paraId="2EA6E66B">
            <w:pPr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Prebytok/schodok bežného a kapitálového rozpočtu</w:t>
            </w:r>
          </w:p>
        </w:tc>
        <w:tc>
          <w:tcPr>
            <w:tcW w:w="4784" w:type="dxa"/>
            <w:shd w:val="clear" w:color="auto" w:fill="D9E2F3"/>
            <w:vAlign w:val="center"/>
          </w:tcPr>
          <w:p w14:paraId="2D0E9DCE">
            <w:pPr>
              <w:wordWrap w:val="0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-84 262,86</w:t>
            </w:r>
          </w:p>
        </w:tc>
      </w:tr>
      <w:tr w14:paraId="72B36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vAlign w:val="center"/>
          </w:tcPr>
          <w:p w14:paraId="47E3AE1B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Úprava schodku</w:t>
            </w:r>
          </w:p>
        </w:tc>
        <w:tc>
          <w:tcPr>
            <w:tcW w:w="4784" w:type="dxa"/>
            <w:vAlign w:val="center"/>
          </w:tcPr>
          <w:p w14:paraId="74AB5331">
            <w:pPr>
              <w:wordWrap w:val="0"/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0,00</w:t>
            </w:r>
          </w:p>
        </w:tc>
      </w:tr>
      <w:tr w14:paraId="5E7617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3476" w:type="dxa"/>
            <w:shd w:val="clear" w:color="auto" w:fill="D9E2F3"/>
            <w:vAlign w:val="center"/>
          </w:tcPr>
          <w:p w14:paraId="5118DBE8">
            <w:pPr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Upravený prebytok/schodok bežného a kapitálového rozpočtu</w:t>
            </w:r>
          </w:p>
        </w:tc>
        <w:tc>
          <w:tcPr>
            <w:tcW w:w="4784" w:type="dxa"/>
            <w:shd w:val="clear" w:color="auto" w:fill="D9E2F3"/>
            <w:vAlign w:val="center"/>
          </w:tcPr>
          <w:p w14:paraId="7C7E7666">
            <w:pPr>
              <w:wordWrap w:val="0"/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-84 262,86</w:t>
            </w:r>
          </w:p>
          <w:p w14:paraId="51108768">
            <w:pPr>
              <w:jc w:val="right"/>
              <w:rPr>
                <w:rFonts w:ascii="Arial Narrow" w:hAnsi="Arial Narrow" w:cs="Arial"/>
                <w:b/>
              </w:rPr>
            </w:pPr>
          </w:p>
        </w:tc>
      </w:tr>
      <w:tr w14:paraId="6E66BB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35" w:hRule="atLeast"/>
          <w:jc w:val="center"/>
        </w:trPr>
        <w:tc>
          <w:tcPr>
            <w:tcW w:w="3476" w:type="dxa"/>
            <w:vAlign w:val="center"/>
          </w:tcPr>
          <w:p w14:paraId="3173FC61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Príjmové finančné operácie</w:t>
            </w:r>
          </w:p>
        </w:tc>
        <w:tc>
          <w:tcPr>
            <w:tcW w:w="4784" w:type="dxa"/>
            <w:vAlign w:val="center"/>
          </w:tcPr>
          <w:p w14:paraId="5448308E">
            <w:pPr>
              <w:wordWrap w:val="0"/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116 112,00</w:t>
            </w:r>
          </w:p>
        </w:tc>
      </w:tr>
      <w:tr w14:paraId="2C1D8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vAlign w:val="center"/>
          </w:tcPr>
          <w:p w14:paraId="4F2A712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Výdavkové finančné operácie</w:t>
            </w:r>
          </w:p>
        </w:tc>
        <w:tc>
          <w:tcPr>
            <w:tcW w:w="4784" w:type="dxa"/>
            <w:vAlign w:val="center"/>
          </w:tcPr>
          <w:p w14:paraId="44CE7288">
            <w:pPr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0,00</w:t>
            </w:r>
          </w:p>
        </w:tc>
      </w:tr>
      <w:tr w14:paraId="767D6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shd w:val="clear" w:color="auto" w:fill="D9E2F3"/>
            <w:vAlign w:val="center"/>
          </w:tcPr>
          <w:p w14:paraId="63F3739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Rozdiel finančných operácií</w:t>
            </w:r>
          </w:p>
        </w:tc>
        <w:tc>
          <w:tcPr>
            <w:tcW w:w="4784" w:type="dxa"/>
            <w:shd w:val="clear" w:color="auto" w:fill="D9E2F3"/>
            <w:vAlign w:val="center"/>
          </w:tcPr>
          <w:p w14:paraId="1307AC6C">
            <w:pPr>
              <w:wordWrap w:val="0"/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116 112,00</w:t>
            </w:r>
          </w:p>
        </w:tc>
      </w:tr>
      <w:tr w14:paraId="798D9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vAlign w:val="center"/>
          </w:tcPr>
          <w:p w14:paraId="5255BA43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CELKOVÉ PRÍJMY SPOLU</w:t>
            </w:r>
          </w:p>
        </w:tc>
        <w:tc>
          <w:tcPr>
            <w:tcW w:w="4784" w:type="dxa"/>
            <w:vAlign w:val="center"/>
          </w:tcPr>
          <w:p w14:paraId="22390AE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                                                                             323 245,62</w:t>
            </w:r>
          </w:p>
        </w:tc>
      </w:tr>
      <w:tr w14:paraId="650AD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vAlign w:val="center"/>
          </w:tcPr>
          <w:p w14:paraId="71F8C34B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CELKOVÉ VÝDAVKY SPOLU</w:t>
            </w:r>
          </w:p>
        </w:tc>
        <w:tc>
          <w:tcPr>
            <w:tcW w:w="4784" w:type="dxa"/>
            <w:vAlign w:val="center"/>
          </w:tcPr>
          <w:p w14:paraId="3A971D34">
            <w:pPr>
              <w:wordWrap w:val="0"/>
              <w:jc w:val="right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291 396,48</w:t>
            </w:r>
          </w:p>
        </w:tc>
      </w:tr>
      <w:tr w14:paraId="555F4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3476" w:type="dxa"/>
            <w:shd w:val="clear" w:color="auto" w:fill="D9E2F3"/>
            <w:vAlign w:val="center"/>
          </w:tcPr>
          <w:p w14:paraId="285237BF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Účtovný prebytok/schodok</w:t>
            </w:r>
          </w:p>
        </w:tc>
        <w:tc>
          <w:tcPr>
            <w:tcW w:w="4784" w:type="dxa"/>
            <w:shd w:val="clear" w:color="auto" w:fill="D9E2F3"/>
            <w:vAlign w:val="center"/>
          </w:tcPr>
          <w:p w14:paraId="08C305CD">
            <w:pPr>
              <w:wordWrap w:val="0"/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31 849,14</w:t>
            </w:r>
          </w:p>
        </w:tc>
      </w:tr>
      <w:tr w14:paraId="25AF33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9769CD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Vylúčenie z prebytku/ Úprava prebytku</w:t>
            </w:r>
          </w:p>
        </w:tc>
        <w:tc>
          <w:tcPr>
            <w:tcW w:w="4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D39290">
            <w:pPr>
              <w:wordWrap w:val="0"/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0,00</w:t>
            </w:r>
          </w:p>
        </w:tc>
      </w:tr>
      <w:tr w14:paraId="4EF50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E2F3"/>
            <w:vAlign w:val="center"/>
          </w:tcPr>
          <w:p w14:paraId="2CA568E3">
            <w:pPr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UPRAVENÉ HOSPODÁRENIE OBCE</w:t>
            </w:r>
          </w:p>
        </w:tc>
        <w:tc>
          <w:tcPr>
            <w:tcW w:w="4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E2F3"/>
            <w:vAlign w:val="center"/>
          </w:tcPr>
          <w:p w14:paraId="661C4225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                                       31 849,14                                    </w:t>
            </w:r>
          </w:p>
        </w:tc>
      </w:tr>
    </w:tbl>
    <w:p w14:paraId="01859E87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                                                       </w:t>
      </w:r>
    </w:p>
    <w:p w14:paraId="577D903F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</w:p>
    <w:p w14:paraId="3BBE0FF8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   </w:t>
      </w:r>
    </w:p>
    <w:p w14:paraId="6E234778">
      <w:pPr>
        <w:pStyle w:val="14"/>
        <w:ind w:right="500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Bilancia bežných príjmov a bežných výdavkov je dosiahnutý prebytok</w:t>
      </w:r>
      <w:r>
        <w:rPr>
          <w:rFonts w:ascii="Arial Narrow" w:hAnsi="Arial Narrow"/>
          <w:b/>
          <w:bCs/>
          <w:sz w:val="20"/>
          <w:szCs w:val="20"/>
        </w:rPr>
        <w:t xml:space="preserve"> bežného rozpočtu</w:t>
      </w:r>
      <w:r>
        <w:rPr>
          <w:rFonts w:ascii="Arial Narrow" w:hAnsi="Arial Narrow"/>
          <w:sz w:val="20"/>
          <w:szCs w:val="20"/>
        </w:rPr>
        <w:t xml:space="preserve"> vo výške 33 442,36</w:t>
      </w:r>
      <w:r>
        <w:rPr>
          <w:rFonts w:ascii="Arial Narrow" w:hAnsi="Arial Narrow"/>
          <w:b/>
          <w:bCs/>
          <w:sz w:val="20"/>
          <w:szCs w:val="20"/>
        </w:rPr>
        <w:t xml:space="preserve"> €.</w:t>
      </w:r>
    </w:p>
    <w:p w14:paraId="78F9EF70">
      <w:pPr>
        <w:pStyle w:val="14"/>
        <w:ind w:right="500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Bilancia kapitálových príjmov a kapitálových výdavkov </w:t>
      </w:r>
      <w:r>
        <w:rPr>
          <w:rFonts w:ascii="Arial Narrow" w:hAnsi="Arial Narrow"/>
          <w:b/>
          <w:bCs/>
          <w:sz w:val="20"/>
          <w:szCs w:val="20"/>
        </w:rPr>
        <w:t xml:space="preserve">je schodok kapitálového rozpočtu </w:t>
      </w:r>
      <w:r>
        <w:rPr>
          <w:rFonts w:ascii="Arial Narrow" w:hAnsi="Arial Narrow"/>
          <w:sz w:val="20"/>
          <w:szCs w:val="20"/>
        </w:rPr>
        <w:t>vo výške 117 705,22</w:t>
      </w:r>
      <w:r>
        <w:rPr>
          <w:rFonts w:ascii="Arial Narrow" w:hAnsi="Arial Narrow"/>
          <w:b/>
          <w:bCs/>
          <w:sz w:val="20"/>
          <w:szCs w:val="20"/>
        </w:rPr>
        <w:t xml:space="preserve"> €.</w:t>
      </w:r>
      <w:r>
        <w:rPr>
          <w:rFonts w:ascii="Arial Narrow" w:hAnsi="Arial Narrow"/>
          <w:sz w:val="20"/>
          <w:szCs w:val="20"/>
        </w:rPr>
        <w:t xml:space="preserve"> </w:t>
      </w:r>
    </w:p>
    <w:p w14:paraId="48C389E1">
      <w:pPr>
        <w:shd w:val="clear" w:color="auto" w:fill="FFFFFF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Bilancia finančných príjmov a finančných výdavkov je prebytok vo výške  116 112,00 eur.</w:t>
      </w:r>
    </w:p>
    <w:p w14:paraId="6B81713D">
      <w:pPr>
        <w:rPr>
          <w:rFonts w:ascii="Arial Narrow" w:hAnsi="Arial Narrow" w:cs="Arial"/>
          <w:caps/>
          <w:color w:val="C00000"/>
          <w:sz w:val="20"/>
          <w:szCs w:val="20"/>
        </w:rPr>
      </w:pPr>
    </w:p>
    <w:p w14:paraId="4FE759DA">
      <w:pPr>
        <w:pStyle w:val="14"/>
        <w:ind w:right="500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Podľa § 10 ods.6 zákona č. 583/2004 Z.z. o rozpočtových pravidlách územnej samosprávy a o zmene a doplnení niektorých zákonov v znení neskorších predpisov súčasťou rozpočtu sú finančné operácie, ktorými sa vykonávajú prevody prostriedkov peňažných fondov a realizujú sa návratné zdroje financovania a ich splácanie.</w:t>
      </w:r>
    </w:p>
    <w:p w14:paraId="574DFA14">
      <w:pPr>
        <w:pStyle w:val="14"/>
        <w:ind w:right="500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V zmysle ustanovenia § 16 ods. 6 a 7 zákona č. 583/2004 Z.z. o rozpočtových pravidlách územnej samosprávy a o zmene a doplnení niektorých zákonov v znení neskorších predpisov, ak možno použiť v rozpočtovom roku v súlade s osobitným predpisom nevyčerpané účelovo určené prostriedky poskytnuté prostriedky v predchádzajúcom rozpočtovom roku zo štátneho rozpočtu, z rozpočtu EÚ, alebo na základe osobitného predpisu, </w:t>
      </w:r>
      <w:r>
        <w:rPr>
          <w:rFonts w:ascii="Arial Narrow" w:hAnsi="Arial Narrow"/>
          <w:b/>
          <w:bCs/>
          <w:sz w:val="20"/>
          <w:szCs w:val="20"/>
        </w:rPr>
        <w:t>tieto nevyčerpané prostriedky sa na účely tvorby peňažných fondov a pri usporiadaní prebytku/schodku rozpočtu z tohto prebytku/schodku vylučujú.</w:t>
      </w:r>
    </w:p>
    <w:p w14:paraId="0C793274">
      <w:pPr>
        <w:pStyle w:val="14"/>
        <w:ind w:right="50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color w:val="000000"/>
          <w:sz w:val="20"/>
          <w:szCs w:val="20"/>
        </w:rPr>
        <w:t>V roku 2024 – sa prostriedky nevylučujú</w:t>
      </w:r>
      <w:bookmarkEnd w:id="25"/>
    </w:p>
    <w:p w14:paraId="6A40B058">
      <w:pPr>
        <w:pStyle w:val="14"/>
        <w:ind w:right="50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3C3644BB">
      <w:pPr>
        <w:pStyle w:val="2"/>
        <w:rPr>
          <w:rFonts w:ascii="Arial Narrow" w:hAnsi="Arial Narrow" w:cs="Arial"/>
          <w:b w:val="0"/>
          <w:bCs w:val="0"/>
          <w:color w:val="FF0000"/>
          <w:sz w:val="26"/>
          <w:szCs w:val="26"/>
        </w:rPr>
      </w:pPr>
      <w:bookmarkStart w:id="26" w:name="_Toc74047053"/>
      <w:r>
        <w:rPr>
          <w:rFonts w:ascii="Arial Narrow" w:hAnsi="Arial Narrow" w:cs="Arial"/>
          <w:color w:val="FF0000"/>
          <w:sz w:val="26"/>
          <w:szCs w:val="26"/>
        </w:rPr>
        <w:t>8. Vývoj hodnoty majetku a zdrojov jeho krytia za uplynulé roky vyjadrujú nasledovné tabuľky:</w:t>
      </w:r>
      <w:bookmarkEnd w:id="26"/>
    </w:p>
    <w:p w14:paraId="614F371A">
      <w:pPr>
        <w:jc w:val="both"/>
        <w:rPr>
          <w:rFonts w:ascii="Arial Narrow" w:hAnsi="Arial Narrow" w:cs="Arial"/>
          <w:b/>
          <w:bCs/>
          <w:sz w:val="20"/>
          <w:szCs w:val="20"/>
        </w:rPr>
      </w:pPr>
    </w:p>
    <w:p w14:paraId="3F4FD79D">
      <w:pPr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Vývoj hodnoty majetku a zdrojov jeho krytia za uplynulé roky vyjadrujú nasledovné tabuľky:</w:t>
      </w:r>
    </w:p>
    <w:p w14:paraId="72AAA8DB">
      <w:pPr>
        <w:jc w:val="both"/>
        <w:rPr>
          <w:rFonts w:ascii="Arial Narrow" w:hAnsi="Arial Narrow" w:cs="Arial"/>
          <w:b/>
          <w:bCs/>
          <w:color w:val="0000FF"/>
          <w:sz w:val="20"/>
          <w:szCs w:val="20"/>
        </w:rPr>
      </w:pPr>
    </w:p>
    <w:p w14:paraId="40492B59">
      <w:pPr>
        <w:spacing w:before="120"/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A K T Í V A    </w:t>
      </w:r>
    </w:p>
    <w:tbl>
      <w:tblPr>
        <w:tblStyle w:val="7"/>
        <w:tblW w:w="88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606"/>
        <w:gridCol w:w="2126"/>
        <w:gridCol w:w="2126"/>
      </w:tblGrid>
      <w:tr w14:paraId="1F982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shd w:val="clear" w:color="auto" w:fill="D9D9D9"/>
            <w:vAlign w:val="center"/>
          </w:tcPr>
          <w:p w14:paraId="7007B0D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D9D9D9"/>
          </w:tcPr>
          <w:p w14:paraId="28331319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K31.12.2023</w:t>
            </w:r>
          </w:p>
        </w:tc>
        <w:tc>
          <w:tcPr>
            <w:tcW w:w="2126" w:type="dxa"/>
            <w:shd w:val="clear" w:color="auto" w:fill="D9D9D9"/>
          </w:tcPr>
          <w:p w14:paraId="53A8D0DA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K 31.12.2024</w:t>
            </w:r>
          </w:p>
        </w:tc>
      </w:tr>
      <w:tr w14:paraId="0E980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shd w:val="clear" w:color="auto" w:fill="D9D9D9"/>
            <w:vAlign w:val="center"/>
          </w:tcPr>
          <w:p w14:paraId="001DB96F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SPOLU MAJETOK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D9D9D9"/>
          </w:tcPr>
          <w:p w14:paraId="2120E625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1 093 231,93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D9D9D9"/>
          </w:tcPr>
          <w:p w14:paraId="768128F1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1 078 562,53</w:t>
            </w:r>
          </w:p>
        </w:tc>
      </w:tr>
      <w:tr w14:paraId="4A991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74A0CAA7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A. Neobežný majetok spolu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38DD9E4D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925 527,54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04C91FF1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993 844,09</w:t>
            </w:r>
          </w:p>
        </w:tc>
      </w:tr>
      <w:tr w14:paraId="0FF6C8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274023C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A.I  Dlhodobý nehmotný. majetok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569EFBD1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9 464,33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369D1A6E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9 172,66</w:t>
            </w:r>
          </w:p>
        </w:tc>
      </w:tr>
      <w:tr w14:paraId="0CA29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4C946F33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A.II Dlhodobý hmotný majetok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294253E5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843 331,21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629DBCB6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911 939,43</w:t>
            </w:r>
          </w:p>
        </w:tc>
      </w:tr>
      <w:tr w14:paraId="7179DA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3EBB1BA1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A.III Dlhodobý finančný majetok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0CB7DA33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72 732,00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6D68B717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72 732,00</w:t>
            </w:r>
          </w:p>
        </w:tc>
      </w:tr>
      <w:tr w14:paraId="326F4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1A0DEAC7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B. Obežný majetok spolu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48A6DE05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166 600,48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093942EE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83 986,82</w:t>
            </w:r>
          </w:p>
        </w:tc>
      </w:tr>
      <w:tr w14:paraId="6774F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224BEE47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  Zásoby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61D5245B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826,51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768A2BD6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1 024,07</w:t>
            </w:r>
          </w:p>
        </w:tc>
      </w:tr>
      <w:tr w14:paraId="4411A4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5538200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B.II zúčtovanie medzi subjektami ver. správy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2AAB0732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1662E7AA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</w:tr>
      <w:tr w14:paraId="4C8BBA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538CB1B0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B.III Dlhodobé pohľadávky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30CFB420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1E1EE774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</w:tr>
      <w:tr w14:paraId="03D58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4F431E8D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B.IV Krátkodobé pohľadávky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66E40A17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5 348,04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20428612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4 503,15</w:t>
            </w:r>
          </w:p>
        </w:tc>
      </w:tr>
      <w:tr w14:paraId="77239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490DE7B8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B.V Finančné účty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1B501DF7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160 425,93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5F3AA50A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78 459,60</w:t>
            </w:r>
          </w:p>
        </w:tc>
      </w:tr>
      <w:tr w14:paraId="34F6F4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04910DC7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B.VI Poskytnuté návratné fin. výpomoci dlhodobé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681C6CD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0BC10190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</w:tr>
      <w:tr w14:paraId="6CFBB5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0865794B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 B.VII Poskytnuté návratné fin. výpomoci krátkodobé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4E3211BD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bottom w:val="single" w:color="auto" w:sz="4" w:space="0"/>
            </w:tcBorders>
          </w:tcPr>
          <w:p w14:paraId="5D3A7036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</w:tr>
      <w:tr w14:paraId="0C535E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676C7380">
            <w:pPr>
              <w:tabs>
                <w:tab w:val="left" w:pos="330"/>
              </w:tabs>
              <w:ind w:left="5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C. Časové rozlíšenie</w:t>
            </w:r>
          </w:p>
        </w:tc>
        <w:tc>
          <w:tcPr>
            <w:tcW w:w="2126" w:type="dxa"/>
          </w:tcPr>
          <w:p w14:paraId="64A5C731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1 103,91</w:t>
            </w:r>
          </w:p>
        </w:tc>
        <w:tc>
          <w:tcPr>
            <w:tcW w:w="2126" w:type="dxa"/>
          </w:tcPr>
          <w:p w14:paraId="1B254670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731,62</w:t>
            </w:r>
          </w:p>
        </w:tc>
      </w:tr>
      <w:tr w14:paraId="3861A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vAlign w:val="center"/>
          </w:tcPr>
          <w:p w14:paraId="538C1FD8">
            <w:pPr>
              <w:tabs>
                <w:tab w:val="left" w:pos="330"/>
              </w:tabs>
              <w:ind w:left="5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D. Vzťahy k účtom klientov štátnej pokladnice</w:t>
            </w:r>
          </w:p>
        </w:tc>
        <w:tc>
          <w:tcPr>
            <w:tcW w:w="2126" w:type="dxa"/>
          </w:tcPr>
          <w:p w14:paraId="03BC8F11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0</w:t>
            </w:r>
          </w:p>
        </w:tc>
        <w:tc>
          <w:tcPr>
            <w:tcW w:w="2126" w:type="dxa"/>
          </w:tcPr>
          <w:p w14:paraId="4FA2F568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0</w:t>
            </w:r>
          </w:p>
        </w:tc>
      </w:tr>
    </w:tbl>
    <w:p w14:paraId="25C6A027">
      <w:pPr>
        <w:spacing w:before="200"/>
        <w:jc w:val="both"/>
        <w:rPr>
          <w:rFonts w:ascii="Arial Narrow" w:hAnsi="Arial Narrow" w:cs="Arial"/>
          <w:b/>
          <w:sz w:val="20"/>
          <w:szCs w:val="20"/>
        </w:rPr>
      </w:pPr>
    </w:p>
    <w:p w14:paraId="71A7CD49">
      <w:pPr>
        <w:spacing w:before="200"/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P A S Í V A  </w:t>
      </w:r>
    </w:p>
    <w:p w14:paraId="0417A557">
      <w:pPr>
        <w:spacing w:before="200"/>
        <w:ind w:left="709"/>
        <w:jc w:val="both"/>
        <w:rPr>
          <w:rFonts w:ascii="Arial Narrow" w:hAnsi="Arial Narrow" w:cs="Arial"/>
          <w:b/>
          <w:sz w:val="20"/>
          <w:szCs w:val="20"/>
        </w:rPr>
      </w:pPr>
    </w:p>
    <w:tbl>
      <w:tblPr>
        <w:tblStyle w:val="7"/>
        <w:tblW w:w="94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606"/>
        <w:gridCol w:w="2410"/>
        <w:gridCol w:w="2410"/>
      </w:tblGrid>
      <w:tr w14:paraId="403E7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shd w:val="clear" w:color="auto" w:fill="D9D9D9"/>
            <w:vAlign w:val="center"/>
          </w:tcPr>
          <w:p w14:paraId="13F8493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Názov</w:t>
            </w:r>
          </w:p>
        </w:tc>
        <w:tc>
          <w:tcPr>
            <w:tcW w:w="2410" w:type="dxa"/>
            <w:shd w:val="clear" w:color="auto" w:fill="D9D9D9"/>
          </w:tcPr>
          <w:p w14:paraId="6C5C193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K.31.12.2023</w:t>
            </w:r>
          </w:p>
        </w:tc>
        <w:tc>
          <w:tcPr>
            <w:tcW w:w="2410" w:type="dxa"/>
            <w:shd w:val="clear" w:color="auto" w:fill="D9D9D9"/>
          </w:tcPr>
          <w:p w14:paraId="22495DC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K 31.12.2024</w:t>
            </w:r>
          </w:p>
        </w:tc>
      </w:tr>
      <w:tr w14:paraId="6A0E6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shd w:val="clear" w:color="auto" w:fill="D9D9D9"/>
            <w:vAlign w:val="center"/>
          </w:tcPr>
          <w:p w14:paraId="60A6D34B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VLASTNÉ IMANIE A ZÁVAZKY </w:t>
            </w:r>
          </w:p>
        </w:tc>
        <w:tc>
          <w:tcPr>
            <w:tcW w:w="2410" w:type="dxa"/>
            <w:tcBorders>
              <w:bottom w:val="single" w:color="auto" w:sz="4" w:space="0"/>
            </w:tcBorders>
            <w:shd w:val="clear" w:color="auto" w:fill="D9D9D9"/>
          </w:tcPr>
          <w:p w14:paraId="46C13637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1 093 231,93</w:t>
            </w:r>
          </w:p>
        </w:tc>
        <w:tc>
          <w:tcPr>
            <w:tcW w:w="2410" w:type="dxa"/>
            <w:tcBorders>
              <w:bottom w:val="single" w:color="auto" w:sz="4" w:space="0"/>
            </w:tcBorders>
            <w:shd w:val="clear" w:color="auto" w:fill="D9D9D9"/>
          </w:tcPr>
          <w:p w14:paraId="4D469DFB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1 078 562,53</w:t>
            </w:r>
          </w:p>
        </w:tc>
      </w:tr>
      <w:tr w14:paraId="4183B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4F07FB64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A. Vlastné imanie </w:t>
            </w:r>
          </w:p>
        </w:tc>
        <w:tc>
          <w:tcPr>
            <w:tcW w:w="2410" w:type="dxa"/>
          </w:tcPr>
          <w:p w14:paraId="622506B2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633 369,79</w:t>
            </w:r>
          </w:p>
        </w:tc>
        <w:tc>
          <w:tcPr>
            <w:tcW w:w="2410" w:type="dxa"/>
          </w:tcPr>
          <w:p w14:paraId="0EAC7083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639 952,80</w:t>
            </w:r>
          </w:p>
        </w:tc>
      </w:tr>
      <w:tr w14:paraId="3B9CA4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712CED27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A.I Oceňované rozdiely</w:t>
            </w:r>
          </w:p>
        </w:tc>
        <w:tc>
          <w:tcPr>
            <w:tcW w:w="2410" w:type="dxa"/>
          </w:tcPr>
          <w:p w14:paraId="726429A0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410" w:type="dxa"/>
          </w:tcPr>
          <w:p w14:paraId="5879FF29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</w:tr>
      <w:tr w14:paraId="47CC6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1755D6B1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A.II Fondy súčet</w:t>
            </w:r>
          </w:p>
        </w:tc>
        <w:tc>
          <w:tcPr>
            <w:tcW w:w="2410" w:type="dxa"/>
          </w:tcPr>
          <w:p w14:paraId="1B16467C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410" w:type="dxa"/>
          </w:tcPr>
          <w:p w14:paraId="388D612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</w:tr>
      <w:tr w14:paraId="6E96C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2CD19BC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A.III Výsledok hospodárenia</w:t>
            </w:r>
          </w:p>
        </w:tc>
        <w:tc>
          <w:tcPr>
            <w:tcW w:w="2410" w:type="dxa"/>
          </w:tcPr>
          <w:p w14:paraId="7A38D96B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633 369,79</w:t>
            </w:r>
          </w:p>
        </w:tc>
        <w:tc>
          <w:tcPr>
            <w:tcW w:w="2410" w:type="dxa"/>
          </w:tcPr>
          <w:p w14:paraId="3EBE2BF1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639 952,80</w:t>
            </w:r>
          </w:p>
        </w:tc>
      </w:tr>
      <w:tr w14:paraId="1A8DAE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032738E0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     A.III.1. Nevypriadaný výsledok hos. minulých rokov</w:t>
            </w:r>
          </w:p>
        </w:tc>
        <w:tc>
          <w:tcPr>
            <w:tcW w:w="2410" w:type="dxa"/>
          </w:tcPr>
          <w:p w14:paraId="6EAF04AB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678 311,14</w:t>
            </w:r>
          </w:p>
        </w:tc>
        <w:tc>
          <w:tcPr>
            <w:tcW w:w="2410" w:type="dxa"/>
          </w:tcPr>
          <w:p w14:paraId="068A2270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633 369,79</w:t>
            </w:r>
          </w:p>
        </w:tc>
      </w:tr>
      <w:tr w14:paraId="1E00E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3965F42A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     A.III.2 Výsledok hospodárenia  za účtovné obdobie</w:t>
            </w:r>
          </w:p>
        </w:tc>
        <w:tc>
          <w:tcPr>
            <w:tcW w:w="2410" w:type="dxa"/>
          </w:tcPr>
          <w:p w14:paraId="1A0FD8FA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-44 941,35</w:t>
            </w:r>
          </w:p>
        </w:tc>
        <w:tc>
          <w:tcPr>
            <w:tcW w:w="2410" w:type="dxa"/>
          </w:tcPr>
          <w:p w14:paraId="761387F3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6 583,01</w:t>
            </w:r>
          </w:p>
        </w:tc>
      </w:tr>
      <w:tr w14:paraId="296CD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671F19C2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B. Záväzky </w:t>
            </w:r>
          </w:p>
        </w:tc>
        <w:tc>
          <w:tcPr>
            <w:tcW w:w="2410" w:type="dxa"/>
          </w:tcPr>
          <w:p w14:paraId="191CE8F3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96 107,72</w:t>
            </w:r>
          </w:p>
        </w:tc>
        <w:tc>
          <w:tcPr>
            <w:tcW w:w="2410" w:type="dxa"/>
          </w:tcPr>
          <w:p w14:paraId="0AB6B934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17 702,25</w:t>
            </w:r>
          </w:p>
        </w:tc>
      </w:tr>
      <w:tr w14:paraId="2BAF3D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441C9ADD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 Rezervy súčet</w:t>
            </w:r>
          </w:p>
        </w:tc>
        <w:tc>
          <w:tcPr>
            <w:tcW w:w="2410" w:type="dxa"/>
          </w:tcPr>
          <w:p w14:paraId="12C2135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800,00</w:t>
            </w:r>
          </w:p>
        </w:tc>
        <w:tc>
          <w:tcPr>
            <w:tcW w:w="2410" w:type="dxa"/>
          </w:tcPr>
          <w:p w14:paraId="5921D3C6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940,00</w:t>
            </w:r>
          </w:p>
        </w:tc>
      </w:tr>
      <w:tr w14:paraId="7AFE9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10A0553A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B.II Zúčtovanie medzi subjektami verejnej správy</w:t>
            </w:r>
          </w:p>
        </w:tc>
        <w:tc>
          <w:tcPr>
            <w:tcW w:w="2410" w:type="dxa"/>
          </w:tcPr>
          <w:p w14:paraId="642201CC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80 231,07</w:t>
            </w:r>
          </w:p>
        </w:tc>
        <w:tc>
          <w:tcPr>
            <w:tcW w:w="2410" w:type="dxa"/>
          </w:tcPr>
          <w:p w14:paraId="3C50F0F1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239,07</w:t>
            </w:r>
          </w:p>
        </w:tc>
      </w:tr>
      <w:tr w14:paraId="706286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2DCD9DA5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B.III Dlhodobé záväzky </w:t>
            </w:r>
          </w:p>
        </w:tc>
        <w:tc>
          <w:tcPr>
            <w:tcW w:w="2410" w:type="dxa"/>
          </w:tcPr>
          <w:p w14:paraId="31E472BC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569,71</w:t>
            </w:r>
          </w:p>
        </w:tc>
        <w:tc>
          <w:tcPr>
            <w:tcW w:w="2410" w:type="dxa"/>
          </w:tcPr>
          <w:p w14:paraId="06833CAE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2 939,79</w:t>
            </w:r>
          </w:p>
        </w:tc>
      </w:tr>
      <w:tr w14:paraId="1A66D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1D860A58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B.IV Krátkodobé záväzky súčet</w:t>
            </w:r>
          </w:p>
        </w:tc>
        <w:tc>
          <w:tcPr>
            <w:tcW w:w="2410" w:type="dxa"/>
          </w:tcPr>
          <w:p w14:paraId="56916B1D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14 506,94</w:t>
            </w:r>
          </w:p>
        </w:tc>
        <w:tc>
          <w:tcPr>
            <w:tcW w:w="2410" w:type="dxa"/>
          </w:tcPr>
          <w:p w14:paraId="1CF73144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13 583,39</w:t>
            </w:r>
          </w:p>
        </w:tc>
      </w:tr>
      <w:tr w14:paraId="1C272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5A3E304E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B.V Bankové úvery</w:t>
            </w:r>
          </w:p>
        </w:tc>
        <w:tc>
          <w:tcPr>
            <w:tcW w:w="2410" w:type="dxa"/>
          </w:tcPr>
          <w:p w14:paraId="6CC7D05B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410" w:type="dxa"/>
          </w:tcPr>
          <w:p w14:paraId="2F5880FA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</w:tr>
      <w:tr w14:paraId="19DBF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vAlign w:val="center"/>
          </w:tcPr>
          <w:p w14:paraId="4BA9AD6B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C. Časové rozlíšenie</w:t>
            </w:r>
          </w:p>
        </w:tc>
        <w:tc>
          <w:tcPr>
            <w:tcW w:w="2410" w:type="dxa"/>
          </w:tcPr>
          <w:p w14:paraId="19FEFCF6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363 754,42</w:t>
            </w:r>
          </w:p>
        </w:tc>
        <w:tc>
          <w:tcPr>
            <w:tcW w:w="2410" w:type="dxa"/>
          </w:tcPr>
          <w:p w14:paraId="11522F6A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420 907,48</w:t>
            </w:r>
          </w:p>
        </w:tc>
      </w:tr>
    </w:tbl>
    <w:p w14:paraId="5840319D">
      <w:pPr>
        <w:jc w:val="both"/>
        <w:rPr>
          <w:rFonts w:ascii="Arial Narrow" w:hAnsi="Arial Narrow" w:cs="Arial"/>
          <w:bCs/>
          <w:sz w:val="20"/>
          <w:szCs w:val="20"/>
        </w:rPr>
      </w:pPr>
    </w:p>
    <w:p w14:paraId="135AD687">
      <w:pPr>
        <w:spacing w:after="0"/>
        <w:ind w:right="500"/>
        <w:jc w:val="both"/>
        <w:rPr>
          <w:rFonts w:ascii="Arial Narrow" w:hAnsi="Arial Narrow"/>
          <w:color w:val="FF0000"/>
        </w:rPr>
      </w:pPr>
      <w:r>
        <w:rPr>
          <w:rFonts w:ascii="Arial Narrow" w:hAnsi="Arial Narrow"/>
          <w:color w:val="FF0000"/>
        </w:rPr>
        <w:t>Vývoj pohľadávok a záväzkov v eurách:</w:t>
      </w:r>
    </w:p>
    <w:p w14:paraId="12EFD473">
      <w:pPr>
        <w:spacing w:after="0"/>
        <w:ind w:right="50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/>
        </w:rPr>
        <w:t>-</w:t>
      </w:r>
      <w:r>
        <w:rPr>
          <w:rFonts w:ascii="Arial Narrow" w:hAnsi="Arial Narrow" w:cs="Arial"/>
          <w:sz w:val="20"/>
          <w:szCs w:val="20"/>
        </w:rPr>
        <w:t xml:space="preserve">  Obec k 31.12.2024 eviduje tieto záväzky:</w:t>
      </w:r>
    </w:p>
    <w:p w14:paraId="5D71542A">
      <w:pPr>
        <w:ind w:left="709"/>
        <w:jc w:val="both"/>
        <w:rPr>
          <w:rFonts w:ascii="Arial Narrow" w:hAnsi="Arial Narrow" w:cs="Arial"/>
          <w:b/>
          <w:bCs/>
          <w:color w:val="FF0000"/>
          <w:sz w:val="20"/>
          <w:szCs w:val="20"/>
          <w:u w:val="single"/>
        </w:rPr>
      </w:pPr>
    </w:p>
    <w:p w14:paraId="6BE62BAD">
      <w:pPr>
        <w:ind w:left="709"/>
        <w:jc w:val="both"/>
        <w:rPr>
          <w:rFonts w:ascii="Arial Narrow" w:hAnsi="Arial Narrow" w:cs="Arial"/>
          <w:b/>
          <w:bCs/>
          <w:color w:val="FF0000"/>
          <w:sz w:val="20"/>
          <w:szCs w:val="20"/>
        </w:rPr>
      </w:pPr>
      <w:r>
        <w:rPr>
          <w:rFonts w:ascii="Arial Narrow" w:hAnsi="Arial Narrow" w:cs="Arial"/>
          <w:b/>
          <w:bCs/>
          <w:color w:val="FF0000"/>
          <w:sz w:val="20"/>
          <w:szCs w:val="20"/>
        </w:rPr>
        <w:t xml:space="preserve">Krátkodobé záväzky </w:t>
      </w:r>
    </w:p>
    <w:p w14:paraId="50F9B99B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Obec k 31.12.2024 eviduje tieto záväzky:</w:t>
      </w:r>
    </w:p>
    <w:p w14:paraId="18655DA7">
      <w:pPr>
        <w:ind w:left="709"/>
        <w:jc w:val="both"/>
        <w:rPr>
          <w:rFonts w:ascii="Arial Narrow" w:hAnsi="Arial Narrow" w:cs="Arial"/>
          <w:b/>
          <w:bCs/>
          <w:sz w:val="20"/>
          <w:szCs w:val="20"/>
          <w:u w:val="single"/>
        </w:rPr>
      </w:pPr>
    </w:p>
    <w:p w14:paraId="2A6973E6">
      <w:pPr>
        <w:ind w:left="709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rPr>
          <w:rFonts w:ascii="Arial Narrow" w:hAnsi="Arial Narrow" w:cs="Arial"/>
          <w:b/>
          <w:bCs/>
          <w:sz w:val="20"/>
          <w:szCs w:val="20"/>
        </w:rPr>
        <w:t xml:space="preserve">Krátkodobé záväzky </w:t>
      </w:r>
    </w:p>
    <w:p w14:paraId="49A0CAAB">
      <w:pPr>
        <w:jc w:val="both"/>
        <w:rPr>
          <w:rFonts w:ascii="Arial Narrow" w:hAnsi="Arial Narrow" w:cs="Arial"/>
          <w:b/>
          <w:bCs/>
          <w:sz w:val="20"/>
          <w:szCs w:val="20"/>
        </w:rPr>
      </w:pPr>
    </w:p>
    <w:tbl>
      <w:tblPr>
        <w:tblStyle w:val="7"/>
        <w:tblW w:w="0" w:type="auto"/>
        <w:tblInd w:w="7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7"/>
        <w:gridCol w:w="2183"/>
        <w:gridCol w:w="2183"/>
      </w:tblGrid>
      <w:tr w14:paraId="5BC85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</w:tcPr>
          <w:p w14:paraId="30BF6AF5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183" w:type="dxa"/>
          </w:tcPr>
          <w:p w14:paraId="525372BB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K31.12.2023</w:t>
            </w:r>
          </w:p>
        </w:tc>
        <w:tc>
          <w:tcPr>
            <w:tcW w:w="2183" w:type="dxa"/>
          </w:tcPr>
          <w:p w14:paraId="27D24E49">
            <w:pPr>
              <w:wordWrap w:val="0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K 31.12.2024</w:t>
            </w:r>
          </w:p>
        </w:tc>
      </w:tr>
      <w:tr w14:paraId="58A2D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</w:tcPr>
          <w:p w14:paraId="56B20617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Dodávatelia</w:t>
            </w:r>
          </w:p>
        </w:tc>
        <w:tc>
          <w:tcPr>
            <w:tcW w:w="2183" w:type="dxa"/>
          </w:tcPr>
          <w:p w14:paraId="0F00F93C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3 894,83</w:t>
            </w:r>
          </w:p>
        </w:tc>
        <w:tc>
          <w:tcPr>
            <w:tcW w:w="2183" w:type="dxa"/>
          </w:tcPr>
          <w:p w14:paraId="08F6762B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2 201,36</w:t>
            </w:r>
          </w:p>
        </w:tc>
      </w:tr>
      <w:tr w14:paraId="22140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</w:tcPr>
          <w:p w14:paraId="48F3DAF4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Prijaté preddavky</w:t>
            </w:r>
          </w:p>
        </w:tc>
        <w:tc>
          <w:tcPr>
            <w:tcW w:w="2183" w:type="dxa"/>
          </w:tcPr>
          <w:p w14:paraId="63B43D51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2 010,74</w:t>
            </w:r>
          </w:p>
        </w:tc>
        <w:tc>
          <w:tcPr>
            <w:tcW w:w="2183" w:type="dxa"/>
          </w:tcPr>
          <w:p w14:paraId="5A6D70D3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</w:tr>
      <w:tr w14:paraId="7640F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</w:tcPr>
          <w:p w14:paraId="708675B8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Nevyfakturované dodávky</w:t>
            </w:r>
          </w:p>
        </w:tc>
        <w:tc>
          <w:tcPr>
            <w:tcW w:w="2183" w:type="dxa"/>
          </w:tcPr>
          <w:p w14:paraId="0FB1BAE3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  <w:tc>
          <w:tcPr>
            <w:tcW w:w="2183" w:type="dxa"/>
          </w:tcPr>
          <w:p w14:paraId="6CFEEFAD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2 080,00</w:t>
            </w:r>
          </w:p>
        </w:tc>
      </w:tr>
      <w:tr w14:paraId="3F4876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</w:tcPr>
          <w:p w14:paraId="3CDA5AAC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Iné záväzky</w:t>
            </w:r>
          </w:p>
        </w:tc>
        <w:tc>
          <w:tcPr>
            <w:tcW w:w="2183" w:type="dxa"/>
          </w:tcPr>
          <w:p w14:paraId="361D2640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2,17</w:t>
            </w:r>
          </w:p>
        </w:tc>
        <w:tc>
          <w:tcPr>
            <w:tcW w:w="2183" w:type="dxa"/>
          </w:tcPr>
          <w:p w14:paraId="45D647BE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6,25</w:t>
            </w:r>
          </w:p>
        </w:tc>
      </w:tr>
      <w:tr w14:paraId="7EE890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</w:tcPr>
          <w:p w14:paraId="27F9B0B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zamestnanci</w:t>
            </w:r>
          </w:p>
        </w:tc>
        <w:tc>
          <w:tcPr>
            <w:tcW w:w="2183" w:type="dxa"/>
          </w:tcPr>
          <w:p w14:paraId="1C3D4A54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5 062,36</w:t>
            </w:r>
          </w:p>
        </w:tc>
        <w:tc>
          <w:tcPr>
            <w:tcW w:w="2183" w:type="dxa"/>
          </w:tcPr>
          <w:p w14:paraId="1BF05DFC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5 133,15</w:t>
            </w:r>
          </w:p>
        </w:tc>
      </w:tr>
      <w:tr w14:paraId="46C4D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</w:tcPr>
          <w:p w14:paraId="0EA7D8FC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Zúčtovanie s orgánmi sociálneho a zdravotného poistenia</w:t>
            </w:r>
          </w:p>
        </w:tc>
        <w:tc>
          <w:tcPr>
            <w:tcW w:w="2183" w:type="dxa"/>
          </w:tcPr>
          <w:p w14:paraId="7CFA4D38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684122D9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1CAD24EF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3 071,41</w:t>
            </w:r>
          </w:p>
        </w:tc>
        <w:tc>
          <w:tcPr>
            <w:tcW w:w="2183" w:type="dxa"/>
          </w:tcPr>
          <w:p w14:paraId="47F604C7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16926EDB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43ADF224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3 340,06</w:t>
            </w:r>
          </w:p>
        </w:tc>
      </w:tr>
      <w:tr w14:paraId="7621EB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</w:tcPr>
          <w:p w14:paraId="77F813DE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Ostatné priame dane</w:t>
            </w:r>
          </w:p>
        </w:tc>
        <w:tc>
          <w:tcPr>
            <w:tcW w:w="2183" w:type="dxa"/>
          </w:tcPr>
          <w:p w14:paraId="57AC325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465,43</w:t>
            </w:r>
          </w:p>
        </w:tc>
        <w:tc>
          <w:tcPr>
            <w:tcW w:w="2183" w:type="dxa"/>
          </w:tcPr>
          <w:p w14:paraId="1F6E80B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822,57</w:t>
            </w:r>
          </w:p>
        </w:tc>
      </w:tr>
      <w:tr w14:paraId="1B046A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</w:tcPr>
          <w:p w14:paraId="52693715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Transfery a ostatné zúčtovanie so subjektami verejnej správy</w:t>
            </w:r>
          </w:p>
        </w:tc>
        <w:tc>
          <w:tcPr>
            <w:tcW w:w="2183" w:type="dxa"/>
          </w:tcPr>
          <w:p w14:paraId="710461BE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73010A0E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4A2FD079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  <w:tc>
          <w:tcPr>
            <w:tcW w:w="2183" w:type="dxa"/>
          </w:tcPr>
          <w:p w14:paraId="5C326687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49C1576B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64F54BAA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</w:tr>
    </w:tbl>
    <w:p w14:paraId="12A6B5F9">
      <w:pPr>
        <w:ind w:left="709"/>
        <w:rPr>
          <w:rFonts w:ascii="Arial Narrow" w:hAnsi="Arial Narrow" w:cs="Arial"/>
          <w:sz w:val="20"/>
          <w:szCs w:val="20"/>
        </w:rPr>
      </w:pPr>
    </w:p>
    <w:p w14:paraId="4F9450C7">
      <w:pPr>
        <w:ind w:left="709"/>
        <w:rPr>
          <w:rFonts w:ascii="Arial Narrow" w:hAnsi="Arial Narrow" w:cs="Arial"/>
          <w:sz w:val="20"/>
          <w:szCs w:val="20"/>
        </w:rPr>
      </w:pPr>
    </w:p>
    <w:p w14:paraId="158A07CD">
      <w:pPr>
        <w:ind w:left="709"/>
        <w:rPr>
          <w:rFonts w:ascii="Arial Narrow" w:hAnsi="Arial Narrow" w:cs="Arial"/>
          <w:b/>
          <w:bCs/>
          <w:sz w:val="20"/>
          <w:szCs w:val="20"/>
        </w:rPr>
      </w:pPr>
      <w:r>
        <w:rPr>
          <w:rFonts w:ascii="Arial Narrow" w:hAnsi="Arial Narrow" w:cs="Arial"/>
          <w:b/>
          <w:bCs/>
          <w:sz w:val="20"/>
          <w:szCs w:val="20"/>
        </w:rPr>
        <w:t xml:space="preserve">Dlhodobé záväzky </w:t>
      </w:r>
    </w:p>
    <w:p w14:paraId="40CD6557">
      <w:pPr>
        <w:ind w:left="709"/>
        <w:rPr>
          <w:rFonts w:ascii="Arial Narrow" w:hAnsi="Arial Narrow" w:cs="Arial"/>
          <w:sz w:val="20"/>
          <w:szCs w:val="20"/>
        </w:rPr>
      </w:pPr>
    </w:p>
    <w:tbl>
      <w:tblPr>
        <w:tblStyle w:val="7"/>
        <w:tblW w:w="0" w:type="auto"/>
        <w:tblInd w:w="7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2183"/>
        <w:gridCol w:w="2183"/>
      </w:tblGrid>
      <w:tr w14:paraId="3BDEE4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4" w:type="dxa"/>
          </w:tcPr>
          <w:p w14:paraId="3BA28B0F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Ostatné dlhodobé záväzky </w:t>
            </w:r>
          </w:p>
        </w:tc>
        <w:tc>
          <w:tcPr>
            <w:tcW w:w="2183" w:type="dxa"/>
          </w:tcPr>
          <w:p w14:paraId="0CBB9E8D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112,50</w:t>
            </w:r>
          </w:p>
        </w:tc>
        <w:tc>
          <w:tcPr>
            <w:tcW w:w="2183" w:type="dxa"/>
          </w:tcPr>
          <w:p w14:paraId="3A6086C0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515,00</w:t>
            </w:r>
          </w:p>
        </w:tc>
      </w:tr>
      <w:tr w14:paraId="075DC0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4" w:type="dxa"/>
          </w:tcPr>
          <w:p w14:paraId="18B7E2B9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Záväzky zo sociálneho fondu</w:t>
            </w:r>
          </w:p>
        </w:tc>
        <w:tc>
          <w:tcPr>
            <w:tcW w:w="2183" w:type="dxa"/>
          </w:tcPr>
          <w:p w14:paraId="3743CC23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50C05722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457,21</w:t>
            </w:r>
          </w:p>
        </w:tc>
        <w:tc>
          <w:tcPr>
            <w:tcW w:w="2183" w:type="dxa"/>
          </w:tcPr>
          <w:p w14:paraId="1407024A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  <w:p w14:paraId="4B1661B6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2 424,79</w:t>
            </w:r>
          </w:p>
        </w:tc>
      </w:tr>
    </w:tbl>
    <w:p w14:paraId="2B02CE35">
      <w:pPr>
        <w:ind w:left="709"/>
        <w:rPr>
          <w:rFonts w:ascii="Arial Narrow" w:hAnsi="Arial Narrow" w:cs="Arial"/>
          <w:sz w:val="20"/>
          <w:szCs w:val="20"/>
        </w:rPr>
      </w:pPr>
    </w:p>
    <w:p w14:paraId="2FB3C95D">
      <w:pPr>
        <w:rPr>
          <w:rFonts w:ascii="Arial Narrow" w:hAnsi="Arial Narrow" w:cs="Arial"/>
          <w:sz w:val="20"/>
          <w:szCs w:val="20"/>
        </w:rPr>
      </w:pPr>
    </w:p>
    <w:p w14:paraId="2A3B182C">
      <w:pPr>
        <w:pStyle w:val="2"/>
        <w:rPr>
          <w:rFonts w:ascii="Arial Narrow" w:hAnsi="Arial Narrow"/>
          <w:b w:val="0"/>
          <w:bCs w:val="0"/>
          <w:sz w:val="22"/>
          <w:szCs w:val="22"/>
        </w:rPr>
      </w:pPr>
      <w:bookmarkStart w:id="27" w:name="_Toc74047054"/>
      <w:r>
        <w:rPr>
          <w:rFonts w:ascii="Arial Narrow" w:hAnsi="Arial Narrow"/>
          <w:sz w:val="22"/>
          <w:szCs w:val="22"/>
        </w:rPr>
        <w:t>9. Hospodársky výsledok  za rok 202</w:t>
      </w:r>
      <w:r>
        <w:rPr>
          <w:rFonts w:ascii="Arial Narrow" w:hAnsi="Arial Narrow"/>
          <w:sz w:val="22"/>
          <w:szCs w:val="22"/>
          <w:lang w:val="sk-SK"/>
        </w:rPr>
        <w:t>3</w:t>
      </w:r>
      <w:r>
        <w:rPr>
          <w:rFonts w:ascii="Arial Narrow" w:hAnsi="Arial Narrow"/>
          <w:sz w:val="22"/>
          <w:szCs w:val="22"/>
        </w:rPr>
        <w:t xml:space="preserve"> – Vývoj nákladov a výnosov</w:t>
      </w:r>
      <w:bookmarkEnd w:id="27"/>
    </w:p>
    <w:p w14:paraId="1C8D972F">
      <w:pPr>
        <w:spacing w:after="0"/>
        <w:ind w:right="500"/>
        <w:jc w:val="both"/>
        <w:rPr>
          <w:rFonts w:ascii="Arial Narrow" w:hAnsi="Arial Narrow"/>
          <w:b/>
          <w:bCs/>
          <w:color w:val="C00000"/>
          <w:sz w:val="24"/>
          <w:szCs w:val="24"/>
        </w:rPr>
      </w:pPr>
    </w:p>
    <w:p w14:paraId="449FF640">
      <w:pPr>
        <w:spacing w:after="0"/>
        <w:ind w:right="500"/>
        <w:jc w:val="both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472580A2">
      <w:pPr>
        <w:spacing w:after="0" w:line="240" w:lineRule="auto"/>
        <w:rPr>
          <w:b/>
          <w:sz w:val="24"/>
          <w:szCs w:val="24"/>
        </w:rPr>
      </w:pPr>
      <w:r>
        <w:rPr>
          <w:b/>
          <w:sz w:val="20"/>
          <w:szCs w:val="20"/>
        </w:rPr>
        <w:t>Výnosy - popis a výška významných položiek výnosov</w:t>
      </w:r>
    </w:p>
    <w:p w14:paraId="461C00B7">
      <w:pPr>
        <w:jc w:val="both"/>
        <w:rPr>
          <w:rFonts w:ascii="Arial Narrow" w:hAnsi="Arial Narrow"/>
          <w:b/>
          <w:sz w:val="20"/>
          <w:szCs w:val="20"/>
        </w:rPr>
      </w:pPr>
    </w:p>
    <w:tbl>
      <w:tblPr>
        <w:tblStyle w:val="7"/>
        <w:tblW w:w="893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1417"/>
        <w:gridCol w:w="1417"/>
      </w:tblGrid>
      <w:tr w14:paraId="2BCB5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07" w:hRule="atLeast"/>
        </w:trPr>
        <w:tc>
          <w:tcPr>
            <w:tcW w:w="6096" w:type="dxa"/>
            <w:shd w:val="clear" w:color="auto" w:fill="E7E6E6"/>
          </w:tcPr>
          <w:p w14:paraId="2C77FBCE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1A13CC37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Suma                                                 k 31.12.2023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694803CB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Suma </w:t>
            </w:r>
          </w:p>
          <w:p w14:paraId="4CD634B4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k 31.12.2024</w:t>
            </w:r>
          </w:p>
        </w:tc>
      </w:tr>
      <w:tr w14:paraId="0C658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665869A0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tržby za vlastné výkony  a tovar 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276B755F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429,78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0E845A38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713,72</w:t>
            </w:r>
          </w:p>
        </w:tc>
      </w:tr>
      <w:tr w14:paraId="63037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1022E65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602 - Tržby z predaja služieb</w:t>
            </w:r>
          </w:p>
          <w:p w14:paraId="2A0FDFB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 Nájom kultúrnej sály a kopírovacie služby</w:t>
            </w:r>
          </w:p>
          <w:p w14:paraId="25E0A85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604 -  Tržby za tovar</w:t>
            </w:r>
          </w:p>
        </w:tc>
        <w:tc>
          <w:tcPr>
            <w:tcW w:w="1417" w:type="dxa"/>
            <w:vAlign w:val="bottom"/>
          </w:tcPr>
          <w:p w14:paraId="5F5C336E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177,00</w:t>
            </w:r>
          </w:p>
          <w:p w14:paraId="4FE0A20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252,78</w:t>
            </w:r>
          </w:p>
        </w:tc>
        <w:tc>
          <w:tcPr>
            <w:tcW w:w="1417" w:type="dxa"/>
            <w:vAlign w:val="bottom"/>
          </w:tcPr>
          <w:p w14:paraId="0B9D1B9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128,10</w:t>
            </w:r>
          </w:p>
          <w:p w14:paraId="5C50898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585,62</w:t>
            </w:r>
          </w:p>
        </w:tc>
      </w:tr>
      <w:tr w14:paraId="20955E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68FBD744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zmena stavu vnútro-organizačných zásob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36220EAA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13B299E2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14:paraId="67962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5FC1BD38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aktivácia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0FA85C08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74986985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14:paraId="754B5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344F9E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624 - Aktivácia DHM</w:t>
            </w:r>
          </w:p>
        </w:tc>
        <w:tc>
          <w:tcPr>
            <w:tcW w:w="1417" w:type="dxa"/>
            <w:vAlign w:val="bottom"/>
          </w:tcPr>
          <w:p w14:paraId="51EF3ED5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17" w:type="dxa"/>
            <w:vAlign w:val="bottom"/>
          </w:tcPr>
          <w:p w14:paraId="0D4804C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14:paraId="16288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1901B983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0BF39C36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4B2C8ED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33C89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2F3A6A13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daňové a colné výnosy a výnosy z poplatkov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607DD65C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169 295,08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15F93FF9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178 877,70</w:t>
            </w:r>
          </w:p>
        </w:tc>
      </w:tr>
      <w:tr w14:paraId="12DACD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49B0FA4C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632 - Daňové výnosy samosprávy</w:t>
            </w:r>
          </w:p>
        </w:tc>
        <w:tc>
          <w:tcPr>
            <w:tcW w:w="1417" w:type="dxa"/>
            <w:vAlign w:val="bottom"/>
          </w:tcPr>
          <w:p w14:paraId="72613EE4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159 731,22</w:t>
            </w:r>
          </w:p>
        </w:tc>
        <w:tc>
          <w:tcPr>
            <w:tcW w:w="1417" w:type="dxa"/>
            <w:vAlign w:val="bottom"/>
          </w:tcPr>
          <w:p w14:paraId="0E7FF6EC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166 385,29</w:t>
            </w:r>
          </w:p>
        </w:tc>
      </w:tr>
      <w:tr w14:paraId="33801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25501A1A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633 - Výnosy z poplatkov </w:t>
            </w:r>
          </w:p>
          <w:p w14:paraId="392BCC7E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Daň za ubytovanie , Sprav. poplatky ,Triedený komunálny odpad</w:t>
            </w:r>
          </w:p>
        </w:tc>
        <w:tc>
          <w:tcPr>
            <w:tcW w:w="1417" w:type="dxa"/>
            <w:vAlign w:val="bottom"/>
          </w:tcPr>
          <w:p w14:paraId="2E219AAE">
            <w:pPr>
              <w:tabs>
                <w:tab w:val="left" w:pos="825"/>
                <w:tab w:val="right" w:pos="3970"/>
              </w:tabs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9 563,86</w:t>
            </w:r>
          </w:p>
        </w:tc>
        <w:tc>
          <w:tcPr>
            <w:tcW w:w="1417" w:type="dxa"/>
            <w:vAlign w:val="bottom"/>
          </w:tcPr>
          <w:p w14:paraId="6BD20630">
            <w:pPr>
              <w:tabs>
                <w:tab w:val="left" w:pos="825"/>
                <w:tab w:val="right" w:pos="3970"/>
              </w:tabs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12 492,41</w:t>
            </w:r>
          </w:p>
        </w:tc>
      </w:tr>
      <w:tr w14:paraId="4A8C2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E7E6E6"/>
          </w:tcPr>
          <w:p w14:paraId="7A1D6D33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Ostatné výnosy z prevádzkovej činnosti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7D847975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9 819,57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6410CDC5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13 202,79</w:t>
            </w:r>
          </w:p>
        </w:tc>
      </w:tr>
      <w:tr w14:paraId="3BC42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17F9D5F1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641- Tržby z predaja dlhodobého nehmotného majetku a dlhodobého hmotného majetku</w:t>
            </w:r>
          </w:p>
        </w:tc>
        <w:tc>
          <w:tcPr>
            <w:tcW w:w="1417" w:type="dxa"/>
            <w:vAlign w:val="bottom"/>
          </w:tcPr>
          <w:p w14:paraId="22F60950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5 660,00</w:t>
            </w:r>
          </w:p>
        </w:tc>
        <w:tc>
          <w:tcPr>
            <w:tcW w:w="1417" w:type="dxa"/>
            <w:vAlign w:val="bottom"/>
          </w:tcPr>
          <w:p w14:paraId="77BE1FB7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4 463,85</w:t>
            </w:r>
          </w:p>
        </w:tc>
      </w:tr>
      <w:tr w14:paraId="7AFB07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78E466E3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642- Tržby z predaja materiálu</w:t>
            </w:r>
          </w:p>
        </w:tc>
        <w:tc>
          <w:tcPr>
            <w:tcW w:w="1417" w:type="dxa"/>
            <w:vAlign w:val="bottom"/>
          </w:tcPr>
          <w:p w14:paraId="23D175D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6E73174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613452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04270E52">
            <w:pPr>
              <w:numPr>
                <w:ilvl w:val="0"/>
                <w:numId w:val="8"/>
              </w:num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Ostatné pokuty, penále a úroky z omeškania</w:t>
            </w:r>
          </w:p>
        </w:tc>
        <w:tc>
          <w:tcPr>
            <w:tcW w:w="1417" w:type="dxa"/>
            <w:vAlign w:val="bottom"/>
          </w:tcPr>
          <w:p w14:paraId="2CAA6DD4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0,00</w:t>
            </w:r>
          </w:p>
        </w:tc>
        <w:tc>
          <w:tcPr>
            <w:tcW w:w="1417" w:type="dxa"/>
            <w:vAlign w:val="bottom"/>
          </w:tcPr>
          <w:p w14:paraId="4296821D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1 516,00</w:t>
            </w:r>
            <w:bookmarkStart w:id="36" w:name="_GoBack"/>
            <w:bookmarkEnd w:id="36"/>
          </w:p>
        </w:tc>
      </w:tr>
      <w:tr w14:paraId="204C5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6713D1D3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648- Ostatné výnosy z prevádzkovej činnosti</w:t>
            </w:r>
          </w:p>
        </w:tc>
        <w:tc>
          <w:tcPr>
            <w:tcW w:w="1417" w:type="dxa"/>
            <w:vAlign w:val="bottom"/>
          </w:tcPr>
          <w:p w14:paraId="799937C7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4 159,57</w:t>
            </w:r>
          </w:p>
        </w:tc>
        <w:tc>
          <w:tcPr>
            <w:tcW w:w="1417" w:type="dxa"/>
            <w:vAlign w:val="bottom"/>
          </w:tcPr>
          <w:p w14:paraId="21D2AC9C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7 222,94</w:t>
            </w:r>
          </w:p>
        </w:tc>
      </w:tr>
      <w:tr w14:paraId="70DEF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E7E6E6"/>
          </w:tcPr>
          <w:p w14:paraId="02B8EBC0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Zúčtovanie rezerv a opravných 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0D3166C7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600,00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4C1D0B65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1 787,75</w:t>
            </w:r>
          </w:p>
        </w:tc>
      </w:tr>
      <w:tr w14:paraId="1AA88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6F52C040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653- Zúčtovanie ostatných rezerv z prevádzkovej činnosti</w:t>
            </w:r>
          </w:p>
        </w:tc>
        <w:tc>
          <w:tcPr>
            <w:tcW w:w="1417" w:type="dxa"/>
            <w:vAlign w:val="bottom"/>
          </w:tcPr>
          <w:p w14:paraId="624D8E2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417" w:type="dxa"/>
            <w:vAlign w:val="bottom"/>
          </w:tcPr>
          <w:p w14:paraId="50A23C55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800,00</w:t>
            </w:r>
          </w:p>
        </w:tc>
      </w:tr>
      <w:tr w14:paraId="6B6B9B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4CC9B30E">
            <w:pPr>
              <w:numPr>
                <w:ilvl w:val="0"/>
                <w:numId w:val="9"/>
              </w:num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Zúčtovanie ostatných opravných položiek z prevádzkovej činnosti</w:t>
            </w:r>
          </w:p>
        </w:tc>
        <w:tc>
          <w:tcPr>
            <w:tcW w:w="1417" w:type="dxa"/>
            <w:vAlign w:val="bottom"/>
          </w:tcPr>
          <w:p w14:paraId="42918AD1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17" w:type="dxa"/>
            <w:vAlign w:val="bottom"/>
          </w:tcPr>
          <w:p w14:paraId="6591F763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987,75</w:t>
            </w:r>
          </w:p>
        </w:tc>
      </w:tr>
      <w:tr w14:paraId="038138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313CCE4C">
            <w:pPr>
              <w:numPr>
                <w:ilvl w:val="0"/>
                <w:numId w:val="6"/>
              </w:numPr>
              <w:spacing w:line="240" w:lineRule="auto"/>
              <w:ind w:left="185" w:hanging="185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Finančné výnosy</w:t>
            </w:r>
          </w:p>
        </w:tc>
        <w:tc>
          <w:tcPr>
            <w:tcW w:w="1417" w:type="dxa"/>
            <w:vAlign w:val="bottom"/>
          </w:tcPr>
          <w:p w14:paraId="43D6C163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8,45</w:t>
            </w:r>
          </w:p>
        </w:tc>
        <w:tc>
          <w:tcPr>
            <w:tcW w:w="1417" w:type="dxa"/>
            <w:vAlign w:val="bottom"/>
          </w:tcPr>
          <w:p w14:paraId="28ED36B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14:paraId="7776C1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9" w:hRule="atLeast"/>
        </w:trPr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4A3B4CC7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mimoriadne výnosy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48128DA5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68D8327D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14:paraId="7D028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FFFFF"/>
          </w:tcPr>
          <w:p w14:paraId="2D7B2860">
            <w:pPr>
              <w:spacing w:line="240" w:lineRule="auto"/>
              <w:ind w:left="185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678-Ostatné mimoriadne výnosy</w:t>
            </w:r>
          </w:p>
        </w:tc>
        <w:tc>
          <w:tcPr>
            <w:tcW w:w="1417" w:type="dxa"/>
            <w:shd w:val="clear" w:color="auto" w:fill="FFFFFF"/>
            <w:vAlign w:val="bottom"/>
          </w:tcPr>
          <w:p w14:paraId="39F4E733">
            <w:pPr>
              <w:spacing w:line="240" w:lineRule="auto"/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FFFFFF"/>
            <w:vAlign w:val="bottom"/>
          </w:tcPr>
          <w:p w14:paraId="36B6D1E3">
            <w:pPr>
              <w:spacing w:line="240" w:lineRule="auto"/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0,00</w:t>
            </w:r>
          </w:p>
        </w:tc>
      </w:tr>
      <w:tr w14:paraId="37ABA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043BAF36">
            <w:pPr>
              <w:numPr>
                <w:ilvl w:val="0"/>
                <w:numId w:val="6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23C07997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31 880,49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421DB3FF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30 843,77</w:t>
            </w:r>
          </w:p>
        </w:tc>
      </w:tr>
      <w:tr w14:paraId="5BFD86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2FB07A44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691 - Výnosy z bežných transferov z rozpočtu obce, VÚC</w:t>
            </w:r>
          </w:p>
          <w:p w14:paraId="14923DFC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bežný transfer na školský klub</w:t>
            </w:r>
          </w:p>
          <w:p w14:paraId="728F90F0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bežný transfer na školskú jedáleň </w:t>
            </w:r>
          </w:p>
        </w:tc>
        <w:tc>
          <w:tcPr>
            <w:tcW w:w="1417" w:type="dxa"/>
            <w:vAlign w:val="bottom"/>
          </w:tcPr>
          <w:p w14:paraId="179FD84F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21903626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18ECB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1093616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692 - Výnosy z kapitálových transferov z rozpočtu obce, VÚC</w:t>
            </w:r>
          </w:p>
          <w:p w14:paraId="6E063C09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  <w:vAlign w:val="bottom"/>
          </w:tcPr>
          <w:p w14:paraId="11A0EAD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0164602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5E548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1C91AF55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693 - Výnosy samosprávy z bežných transferov zo ŠR</w:t>
            </w:r>
          </w:p>
          <w:p w14:paraId="68EE2912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bežný transfer </w:t>
            </w:r>
          </w:p>
        </w:tc>
        <w:tc>
          <w:tcPr>
            <w:tcW w:w="1417" w:type="dxa"/>
            <w:vAlign w:val="bottom"/>
          </w:tcPr>
          <w:p w14:paraId="7F898C92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14 635,81</w:t>
            </w:r>
          </w:p>
        </w:tc>
        <w:tc>
          <w:tcPr>
            <w:tcW w:w="1417" w:type="dxa"/>
            <w:vAlign w:val="bottom"/>
          </w:tcPr>
          <w:p w14:paraId="430BF15A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7 830,79</w:t>
            </w:r>
          </w:p>
        </w:tc>
      </w:tr>
      <w:tr w14:paraId="090CD2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5202D18B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694 - Výnosy samosprávy z kapitálových transferov zo ŠR</w:t>
            </w:r>
          </w:p>
          <w:p w14:paraId="55E9CB4F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zúčtovanie kapitálového transferu zo ŠR</w:t>
            </w:r>
          </w:p>
        </w:tc>
        <w:tc>
          <w:tcPr>
            <w:tcW w:w="1417" w:type="dxa"/>
            <w:vAlign w:val="bottom"/>
          </w:tcPr>
          <w:p w14:paraId="3D2FA28B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16 744,68</w:t>
            </w:r>
          </w:p>
        </w:tc>
        <w:tc>
          <w:tcPr>
            <w:tcW w:w="1417" w:type="dxa"/>
            <w:vAlign w:val="bottom"/>
          </w:tcPr>
          <w:p w14:paraId="2DF96854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23 012,98</w:t>
            </w:r>
          </w:p>
        </w:tc>
      </w:tr>
      <w:tr w14:paraId="315175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15" w:hRule="atLeast"/>
        </w:trPr>
        <w:tc>
          <w:tcPr>
            <w:tcW w:w="6096" w:type="dxa"/>
            <w:tcBorders>
              <w:left w:val="single" w:color="auto" w:sz="4" w:space="0"/>
            </w:tcBorders>
          </w:tcPr>
          <w:p w14:paraId="74C1EAB0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695 - Výnosy samosprávy z bežných transferov od EÚ</w:t>
            </w:r>
          </w:p>
        </w:tc>
        <w:tc>
          <w:tcPr>
            <w:tcW w:w="1417" w:type="dxa"/>
            <w:vAlign w:val="bottom"/>
          </w:tcPr>
          <w:p w14:paraId="63FF9FD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5C1959B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442CB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4C70FCF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696 - Výnosy samosprávy z kapitálových transferov od EÚ</w:t>
            </w:r>
          </w:p>
          <w:p w14:paraId="6488D898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zúčtovanie kapitálového transferu od EÚ</w:t>
            </w:r>
          </w:p>
        </w:tc>
        <w:tc>
          <w:tcPr>
            <w:tcW w:w="1417" w:type="dxa"/>
            <w:vAlign w:val="bottom"/>
          </w:tcPr>
          <w:p w14:paraId="27E29D00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2DD87DE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0174F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43EDACCD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697 - Výnosy samosprávy z bežných transferov od ostatných subjektov mimo verejnej správy</w:t>
            </w:r>
          </w:p>
        </w:tc>
        <w:tc>
          <w:tcPr>
            <w:tcW w:w="1417" w:type="dxa"/>
            <w:vAlign w:val="bottom"/>
          </w:tcPr>
          <w:p w14:paraId="2E3DCA84">
            <w:pPr>
              <w:spacing w:line="240" w:lineRule="auto"/>
              <w:ind w:left="810" w:hanging="810" w:hangingChars="45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500,00</w:t>
            </w:r>
          </w:p>
        </w:tc>
        <w:tc>
          <w:tcPr>
            <w:tcW w:w="1417" w:type="dxa"/>
            <w:vAlign w:val="bottom"/>
          </w:tcPr>
          <w:p w14:paraId="694C0269">
            <w:pPr>
              <w:spacing w:line="240" w:lineRule="auto"/>
              <w:ind w:left="810" w:hanging="810" w:hangingChars="45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0,00</w:t>
            </w:r>
          </w:p>
        </w:tc>
      </w:tr>
      <w:tr w14:paraId="11CA1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A343AC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698 - Výnosy samosprávy z kapitálových transferov od ostatných subjektov mimo verejnej správy</w:t>
            </w:r>
          </w:p>
          <w:p w14:paraId="6CA5A807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zúčtovanie kapitálového transferu od ostatných subjektov mimo verejnej správy</w:t>
            </w:r>
          </w:p>
        </w:tc>
        <w:tc>
          <w:tcPr>
            <w:tcW w:w="1417" w:type="dxa"/>
            <w:vAlign w:val="bottom"/>
          </w:tcPr>
          <w:p w14:paraId="7074959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2F114D9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37AA6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5FE5CCD4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699 - Výnosy samosprávy  z odvodu rozpočtových príjmov</w:t>
            </w:r>
          </w:p>
          <w:p w14:paraId="2523C4EE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zinkasované príjmy RO</w:t>
            </w:r>
          </w:p>
        </w:tc>
        <w:tc>
          <w:tcPr>
            <w:tcW w:w="1417" w:type="dxa"/>
            <w:vAlign w:val="bottom"/>
          </w:tcPr>
          <w:p w14:paraId="4068E15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236C357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BFFA17F">
      <w:pPr>
        <w:spacing w:line="240" w:lineRule="auto"/>
        <w:ind w:left="284"/>
        <w:rPr>
          <w:rFonts w:ascii="Arial Narrow" w:hAnsi="Arial Narrow"/>
          <w:b/>
          <w:sz w:val="18"/>
          <w:szCs w:val="18"/>
        </w:rPr>
      </w:pPr>
    </w:p>
    <w:p w14:paraId="686649CF">
      <w:pPr>
        <w:spacing w:line="240" w:lineRule="auto"/>
        <w:ind w:left="284"/>
        <w:rPr>
          <w:rFonts w:ascii="Arial Narrow" w:hAnsi="Arial Narrow"/>
          <w:b/>
          <w:sz w:val="18"/>
          <w:szCs w:val="18"/>
        </w:rPr>
      </w:pPr>
    </w:p>
    <w:p w14:paraId="4BB3F9D6">
      <w:pPr>
        <w:spacing w:line="240" w:lineRule="auto"/>
        <w:ind w:left="284"/>
        <w:rPr>
          <w:rFonts w:ascii="Arial Narrow" w:hAnsi="Arial Narrow"/>
          <w:b/>
          <w:sz w:val="18"/>
          <w:szCs w:val="18"/>
        </w:rPr>
      </w:pPr>
    </w:p>
    <w:p w14:paraId="78377B49">
      <w:pPr>
        <w:spacing w:after="0" w:line="240" w:lineRule="auto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Náklady - popis a výška významných položiek nákladov</w:t>
      </w:r>
    </w:p>
    <w:p w14:paraId="3D6118CA">
      <w:pPr>
        <w:spacing w:after="0" w:line="240" w:lineRule="auto"/>
        <w:ind w:left="284"/>
        <w:rPr>
          <w:rFonts w:ascii="Arial Narrow" w:hAnsi="Arial Narrow"/>
          <w:b/>
          <w:sz w:val="18"/>
          <w:szCs w:val="18"/>
        </w:rPr>
      </w:pPr>
    </w:p>
    <w:tbl>
      <w:tblPr>
        <w:tblStyle w:val="7"/>
        <w:tblW w:w="893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1417"/>
        <w:gridCol w:w="1417"/>
      </w:tblGrid>
      <w:tr w14:paraId="758502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bottom w:val="single" w:color="auto" w:sz="4" w:space="0"/>
            </w:tcBorders>
          </w:tcPr>
          <w:p w14:paraId="15D467CC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color="auto" w:sz="4" w:space="0"/>
            </w:tcBorders>
          </w:tcPr>
          <w:p w14:paraId="7EE12A50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Suma                                                 k 31.12.2023</w:t>
            </w:r>
          </w:p>
        </w:tc>
        <w:tc>
          <w:tcPr>
            <w:tcW w:w="1417" w:type="dxa"/>
            <w:tcBorders>
              <w:bottom w:val="single" w:color="auto" w:sz="4" w:space="0"/>
            </w:tcBorders>
          </w:tcPr>
          <w:p w14:paraId="629CDD70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Suma k 31.12.2024</w:t>
            </w:r>
          </w:p>
        </w:tc>
      </w:tr>
      <w:tr w14:paraId="3375A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4E103887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Spotrebované nákupy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1E3E6C9B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33 569,14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2EE7B8C8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31 204,43</w:t>
            </w:r>
          </w:p>
        </w:tc>
      </w:tr>
      <w:tr w14:paraId="380650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274B694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501 - Spotreba materiálu 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6260310B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20 796,28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790D0D1D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27 694,04</w:t>
            </w:r>
          </w:p>
        </w:tc>
      </w:tr>
      <w:tr w14:paraId="22258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5271A42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502 - Spotreba energie</w:t>
            </w:r>
          </w:p>
          <w:p w14:paraId="0676BAF3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elektrická energia, voda</w:t>
            </w:r>
          </w:p>
          <w:p w14:paraId="17C34212">
            <w:pPr>
              <w:spacing w:after="0" w:line="240" w:lineRule="auto"/>
              <w:ind w:left="318"/>
              <w:rPr>
                <w:rFonts w:ascii="Arial Narrow" w:hAnsi="Arial Narrow"/>
                <w:sz w:val="18"/>
                <w:szCs w:val="18"/>
              </w:rPr>
            </w:pPr>
          </w:p>
          <w:p w14:paraId="1BE00E6B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504 – Predaný tovar – nádoby na odpad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0D317BD9">
            <w:pPr>
              <w:wordWrap w:val="0"/>
              <w:spacing w:line="240" w:lineRule="auto"/>
              <w:jc w:val="both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12 520,14</w:t>
            </w:r>
          </w:p>
          <w:p w14:paraId="1A38A5E2">
            <w:pPr>
              <w:wordWrap w:val="0"/>
              <w:spacing w:line="240" w:lineRule="auto"/>
              <w:jc w:val="both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252,72</w:t>
            </w:r>
          </w:p>
          <w:p w14:paraId="7FA6427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0B434646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2 933,42</w:t>
            </w:r>
          </w:p>
          <w:p w14:paraId="79728DEB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576,97</w:t>
            </w:r>
          </w:p>
        </w:tc>
      </w:tr>
      <w:tr w14:paraId="28759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6569750B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Služby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63CE0A65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95 918,28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2DB57657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53 675,25</w:t>
            </w:r>
          </w:p>
        </w:tc>
      </w:tr>
      <w:tr w14:paraId="5D273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291CAED6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511 - Opravy a udržiavanie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7B99E8D9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46 965,25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7C5C6543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4 582,57</w:t>
            </w:r>
          </w:p>
        </w:tc>
      </w:tr>
      <w:tr w14:paraId="088E0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403196F6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512 - Cestovné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386DD83A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3 210,02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646B423C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2 756,74</w:t>
            </w:r>
          </w:p>
        </w:tc>
      </w:tr>
      <w:tr w14:paraId="303337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0F6D37C7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513 - Náklady na reprezentáciu 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10D61AA9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1 373,33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4248398E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1 367,43</w:t>
            </w:r>
          </w:p>
        </w:tc>
      </w:tr>
      <w:tr w14:paraId="22143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4627185D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518 - Ostatné služby 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337C9EA9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44 369,68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7167A7A4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44 968,51</w:t>
            </w:r>
          </w:p>
        </w:tc>
      </w:tr>
      <w:tr w14:paraId="65F70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37F25835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Osobné náklady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201BC439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69 342,29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3AFD7B2E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67 861,53</w:t>
            </w:r>
          </w:p>
        </w:tc>
      </w:tr>
      <w:tr w14:paraId="65EF3A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07089F4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521 - Mzdové náklady 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0ABF31BE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49 301,22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4BD7958C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47 871,05</w:t>
            </w:r>
          </w:p>
        </w:tc>
      </w:tr>
      <w:tr w14:paraId="1AC52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31359D5B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524 - Zákonné sociálne náklady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5158B79B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16 751,95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208C8FDD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16 474,31</w:t>
            </w:r>
          </w:p>
        </w:tc>
      </w:tr>
      <w:tr w14:paraId="5456A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7FD3EBAD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525 Ostatné sociálne poistenie</w:t>
            </w:r>
          </w:p>
          <w:p w14:paraId="2549EDB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527 - Zákonné sociálne náklady </w:t>
            </w:r>
          </w:p>
          <w:p w14:paraId="24003147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528-Ostatné sociálne náklady</w:t>
            </w:r>
          </w:p>
          <w:p w14:paraId="5BA7F6BE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6B5F97B3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524,80</w:t>
            </w:r>
          </w:p>
          <w:p w14:paraId="79202B45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2 764,32</w:t>
            </w:r>
          </w:p>
          <w:p w14:paraId="12FDFD96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71C72355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572,50</w:t>
            </w:r>
          </w:p>
          <w:p w14:paraId="687D843D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2 943,67</w:t>
            </w:r>
          </w:p>
          <w:p w14:paraId="673455C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14:paraId="520E6F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33BC3D08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Dane a poplatky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33C7AC03">
            <w:pPr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159,34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2F69BE0D">
            <w:pPr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122,40</w:t>
            </w:r>
          </w:p>
        </w:tc>
      </w:tr>
      <w:tr w14:paraId="5F923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36AD055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538 – Ostatné dane a poplatky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04C44A1D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159,34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19EC212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122,40</w:t>
            </w:r>
          </w:p>
        </w:tc>
      </w:tr>
      <w:tr w14:paraId="26BA7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5F7A1DC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Ostatné náklady na prevádzkovú činnosť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74CC1A8F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1 744,86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035B5CA7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3 722,68</w:t>
            </w:r>
          </w:p>
        </w:tc>
      </w:tr>
      <w:tr w14:paraId="448EA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</w:tcPr>
          <w:p w14:paraId="11935213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541 – Zostatková cena predaného dlhodobého nehmotného majetku a dlhodobého hmotného majetku</w:t>
            </w:r>
          </w:p>
          <w:p w14:paraId="38BF1647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546 – Odpis pohľadávky</w:t>
            </w:r>
          </w:p>
          <w:p w14:paraId="09DA0164">
            <w:pPr>
              <w:spacing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548 – Ostatné náklady na prevádzkovú činnosť , dobrovoľnícka činnosť, poistenie majetku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  <w:vAlign w:val="bottom"/>
          </w:tcPr>
          <w:p w14:paraId="3177DE3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3D6550B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184,83</w:t>
            </w:r>
          </w:p>
          <w:p w14:paraId="65F1AD6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  <w:p w14:paraId="575D6EC4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1 560,03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  <w:vAlign w:val="bottom"/>
          </w:tcPr>
          <w:p w14:paraId="7F1286A5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145,09</w:t>
            </w:r>
          </w:p>
          <w:p w14:paraId="75C96CD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385,73</w:t>
            </w:r>
          </w:p>
          <w:p w14:paraId="33329C0B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3 191,86</w:t>
            </w:r>
          </w:p>
        </w:tc>
      </w:tr>
      <w:tr w14:paraId="6A0D09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3C986930">
            <w:pPr>
              <w:spacing w:line="24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Odpisy, rezervy a opravné položky z prevádzkovej činnosti a finančnej činnosti a zúčtovanie časového rozlíšenia 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5BCFF21E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49 038,75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7F2BD014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55 180,33</w:t>
            </w:r>
          </w:p>
        </w:tc>
      </w:tr>
      <w:tr w14:paraId="3EE354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64D69FE5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551 – Odpisy dlhodobého nehmotného majetku a dlhodobého hmotného majetku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171BA4CA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46 748,44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375D8387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53 707,43</w:t>
            </w:r>
          </w:p>
        </w:tc>
      </w:tr>
      <w:tr w14:paraId="6A7B8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D7D7D7" w:themeFill="background1" w:themeFillShade="D8"/>
          </w:tcPr>
          <w:p w14:paraId="49B15512">
            <w:pPr>
              <w:spacing w:line="24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    Rezervy a opravné položky z prevádzkovej činnosti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D7D7D7" w:themeFill="background1" w:themeFillShade="D8"/>
            <w:vAlign w:val="bottom"/>
          </w:tcPr>
          <w:p w14:paraId="46659E10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2 290,31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D7D7D7" w:themeFill="background1" w:themeFillShade="D8"/>
            <w:vAlign w:val="bottom"/>
          </w:tcPr>
          <w:p w14:paraId="3B6D8EB5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1 472,90</w:t>
            </w:r>
          </w:p>
        </w:tc>
      </w:tr>
      <w:tr w14:paraId="46F9D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1DB513F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553 - Tvorba ostatných rezerv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1936BF40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800,00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7277F403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940,00</w:t>
            </w:r>
          </w:p>
        </w:tc>
      </w:tr>
      <w:tr w14:paraId="0AA478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7273A01C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558-Tvorba ostatných opravných položiek z prev. činnosti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0A9234FA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1 490,31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76FD4E06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532,90</w:t>
            </w:r>
          </w:p>
        </w:tc>
      </w:tr>
      <w:tr w14:paraId="7E6EF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555E5793">
            <w:pPr>
              <w:spacing w:after="0" w:line="240" w:lineRule="auto"/>
              <w:ind w:firstLine="180" w:firstLineChars="100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Rezervy a opravné položky z finančnej činnosti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5D7929E6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3D06AAEF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14:paraId="4BB185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5204C648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559- Tvorba opravných položiek z finančnej činnosti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3AAA846E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4DA3C3D6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14:paraId="1E4DB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0AD4DF8E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Finančné náklady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1D4E4742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583,74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7E2E67F9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1 476,10</w:t>
            </w:r>
          </w:p>
        </w:tc>
      </w:tr>
      <w:tr w14:paraId="463B06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0F7F441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568 - Ostatné finančné náklady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7654F40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583,74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03945761">
            <w:pPr>
              <w:wordWrap w:val="0"/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1 476,10</w:t>
            </w:r>
          </w:p>
        </w:tc>
      </w:tr>
      <w:tr w14:paraId="40A2A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14149447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Mimoriadne náklady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23876D4F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6EC6E8CC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06230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3501CE1C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572 - Škody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1E40EA5E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77E034E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6BCD9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19B62D1D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Náklady na transfery a náklady z odvodov príjmov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038ED923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6 618,32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575518F7">
            <w:pPr>
              <w:wordWrap w:val="0"/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5 600,00</w:t>
            </w:r>
          </w:p>
        </w:tc>
      </w:tr>
      <w:tr w14:paraId="1FB92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7B5DA13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584 - Náklady na transfery z rozpočtu obce, VÚC do RO, PO zriadených obcou alebo VÚC</w:t>
            </w:r>
          </w:p>
          <w:p w14:paraId="361A03F1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bežný transfer </w:t>
            </w:r>
          </w:p>
          <w:p w14:paraId="6459AE9E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zúčtovanie kapitálového transferu u zriaďovateľa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108F40E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3310F83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5F027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2A89968D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585 - Náklady na transfery z rozpočtu obce, VÚC ostatným subjektov verejnej správy</w:t>
            </w:r>
          </w:p>
          <w:p w14:paraId="1F6ED48D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bežný transfer xxx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1E919EE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4BF224F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100,00</w:t>
            </w:r>
          </w:p>
        </w:tc>
      </w:tr>
      <w:tr w14:paraId="2C7805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6FF0BEFC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586 - Náklady na transfery z rozpočtu obce, VÚC subjektov mimo verejnej správy</w:t>
            </w:r>
          </w:p>
          <w:p w14:paraId="3CF7B09E">
            <w:pPr>
              <w:numPr>
                <w:ilvl w:val="0"/>
                <w:numId w:val="7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bežný transfer 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7B8F2B36">
            <w:pPr>
              <w:spacing w:line="240" w:lineRule="auto"/>
              <w:ind w:firstLine="720" w:firstLineChars="400"/>
              <w:rPr>
                <w:rFonts w:ascii="Arial Narrow" w:hAnsi="Arial Narrow"/>
                <w:sz w:val="18"/>
                <w:szCs w:val="18"/>
              </w:rPr>
            </w:pPr>
          </w:p>
          <w:p w14:paraId="2B6CD9C4">
            <w:pPr>
              <w:spacing w:line="240" w:lineRule="auto"/>
              <w:ind w:firstLine="630" w:firstLineChars="35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6 618,32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7B2E37CE">
            <w:pPr>
              <w:spacing w:line="240" w:lineRule="auto"/>
              <w:ind w:firstLine="630" w:firstLineChars="35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5 500,00</w:t>
            </w:r>
          </w:p>
        </w:tc>
      </w:tr>
    </w:tbl>
    <w:p w14:paraId="0AE4F518">
      <w:pPr>
        <w:spacing w:after="0" w:line="240" w:lineRule="auto"/>
        <w:ind w:left="284"/>
        <w:rPr>
          <w:rFonts w:ascii="Arial Narrow" w:hAnsi="Arial Narrow"/>
          <w:b/>
          <w:sz w:val="18"/>
          <w:szCs w:val="18"/>
        </w:rPr>
      </w:pPr>
    </w:p>
    <w:p w14:paraId="600EEF2F">
      <w:pPr>
        <w:spacing w:after="0" w:line="240" w:lineRule="auto"/>
        <w:ind w:left="284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Náklady voči audítorovi alebo audítorskej spoločnosti </w:t>
      </w:r>
    </w:p>
    <w:p w14:paraId="2CFF0CEA">
      <w:pPr>
        <w:spacing w:after="0" w:line="240" w:lineRule="auto"/>
        <w:ind w:left="284"/>
        <w:rPr>
          <w:rFonts w:ascii="Arial Narrow" w:hAnsi="Arial Narrow"/>
          <w:b/>
          <w:sz w:val="20"/>
          <w:szCs w:val="20"/>
        </w:rPr>
      </w:pPr>
    </w:p>
    <w:tbl>
      <w:tblPr>
        <w:tblStyle w:val="7"/>
        <w:tblW w:w="9139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1626"/>
        <w:gridCol w:w="1417"/>
      </w:tblGrid>
      <w:tr w14:paraId="58CF0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193A680A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Osobitné náklady podľa zákona o účtovníctve § 18 ods</w:t>
            </w:r>
            <w:r>
              <w:rPr>
                <w:rFonts w:ascii="Arial Narrow" w:hAnsi="Arial Narrow"/>
                <w:b/>
                <w:sz w:val="18"/>
                <w:szCs w:val="18"/>
                <w:shd w:val="clear" w:color="auto" w:fill="D9D9D9"/>
              </w:rPr>
              <w:t>.</w:t>
            </w:r>
            <w:r>
              <w:rPr>
                <w:rFonts w:ascii="Arial Narrow" w:hAnsi="Arial Narrow"/>
                <w:b/>
                <w:sz w:val="18"/>
                <w:szCs w:val="18"/>
              </w:rPr>
              <w:t>6</w:t>
            </w:r>
          </w:p>
        </w:tc>
        <w:tc>
          <w:tcPr>
            <w:tcW w:w="1626" w:type="dxa"/>
            <w:tcBorders>
              <w:top w:val="single" w:color="auto" w:sz="4" w:space="0"/>
              <w:bottom w:val="single" w:color="auto" w:sz="4" w:space="0"/>
            </w:tcBorders>
          </w:tcPr>
          <w:p w14:paraId="0A76091D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</w:tcPr>
          <w:p w14:paraId="06F25980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37329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64E318B6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Náklady voči audítorovi alebo audítorskej spoločnosti v členení na náklady za:</w:t>
            </w:r>
          </w:p>
        </w:tc>
        <w:tc>
          <w:tcPr>
            <w:tcW w:w="1626" w:type="dxa"/>
            <w:tcBorders>
              <w:top w:val="single" w:color="auto" w:sz="4" w:space="0"/>
            </w:tcBorders>
            <w:vAlign w:val="bottom"/>
          </w:tcPr>
          <w:p w14:paraId="7226D92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52ACBA9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940,00</w:t>
            </w:r>
          </w:p>
        </w:tc>
      </w:tr>
      <w:tr w14:paraId="06AE4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1E3BCD50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overenie účtovnej závierky</w:t>
            </w:r>
          </w:p>
        </w:tc>
        <w:tc>
          <w:tcPr>
            <w:tcW w:w="1626" w:type="dxa"/>
            <w:tcBorders>
              <w:top w:val="single" w:color="auto" w:sz="4" w:space="0"/>
            </w:tcBorders>
            <w:vAlign w:val="bottom"/>
          </w:tcPr>
          <w:p w14:paraId="169ACA1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0CFA127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940,00</w:t>
            </w:r>
          </w:p>
        </w:tc>
      </w:tr>
      <w:tr w14:paraId="6DC039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306F6D18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poisťovacie, audítorské služby s výnimkou overenia účtovnej závierky</w:t>
            </w:r>
          </w:p>
        </w:tc>
        <w:tc>
          <w:tcPr>
            <w:tcW w:w="1626" w:type="dxa"/>
            <w:tcBorders>
              <w:top w:val="single" w:color="auto" w:sz="4" w:space="0"/>
            </w:tcBorders>
          </w:tcPr>
          <w:p w14:paraId="497E2F9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</w:tcBorders>
          </w:tcPr>
          <w:p w14:paraId="13152AB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7DE4D2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7E488FF9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súvisiace audítorské služby,</w:t>
            </w:r>
          </w:p>
        </w:tc>
        <w:tc>
          <w:tcPr>
            <w:tcW w:w="1626" w:type="dxa"/>
            <w:tcBorders>
              <w:top w:val="single" w:color="auto" w:sz="4" w:space="0"/>
            </w:tcBorders>
          </w:tcPr>
          <w:p w14:paraId="78953F2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</w:tcBorders>
          </w:tcPr>
          <w:p w14:paraId="1619EC0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066C4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2692FEEC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daňové poradenstvo,</w:t>
            </w:r>
          </w:p>
        </w:tc>
        <w:tc>
          <w:tcPr>
            <w:tcW w:w="1626" w:type="dxa"/>
            <w:tcBorders>
              <w:top w:val="single" w:color="auto" w:sz="4" w:space="0"/>
              <w:bottom w:val="single" w:color="auto" w:sz="4" w:space="0"/>
            </w:tcBorders>
          </w:tcPr>
          <w:p w14:paraId="3A835781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</w:tcPr>
          <w:p w14:paraId="636D4331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50CAE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0AEB9920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1626" w:type="dxa"/>
            <w:tcBorders>
              <w:top w:val="single" w:color="auto" w:sz="4" w:space="0"/>
            </w:tcBorders>
          </w:tcPr>
          <w:p w14:paraId="2032B57E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</w:tcBorders>
          </w:tcPr>
          <w:p w14:paraId="35889BD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484D5187">
      <w:pPr>
        <w:pStyle w:val="38"/>
        <w:tabs>
          <w:tab w:val="clear" w:pos="426"/>
        </w:tabs>
        <w:ind w:left="0" w:firstLine="0"/>
        <w:rPr>
          <w:sz w:val="24"/>
          <w:szCs w:val="24"/>
        </w:rPr>
      </w:pPr>
    </w:p>
    <w:p w14:paraId="09D94B75">
      <w:pPr>
        <w:jc w:val="both"/>
        <w:rPr>
          <w:rFonts w:ascii="Arial Narrow" w:hAnsi="Arial Narrow"/>
          <w:sz w:val="20"/>
          <w:szCs w:val="20"/>
        </w:rPr>
      </w:pPr>
    </w:p>
    <w:p w14:paraId="6161E0EE">
      <w:pPr>
        <w:pStyle w:val="38"/>
        <w:tabs>
          <w:tab w:val="clear" w:pos="426"/>
        </w:tabs>
        <w:outlineLvl w:val="0"/>
        <w:rPr>
          <w:rFonts w:ascii="Arial Narrow" w:hAnsi="Arial Narrow"/>
          <w:color w:val="FF0000"/>
          <w:sz w:val="26"/>
          <w:szCs w:val="26"/>
        </w:rPr>
      </w:pPr>
      <w:bookmarkStart w:id="28" w:name="_Toc74047055"/>
      <w:r>
        <w:rPr>
          <w:rFonts w:ascii="Arial Narrow" w:hAnsi="Arial Narrow"/>
          <w:color w:val="FF0000"/>
          <w:sz w:val="26"/>
          <w:szCs w:val="26"/>
        </w:rPr>
        <w:t>10. Ostatné dôležité informácie</w:t>
      </w:r>
      <w:bookmarkEnd w:id="28"/>
    </w:p>
    <w:p w14:paraId="4A596AC5">
      <w:pPr>
        <w:pStyle w:val="38"/>
        <w:tabs>
          <w:tab w:val="clear" w:pos="426"/>
        </w:tabs>
        <w:ind w:left="360" w:firstLine="0"/>
        <w:outlineLvl w:val="0"/>
        <w:rPr>
          <w:rFonts w:ascii="Arial Narrow" w:hAnsi="Arial Narrow"/>
          <w:color w:val="FF0000"/>
          <w:sz w:val="24"/>
          <w:szCs w:val="24"/>
        </w:rPr>
      </w:pPr>
    </w:p>
    <w:p w14:paraId="7A5A699F">
      <w:pPr>
        <w:pStyle w:val="38"/>
        <w:tabs>
          <w:tab w:val="clear" w:pos="426"/>
        </w:tabs>
        <w:ind w:left="360" w:firstLine="0"/>
        <w:rPr>
          <w:rFonts w:ascii="Arial Narrow" w:hAnsi="Arial Narrow"/>
          <w:color w:val="FF0000"/>
          <w:sz w:val="24"/>
          <w:szCs w:val="24"/>
        </w:rPr>
      </w:pPr>
    </w:p>
    <w:p w14:paraId="205C6557">
      <w:pPr>
        <w:pStyle w:val="38"/>
        <w:tabs>
          <w:tab w:val="clear" w:pos="426"/>
        </w:tabs>
        <w:outlineLvl w:val="1"/>
        <w:rPr>
          <w:rFonts w:ascii="Arial Narrow" w:hAnsi="Arial Narrow"/>
          <w:color w:val="FF0000"/>
          <w:sz w:val="24"/>
          <w:szCs w:val="24"/>
        </w:rPr>
      </w:pPr>
      <w:r>
        <w:rPr>
          <w:rFonts w:ascii="Arial Narrow" w:hAnsi="Arial Narrow"/>
          <w:color w:val="FF0000"/>
          <w:sz w:val="24"/>
          <w:szCs w:val="24"/>
        </w:rPr>
        <w:t xml:space="preserve"> </w:t>
      </w:r>
      <w:bookmarkStart w:id="29" w:name="_Toc74047056"/>
      <w:r>
        <w:rPr>
          <w:rFonts w:ascii="Arial Narrow" w:hAnsi="Arial Narrow"/>
          <w:color w:val="FF0000"/>
          <w:sz w:val="24"/>
          <w:szCs w:val="24"/>
        </w:rPr>
        <w:t>10.1 Prijaté granty a transfery</w:t>
      </w:r>
      <w:bookmarkEnd w:id="29"/>
    </w:p>
    <w:p w14:paraId="5DF71D37">
      <w:pPr>
        <w:pStyle w:val="38"/>
        <w:tabs>
          <w:tab w:val="clear" w:pos="426"/>
        </w:tabs>
        <w:outlineLvl w:val="1"/>
        <w:rPr>
          <w:rFonts w:ascii="Arial Narrow" w:hAnsi="Arial Narrow"/>
          <w:color w:val="FF0000"/>
          <w:sz w:val="24"/>
          <w:szCs w:val="24"/>
        </w:rPr>
      </w:pPr>
    </w:p>
    <w:p w14:paraId="1577D625">
      <w:pPr>
        <w:pStyle w:val="38"/>
        <w:tabs>
          <w:tab w:val="clear" w:pos="426"/>
        </w:tabs>
        <w:outlineLvl w:val="1"/>
        <w:rPr>
          <w:rFonts w:ascii="Arial Narrow" w:hAnsi="Arial Narrow"/>
          <w:color w:val="FF0000"/>
          <w:sz w:val="24"/>
          <w:szCs w:val="24"/>
        </w:rPr>
      </w:pPr>
    </w:p>
    <w:p w14:paraId="78252AC2">
      <w:pPr>
        <w:outlineLvl w:val="0"/>
        <w:rPr>
          <w:rFonts w:ascii="Arial Narrow" w:hAnsi="Arial Narrow" w:cs="Arial"/>
          <w:color w:val="FF0000"/>
          <w:sz w:val="20"/>
          <w:szCs w:val="20"/>
        </w:rPr>
      </w:pPr>
      <w:r>
        <w:rPr>
          <w:rFonts w:ascii="Arial Narrow" w:hAnsi="Arial Narrow"/>
          <w:color w:val="FF0000"/>
          <w:sz w:val="18"/>
          <w:szCs w:val="18"/>
        </w:rPr>
        <w:t xml:space="preserve">  </w:t>
      </w:r>
      <w:r>
        <w:rPr>
          <w:rFonts w:ascii="Arial Narrow" w:hAnsi="Arial Narrow" w:cs="Arial"/>
          <w:b/>
          <w:color w:val="FF0000"/>
          <w:sz w:val="18"/>
          <w:szCs w:val="18"/>
        </w:rPr>
        <w:t xml:space="preserve">Obec prijala nasledovné granty a transfery : </w:t>
      </w:r>
    </w:p>
    <w:p w14:paraId="5AFC89D9">
      <w:pPr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- Finančné usporiadanie voči štátnemu rozpočtu:</w:t>
      </w:r>
    </w:p>
    <w:p w14:paraId="3D9E2D18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tbl>
      <w:tblPr>
        <w:tblStyle w:val="7"/>
        <w:tblpPr w:leftFromText="141" w:rightFromText="141" w:vertAnchor="text" w:horzAnchor="margin" w:tblpXSpec="center" w:tblpY="123"/>
        <w:tblW w:w="90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2541"/>
        <w:gridCol w:w="1362"/>
        <w:gridCol w:w="1362"/>
        <w:gridCol w:w="1363"/>
      </w:tblGrid>
      <w:tr w14:paraId="203D4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  <w:tblHeader/>
        </w:trPr>
        <w:tc>
          <w:tcPr>
            <w:tcW w:w="2376" w:type="dxa"/>
            <w:shd w:val="clear" w:color="auto" w:fill="D9D9D9"/>
            <w:vAlign w:val="center"/>
          </w:tcPr>
          <w:p w14:paraId="2E1D3A18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Poskytovateľ</w:t>
            </w:r>
          </w:p>
          <w:p w14:paraId="6EA0564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08BEE77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5445C627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</w:t>
            </w:r>
          </w:p>
        </w:tc>
        <w:tc>
          <w:tcPr>
            <w:tcW w:w="2541" w:type="dxa"/>
            <w:shd w:val="clear" w:color="auto" w:fill="D9D9D9"/>
            <w:vAlign w:val="center"/>
          </w:tcPr>
          <w:p w14:paraId="7C970961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Účelové určenie grantu, transferu</w:t>
            </w:r>
          </w:p>
          <w:p w14:paraId="6D5FFF5D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0EC3B52C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</w:t>
            </w:r>
          </w:p>
        </w:tc>
        <w:tc>
          <w:tcPr>
            <w:tcW w:w="1362" w:type="dxa"/>
            <w:shd w:val="clear" w:color="auto" w:fill="D9D9D9"/>
            <w:vAlign w:val="center"/>
          </w:tcPr>
          <w:p w14:paraId="29795B52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Suma poskyt. prostr.</w:t>
            </w:r>
          </w:p>
          <w:p w14:paraId="6C0F278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v r. 2024</w:t>
            </w:r>
          </w:p>
          <w:p w14:paraId="11325CAD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3</w:t>
            </w:r>
          </w:p>
        </w:tc>
        <w:tc>
          <w:tcPr>
            <w:tcW w:w="1362" w:type="dxa"/>
            <w:shd w:val="clear" w:color="auto" w:fill="D9D9D9"/>
            <w:vAlign w:val="center"/>
          </w:tcPr>
          <w:p w14:paraId="344220E7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Suma  použ. prostriedkov v roku 2024</w:t>
            </w:r>
          </w:p>
          <w:p w14:paraId="798B9726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4</w:t>
            </w:r>
          </w:p>
        </w:tc>
        <w:tc>
          <w:tcPr>
            <w:tcW w:w="1363" w:type="dxa"/>
            <w:shd w:val="clear" w:color="auto" w:fill="D9D9D9"/>
            <w:vAlign w:val="center"/>
          </w:tcPr>
          <w:p w14:paraId="4935FDA8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Rozdiel</w:t>
            </w:r>
          </w:p>
          <w:p w14:paraId="11F49F60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(stĺ.3 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br w:type="textWrapping"/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- stĺ.4 )</w:t>
            </w:r>
          </w:p>
          <w:p w14:paraId="17A118C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5</w:t>
            </w:r>
          </w:p>
        </w:tc>
      </w:tr>
      <w:tr w14:paraId="731DC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vAlign w:val="center"/>
          </w:tcPr>
          <w:p w14:paraId="615F4A2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Ministerstvo vnútra SR</w:t>
            </w:r>
          </w:p>
        </w:tc>
        <w:tc>
          <w:tcPr>
            <w:tcW w:w="2541" w:type="dxa"/>
            <w:vAlign w:val="center"/>
          </w:tcPr>
          <w:p w14:paraId="36B2B441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Prenesený výkon štát. správy na úseku Register adries SR</w:t>
            </w:r>
          </w:p>
        </w:tc>
        <w:tc>
          <w:tcPr>
            <w:tcW w:w="1362" w:type="dxa"/>
            <w:vAlign w:val="center"/>
          </w:tcPr>
          <w:p w14:paraId="550BCDF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26,00</w:t>
            </w:r>
          </w:p>
        </w:tc>
        <w:tc>
          <w:tcPr>
            <w:tcW w:w="1362" w:type="dxa"/>
            <w:vAlign w:val="center"/>
          </w:tcPr>
          <w:p w14:paraId="04EB976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26,00</w:t>
            </w:r>
          </w:p>
        </w:tc>
        <w:tc>
          <w:tcPr>
            <w:tcW w:w="1363" w:type="dxa"/>
            <w:vAlign w:val="center"/>
          </w:tcPr>
          <w:p w14:paraId="5417EA35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</w:tr>
      <w:tr w14:paraId="1F4B0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vAlign w:val="center"/>
          </w:tcPr>
          <w:p w14:paraId="1B7C1AD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Ministerstvo vnútra SR</w:t>
            </w:r>
          </w:p>
        </w:tc>
        <w:tc>
          <w:tcPr>
            <w:tcW w:w="2541" w:type="dxa"/>
            <w:vAlign w:val="center"/>
          </w:tcPr>
          <w:p w14:paraId="1943E4F4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Prenesený výkon štát. správy na úseku REGOB SR</w:t>
            </w:r>
          </w:p>
        </w:tc>
        <w:tc>
          <w:tcPr>
            <w:tcW w:w="1362" w:type="dxa"/>
            <w:vAlign w:val="center"/>
          </w:tcPr>
          <w:p w14:paraId="156A101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129,69</w:t>
            </w:r>
          </w:p>
        </w:tc>
        <w:tc>
          <w:tcPr>
            <w:tcW w:w="1362" w:type="dxa"/>
            <w:vAlign w:val="center"/>
          </w:tcPr>
          <w:p w14:paraId="1892BEC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129,69</w:t>
            </w:r>
          </w:p>
        </w:tc>
        <w:tc>
          <w:tcPr>
            <w:tcW w:w="1363" w:type="dxa"/>
            <w:vAlign w:val="center"/>
          </w:tcPr>
          <w:p w14:paraId="38D27287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</w:tr>
      <w:tr w14:paraId="345595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vAlign w:val="center"/>
          </w:tcPr>
          <w:p w14:paraId="52FE7C25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Ministerstvo ŽP SR</w:t>
            </w:r>
          </w:p>
        </w:tc>
        <w:tc>
          <w:tcPr>
            <w:tcW w:w="2541" w:type="dxa"/>
            <w:vAlign w:val="center"/>
          </w:tcPr>
          <w:p w14:paraId="695782D4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Prenesený výkon št. správy na úseku starostlivosti o život. prostredie</w:t>
            </w:r>
          </w:p>
        </w:tc>
        <w:tc>
          <w:tcPr>
            <w:tcW w:w="1362" w:type="dxa"/>
            <w:vAlign w:val="center"/>
          </w:tcPr>
          <w:p w14:paraId="28D0ADA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47,56</w:t>
            </w:r>
          </w:p>
        </w:tc>
        <w:tc>
          <w:tcPr>
            <w:tcW w:w="1362" w:type="dxa"/>
            <w:vAlign w:val="center"/>
          </w:tcPr>
          <w:p w14:paraId="3B0FFA8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47,56</w:t>
            </w:r>
          </w:p>
        </w:tc>
        <w:tc>
          <w:tcPr>
            <w:tcW w:w="1363" w:type="dxa"/>
            <w:vAlign w:val="center"/>
          </w:tcPr>
          <w:p w14:paraId="70E4C71F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</w:tr>
      <w:tr w14:paraId="26616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vAlign w:val="center"/>
          </w:tcPr>
          <w:p w14:paraId="6D086C7F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Ministerstvo vnútra SR</w:t>
            </w:r>
          </w:p>
        </w:tc>
        <w:tc>
          <w:tcPr>
            <w:tcW w:w="2541" w:type="dxa"/>
            <w:vAlign w:val="center"/>
          </w:tcPr>
          <w:p w14:paraId="74EEA18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voľby</w:t>
            </w:r>
          </w:p>
        </w:tc>
        <w:tc>
          <w:tcPr>
            <w:tcW w:w="1362" w:type="dxa"/>
            <w:vAlign w:val="center"/>
          </w:tcPr>
          <w:p w14:paraId="24F504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2 738,01</w:t>
            </w:r>
          </w:p>
        </w:tc>
        <w:tc>
          <w:tcPr>
            <w:tcW w:w="1362" w:type="dxa"/>
            <w:vAlign w:val="center"/>
          </w:tcPr>
          <w:p w14:paraId="131E78EB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2738,01</w:t>
            </w:r>
          </w:p>
        </w:tc>
        <w:tc>
          <w:tcPr>
            <w:tcW w:w="1363" w:type="dxa"/>
            <w:vAlign w:val="center"/>
          </w:tcPr>
          <w:p w14:paraId="6EA6262E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0,00</w:t>
            </w:r>
          </w:p>
        </w:tc>
      </w:tr>
      <w:tr w14:paraId="6F3E8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vAlign w:val="center"/>
          </w:tcPr>
          <w:p w14:paraId="399BCDE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Ministerstvo vnútra SR</w:t>
            </w:r>
          </w:p>
        </w:tc>
        <w:tc>
          <w:tcPr>
            <w:tcW w:w="2541" w:type="dxa"/>
            <w:vAlign w:val="center"/>
          </w:tcPr>
          <w:p w14:paraId="314C62E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Energošeky</w:t>
            </w:r>
          </w:p>
        </w:tc>
        <w:tc>
          <w:tcPr>
            <w:tcW w:w="1362" w:type="dxa"/>
            <w:vAlign w:val="center"/>
          </w:tcPr>
          <w:p w14:paraId="3F08996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188,,52</w:t>
            </w:r>
          </w:p>
        </w:tc>
        <w:tc>
          <w:tcPr>
            <w:tcW w:w="1362" w:type="dxa"/>
            <w:vAlign w:val="center"/>
          </w:tcPr>
          <w:p w14:paraId="7C49B2D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188,52</w:t>
            </w:r>
          </w:p>
        </w:tc>
        <w:tc>
          <w:tcPr>
            <w:tcW w:w="1363" w:type="dxa"/>
            <w:vAlign w:val="center"/>
          </w:tcPr>
          <w:p w14:paraId="573DFD5E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0,00</w:t>
            </w:r>
          </w:p>
        </w:tc>
      </w:tr>
      <w:tr w14:paraId="4B0643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vAlign w:val="center"/>
          </w:tcPr>
          <w:p w14:paraId="23E7718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Úrad práce</w:t>
            </w:r>
          </w:p>
        </w:tc>
        <w:tc>
          <w:tcPr>
            <w:tcW w:w="2541" w:type="dxa"/>
            <w:vAlign w:val="center"/>
          </w:tcPr>
          <w:p w14:paraId="507BD24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Aktivačná činnosť</w:t>
            </w:r>
          </w:p>
        </w:tc>
        <w:tc>
          <w:tcPr>
            <w:tcW w:w="1362" w:type="dxa"/>
            <w:vAlign w:val="center"/>
          </w:tcPr>
          <w:p w14:paraId="50AD816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17,11</w:t>
            </w:r>
          </w:p>
        </w:tc>
        <w:tc>
          <w:tcPr>
            <w:tcW w:w="1362" w:type="dxa"/>
            <w:vAlign w:val="center"/>
          </w:tcPr>
          <w:p w14:paraId="73B07C8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17,11</w:t>
            </w:r>
          </w:p>
        </w:tc>
        <w:tc>
          <w:tcPr>
            <w:tcW w:w="1363" w:type="dxa"/>
            <w:vAlign w:val="center"/>
          </w:tcPr>
          <w:p w14:paraId="452B5CCF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</w:tr>
      <w:tr w14:paraId="148EFF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vAlign w:val="center"/>
          </w:tcPr>
          <w:p w14:paraId="5C5D32E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Úrad práce</w:t>
            </w:r>
          </w:p>
        </w:tc>
        <w:tc>
          <w:tcPr>
            <w:tcW w:w="2541" w:type="dxa"/>
            <w:vAlign w:val="center"/>
          </w:tcPr>
          <w:p w14:paraId="47D83DC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Detské prídavky</w:t>
            </w:r>
          </w:p>
        </w:tc>
        <w:tc>
          <w:tcPr>
            <w:tcW w:w="1362" w:type="dxa"/>
            <w:vAlign w:val="center"/>
          </w:tcPr>
          <w:p w14:paraId="418AD56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1 200,00</w:t>
            </w:r>
          </w:p>
        </w:tc>
        <w:tc>
          <w:tcPr>
            <w:tcW w:w="1362" w:type="dxa"/>
            <w:vAlign w:val="center"/>
          </w:tcPr>
          <w:p w14:paraId="04B0CA91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1 200,00</w:t>
            </w:r>
          </w:p>
        </w:tc>
        <w:tc>
          <w:tcPr>
            <w:tcW w:w="1363" w:type="dxa"/>
            <w:vAlign w:val="center"/>
          </w:tcPr>
          <w:p w14:paraId="73FDC9F2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</w:tr>
      <w:tr w14:paraId="148B5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vAlign w:val="center"/>
          </w:tcPr>
          <w:p w14:paraId="4A05AC30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DPO SR</w:t>
            </w:r>
          </w:p>
        </w:tc>
        <w:tc>
          <w:tcPr>
            <w:tcW w:w="2541" w:type="dxa"/>
            <w:vAlign w:val="center"/>
          </w:tcPr>
          <w:p w14:paraId="6204E345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Dotácia PO</w:t>
            </w:r>
          </w:p>
        </w:tc>
        <w:tc>
          <w:tcPr>
            <w:tcW w:w="1362" w:type="dxa"/>
            <w:vAlign w:val="center"/>
          </w:tcPr>
          <w:p w14:paraId="02B85B98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3000,00</w:t>
            </w:r>
          </w:p>
        </w:tc>
        <w:tc>
          <w:tcPr>
            <w:tcW w:w="1362" w:type="dxa"/>
            <w:vAlign w:val="center"/>
          </w:tcPr>
          <w:p w14:paraId="1CC4B61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2 954,60</w:t>
            </w:r>
          </w:p>
        </w:tc>
        <w:tc>
          <w:tcPr>
            <w:tcW w:w="1363" w:type="dxa"/>
            <w:vAlign w:val="center"/>
          </w:tcPr>
          <w:p w14:paraId="7972BC88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45,40</w:t>
            </w:r>
          </w:p>
        </w:tc>
      </w:tr>
      <w:tr w14:paraId="4605E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2376" w:type="dxa"/>
            <w:vAlign w:val="center"/>
          </w:tcPr>
          <w:p w14:paraId="14A6FCC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Environmentálny fond</w:t>
            </w:r>
          </w:p>
        </w:tc>
        <w:tc>
          <w:tcPr>
            <w:tcW w:w="2541" w:type="dxa"/>
            <w:vAlign w:val="center"/>
          </w:tcPr>
          <w:p w14:paraId="1031003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Uloženie odpadov</w:t>
            </w:r>
          </w:p>
        </w:tc>
        <w:tc>
          <w:tcPr>
            <w:tcW w:w="1362" w:type="dxa"/>
            <w:vAlign w:val="center"/>
          </w:tcPr>
          <w:p w14:paraId="6B8B54C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363,90</w:t>
            </w:r>
          </w:p>
        </w:tc>
        <w:tc>
          <w:tcPr>
            <w:tcW w:w="1362" w:type="dxa"/>
            <w:vAlign w:val="center"/>
          </w:tcPr>
          <w:p w14:paraId="56561AD8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363,90</w:t>
            </w:r>
          </w:p>
        </w:tc>
        <w:tc>
          <w:tcPr>
            <w:tcW w:w="1363" w:type="dxa"/>
            <w:vAlign w:val="center"/>
          </w:tcPr>
          <w:p w14:paraId="15DF6CE5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</w:tr>
      <w:tr w14:paraId="1F49F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vAlign w:val="center"/>
          </w:tcPr>
          <w:p w14:paraId="7059E1A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Dotácia KSK</w:t>
            </w:r>
          </w:p>
        </w:tc>
        <w:tc>
          <w:tcPr>
            <w:tcW w:w="2541" w:type="dxa"/>
            <w:vAlign w:val="center"/>
          </w:tcPr>
          <w:p w14:paraId="1A86D037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Defibrilátor</w:t>
            </w:r>
          </w:p>
        </w:tc>
        <w:tc>
          <w:tcPr>
            <w:tcW w:w="1362" w:type="dxa"/>
            <w:vAlign w:val="center"/>
          </w:tcPr>
          <w:p w14:paraId="7575CFB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1 000,00</w:t>
            </w:r>
          </w:p>
        </w:tc>
        <w:tc>
          <w:tcPr>
            <w:tcW w:w="1362" w:type="dxa"/>
            <w:vAlign w:val="center"/>
          </w:tcPr>
          <w:p w14:paraId="3E43834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1 000,00</w:t>
            </w:r>
          </w:p>
        </w:tc>
        <w:tc>
          <w:tcPr>
            <w:tcW w:w="1363" w:type="dxa"/>
            <w:vAlign w:val="center"/>
          </w:tcPr>
          <w:p w14:paraId="771BC13B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</w:tr>
    </w:tbl>
    <w:p w14:paraId="44161993">
      <w:pPr>
        <w:ind w:left="709"/>
        <w:jc w:val="center"/>
        <w:rPr>
          <w:rFonts w:ascii="Arial Narrow" w:hAnsi="Arial Narrow" w:cs="Arial"/>
          <w:color w:val="FF0000"/>
          <w:sz w:val="20"/>
          <w:szCs w:val="20"/>
        </w:rPr>
      </w:pPr>
    </w:p>
    <w:p w14:paraId="4091002F">
      <w:pPr>
        <w:numPr>
          <w:ilvl w:val="0"/>
          <w:numId w:val="11"/>
        </w:num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color w:val="FF0000"/>
          <w:sz w:val="20"/>
          <w:szCs w:val="20"/>
        </w:rPr>
        <w:t xml:space="preserve">Finančné usporiadanie voči rozpočtom iných obcí Obec </w:t>
      </w:r>
    </w:p>
    <w:tbl>
      <w:tblPr>
        <w:tblStyle w:val="7"/>
        <w:tblW w:w="90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5"/>
        <w:gridCol w:w="2587"/>
        <w:gridCol w:w="1366"/>
        <w:gridCol w:w="1366"/>
        <w:gridCol w:w="1367"/>
      </w:tblGrid>
      <w:tr w14:paraId="17795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atLeast"/>
          <w:tblHeader/>
          <w:jc w:val="center"/>
        </w:trPr>
        <w:tc>
          <w:tcPr>
            <w:tcW w:w="2345" w:type="dxa"/>
            <w:shd w:val="clear" w:color="auto" w:fill="D9D9D9"/>
            <w:vAlign w:val="center"/>
          </w:tcPr>
          <w:p w14:paraId="2DC3AFB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bookmarkStart w:id="30" w:name="_Hlk133226066"/>
            <w:r>
              <w:rPr>
                <w:rFonts w:ascii="Arial Narrow" w:hAnsi="Arial Narrow" w:cs="Arial"/>
                <w:b/>
                <w:sz w:val="18"/>
                <w:szCs w:val="18"/>
              </w:rPr>
              <w:t>Poskytovateľ</w:t>
            </w:r>
          </w:p>
          <w:p w14:paraId="08847B3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</w:t>
            </w:r>
          </w:p>
        </w:tc>
        <w:tc>
          <w:tcPr>
            <w:tcW w:w="2587" w:type="dxa"/>
            <w:shd w:val="clear" w:color="auto" w:fill="D9D9D9"/>
            <w:vAlign w:val="center"/>
          </w:tcPr>
          <w:p w14:paraId="7AC64C9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Účelové určenie grantu, transferu</w:t>
            </w:r>
          </w:p>
          <w:p w14:paraId="75520BC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</w:p>
        </w:tc>
        <w:tc>
          <w:tcPr>
            <w:tcW w:w="1366" w:type="dxa"/>
            <w:shd w:val="clear" w:color="auto" w:fill="D9D9D9"/>
            <w:vAlign w:val="center"/>
          </w:tcPr>
          <w:p w14:paraId="0F799041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poskyt. prostr.</w:t>
            </w:r>
          </w:p>
          <w:p w14:paraId="5CA7FA95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v r. 2024</w:t>
            </w:r>
          </w:p>
          <w:p w14:paraId="46E16941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3</w:t>
            </w:r>
          </w:p>
        </w:tc>
        <w:tc>
          <w:tcPr>
            <w:tcW w:w="1366" w:type="dxa"/>
            <w:shd w:val="clear" w:color="auto" w:fill="D9D9D9"/>
            <w:vAlign w:val="center"/>
          </w:tcPr>
          <w:p w14:paraId="41F8960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 použ. prostriedkov v roku 2024</w:t>
            </w:r>
          </w:p>
          <w:p w14:paraId="33395A2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4</w:t>
            </w:r>
          </w:p>
        </w:tc>
        <w:tc>
          <w:tcPr>
            <w:tcW w:w="1367" w:type="dxa"/>
            <w:shd w:val="clear" w:color="auto" w:fill="D9D9D9"/>
            <w:vAlign w:val="center"/>
          </w:tcPr>
          <w:p w14:paraId="6AC1A525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4B11FED0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(stĺ.3 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br w:type="textWrapping"/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- stĺ.4 )</w:t>
            </w:r>
          </w:p>
          <w:p w14:paraId="6184C373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5</w:t>
            </w:r>
          </w:p>
        </w:tc>
      </w:tr>
      <w:tr w14:paraId="3A295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2345" w:type="dxa"/>
            <w:vAlign w:val="center"/>
          </w:tcPr>
          <w:p w14:paraId="61A6AE7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Obec Nižný Klátov </w:t>
            </w:r>
          </w:p>
        </w:tc>
        <w:tc>
          <w:tcPr>
            <w:tcW w:w="2587" w:type="dxa"/>
            <w:vAlign w:val="center"/>
          </w:tcPr>
          <w:p w14:paraId="58C3BF9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Činnosť a nákup materiálu</w:t>
            </w:r>
          </w:p>
        </w:tc>
        <w:tc>
          <w:tcPr>
            <w:tcW w:w="1366" w:type="dxa"/>
            <w:vAlign w:val="center"/>
          </w:tcPr>
          <w:p w14:paraId="4CA21F36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1366" w:type="dxa"/>
            <w:vAlign w:val="center"/>
          </w:tcPr>
          <w:p w14:paraId="0DD69AB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1367" w:type="dxa"/>
            <w:vAlign w:val="center"/>
          </w:tcPr>
          <w:p w14:paraId="0C0B3FB9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  <w:bookmarkEnd w:id="30"/>
    </w:tbl>
    <w:p w14:paraId="4F0ADC19">
      <w:pPr>
        <w:ind w:left="709"/>
        <w:rPr>
          <w:rFonts w:ascii="Arial Narrow" w:hAnsi="Arial Narrow" w:cs="Arial"/>
          <w:sz w:val="20"/>
          <w:szCs w:val="20"/>
        </w:rPr>
      </w:pPr>
    </w:p>
    <w:p w14:paraId="6677E8C7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Finančné prostriedky uvedené obce zaslala na základe Zmluvy o spolupráci pri plnení úloh na úseku ochrany pred požiarmi uzatvorenej medzi obcou Zlatá Idka a Nižný Klátov dňa 7.7.2020 </w:t>
      </w:r>
    </w:p>
    <w:p w14:paraId="241E3CCD">
      <w:pPr>
        <w:jc w:val="both"/>
        <w:rPr>
          <w:rFonts w:ascii="Arial Narrow" w:hAnsi="Arial Narrow"/>
          <w:color w:val="FF0000"/>
          <w:sz w:val="20"/>
          <w:szCs w:val="20"/>
        </w:rPr>
      </w:pPr>
    </w:p>
    <w:p w14:paraId="1E680B60">
      <w:pPr>
        <w:numPr>
          <w:ilvl w:val="0"/>
          <w:numId w:val="11"/>
        </w:numPr>
        <w:jc w:val="both"/>
        <w:rPr>
          <w:rFonts w:ascii="Arial Narrow" w:hAnsi="Arial Narrow"/>
          <w:color w:val="FF0000"/>
          <w:sz w:val="20"/>
          <w:szCs w:val="20"/>
        </w:rPr>
      </w:pPr>
      <w:r>
        <w:rPr>
          <w:rFonts w:ascii="Arial Narrow" w:hAnsi="Arial Narrow"/>
          <w:color w:val="FF0000"/>
          <w:sz w:val="20"/>
          <w:szCs w:val="20"/>
        </w:rPr>
        <w:t>Fyzická osoba, právnicke osoby</w:t>
      </w:r>
      <w:bookmarkStart w:id="31" w:name="_Hlk133226018"/>
    </w:p>
    <w:tbl>
      <w:tblPr>
        <w:tblStyle w:val="7"/>
        <w:tblW w:w="91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0"/>
        <w:gridCol w:w="2614"/>
        <w:gridCol w:w="1380"/>
        <w:gridCol w:w="1380"/>
        <w:gridCol w:w="1381"/>
      </w:tblGrid>
      <w:tr w14:paraId="3C73E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18" w:hRule="atLeast"/>
          <w:tblHeader/>
          <w:jc w:val="center"/>
        </w:trPr>
        <w:tc>
          <w:tcPr>
            <w:tcW w:w="2370" w:type="dxa"/>
            <w:shd w:val="clear" w:color="auto" w:fill="D9D9D9"/>
            <w:vAlign w:val="center"/>
          </w:tcPr>
          <w:p w14:paraId="4C97F19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Poskytovateľ</w:t>
            </w:r>
          </w:p>
          <w:p w14:paraId="5B23B331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026389DD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3B02B5BF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</w:t>
            </w:r>
          </w:p>
        </w:tc>
        <w:tc>
          <w:tcPr>
            <w:tcW w:w="2614" w:type="dxa"/>
            <w:shd w:val="clear" w:color="auto" w:fill="D9D9D9"/>
            <w:vAlign w:val="center"/>
          </w:tcPr>
          <w:p w14:paraId="24548BA2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Účelové určenie grantu, transferu</w:t>
            </w:r>
          </w:p>
          <w:p w14:paraId="5FE36F58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25BDADB6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</w:t>
            </w:r>
          </w:p>
        </w:tc>
        <w:tc>
          <w:tcPr>
            <w:tcW w:w="1380" w:type="dxa"/>
            <w:shd w:val="clear" w:color="auto" w:fill="D9D9D9"/>
            <w:vAlign w:val="center"/>
          </w:tcPr>
          <w:p w14:paraId="6BCB5981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Suma poskyt. prostr.</w:t>
            </w:r>
          </w:p>
          <w:p w14:paraId="2A9ADDD2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v r. 2024</w:t>
            </w:r>
          </w:p>
          <w:p w14:paraId="62DFA6D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3</w:t>
            </w:r>
          </w:p>
        </w:tc>
        <w:tc>
          <w:tcPr>
            <w:tcW w:w="1380" w:type="dxa"/>
            <w:shd w:val="clear" w:color="auto" w:fill="D9D9D9"/>
            <w:vAlign w:val="center"/>
          </w:tcPr>
          <w:p w14:paraId="7374F8CA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Suma  použ. prostriedkov v roku 2024</w:t>
            </w:r>
          </w:p>
          <w:p w14:paraId="52BCC7A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4</w:t>
            </w:r>
          </w:p>
        </w:tc>
        <w:tc>
          <w:tcPr>
            <w:tcW w:w="1381" w:type="dxa"/>
            <w:shd w:val="clear" w:color="auto" w:fill="D9D9D9"/>
            <w:vAlign w:val="center"/>
          </w:tcPr>
          <w:p w14:paraId="499FFF0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Rozdiel</w:t>
            </w:r>
          </w:p>
          <w:p w14:paraId="5DBFCD76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(stĺ.3 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br w:type="textWrapping"/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- stĺ.4 )</w:t>
            </w:r>
          </w:p>
          <w:p w14:paraId="70FED0B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5</w:t>
            </w:r>
          </w:p>
        </w:tc>
      </w:tr>
      <w:tr w14:paraId="5F5BFB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2370" w:type="dxa"/>
            <w:vAlign w:val="center"/>
          </w:tcPr>
          <w:p w14:paraId="54C20F23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Fyz. osoba</w:t>
            </w:r>
          </w:p>
        </w:tc>
        <w:tc>
          <w:tcPr>
            <w:tcW w:w="2614" w:type="dxa"/>
            <w:vAlign w:val="center"/>
          </w:tcPr>
          <w:p w14:paraId="0A4EB97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Dar</w:t>
            </w:r>
          </w:p>
        </w:tc>
        <w:tc>
          <w:tcPr>
            <w:tcW w:w="1380" w:type="dxa"/>
            <w:vAlign w:val="center"/>
          </w:tcPr>
          <w:p w14:paraId="31131C7C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2 900,00</w:t>
            </w:r>
          </w:p>
        </w:tc>
        <w:tc>
          <w:tcPr>
            <w:tcW w:w="1380" w:type="dxa"/>
            <w:vAlign w:val="center"/>
          </w:tcPr>
          <w:p w14:paraId="5307150F">
            <w:pPr>
              <w:wordWrap w:val="0"/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2 900,00</w:t>
            </w:r>
          </w:p>
        </w:tc>
        <w:tc>
          <w:tcPr>
            <w:tcW w:w="1381" w:type="dxa"/>
            <w:vAlign w:val="center"/>
          </w:tcPr>
          <w:p w14:paraId="053545A4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</w:tr>
      <w:bookmarkEnd w:id="31"/>
    </w:tbl>
    <w:p w14:paraId="36AEC247">
      <w:pPr>
        <w:pStyle w:val="38"/>
        <w:tabs>
          <w:tab w:val="clear" w:pos="426"/>
        </w:tabs>
        <w:ind w:left="0" w:firstLine="0"/>
        <w:rPr>
          <w:rFonts w:ascii="Arial Narrow" w:hAnsi="Arial Narrow"/>
          <w:color w:val="FF0000"/>
          <w:szCs w:val="18"/>
        </w:rPr>
      </w:pPr>
    </w:p>
    <w:p w14:paraId="14F1C77C">
      <w:pPr>
        <w:pStyle w:val="3"/>
        <w:rPr>
          <w:rFonts w:ascii="Arial Narrow" w:hAnsi="Arial Narrow"/>
          <w:b/>
          <w:color w:val="FF0000"/>
          <w:sz w:val="24"/>
          <w:szCs w:val="24"/>
        </w:rPr>
      </w:pPr>
      <w:bookmarkStart w:id="32" w:name="_Toc74047057"/>
      <w:r>
        <w:rPr>
          <w:rFonts w:ascii="Arial Narrow" w:hAnsi="Arial Narrow"/>
          <w:b/>
          <w:color w:val="FF0000"/>
          <w:sz w:val="24"/>
          <w:szCs w:val="24"/>
        </w:rPr>
        <w:t>10.2 Poskytnuté dotácie</w:t>
      </w:r>
      <w:bookmarkEnd w:id="32"/>
    </w:p>
    <w:p w14:paraId="69916606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Obec v roku 2024 poskytla z rozpočtu dotáciu v súlade na  rozvoj športu a pre občianske združenia . </w:t>
      </w:r>
    </w:p>
    <w:p w14:paraId="0B6375C0">
      <w:pPr>
        <w:ind w:left="1069" w:hanging="360"/>
        <w:rPr>
          <w:rFonts w:ascii="Arial Narrow" w:hAnsi="Arial Narrow" w:cs="Arial"/>
          <w:b/>
          <w:sz w:val="20"/>
          <w:szCs w:val="20"/>
        </w:rPr>
      </w:pPr>
    </w:p>
    <w:tbl>
      <w:tblPr>
        <w:tblStyle w:val="7"/>
        <w:tblW w:w="92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48"/>
        <w:gridCol w:w="16"/>
        <w:gridCol w:w="1606"/>
        <w:gridCol w:w="1606"/>
        <w:gridCol w:w="1562"/>
      </w:tblGrid>
      <w:tr w14:paraId="3AC60A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4464" w:type="dxa"/>
            <w:gridSpan w:val="2"/>
            <w:shd w:val="clear" w:color="auto" w:fill="D9D9D9"/>
            <w:vAlign w:val="center"/>
          </w:tcPr>
          <w:p w14:paraId="5240506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Žiadateľ dotácie</w:t>
            </w:r>
          </w:p>
          <w:p w14:paraId="38BAA090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Účelové určenie dotácie</w:t>
            </w:r>
          </w:p>
          <w:p w14:paraId="7AF5EA12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5B43BBB8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</w:t>
            </w:r>
          </w:p>
        </w:tc>
        <w:tc>
          <w:tcPr>
            <w:tcW w:w="1606" w:type="dxa"/>
            <w:shd w:val="clear" w:color="auto" w:fill="D9D9D9"/>
            <w:vAlign w:val="center"/>
          </w:tcPr>
          <w:p w14:paraId="1FFC5E11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Suma poskyt. prostr.</w:t>
            </w:r>
          </w:p>
          <w:p w14:paraId="0AFA0729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v r. 2024</w:t>
            </w:r>
          </w:p>
          <w:p w14:paraId="719D7125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</w:t>
            </w:r>
          </w:p>
        </w:tc>
        <w:tc>
          <w:tcPr>
            <w:tcW w:w="1606" w:type="dxa"/>
            <w:shd w:val="clear" w:color="auto" w:fill="D9D9D9"/>
            <w:vAlign w:val="center"/>
          </w:tcPr>
          <w:p w14:paraId="1A77BB28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Suma  použ. prostriedkov v roku 2024</w:t>
            </w:r>
          </w:p>
          <w:p w14:paraId="140E485D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3</w:t>
            </w:r>
          </w:p>
        </w:tc>
        <w:tc>
          <w:tcPr>
            <w:tcW w:w="1562" w:type="dxa"/>
            <w:shd w:val="clear" w:color="auto" w:fill="D9D9D9"/>
            <w:vAlign w:val="center"/>
          </w:tcPr>
          <w:p w14:paraId="056E7F7A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Rozdiel</w:t>
            </w:r>
          </w:p>
          <w:p w14:paraId="42E50C40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(stĺ.2 - stĺ.3 )</w:t>
            </w:r>
          </w:p>
          <w:p w14:paraId="53924361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55C823DC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4</w:t>
            </w:r>
          </w:p>
        </w:tc>
      </w:tr>
      <w:tr w14:paraId="33E31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13" w:hRule="atLeast"/>
          <w:jc w:val="center"/>
        </w:trPr>
        <w:tc>
          <w:tcPr>
            <w:tcW w:w="4464" w:type="dxa"/>
            <w:gridSpan w:val="2"/>
            <w:vAlign w:val="center"/>
          </w:tcPr>
          <w:p w14:paraId="6DB55111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Dobrovoľný hasičský zbor. Činnosť a nákup materiálu.</w:t>
            </w:r>
          </w:p>
        </w:tc>
        <w:tc>
          <w:tcPr>
            <w:tcW w:w="1606" w:type="dxa"/>
            <w:vAlign w:val="center"/>
          </w:tcPr>
          <w:p w14:paraId="49AD2430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3 500,00</w:t>
            </w:r>
          </w:p>
        </w:tc>
        <w:tc>
          <w:tcPr>
            <w:tcW w:w="1606" w:type="dxa"/>
            <w:vAlign w:val="center"/>
          </w:tcPr>
          <w:p w14:paraId="64EEFE2C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3 499,75</w:t>
            </w:r>
          </w:p>
        </w:tc>
        <w:tc>
          <w:tcPr>
            <w:tcW w:w="1562" w:type="dxa"/>
            <w:vAlign w:val="center"/>
          </w:tcPr>
          <w:p w14:paraId="4342C1A8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0,25</w:t>
            </w:r>
          </w:p>
        </w:tc>
      </w:tr>
      <w:tr w14:paraId="79881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9" w:hRule="atLeast"/>
          <w:jc w:val="center"/>
        </w:trPr>
        <w:tc>
          <w:tcPr>
            <w:tcW w:w="4448" w:type="dxa"/>
            <w:vAlign w:val="center"/>
          </w:tcPr>
          <w:p w14:paraId="63F24936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FO TJ Pokrok. Činnosť a nákup materiálu.</w:t>
            </w:r>
          </w:p>
        </w:tc>
        <w:tc>
          <w:tcPr>
            <w:tcW w:w="1622" w:type="dxa"/>
            <w:gridSpan w:val="2"/>
            <w:vAlign w:val="center"/>
          </w:tcPr>
          <w:p w14:paraId="5CB95A85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3 000,00</w:t>
            </w:r>
          </w:p>
        </w:tc>
        <w:tc>
          <w:tcPr>
            <w:tcW w:w="1606" w:type="dxa"/>
            <w:vAlign w:val="center"/>
          </w:tcPr>
          <w:p w14:paraId="6AA3BF2D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3 000,00</w:t>
            </w:r>
          </w:p>
        </w:tc>
        <w:tc>
          <w:tcPr>
            <w:tcW w:w="1562" w:type="dxa"/>
            <w:vAlign w:val="center"/>
          </w:tcPr>
          <w:p w14:paraId="4DB84FB3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</w:tr>
      <w:tr w14:paraId="7C7A4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81" w:hRule="atLeast"/>
          <w:jc w:val="center"/>
        </w:trPr>
        <w:tc>
          <w:tcPr>
            <w:tcW w:w="4448" w:type="dxa"/>
            <w:vAlign w:val="center"/>
          </w:tcPr>
          <w:p w14:paraId="73D6F32C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Rímskokatolícka cirkev Zlatá Idka.</w:t>
            </w:r>
          </w:p>
        </w:tc>
        <w:tc>
          <w:tcPr>
            <w:tcW w:w="1622" w:type="dxa"/>
            <w:gridSpan w:val="2"/>
            <w:vAlign w:val="center"/>
          </w:tcPr>
          <w:p w14:paraId="267906ED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  <w:tc>
          <w:tcPr>
            <w:tcW w:w="1606" w:type="dxa"/>
            <w:vAlign w:val="center"/>
          </w:tcPr>
          <w:p w14:paraId="538420C0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  <w:tc>
          <w:tcPr>
            <w:tcW w:w="1562" w:type="dxa"/>
            <w:vAlign w:val="center"/>
          </w:tcPr>
          <w:p w14:paraId="643C0504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  <w:p w14:paraId="13CA1FD4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14:paraId="77E64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04" w:hRule="atLeast"/>
          <w:jc w:val="center"/>
        </w:trPr>
        <w:tc>
          <w:tcPr>
            <w:tcW w:w="4448" w:type="dxa"/>
            <w:vAlign w:val="center"/>
          </w:tcPr>
          <w:p w14:paraId="48C483DB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Centrum voľného času - činnosť krúžkov</w:t>
            </w:r>
          </w:p>
        </w:tc>
        <w:tc>
          <w:tcPr>
            <w:tcW w:w="1622" w:type="dxa"/>
            <w:gridSpan w:val="2"/>
            <w:vAlign w:val="center"/>
          </w:tcPr>
          <w:p w14:paraId="027F009D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300,00</w:t>
            </w:r>
          </w:p>
        </w:tc>
        <w:tc>
          <w:tcPr>
            <w:tcW w:w="1606" w:type="dxa"/>
            <w:vAlign w:val="center"/>
          </w:tcPr>
          <w:p w14:paraId="06AD39F8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300,00</w:t>
            </w:r>
          </w:p>
        </w:tc>
        <w:tc>
          <w:tcPr>
            <w:tcW w:w="1562" w:type="dxa"/>
            <w:vAlign w:val="center"/>
          </w:tcPr>
          <w:p w14:paraId="7F275CCD">
            <w:pPr>
              <w:tabs>
                <w:tab w:val="left" w:pos="3060"/>
                <w:tab w:val="left" w:pos="5400"/>
                <w:tab w:val="left" w:pos="7560"/>
              </w:tabs>
              <w:ind w:left="468" w:firstLine="100" w:firstLineChars="5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</w:tr>
      <w:tr w14:paraId="588BC8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1" w:hRule="atLeast"/>
          <w:jc w:val="center"/>
        </w:trPr>
        <w:tc>
          <w:tcPr>
            <w:tcW w:w="4448" w:type="dxa"/>
            <w:vAlign w:val="center"/>
          </w:tcPr>
          <w:p w14:paraId="720FC764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Obec Hýľov - škôlka</w:t>
            </w:r>
          </w:p>
        </w:tc>
        <w:tc>
          <w:tcPr>
            <w:tcW w:w="1622" w:type="dxa"/>
            <w:gridSpan w:val="2"/>
            <w:vAlign w:val="center"/>
          </w:tcPr>
          <w:p w14:paraId="42ECB056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100,00</w:t>
            </w:r>
          </w:p>
        </w:tc>
        <w:tc>
          <w:tcPr>
            <w:tcW w:w="1606" w:type="dxa"/>
            <w:vAlign w:val="center"/>
          </w:tcPr>
          <w:p w14:paraId="1D68038D">
            <w:pPr>
              <w:tabs>
                <w:tab w:val="left" w:pos="3060"/>
                <w:tab w:val="left" w:pos="5400"/>
                <w:tab w:val="left" w:pos="7560"/>
              </w:tabs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100,00</w:t>
            </w:r>
          </w:p>
        </w:tc>
        <w:tc>
          <w:tcPr>
            <w:tcW w:w="1562" w:type="dxa"/>
            <w:vAlign w:val="center"/>
          </w:tcPr>
          <w:p w14:paraId="3999960E">
            <w:pPr>
              <w:tabs>
                <w:tab w:val="left" w:pos="3060"/>
                <w:tab w:val="left" w:pos="5400"/>
                <w:tab w:val="left" w:pos="7560"/>
              </w:tabs>
              <w:ind w:left="468" w:firstLine="100" w:firstLineChars="5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0,00</w:t>
            </w:r>
          </w:p>
        </w:tc>
      </w:tr>
    </w:tbl>
    <w:p w14:paraId="6A7D0A70">
      <w:pPr>
        <w:rPr>
          <w:color w:val="FF0000"/>
        </w:rPr>
      </w:pPr>
    </w:p>
    <w:p w14:paraId="197C5CDB">
      <w:pPr>
        <w:rPr>
          <w:rFonts w:ascii="Arial Narrow" w:hAnsi="Arial Narrow" w:cs="Arial"/>
          <w:b/>
          <w:sz w:val="20"/>
          <w:szCs w:val="20"/>
        </w:rPr>
      </w:pPr>
    </w:p>
    <w:p w14:paraId="6D99586A">
      <w:pPr>
        <w:pStyle w:val="3"/>
        <w:rPr>
          <w:rFonts w:ascii="Arial Narrow" w:hAnsi="Arial Narrow"/>
          <w:b/>
          <w:color w:val="FF0000"/>
          <w:sz w:val="24"/>
          <w:szCs w:val="24"/>
        </w:rPr>
      </w:pPr>
      <w:bookmarkStart w:id="33" w:name="_Toc74047058"/>
      <w:r>
        <w:rPr>
          <w:rFonts w:ascii="Arial Narrow" w:hAnsi="Arial Narrow"/>
          <w:b/>
          <w:color w:val="FF0000"/>
          <w:sz w:val="24"/>
          <w:szCs w:val="24"/>
        </w:rPr>
        <w:t>10.3 Významné investičné akcie v roku 202</w:t>
      </w:r>
      <w:bookmarkEnd w:id="33"/>
      <w:r>
        <w:rPr>
          <w:rFonts w:ascii="Arial Narrow" w:hAnsi="Arial Narrow"/>
          <w:b/>
          <w:color w:val="FF0000"/>
          <w:sz w:val="24"/>
          <w:szCs w:val="24"/>
        </w:rPr>
        <w:t>4</w:t>
      </w:r>
    </w:p>
    <w:p w14:paraId="32C1CBDE"/>
    <w:p w14:paraId="3EA76754">
      <w:pPr>
        <w:spacing w:line="240" w:lineRule="auto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0"/>
          <w:szCs w:val="20"/>
        </w:rPr>
        <w:t>- Nákup traktora a doplnkov k nemu</w:t>
      </w:r>
    </w:p>
    <w:p w14:paraId="72951BC6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61D5624F">
      <w:pPr>
        <w:pStyle w:val="3"/>
        <w:rPr>
          <w:rFonts w:ascii="Arial Narrow" w:hAnsi="Arial Narrow"/>
          <w:b/>
          <w:color w:val="auto"/>
          <w:sz w:val="24"/>
          <w:szCs w:val="24"/>
        </w:rPr>
      </w:pPr>
      <w:bookmarkStart w:id="34" w:name="_Toc74047059"/>
      <w:r>
        <w:rPr>
          <w:rFonts w:ascii="Arial Narrow" w:hAnsi="Arial Narrow"/>
          <w:b/>
          <w:color w:val="auto"/>
          <w:sz w:val="24"/>
          <w:szCs w:val="24"/>
        </w:rPr>
        <w:t>10.4 Predpokladaný budúci vývoj činností</w:t>
      </w:r>
      <w:bookmarkEnd w:id="34"/>
    </w:p>
    <w:p w14:paraId="5788EA67"/>
    <w:p w14:paraId="10FD53FE">
      <w:pPr>
        <w:spacing w:line="240" w:lineRule="auto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0"/>
          <w:szCs w:val="20"/>
        </w:rPr>
        <w:t xml:space="preserve">- rozšírenie obecnej kanalizácie </w:t>
      </w:r>
    </w:p>
    <w:p w14:paraId="6C0AF87D">
      <w:pPr>
        <w:spacing w:line="240" w:lineRule="auto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0"/>
          <w:szCs w:val="20"/>
        </w:rPr>
        <w:t>- zmena územného plánu</w:t>
      </w:r>
    </w:p>
    <w:p w14:paraId="2587E8D5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1A3144B9">
      <w:pPr>
        <w:pStyle w:val="3"/>
        <w:rPr>
          <w:rFonts w:ascii="Arial Narrow" w:hAnsi="Arial Narrow"/>
          <w:b/>
          <w:color w:val="auto"/>
          <w:sz w:val="24"/>
          <w:szCs w:val="24"/>
        </w:rPr>
      </w:pPr>
      <w:bookmarkStart w:id="35" w:name="_Toc74047060"/>
      <w:r>
        <w:rPr>
          <w:rFonts w:ascii="Arial Narrow" w:hAnsi="Arial Narrow"/>
          <w:b/>
          <w:color w:val="auto"/>
          <w:sz w:val="24"/>
          <w:szCs w:val="24"/>
        </w:rPr>
        <w:t>10.5 Udalosti osobitného významu po ukončení účtovného obdobia</w:t>
      </w:r>
      <w:bookmarkEnd w:id="35"/>
    </w:p>
    <w:p w14:paraId="6B317B50"/>
    <w:p w14:paraId="278B8C9B">
      <w:pPr>
        <w:spacing w:line="240" w:lineRule="auto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0"/>
          <w:szCs w:val="20"/>
        </w:rPr>
        <w:t>- obec nezaznamenala žiadnu udalosť osobitného významu po skončení účtovného obdobia, za ktoré sa vyhotovuje výročná správa</w:t>
      </w:r>
    </w:p>
    <w:p w14:paraId="140B8376">
      <w:pPr>
        <w:spacing w:line="240" w:lineRule="auto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0"/>
          <w:szCs w:val="20"/>
        </w:rPr>
        <w:t xml:space="preserve">- </w:t>
      </w:r>
      <w:r>
        <w:rPr>
          <w:rFonts w:ascii="Arial Narrow" w:hAnsi="Arial Narrow"/>
          <w:sz w:val="20"/>
          <w:szCs w:val="20"/>
        </w:rPr>
        <w:t>Riziká obce: Obec momentálne nevedie žiaden súdny spor.</w:t>
      </w:r>
    </w:p>
    <w:p w14:paraId="63DE6BA8">
      <w:pPr>
        <w:pStyle w:val="14"/>
        <w:spacing w:before="30" w:beforeAutospacing="0" w:after="0" w:afterAutospacing="0"/>
        <w:ind w:right="234"/>
        <w:jc w:val="both"/>
        <w:rPr>
          <w:rFonts w:ascii="Arial Narrow" w:hAnsi="Arial Narrow"/>
          <w:color w:val="000000"/>
          <w:sz w:val="20"/>
          <w:szCs w:val="20"/>
        </w:rPr>
      </w:pPr>
    </w:p>
    <w:p w14:paraId="0CA2CC4F">
      <w:pPr>
        <w:pStyle w:val="14"/>
        <w:spacing w:before="30" w:beforeAutospacing="0" w:after="0" w:afterAutospacing="0"/>
        <w:ind w:right="234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 xml:space="preserve">                          </w:t>
      </w:r>
      <w:r>
        <w:rPr>
          <w:rFonts w:ascii="Arial Narrow" w:hAnsi="Arial Narrow"/>
          <w:b/>
          <w:bCs/>
          <w:color w:val="000000"/>
          <w:sz w:val="20"/>
          <w:szCs w:val="20"/>
        </w:rPr>
        <w:t>Schválil: Roman Beličák- starosta</w:t>
      </w:r>
    </w:p>
    <w:p w14:paraId="20D8EACF">
      <w:pPr>
        <w:pStyle w:val="14"/>
        <w:spacing w:before="860" w:beforeAutospacing="0" w:after="0" w:afterAutospacing="0" w:line="720" w:lineRule="auto"/>
        <w:ind w:right="1786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 xml:space="preserve">V Zlatej Idke dňa: </w:t>
      </w:r>
    </w:p>
    <w:p w14:paraId="6FA40A79">
      <w:pPr>
        <w:pStyle w:val="14"/>
        <w:spacing w:before="860" w:beforeAutospacing="0" w:after="0" w:afterAutospacing="0" w:line="720" w:lineRule="auto"/>
        <w:ind w:left="115" w:right="1786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>Prílohy: </w:t>
      </w:r>
    </w:p>
    <w:p w14:paraId="1E5BE3D5">
      <w:pPr>
        <w:pStyle w:val="14"/>
        <w:spacing w:before="10" w:beforeAutospacing="0" w:after="0" w:afterAutospacing="0"/>
        <w:ind w:left="485" w:right="1782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 w:cs="Arial"/>
          <w:color w:val="000000"/>
          <w:sz w:val="20"/>
          <w:szCs w:val="20"/>
        </w:rPr>
        <w:t xml:space="preserve">∙ </w:t>
      </w:r>
      <w:r>
        <w:rPr>
          <w:rFonts w:ascii="Arial Narrow" w:hAnsi="Arial Narrow"/>
          <w:color w:val="000000"/>
          <w:sz w:val="20"/>
          <w:szCs w:val="20"/>
        </w:rPr>
        <w:t xml:space="preserve">Individuálna účtovná závierka: Súvaha, Výkaz ziskov a strát, Poznámky, </w:t>
      </w:r>
    </w:p>
    <w:p w14:paraId="22323BB8">
      <w:pPr>
        <w:pStyle w:val="14"/>
        <w:spacing w:before="10" w:beforeAutospacing="0" w:after="0" w:afterAutospacing="0"/>
        <w:ind w:left="485" w:right="1782"/>
        <w:rPr>
          <w:rFonts w:ascii="Arial Narrow" w:hAnsi="Arial Narrow"/>
          <w:sz w:val="20"/>
          <w:szCs w:val="20"/>
        </w:rPr>
      </w:pPr>
      <w:r>
        <w:rPr>
          <w:rFonts w:ascii="Arial Narrow" w:hAnsi="Arial Narrow" w:cs="Arial"/>
          <w:color w:val="000000"/>
          <w:sz w:val="20"/>
          <w:szCs w:val="20"/>
        </w:rPr>
        <w:t xml:space="preserve">∙ </w:t>
      </w:r>
      <w:r>
        <w:rPr>
          <w:rFonts w:ascii="Arial Narrow" w:hAnsi="Arial Narrow"/>
          <w:color w:val="000000"/>
          <w:sz w:val="20"/>
          <w:szCs w:val="20"/>
        </w:rPr>
        <w:t>Výrok audítora k individuálnej účtovnej závierke.</w:t>
      </w:r>
    </w:p>
    <w:p w14:paraId="03FD3A17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59197846">
      <w:pPr>
        <w:ind w:left="709"/>
        <w:rPr>
          <w:rFonts w:ascii="Arial Narrow" w:hAnsi="Arial Narrow" w:cs="Arial"/>
          <w:b/>
          <w:i/>
          <w:sz w:val="20"/>
          <w:szCs w:val="20"/>
        </w:rPr>
      </w:pPr>
    </w:p>
    <w:p w14:paraId="2281A2EA">
      <w:pPr>
        <w:spacing w:before="526" w:after="0" w:line="240" w:lineRule="auto"/>
        <w:ind w:left="115" w:right="231" w:firstLine="714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398F36C3">
      <w:pPr>
        <w:spacing w:before="3336" w:after="0" w:line="240" w:lineRule="auto"/>
        <w:ind w:left="113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vertAlign w:val="subscript"/>
          <w:lang w:eastAsia="sk-SK"/>
        </w:rPr>
        <w:t> </w:t>
      </w: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  <w:t> </w:t>
      </w:r>
    </w:p>
    <w:p w14:paraId="761A4EE2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3691CBB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CF41C82">
      <w:pPr>
        <w:jc w:val="center"/>
        <w:rPr>
          <w:rFonts w:ascii="Arial Narrow" w:hAnsi="Arial Narrow"/>
          <w:sz w:val="20"/>
          <w:szCs w:val="20"/>
        </w:rPr>
      </w:pPr>
    </w:p>
    <w:sectPr>
      <w:headerReference r:id="rId5" w:type="default"/>
      <w:footerReference r:id="rId6" w:type="default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EE"/>
    <w:family w:val="swiss"/>
    <w:pitch w:val="default"/>
    <w:sig w:usb0="E4002EFF" w:usb1="C0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Arial Black">
    <w:panose1 w:val="020B0A04020102020204"/>
    <w:charset w:val="EE"/>
    <w:family w:val="swiss"/>
    <w:pitch w:val="default"/>
    <w:sig w:usb0="A00002AF" w:usb1="400078FB" w:usb2="00000000" w:usb3="00000000" w:csb0="6000009F" w:csb1="DFD70000"/>
  </w:font>
  <w:font w:name="Arial Rounded MT Bold">
    <w:panose1 w:val="020F0704030504030204"/>
    <w:charset w:val="00"/>
    <w:family w:val="swiss"/>
    <w:pitch w:val="default"/>
    <w:sig w:usb0="00000003" w:usb1="00000000" w:usb2="00000000" w:usb3="00000000" w:csb0="20000001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E55225">
    <w:pPr>
      <w:pBdr>
        <w:left w:val="single" w:color="4472C4" w:themeColor="accent1" w:sz="12" w:space="11"/>
      </w:pBdr>
      <w:tabs>
        <w:tab w:val="left" w:pos="622"/>
      </w:tabs>
      <w:spacing w:after="0"/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</w:pPr>
    <w:r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  <w:fldChar w:fldCharType="begin"/>
    </w:r>
    <w:r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  <w:instrText xml:space="preserve">PAGE   \* MERGEFORMAT</w:instrText>
    </w:r>
    <w:r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  <w:fldChar w:fldCharType="separate"/>
    </w:r>
    <w:r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  <w:t>25</w:t>
    </w:r>
    <w:r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  <w:fldChar w:fldCharType="end"/>
    </w:r>
  </w:p>
  <w:p w14:paraId="6191132F">
    <w:pPr>
      <w:pStyle w:val="1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B6DD0F">
    <w:pPr>
      <w:jc w:val="center"/>
      <w:rPr>
        <w:i/>
        <w:iCs/>
        <w:color w:val="4472C4" w:themeColor="accent1"/>
        <w:sz w:val="16"/>
        <w:szCs w:val="16"/>
        <w14:textFill>
          <w14:solidFill>
            <w14:schemeClr w14:val="accent1"/>
          </w14:solidFill>
        </w14:textFill>
      </w:rPr>
    </w:pPr>
    <w:r>
      <w:rPr>
        <w:i/>
        <w:iCs/>
        <w:color w:val="4472C4" w:themeColor="accent1"/>
        <w:sz w:val="16"/>
        <w:szCs w:val="16"/>
        <w14:textFill>
          <w14:solidFill>
            <w14:schemeClr w14:val="accent1"/>
          </w14:solidFill>
        </w14:textFill>
      </w:rPr>
      <w:t xml:space="preserve">INDIVIDUÁLNA VÝROČNÁ SPRÁVA </w:t>
    </w:r>
  </w:p>
  <w:p w14:paraId="28D7F567">
    <w:pPr>
      <w:jc w:val="center"/>
      <w:rPr>
        <w:i/>
        <w:iCs/>
        <w:color w:val="4472C4" w:themeColor="accent1"/>
        <w:sz w:val="16"/>
        <w:szCs w:val="16"/>
        <w14:textFill>
          <w14:solidFill>
            <w14:schemeClr w14:val="accent1"/>
          </w14:solidFill>
        </w14:textFill>
      </w:rPr>
    </w:pPr>
    <w:r>
      <w:rPr>
        <w:i/>
        <w:iCs/>
        <w:color w:val="4472C4" w:themeColor="accent1"/>
        <w:sz w:val="16"/>
        <w:szCs w:val="16"/>
        <w14:textFill>
          <w14:solidFill>
            <w14:schemeClr w14:val="accent1"/>
          </w14:solidFill>
        </w14:textFill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912A37"/>
    <w:multiLevelType w:val="multilevel"/>
    <w:tmpl w:val="02912A37"/>
    <w:lvl w:ilvl="0" w:tentative="0">
      <w:start w:val="0"/>
      <w:numFmt w:val="bullet"/>
      <w:lvlText w:val="-"/>
      <w:lvlJc w:val="left"/>
      <w:pPr>
        <w:ind w:left="482" w:hanging="360"/>
      </w:pPr>
      <w:rPr>
        <w:rFonts w:hint="default" w:ascii="Arial Narrow" w:hAnsi="Arial Narrow" w:eastAsiaTheme="minorHAnsi" w:cstheme="minorBidi"/>
      </w:rPr>
    </w:lvl>
    <w:lvl w:ilvl="1" w:tentative="0">
      <w:start w:val="1"/>
      <w:numFmt w:val="bullet"/>
      <w:lvlText w:val="o"/>
      <w:lvlJc w:val="left"/>
      <w:pPr>
        <w:ind w:left="1202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922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642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362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082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802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522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242" w:hanging="360"/>
      </w:pPr>
      <w:rPr>
        <w:rFonts w:hint="default" w:ascii="Wingdings" w:hAnsi="Wingdings"/>
      </w:rPr>
    </w:lvl>
  </w:abstractNum>
  <w:abstractNum w:abstractNumId="1">
    <w:nsid w:val="0A8677C9"/>
    <w:multiLevelType w:val="multilevel"/>
    <w:tmpl w:val="0A8677C9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EF66AB"/>
    <w:multiLevelType w:val="multilevel"/>
    <w:tmpl w:val="0FEF66AB"/>
    <w:lvl w:ilvl="0" w:tentative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26FE6F"/>
    <w:multiLevelType w:val="singleLevel"/>
    <w:tmpl w:val="2C26FE6F"/>
    <w:lvl w:ilvl="0" w:tentative="0">
      <w:start w:val="658"/>
      <w:numFmt w:val="decimal"/>
      <w:suff w:val="space"/>
      <w:lvlText w:val="%1-"/>
      <w:lvlJc w:val="left"/>
    </w:lvl>
  </w:abstractNum>
  <w:abstractNum w:abstractNumId="4">
    <w:nsid w:val="37B725D1"/>
    <w:multiLevelType w:val="multilevel"/>
    <w:tmpl w:val="37B725D1"/>
    <w:lvl w:ilvl="0" w:tentative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abstractNum w:abstractNumId="5">
    <w:nsid w:val="3B392B86"/>
    <w:multiLevelType w:val="multilevel"/>
    <w:tmpl w:val="3B392B86"/>
    <w:lvl w:ilvl="0" w:tentative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6B65CF4"/>
    <w:multiLevelType w:val="multilevel"/>
    <w:tmpl w:val="56B65CF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ms sans serif" w:hAnsi="ms sans serif"/>
        <w:color w:val="00000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0F7437"/>
    <w:multiLevelType w:val="multilevel"/>
    <w:tmpl w:val="580F7437"/>
    <w:lvl w:ilvl="0" w:tentative="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789" w:hanging="360"/>
      </w:pPr>
    </w:lvl>
    <w:lvl w:ilvl="2" w:tentative="0">
      <w:start w:val="1"/>
      <w:numFmt w:val="lowerRoman"/>
      <w:lvlText w:val="%3."/>
      <w:lvlJc w:val="right"/>
      <w:pPr>
        <w:ind w:left="2509" w:hanging="180"/>
      </w:pPr>
    </w:lvl>
    <w:lvl w:ilvl="3" w:tentative="0">
      <w:start w:val="1"/>
      <w:numFmt w:val="decimal"/>
      <w:lvlText w:val="%4."/>
      <w:lvlJc w:val="left"/>
      <w:pPr>
        <w:ind w:left="3229" w:hanging="360"/>
      </w:pPr>
    </w:lvl>
    <w:lvl w:ilvl="4" w:tentative="0">
      <w:start w:val="1"/>
      <w:numFmt w:val="lowerLetter"/>
      <w:lvlText w:val="%5."/>
      <w:lvlJc w:val="left"/>
      <w:pPr>
        <w:ind w:left="3949" w:hanging="360"/>
      </w:pPr>
    </w:lvl>
    <w:lvl w:ilvl="5" w:tentative="0">
      <w:start w:val="1"/>
      <w:numFmt w:val="lowerRoman"/>
      <w:lvlText w:val="%6."/>
      <w:lvlJc w:val="right"/>
      <w:pPr>
        <w:ind w:left="4669" w:hanging="180"/>
      </w:pPr>
    </w:lvl>
    <w:lvl w:ilvl="6" w:tentative="0">
      <w:start w:val="1"/>
      <w:numFmt w:val="decimal"/>
      <w:lvlText w:val="%7."/>
      <w:lvlJc w:val="left"/>
      <w:pPr>
        <w:ind w:left="5389" w:hanging="360"/>
      </w:pPr>
    </w:lvl>
    <w:lvl w:ilvl="7" w:tentative="0">
      <w:start w:val="1"/>
      <w:numFmt w:val="lowerLetter"/>
      <w:lvlText w:val="%8."/>
      <w:lvlJc w:val="left"/>
      <w:pPr>
        <w:ind w:left="6109" w:hanging="360"/>
      </w:pPr>
    </w:lvl>
    <w:lvl w:ilvl="8" w:tentative="0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08130B7"/>
    <w:multiLevelType w:val="singleLevel"/>
    <w:tmpl w:val="608130B7"/>
    <w:lvl w:ilvl="0" w:tentative="0">
      <w:start w:val="645"/>
      <w:numFmt w:val="decimal"/>
      <w:suff w:val="space"/>
      <w:lvlText w:val="%1-"/>
      <w:lvlJc w:val="left"/>
    </w:lvl>
  </w:abstractNum>
  <w:abstractNum w:abstractNumId="9">
    <w:nsid w:val="68EE47B4"/>
    <w:multiLevelType w:val="multilevel"/>
    <w:tmpl w:val="68EE47B4"/>
    <w:lvl w:ilvl="0" w:tentative="0">
      <w:start w:val="1"/>
      <w:numFmt w:val="bullet"/>
      <w:lvlText w:val="-"/>
      <w:lvlJc w:val="left"/>
      <w:pPr>
        <w:ind w:left="678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ind w:left="1398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18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38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58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278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998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18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38" w:hanging="360"/>
      </w:pPr>
      <w:rPr>
        <w:rFonts w:hint="default" w:ascii="Wingdings" w:hAnsi="Wingdings"/>
      </w:rPr>
    </w:lvl>
  </w:abstractNum>
  <w:abstractNum w:abstractNumId="10">
    <w:nsid w:val="78553304"/>
    <w:multiLevelType w:val="multilevel"/>
    <w:tmpl w:val="78553304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Cambria" w:hAnsi="Cambria" w:eastAsia="Times New Roman" w:cs="Aria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5"/>
  </w:num>
  <w:num w:numId="5">
    <w:abstractNumId w:val="1"/>
  </w:num>
  <w:num w:numId="6">
    <w:abstractNumId w:val="2"/>
  </w:num>
  <w:num w:numId="7">
    <w:abstractNumId w:val="9"/>
  </w:num>
  <w:num w:numId="8">
    <w:abstractNumId w:val="8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C94"/>
    <w:rsid w:val="0000661A"/>
    <w:rsid w:val="00041F19"/>
    <w:rsid w:val="00043766"/>
    <w:rsid w:val="0006058C"/>
    <w:rsid w:val="00066842"/>
    <w:rsid w:val="0008229F"/>
    <w:rsid w:val="000A54A6"/>
    <w:rsid w:val="000B2B7A"/>
    <w:rsid w:val="000B70F7"/>
    <w:rsid w:val="000C016B"/>
    <w:rsid w:val="000C4D45"/>
    <w:rsid w:val="000D075C"/>
    <w:rsid w:val="000D4943"/>
    <w:rsid w:val="000D7CE7"/>
    <w:rsid w:val="000E6C9D"/>
    <w:rsid w:val="000F1B3D"/>
    <w:rsid w:val="000F36CC"/>
    <w:rsid w:val="000F5DBA"/>
    <w:rsid w:val="00101B4A"/>
    <w:rsid w:val="00121408"/>
    <w:rsid w:val="0012543C"/>
    <w:rsid w:val="001405A8"/>
    <w:rsid w:val="00161DFA"/>
    <w:rsid w:val="001737BD"/>
    <w:rsid w:val="001A07C3"/>
    <w:rsid w:val="001A1432"/>
    <w:rsid w:val="001A58CA"/>
    <w:rsid w:val="001A5A69"/>
    <w:rsid w:val="001E3F3C"/>
    <w:rsid w:val="001E61FF"/>
    <w:rsid w:val="00202A1D"/>
    <w:rsid w:val="00212EB9"/>
    <w:rsid w:val="00214B54"/>
    <w:rsid w:val="002157E1"/>
    <w:rsid w:val="00221998"/>
    <w:rsid w:val="0022580B"/>
    <w:rsid w:val="00232853"/>
    <w:rsid w:val="0024443E"/>
    <w:rsid w:val="0026311A"/>
    <w:rsid w:val="00280FE6"/>
    <w:rsid w:val="002815D2"/>
    <w:rsid w:val="00282A32"/>
    <w:rsid w:val="00283781"/>
    <w:rsid w:val="00286881"/>
    <w:rsid w:val="0029004F"/>
    <w:rsid w:val="00290766"/>
    <w:rsid w:val="00297DE0"/>
    <w:rsid w:val="002A5FE7"/>
    <w:rsid w:val="002B4E8B"/>
    <w:rsid w:val="002C1600"/>
    <w:rsid w:val="002C4705"/>
    <w:rsid w:val="002D3A29"/>
    <w:rsid w:val="002E468A"/>
    <w:rsid w:val="002F2B7C"/>
    <w:rsid w:val="002F2BFA"/>
    <w:rsid w:val="002F382F"/>
    <w:rsid w:val="00300DF0"/>
    <w:rsid w:val="00306C62"/>
    <w:rsid w:val="00312196"/>
    <w:rsid w:val="00313BF6"/>
    <w:rsid w:val="00314AFF"/>
    <w:rsid w:val="00331DA0"/>
    <w:rsid w:val="00336096"/>
    <w:rsid w:val="00337D53"/>
    <w:rsid w:val="00376B4D"/>
    <w:rsid w:val="003778BC"/>
    <w:rsid w:val="00386570"/>
    <w:rsid w:val="00386714"/>
    <w:rsid w:val="003A0CA5"/>
    <w:rsid w:val="003A3CF2"/>
    <w:rsid w:val="003C5331"/>
    <w:rsid w:val="003E27C4"/>
    <w:rsid w:val="003F2B36"/>
    <w:rsid w:val="003F705D"/>
    <w:rsid w:val="004135F8"/>
    <w:rsid w:val="004249CF"/>
    <w:rsid w:val="004415C8"/>
    <w:rsid w:val="004418C3"/>
    <w:rsid w:val="00446986"/>
    <w:rsid w:val="0045289C"/>
    <w:rsid w:val="00452D41"/>
    <w:rsid w:val="004561CF"/>
    <w:rsid w:val="0046099F"/>
    <w:rsid w:val="00461C22"/>
    <w:rsid w:val="0048066A"/>
    <w:rsid w:val="004815AB"/>
    <w:rsid w:val="00484CFC"/>
    <w:rsid w:val="004916CB"/>
    <w:rsid w:val="004A591C"/>
    <w:rsid w:val="004A75D0"/>
    <w:rsid w:val="004B0C2C"/>
    <w:rsid w:val="004B64D4"/>
    <w:rsid w:val="004C6842"/>
    <w:rsid w:val="004D4723"/>
    <w:rsid w:val="00500C81"/>
    <w:rsid w:val="005011A3"/>
    <w:rsid w:val="005029EE"/>
    <w:rsid w:val="0050503E"/>
    <w:rsid w:val="005144E6"/>
    <w:rsid w:val="00531FA8"/>
    <w:rsid w:val="00540AB4"/>
    <w:rsid w:val="0054140C"/>
    <w:rsid w:val="00546D52"/>
    <w:rsid w:val="0054737E"/>
    <w:rsid w:val="005561F3"/>
    <w:rsid w:val="00560790"/>
    <w:rsid w:val="00574FC6"/>
    <w:rsid w:val="00581B8C"/>
    <w:rsid w:val="00592425"/>
    <w:rsid w:val="00593323"/>
    <w:rsid w:val="005A39AB"/>
    <w:rsid w:val="005A7848"/>
    <w:rsid w:val="005B33C8"/>
    <w:rsid w:val="005B62EE"/>
    <w:rsid w:val="005B7C87"/>
    <w:rsid w:val="005C1D15"/>
    <w:rsid w:val="005C4869"/>
    <w:rsid w:val="005E16E4"/>
    <w:rsid w:val="005E1F83"/>
    <w:rsid w:val="005E2717"/>
    <w:rsid w:val="005F0854"/>
    <w:rsid w:val="005F32AF"/>
    <w:rsid w:val="005F354A"/>
    <w:rsid w:val="005F5DF7"/>
    <w:rsid w:val="00606834"/>
    <w:rsid w:val="00612F79"/>
    <w:rsid w:val="006335F5"/>
    <w:rsid w:val="00633C4F"/>
    <w:rsid w:val="006347FC"/>
    <w:rsid w:val="00643889"/>
    <w:rsid w:val="00645B59"/>
    <w:rsid w:val="00651D77"/>
    <w:rsid w:val="00676D0F"/>
    <w:rsid w:val="006908C7"/>
    <w:rsid w:val="00691D98"/>
    <w:rsid w:val="00691ECD"/>
    <w:rsid w:val="006A39BD"/>
    <w:rsid w:val="006A5A04"/>
    <w:rsid w:val="006A6A69"/>
    <w:rsid w:val="006B1603"/>
    <w:rsid w:val="006B4964"/>
    <w:rsid w:val="006C44C0"/>
    <w:rsid w:val="006D5BE7"/>
    <w:rsid w:val="006E40D0"/>
    <w:rsid w:val="006E76A8"/>
    <w:rsid w:val="0070005C"/>
    <w:rsid w:val="00711BD0"/>
    <w:rsid w:val="0072622C"/>
    <w:rsid w:val="00750783"/>
    <w:rsid w:val="00750CD1"/>
    <w:rsid w:val="00751652"/>
    <w:rsid w:val="0075592B"/>
    <w:rsid w:val="007571B1"/>
    <w:rsid w:val="0075778D"/>
    <w:rsid w:val="00765DBA"/>
    <w:rsid w:val="0077212C"/>
    <w:rsid w:val="00775B24"/>
    <w:rsid w:val="00776A9E"/>
    <w:rsid w:val="0077783D"/>
    <w:rsid w:val="0078193A"/>
    <w:rsid w:val="007829B1"/>
    <w:rsid w:val="00786483"/>
    <w:rsid w:val="007B0D1A"/>
    <w:rsid w:val="007B23F2"/>
    <w:rsid w:val="007B5A74"/>
    <w:rsid w:val="007C0A82"/>
    <w:rsid w:val="007C3E6A"/>
    <w:rsid w:val="007C49CA"/>
    <w:rsid w:val="007E0243"/>
    <w:rsid w:val="007E11E9"/>
    <w:rsid w:val="007F0CD5"/>
    <w:rsid w:val="007F5D3D"/>
    <w:rsid w:val="00801E0E"/>
    <w:rsid w:val="00805122"/>
    <w:rsid w:val="00805FD3"/>
    <w:rsid w:val="008116BF"/>
    <w:rsid w:val="00836A3B"/>
    <w:rsid w:val="00836DEB"/>
    <w:rsid w:val="008417EF"/>
    <w:rsid w:val="00853BD9"/>
    <w:rsid w:val="00853EAF"/>
    <w:rsid w:val="00857A43"/>
    <w:rsid w:val="008600AE"/>
    <w:rsid w:val="008607CA"/>
    <w:rsid w:val="00864621"/>
    <w:rsid w:val="00876B73"/>
    <w:rsid w:val="00886D3D"/>
    <w:rsid w:val="00894DF6"/>
    <w:rsid w:val="008A3D48"/>
    <w:rsid w:val="008A6FAC"/>
    <w:rsid w:val="008B74D3"/>
    <w:rsid w:val="008D3192"/>
    <w:rsid w:val="008E4EE2"/>
    <w:rsid w:val="008E7BA0"/>
    <w:rsid w:val="008F77CA"/>
    <w:rsid w:val="00910D9C"/>
    <w:rsid w:val="00913659"/>
    <w:rsid w:val="00915692"/>
    <w:rsid w:val="009203DC"/>
    <w:rsid w:val="0092260F"/>
    <w:rsid w:val="009301D6"/>
    <w:rsid w:val="0095077C"/>
    <w:rsid w:val="009514E8"/>
    <w:rsid w:val="00964881"/>
    <w:rsid w:val="00966618"/>
    <w:rsid w:val="00985AAE"/>
    <w:rsid w:val="009866A1"/>
    <w:rsid w:val="00994321"/>
    <w:rsid w:val="009A0991"/>
    <w:rsid w:val="009A0FE3"/>
    <w:rsid w:val="009A7A98"/>
    <w:rsid w:val="009B43C9"/>
    <w:rsid w:val="009C2F71"/>
    <w:rsid w:val="009E3001"/>
    <w:rsid w:val="009F060D"/>
    <w:rsid w:val="009F49C1"/>
    <w:rsid w:val="00A05DF0"/>
    <w:rsid w:val="00A06E12"/>
    <w:rsid w:val="00A11B58"/>
    <w:rsid w:val="00A23407"/>
    <w:rsid w:val="00A24411"/>
    <w:rsid w:val="00A346FC"/>
    <w:rsid w:val="00A34C57"/>
    <w:rsid w:val="00A40FCE"/>
    <w:rsid w:val="00A46161"/>
    <w:rsid w:val="00A5392D"/>
    <w:rsid w:val="00A62377"/>
    <w:rsid w:val="00A65D4E"/>
    <w:rsid w:val="00A71600"/>
    <w:rsid w:val="00A86E68"/>
    <w:rsid w:val="00AA3561"/>
    <w:rsid w:val="00AB48F3"/>
    <w:rsid w:val="00AC0AA1"/>
    <w:rsid w:val="00AC3171"/>
    <w:rsid w:val="00AD01AA"/>
    <w:rsid w:val="00AD1528"/>
    <w:rsid w:val="00AE3751"/>
    <w:rsid w:val="00AE657E"/>
    <w:rsid w:val="00B0026F"/>
    <w:rsid w:val="00B0091E"/>
    <w:rsid w:val="00B0614E"/>
    <w:rsid w:val="00B06CDE"/>
    <w:rsid w:val="00B11764"/>
    <w:rsid w:val="00B14D7A"/>
    <w:rsid w:val="00B2675B"/>
    <w:rsid w:val="00B27945"/>
    <w:rsid w:val="00B321A7"/>
    <w:rsid w:val="00B403C7"/>
    <w:rsid w:val="00B45091"/>
    <w:rsid w:val="00B51C94"/>
    <w:rsid w:val="00B6447E"/>
    <w:rsid w:val="00B66CE3"/>
    <w:rsid w:val="00B77E7F"/>
    <w:rsid w:val="00B809C0"/>
    <w:rsid w:val="00B934CD"/>
    <w:rsid w:val="00BB1E69"/>
    <w:rsid w:val="00BB75BB"/>
    <w:rsid w:val="00BC19FE"/>
    <w:rsid w:val="00BE2E85"/>
    <w:rsid w:val="00BE3268"/>
    <w:rsid w:val="00BF5892"/>
    <w:rsid w:val="00C02A15"/>
    <w:rsid w:val="00C11899"/>
    <w:rsid w:val="00C11D47"/>
    <w:rsid w:val="00C478B0"/>
    <w:rsid w:val="00C52672"/>
    <w:rsid w:val="00C57BA1"/>
    <w:rsid w:val="00C701A2"/>
    <w:rsid w:val="00C70546"/>
    <w:rsid w:val="00C77E99"/>
    <w:rsid w:val="00C9529F"/>
    <w:rsid w:val="00CE718C"/>
    <w:rsid w:val="00D05D69"/>
    <w:rsid w:val="00D13DF6"/>
    <w:rsid w:val="00D21E55"/>
    <w:rsid w:val="00D555A9"/>
    <w:rsid w:val="00D62427"/>
    <w:rsid w:val="00D626EB"/>
    <w:rsid w:val="00D642C3"/>
    <w:rsid w:val="00D75E01"/>
    <w:rsid w:val="00D770E6"/>
    <w:rsid w:val="00DA12B6"/>
    <w:rsid w:val="00DB7BDB"/>
    <w:rsid w:val="00DC0EE1"/>
    <w:rsid w:val="00DC19C0"/>
    <w:rsid w:val="00DC595F"/>
    <w:rsid w:val="00DC5CF2"/>
    <w:rsid w:val="00DE3289"/>
    <w:rsid w:val="00E0342D"/>
    <w:rsid w:val="00E229A6"/>
    <w:rsid w:val="00E24BEA"/>
    <w:rsid w:val="00E2701A"/>
    <w:rsid w:val="00E37AEA"/>
    <w:rsid w:val="00E43C41"/>
    <w:rsid w:val="00E57B53"/>
    <w:rsid w:val="00E66CBE"/>
    <w:rsid w:val="00E74130"/>
    <w:rsid w:val="00E9414A"/>
    <w:rsid w:val="00EA1881"/>
    <w:rsid w:val="00EB2A41"/>
    <w:rsid w:val="00EB5911"/>
    <w:rsid w:val="00EC7840"/>
    <w:rsid w:val="00ED55B2"/>
    <w:rsid w:val="00EE4791"/>
    <w:rsid w:val="00EF4196"/>
    <w:rsid w:val="00F00A85"/>
    <w:rsid w:val="00F02B4E"/>
    <w:rsid w:val="00F26690"/>
    <w:rsid w:val="00F433B3"/>
    <w:rsid w:val="00F4567A"/>
    <w:rsid w:val="00F84280"/>
    <w:rsid w:val="00F85010"/>
    <w:rsid w:val="00F96012"/>
    <w:rsid w:val="00F97C5F"/>
    <w:rsid w:val="00FB48BA"/>
    <w:rsid w:val="00FC5FFE"/>
    <w:rsid w:val="00FD621C"/>
    <w:rsid w:val="0A9E0640"/>
    <w:rsid w:val="0B1E059C"/>
    <w:rsid w:val="1688387D"/>
    <w:rsid w:val="1C3245D0"/>
    <w:rsid w:val="29275DD6"/>
    <w:rsid w:val="3A7E2841"/>
    <w:rsid w:val="3A815804"/>
    <w:rsid w:val="5F0E5991"/>
    <w:rsid w:val="726C4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nhideWhenUsed="0" w:uiPriority="0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0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2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next w:val="1"/>
    <w:link w:val="21"/>
    <w:qFormat/>
    <w:uiPriority w:val="0"/>
    <w:pPr>
      <w:keepNext/>
      <w:spacing w:before="240" w:after="60" w:line="240" w:lineRule="auto"/>
      <w:outlineLvl w:val="0"/>
    </w:pPr>
    <w:rPr>
      <w:rFonts w:ascii="Cambria" w:hAnsi="Cambria" w:eastAsia="Times New Roman" w:cs="Times New Roman"/>
      <w:b/>
      <w:bCs/>
      <w:kern w:val="32"/>
      <w:sz w:val="32"/>
      <w:szCs w:val="32"/>
      <w:lang w:val="zh-CN" w:eastAsia="zh-CN"/>
    </w:rPr>
  </w:style>
  <w:style w:type="paragraph" w:styleId="3">
    <w:name w:val="heading 2"/>
    <w:basedOn w:val="1"/>
    <w:next w:val="1"/>
    <w:link w:val="41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597" w:themeColor="accent1" w:themeShade="BF"/>
      <w:sz w:val="26"/>
      <w:szCs w:val="26"/>
    </w:rPr>
  </w:style>
  <w:style w:type="paragraph" w:styleId="4">
    <w:name w:val="heading 3"/>
    <w:basedOn w:val="1"/>
    <w:link w:val="22"/>
    <w:qFormat/>
    <w:uiPriority w:val="9"/>
    <w:pPr>
      <w:spacing w:before="100" w:beforeAutospacing="1" w:after="100" w:afterAutospacing="1" w:line="240" w:lineRule="auto"/>
      <w:outlineLvl w:val="2"/>
    </w:pPr>
    <w:rPr>
      <w:rFonts w:ascii="Times New Roman" w:hAnsi="Times New Roman" w:eastAsia="Times New Roman" w:cs="Times New Roman"/>
      <w:b/>
      <w:bCs/>
      <w:sz w:val="27"/>
      <w:szCs w:val="27"/>
      <w:lang w:eastAsia="sk-SK"/>
    </w:rPr>
  </w:style>
  <w:style w:type="paragraph" w:styleId="5">
    <w:name w:val="heading 5"/>
    <w:basedOn w:val="1"/>
    <w:next w:val="1"/>
    <w:link w:val="44"/>
    <w:semiHidden/>
    <w:unhideWhenUsed/>
    <w:qFormat/>
    <w:uiPriority w:val="9"/>
    <w:pPr>
      <w:keepNext/>
      <w:keepLines/>
      <w:spacing w:before="40" w:after="0"/>
      <w:outlineLvl w:val="4"/>
    </w:pPr>
    <w:rPr>
      <w:rFonts w:asciiTheme="majorHAnsi" w:hAnsiTheme="majorHAnsi" w:eastAsiaTheme="majorEastAsia" w:cstheme="majorBidi"/>
      <w:color w:val="2F5597" w:themeColor="accent1" w:themeShade="BF"/>
    </w:rPr>
  </w:style>
  <w:style w:type="character" w:default="1" w:styleId="6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Balloon Text"/>
    <w:basedOn w:val="1"/>
    <w:link w:val="33"/>
    <w:qFormat/>
    <w:uiPriority w:val="0"/>
    <w:pPr>
      <w:spacing w:after="0" w:line="240" w:lineRule="auto"/>
    </w:pPr>
    <w:rPr>
      <w:rFonts w:ascii="Tahoma" w:hAnsi="Tahoma" w:eastAsia="Times New Roman" w:cs="Times New Roman"/>
      <w:sz w:val="16"/>
      <w:szCs w:val="16"/>
      <w:lang w:val="zh-CN" w:eastAsia="zh-CN"/>
    </w:rPr>
  </w:style>
  <w:style w:type="paragraph" w:styleId="9">
    <w:name w:val="Body Text"/>
    <w:basedOn w:val="1"/>
    <w:link w:val="39"/>
    <w:semiHidden/>
    <w:unhideWhenUsed/>
    <w:qFormat/>
    <w:uiPriority w:val="99"/>
  </w:style>
  <w:style w:type="paragraph" w:styleId="10">
    <w:name w:val="footer"/>
    <w:basedOn w:val="1"/>
    <w:link w:val="24"/>
    <w:unhideWhenUsed/>
    <w:qFormat/>
    <w:uiPriority w:val="0"/>
    <w:pPr>
      <w:tabs>
        <w:tab w:val="center" w:pos="4536"/>
        <w:tab w:val="right" w:pos="9072"/>
      </w:tabs>
      <w:spacing w:after="0" w:line="240" w:lineRule="auto"/>
    </w:pPr>
  </w:style>
  <w:style w:type="paragraph" w:styleId="11">
    <w:name w:val="footnote text"/>
    <w:basedOn w:val="1"/>
    <w:link w:val="32"/>
    <w:semiHidden/>
    <w:uiPriority w:val="0"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12">
    <w:name w:val="header"/>
    <w:basedOn w:val="1"/>
    <w:link w:val="23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styleId="13">
    <w:name w:val="Hyperlink"/>
    <w:basedOn w:val="6"/>
    <w:unhideWhenUsed/>
    <w:qFormat/>
    <w:uiPriority w:val="99"/>
    <w:rPr>
      <w:color w:val="0000FF"/>
      <w:u w:val="single"/>
    </w:r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styleId="15">
    <w:name w:val="page number"/>
    <w:basedOn w:val="6"/>
    <w:qFormat/>
    <w:uiPriority w:val="0"/>
  </w:style>
  <w:style w:type="table" w:styleId="16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7">
    <w:name w:val="Title"/>
    <w:basedOn w:val="1"/>
    <w:next w:val="1"/>
    <w:link w:val="34"/>
    <w:qFormat/>
    <w:uiPriority w:val="0"/>
    <w:pPr>
      <w:spacing w:before="240" w:after="60" w:line="240" w:lineRule="auto"/>
      <w:jc w:val="center"/>
      <w:outlineLvl w:val="0"/>
    </w:pPr>
    <w:rPr>
      <w:rFonts w:ascii="Cambria" w:hAnsi="Cambria" w:eastAsia="Times New Roman" w:cs="Times New Roman"/>
      <w:b/>
      <w:bCs/>
      <w:kern w:val="28"/>
      <w:sz w:val="32"/>
      <w:szCs w:val="32"/>
      <w:lang w:val="zh-CN" w:eastAsia="zh-CN"/>
    </w:rPr>
  </w:style>
  <w:style w:type="paragraph" w:styleId="18">
    <w:name w:val="toc 1"/>
    <w:basedOn w:val="1"/>
    <w:next w:val="1"/>
    <w:autoRedefine/>
    <w:unhideWhenUsed/>
    <w:qFormat/>
    <w:uiPriority w:val="39"/>
    <w:pPr>
      <w:spacing w:after="100"/>
    </w:pPr>
  </w:style>
  <w:style w:type="paragraph" w:styleId="19">
    <w:name w:val="toc 2"/>
    <w:basedOn w:val="1"/>
    <w:next w:val="1"/>
    <w:autoRedefine/>
    <w:unhideWhenUsed/>
    <w:qFormat/>
    <w:uiPriority w:val="39"/>
    <w:pPr>
      <w:spacing w:after="100" w:line="259" w:lineRule="auto"/>
      <w:ind w:left="220"/>
    </w:pPr>
    <w:rPr>
      <w:rFonts w:cs="Times New Roman" w:eastAsiaTheme="minorEastAsia"/>
      <w:lang w:eastAsia="sk-SK"/>
    </w:rPr>
  </w:style>
  <w:style w:type="paragraph" w:styleId="20">
    <w:name w:val="toc 3"/>
    <w:basedOn w:val="1"/>
    <w:next w:val="1"/>
    <w:autoRedefine/>
    <w:unhideWhenUsed/>
    <w:qFormat/>
    <w:uiPriority w:val="39"/>
    <w:pPr>
      <w:spacing w:after="100" w:line="259" w:lineRule="auto"/>
      <w:ind w:left="440"/>
    </w:pPr>
    <w:rPr>
      <w:rFonts w:cs="Times New Roman" w:eastAsiaTheme="minorEastAsia"/>
      <w:lang w:eastAsia="sk-SK"/>
    </w:rPr>
  </w:style>
  <w:style w:type="character" w:customStyle="1" w:styleId="21">
    <w:name w:val="Nadpis 1 Char"/>
    <w:basedOn w:val="6"/>
    <w:link w:val="2"/>
    <w:qFormat/>
    <w:uiPriority w:val="0"/>
    <w:rPr>
      <w:rFonts w:ascii="Cambria" w:hAnsi="Cambria" w:eastAsia="Times New Roman" w:cs="Times New Roman"/>
      <w:b/>
      <w:bCs/>
      <w:kern w:val="32"/>
      <w:sz w:val="32"/>
      <w:szCs w:val="32"/>
      <w:lang w:val="zh-CN" w:eastAsia="zh-CN"/>
    </w:rPr>
  </w:style>
  <w:style w:type="character" w:customStyle="1" w:styleId="22">
    <w:name w:val="Nadpis 3 Char"/>
    <w:basedOn w:val="6"/>
    <w:link w:val="4"/>
    <w:qFormat/>
    <w:uiPriority w:val="9"/>
    <w:rPr>
      <w:rFonts w:ascii="Times New Roman" w:hAnsi="Times New Roman" w:eastAsia="Times New Roman" w:cs="Times New Roman"/>
      <w:b/>
      <w:bCs/>
      <w:sz w:val="27"/>
      <w:szCs w:val="27"/>
      <w:lang w:eastAsia="sk-SK"/>
    </w:rPr>
  </w:style>
  <w:style w:type="character" w:customStyle="1" w:styleId="23">
    <w:name w:val="Hlavička Char"/>
    <w:basedOn w:val="6"/>
    <w:link w:val="12"/>
    <w:qFormat/>
    <w:uiPriority w:val="99"/>
  </w:style>
  <w:style w:type="character" w:customStyle="1" w:styleId="24">
    <w:name w:val="Päta Char"/>
    <w:basedOn w:val="6"/>
    <w:link w:val="10"/>
    <w:qFormat/>
    <w:uiPriority w:val="99"/>
  </w:style>
  <w:style w:type="paragraph" w:customStyle="1" w:styleId="25">
    <w:name w:val="Normálny1"/>
    <w:qFormat/>
    <w:uiPriority w:val="0"/>
    <w:pPr>
      <w:spacing w:line="276" w:lineRule="auto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customStyle="1" w:styleId="26">
    <w:name w:val="Normálny2"/>
    <w:qFormat/>
    <w:uiPriority w:val="0"/>
    <w:pPr>
      <w:spacing w:line="276" w:lineRule="auto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character" w:customStyle="1" w:styleId="27">
    <w:name w:val="mw-headline"/>
    <w:basedOn w:val="6"/>
    <w:qFormat/>
    <w:uiPriority w:val="0"/>
  </w:style>
  <w:style w:type="character" w:customStyle="1" w:styleId="28">
    <w:name w:val="mw-editsection"/>
    <w:basedOn w:val="6"/>
    <w:qFormat/>
    <w:uiPriority w:val="0"/>
  </w:style>
  <w:style w:type="character" w:customStyle="1" w:styleId="29">
    <w:name w:val="mw-editsection-bracket"/>
    <w:basedOn w:val="6"/>
    <w:qFormat/>
    <w:uiPriority w:val="0"/>
  </w:style>
  <w:style w:type="character" w:customStyle="1" w:styleId="30">
    <w:name w:val="mw-editsection-divider"/>
    <w:basedOn w:val="6"/>
    <w:qFormat/>
    <w:uiPriority w:val="0"/>
  </w:style>
  <w:style w:type="character" w:customStyle="1" w:styleId="31">
    <w:name w:val="Nevyriešená zmienka1"/>
    <w:basedOn w:val="6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32">
    <w:name w:val="Text poznámky pod čiarou Char"/>
    <w:basedOn w:val="6"/>
    <w:link w:val="11"/>
    <w:semiHidden/>
    <w:qFormat/>
    <w:uiPriority w:val="0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customStyle="1" w:styleId="33">
    <w:name w:val="Text bubliny Char"/>
    <w:basedOn w:val="6"/>
    <w:link w:val="8"/>
    <w:qFormat/>
    <w:uiPriority w:val="0"/>
    <w:rPr>
      <w:rFonts w:ascii="Tahoma" w:hAnsi="Tahoma" w:eastAsia="Times New Roman" w:cs="Times New Roman"/>
      <w:sz w:val="16"/>
      <w:szCs w:val="16"/>
      <w:lang w:val="zh-CN" w:eastAsia="zh-CN"/>
    </w:rPr>
  </w:style>
  <w:style w:type="character" w:customStyle="1" w:styleId="34">
    <w:name w:val="Názov Char"/>
    <w:basedOn w:val="6"/>
    <w:link w:val="17"/>
    <w:qFormat/>
    <w:uiPriority w:val="0"/>
    <w:rPr>
      <w:rFonts w:ascii="Cambria" w:hAnsi="Cambria" w:eastAsia="Times New Roman" w:cs="Times New Roman"/>
      <w:b/>
      <w:bCs/>
      <w:kern w:val="28"/>
      <w:sz w:val="32"/>
      <w:szCs w:val="32"/>
      <w:lang w:val="zh-CN" w:eastAsia="zh-CN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4472C4" w:sz="4" w:space="10"/>
        <w:bottom w:val="single" w:color="4472C4" w:sz="4" w:space="10"/>
      </w:pBdr>
      <w:spacing w:before="360" w:after="360" w:line="240" w:lineRule="auto"/>
      <w:ind w:left="864" w:right="864"/>
      <w:jc w:val="center"/>
    </w:pPr>
    <w:rPr>
      <w:rFonts w:ascii="Times New Roman" w:hAnsi="Times New Roman" w:eastAsia="Times New Roman" w:cs="Times New Roman"/>
      <w:i/>
      <w:iCs/>
      <w:color w:val="4472C4"/>
      <w:sz w:val="24"/>
      <w:szCs w:val="24"/>
      <w:lang w:eastAsia="sk-SK"/>
    </w:rPr>
  </w:style>
  <w:style w:type="character" w:customStyle="1" w:styleId="36">
    <w:name w:val="Zvýraznená citácia Char"/>
    <w:basedOn w:val="6"/>
    <w:link w:val="35"/>
    <w:qFormat/>
    <w:uiPriority w:val="30"/>
    <w:rPr>
      <w:rFonts w:ascii="Times New Roman" w:hAnsi="Times New Roman" w:eastAsia="Times New Roman" w:cs="Times New Roman"/>
      <w:i/>
      <w:iCs/>
      <w:color w:val="4472C4"/>
      <w:sz w:val="24"/>
      <w:szCs w:val="24"/>
      <w:lang w:eastAsia="sk-SK"/>
    </w:rPr>
  </w:style>
  <w:style w:type="paragraph" w:styleId="37">
    <w:name w:val="List Paragraph"/>
    <w:basedOn w:val="1"/>
    <w:qFormat/>
    <w:uiPriority w:val="34"/>
    <w:pPr>
      <w:spacing w:after="0" w:line="240" w:lineRule="auto"/>
      <w:ind w:left="708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paragraph" w:customStyle="1" w:styleId="38">
    <w:name w:val="Pismenka"/>
    <w:basedOn w:val="9"/>
    <w:qFormat/>
    <w:uiPriority w:val="0"/>
    <w:pPr>
      <w:tabs>
        <w:tab w:val="left" w:pos="426"/>
      </w:tabs>
      <w:spacing w:after="0" w:line="240" w:lineRule="auto"/>
      <w:ind w:left="426" w:hanging="426"/>
      <w:jc w:val="both"/>
    </w:pPr>
    <w:rPr>
      <w:rFonts w:ascii="Times New Roman" w:hAnsi="Times New Roman" w:eastAsia="Times New Roman" w:cs="Times New Roman"/>
      <w:b/>
      <w:sz w:val="18"/>
      <w:szCs w:val="20"/>
      <w:lang w:eastAsia="sk-SK"/>
    </w:rPr>
  </w:style>
  <w:style w:type="character" w:customStyle="1" w:styleId="39">
    <w:name w:val="Základný text Char"/>
    <w:basedOn w:val="6"/>
    <w:link w:val="9"/>
    <w:semiHidden/>
    <w:qFormat/>
    <w:uiPriority w:val="99"/>
  </w:style>
  <w:style w:type="paragraph" w:customStyle="1" w:styleId="40">
    <w:name w:val="Hlavička obsahu1"/>
    <w:basedOn w:val="2"/>
    <w:next w:val="1"/>
    <w:unhideWhenUsed/>
    <w:qFormat/>
    <w:uiPriority w:val="39"/>
    <w:pPr>
      <w:keepLines/>
      <w:spacing w:after="0" w:line="259" w:lineRule="auto"/>
      <w:outlineLvl w:val="9"/>
    </w:pPr>
    <w:rPr>
      <w:rFonts w:asciiTheme="majorHAnsi" w:hAnsiTheme="majorHAnsi" w:eastAsiaTheme="majorEastAsia" w:cstheme="majorBidi"/>
      <w:b w:val="0"/>
      <w:bCs w:val="0"/>
      <w:color w:val="2F5597" w:themeColor="accent1" w:themeShade="BF"/>
      <w:kern w:val="0"/>
      <w:lang w:val="sk-SK" w:eastAsia="sk-SK"/>
    </w:rPr>
  </w:style>
  <w:style w:type="character" w:customStyle="1" w:styleId="41">
    <w:name w:val="Nadpis 2 Char"/>
    <w:basedOn w:val="6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26"/>
      <w:szCs w:val="26"/>
    </w:rPr>
  </w:style>
  <w:style w:type="character" w:styleId="42">
    <w:name w:val="Placeholder Text"/>
    <w:basedOn w:val="6"/>
    <w:semiHidden/>
    <w:uiPriority w:val="99"/>
    <w:rPr>
      <w:color w:val="808080"/>
    </w:rPr>
  </w:style>
  <w:style w:type="paragraph" w:customStyle="1" w:styleId="43">
    <w:name w:val="Default"/>
    <w:uiPriority w:val="0"/>
    <w:pPr>
      <w:autoSpaceDE w:val="0"/>
      <w:autoSpaceDN w:val="0"/>
      <w:adjustRightInd w:val="0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character" w:customStyle="1" w:styleId="44">
    <w:name w:val="Nadpis 5 Char"/>
    <w:basedOn w:val="6"/>
    <w:link w:val="5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22"/>
      <w:szCs w:val="22"/>
      <w:lang w:eastAsia="en-US"/>
    </w:rPr>
  </w:style>
  <w:style w:type="character" w:customStyle="1" w:styleId="45">
    <w:name w:val="Unresolved Mention"/>
    <w:basedOn w:val="6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jpe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image" Target="media/image9.jpeg"/><Relationship Id="rId15" Type="http://schemas.openxmlformats.org/officeDocument/2006/relationships/image" Target="media/image8.jpeg"/><Relationship Id="rId14" Type="http://schemas.openxmlformats.org/officeDocument/2006/relationships/image" Target="media/image7.jpeg"/><Relationship Id="rId13" Type="http://schemas.openxmlformats.org/officeDocument/2006/relationships/image" Target="media/image6.jpeg"/><Relationship Id="rId12" Type="http://schemas.openxmlformats.org/officeDocument/2006/relationships/image" Target="media/image5.jpeg"/><Relationship Id="rId11" Type="http://schemas.openxmlformats.org/officeDocument/2006/relationships/image" Target="media/image4.jpeg"/><Relationship Id="rId10" Type="http://schemas.openxmlformats.org/officeDocument/2006/relationships/image" Target="media/image3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25</Pages>
  <Words>5713</Words>
  <Characters>32566</Characters>
  <Lines>271</Lines>
  <Paragraphs>76</Paragraphs>
  <TotalTime>190</TotalTime>
  <ScaleCrop>false</ScaleCrop>
  <LinksUpToDate>false</LinksUpToDate>
  <CharactersWithSpaces>38203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2021-05-19T07:00:00Z</dcterms:created>
  <dc:creator>Jan Rusnak</dc:creator>
  <cp:lastModifiedBy>N Romanovova</cp:lastModifiedBy>
  <cp:lastPrinted>2024-05-31T17:03:00Z</cp:lastPrinted>
  <dcterms:modified xsi:type="dcterms:W3CDTF">2025-12-22T10:12:55Z</dcterms:modified>
  <cp:revision>64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04B2C9A35286407F9C6152DCA72E466A_13</vt:lpwstr>
  </property>
</Properties>
</file>