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ABD81">
      <w:pPr>
        <w:pStyle w:val="10"/>
        <w:jc w:val="center"/>
        <w:rPr>
          <w:rFonts w:ascii="Times New Roman" w:hAnsi="Times New Roman" w:eastAsia="Times New Roman" w:cs="Times New Roman"/>
          <w:b/>
          <w:sz w:val="52"/>
          <w:szCs w:val="52"/>
        </w:rPr>
      </w:pPr>
    </w:p>
    <w:p w14:paraId="3EF981E2">
      <w:pPr>
        <w:pStyle w:val="10"/>
        <w:jc w:val="center"/>
        <w:rPr>
          <w:rFonts w:ascii="Times New Roman" w:hAnsi="Times New Roman" w:eastAsia="Times New Roman" w:cs="Times New Roman"/>
          <w:b/>
          <w:sz w:val="52"/>
          <w:szCs w:val="52"/>
        </w:rPr>
      </w:pPr>
    </w:p>
    <w:p w14:paraId="1E6295FB">
      <w:pPr>
        <w:pStyle w:val="10"/>
        <w:jc w:val="center"/>
        <w:rPr>
          <w:rFonts w:ascii="Times New Roman" w:hAnsi="Times New Roman" w:eastAsia="Times New Roman" w:cs="Times New Roman"/>
          <w:b/>
          <w:sz w:val="52"/>
          <w:szCs w:val="52"/>
        </w:rPr>
      </w:pPr>
    </w:p>
    <w:p w14:paraId="60ED40F9">
      <w:pPr>
        <w:pStyle w:val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971CB5F">
      <w:pPr>
        <w:pStyle w:val="1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 w:eastAsia="Times New Roman" w:cs="Times New Roman"/>
          <w:b/>
          <w:sz w:val="28"/>
          <w:szCs w:val="28"/>
        </w:rPr>
        <w:t>Individuálna výro</w:t>
      </w:r>
      <w:r>
        <w:rPr>
          <w:rFonts w:ascii="Arial Black" w:hAnsi="Arial Black" w:eastAsia="Times New Roman" w:cs="Calibri"/>
          <w:b/>
          <w:sz w:val="28"/>
          <w:szCs w:val="28"/>
        </w:rPr>
        <w:t>č</w:t>
      </w:r>
      <w:r>
        <w:rPr>
          <w:rFonts w:ascii="Arial Black" w:hAnsi="Arial Black" w:eastAsia="Times New Roman" w:cs="Times New Roman"/>
          <w:b/>
          <w:sz w:val="28"/>
          <w:szCs w:val="28"/>
        </w:rPr>
        <w:t>n</w:t>
      </w:r>
      <w:r>
        <w:rPr>
          <w:rFonts w:ascii="Arial Black" w:hAnsi="Arial Black" w:eastAsia="Times New Roman" w:cs="Arial Rounded MT Bold"/>
          <w:b/>
          <w:sz w:val="28"/>
          <w:szCs w:val="28"/>
        </w:rPr>
        <w:t>á</w:t>
      </w:r>
      <w:r>
        <w:rPr>
          <w:rFonts w:ascii="Arial Black" w:hAnsi="Arial Black" w:eastAsia="Times New Roman" w:cs="Times New Roman"/>
          <w:b/>
          <w:sz w:val="28"/>
          <w:szCs w:val="28"/>
        </w:rPr>
        <w:t xml:space="preserve"> spr</w:t>
      </w:r>
      <w:r>
        <w:rPr>
          <w:rFonts w:ascii="Arial Black" w:hAnsi="Arial Black" w:eastAsia="Times New Roman" w:cs="Arial Rounded MT Bold"/>
          <w:b/>
          <w:sz w:val="28"/>
          <w:szCs w:val="28"/>
        </w:rPr>
        <w:t>á</w:t>
      </w:r>
      <w:r>
        <w:rPr>
          <w:rFonts w:ascii="Arial Black" w:hAnsi="Arial Black" w:eastAsia="Times New Roman" w:cs="Times New Roman"/>
          <w:b/>
          <w:sz w:val="28"/>
          <w:szCs w:val="28"/>
        </w:rPr>
        <w:t>va</w:t>
      </w:r>
    </w:p>
    <w:p w14:paraId="5CBD2C5A">
      <w:pPr>
        <w:pStyle w:val="10"/>
        <w:jc w:val="center"/>
        <w:rPr>
          <w:rFonts w:ascii="Arial Black" w:hAnsi="Arial Black"/>
          <w:sz w:val="28"/>
          <w:szCs w:val="28"/>
        </w:rPr>
      </w:pPr>
    </w:p>
    <w:p w14:paraId="44911269">
      <w:pPr>
        <w:pStyle w:val="1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 w:eastAsia="Times New Roman" w:cs="Times New Roman"/>
          <w:b/>
          <w:sz w:val="28"/>
          <w:szCs w:val="28"/>
        </w:rPr>
        <w:t>Obce Zlatá Idka</w:t>
      </w:r>
    </w:p>
    <w:p w14:paraId="16B06E1C">
      <w:pPr>
        <w:pStyle w:val="10"/>
        <w:jc w:val="center"/>
        <w:rPr>
          <w:rFonts w:ascii="Arial Black" w:hAnsi="Arial Black"/>
          <w:sz w:val="28"/>
          <w:szCs w:val="28"/>
        </w:rPr>
      </w:pPr>
    </w:p>
    <w:p w14:paraId="6B1A6256">
      <w:pPr>
        <w:pStyle w:val="10"/>
        <w:jc w:val="center"/>
        <w:rPr>
          <w:rFonts w:ascii="Arial Black" w:hAnsi="Arial Black" w:eastAsia="Times New Roman" w:cs="Times New Roman"/>
          <w:b/>
          <w:sz w:val="28"/>
          <w:szCs w:val="28"/>
        </w:rPr>
      </w:pPr>
      <w:r>
        <w:rPr>
          <w:rFonts w:ascii="Arial Black" w:hAnsi="Arial Black" w:eastAsia="Times New Roman" w:cs="Times New Roman"/>
          <w:b/>
          <w:sz w:val="28"/>
          <w:szCs w:val="28"/>
        </w:rPr>
        <w:t>rok 2024</w:t>
      </w:r>
    </w:p>
    <w:p w14:paraId="26C563DE">
      <w:pPr>
        <w:pStyle w:val="10"/>
        <w:rPr>
          <w:rFonts w:ascii="Arial Black" w:hAnsi="Arial Black"/>
          <w:sz w:val="28"/>
          <w:szCs w:val="28"/>
        </w:rPr>
      </w:pPr>
    </w:p>
    <w:p w14:paraId="2733C411">
      <w:pPr>
        <w:pStyle w:val="10"/>
        <w:jc w:val="center"/>
        <w:rPr>
          <w:rFonts w:ascii="Arial Black" w:hAnsi="Arial Black"/>
          <w:sz w:val="28"/>
          <w:szCs w:val="28"/>
        </w:rPr>
      </w:pPr>
    </w:p>
    <w:p w14:paraId="247237EC">
      <w:pPr>
        <w:pStyle w:val="10"/>
        <w:jc w:val="center"/>
        <w:rPr>
          <w:rFonts w:ascii="Arial Narrow" w:hAnsi="Arial Narrow"/>
          <w:sz w:val="28"/>
          <w:szCs w:val="28"/>
        </w:rPr>
      </w:pPr>
    </w:p>
    <w:p w14:paraId="7355964E">
      <w:pPr>
        <w:pStyle w:val="1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  <w:lang w:eastAsia="sk-SK"/>
        </w:rPr>
        <w:drawing>
          <wp:inline distT="0" distB="0" distL="0" distR="0">
            <wp:extent cx="1809750" cy="18097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4D432">
      <w:pPr>
        <w:pStyle w:val="10"/>
        <w:jc w:val="center"/>
        <w:rPr>
          <w:rFonts w:ascii="Arial Narrow" w:hAnsi="Arial Narrow"/>
          <w:sz w:val="20"/>
          <w:szCs w:val="20"/>
        </w:rPr>
      </w:pPr>
    </w:p>
    <w:p w14:paraId="2E2CDCBF">
      <w:pPr>
        <w:pStyle w:val="10"/>
        <w:jc w:val="center"/>
        <w:rPr>
          <w:rFonts w:ascii="Arial Narrow" w:hAnsi="Arial Narrow"/>
          <w:sz w:val="20"/>
          <w:szCs w:val="20"/>
        </w:rPr>
      </w:pPr>
    </w:p>
    <w:p w14:paraId="51F213C2">
      <w:pPr>
        <w:pStyle w:val="10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347539A5">
      <w:pPr>
        <w:pStyle w:val="10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4B32A98C">
      <w:pPr>
        <w:pStyle w:val="10"/>
        <w:tabs>
          <w:tab w:val="right" w:pos="8820"/>
        </w:tabs>
        <w:jc w:val="both"/>
        <w:rPr>
          <w:rFonts w:ascii="Arial Narrow" w:hAnsi="Arial Narrow" w:eastAsia="Times New Roman" w:cs="Times New Roman"/>
          <w:b/>
          <w:sz w:val="32"/>
          <w:szCs w:val="32"/>
        </w:rPr>
      </w:pPr>
      <w:r>
        <w:rPr>
          <w:rFonts w:ascii="Arial Narrow" w:hAnsi="Arial Narrow" w:eastAsia="Times New Roman" w:cs="Times New Roman"/>
          <w:b/>
          <w:sz w:val="20"/>
          <w:szCs w:val="20"/>
        </w:rPr>
        <w:t xml:space="preserve">               </w:t>
      </w:r>
    </w:p>
    <w:p w14:paraId="2408E5FE">
      <w:pPr>
        <w:pStyle w:val="10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 w:eastAsia="Times New Roman" w:cs="Times New Roman"/>
          <w:b/>
          <w:sz w:val="32"/>
          <w:szCs w:val="32"/>
        </w:rPr>
        <w:t>Roman Beličák</w:t>
      </w:r>
    </w:p>
    <w:p w14:paraId="0D2BAB90">
      <w:pPr>
        <w:pStyle w:val="10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 w:eastAsia="Times New Roman" w:cs="Times New Roman"/>
          <w:b/>
          <w:sz w:val="32"/>
          <w:szCs w:val="32"/>
        </w:rPr>
        <w:t>starosta obce</w:t>
      </w:r>
    </w:p>
    <w:p w14:paraId="7520B1A1">
      <w:pPr>
        <w:jc w:val="center"/>
        <w:rPr>
          <w:rFonts w:ascii="Arial Narrow" w:hAnsi="Arial Narrow"/>
          <w:sz w:val="32"/>
          <w:szCs w:val="32"/>
        </w:rPr>
      </w:pPr>
    </w:p>
    <w:p w14:paraId="36D5D27A">
      <w:pPr>
        <w:jc w:val="center"/>
        <w:rPr>
          <w:rFonts w:ascii="Arial Narrow" w:hAnsi="Arial Narrow"/>
          <w:sz w:val="20"/>
          <w:szCs w:val="20"/>
        </w:rPr>
      </w:pPr>
    </w:p>
    <w:p w14:paraId="2E556032">
      <w:pPr>
        <w:jc w:val="center"/>
        <w:rPr>
          <w:rFonts w:ascii="Arial Narrow" w:hAnsi="Arial Narrow"/>
          <w:sz w:val="20"/>
          <w:szCs w:val="20"/>
        </w:rPr>
      </w:pPr>
    </w:p>
    <w:p w14:paraId="5323485D">
      <w:pPr>
        <w:jc w:val="center"/>
        <w:rPr>
          <w:rFonts w:ascii="Arial Narrow" w:hAnsi="Arial Narrow"/>
          <w:sz w:val="20"/>
          <w:szCs w:val="20"/>
        </w:rPr>
      </w:pPr>
    </w:p>
    <w:p w14:paraId="2F08816E">
      <w:pPr>
        <w:jc w:val="center"/>
        <w:rPr>
          <w:rFonts w:ascii="Arial Narrow" w:hAnsi="Arial Narrow"/>
          <w:sz w:val="20"/>
          <w:szCs w:val="20"/>
        </w:rPr>
      </w:pPr>
    </w:p>
    <w:p w14:paraId="7A925821">
      <w:pPr>
        <w:jc w:val="center"/>
        <w:rPr>
          <w:rFonts w:ascii="Arial Narrow" w:hAnsi="Arial Narrow"/>
          <w:sz w:val="20"/>
          <w:szCs w:val="20"/>
        </w:rPr>
      </w:pPr>
    </w:p>
    <w:p w14:paraId="33232429">
      <w:pPr>
        <w:jc w:val="center"/>
        <w:rPr>
          <w:rFonts w:ascii="Arial Narrow" w:hAnsi="Arial Narrow"/>
          <w:sz w:val="20"/>
          <w:szCs w:val="20"/>
        </w:rPr>
      </w:pPr>
    </w:p>
    <w:p w14:paraId="671F7437">
      <w:pPr>
        <w:jc w:val="center"/>
        <w:rPr>
          <w:rFonts w:ascii="Arial Narrow" w:hAnsi="Arial Narrow"/>
          <w:sz w:val="20"/>
          <w:szCs w:val="20"/>
        </w:rPr>
      </w:pPr>
    </w:p>
    <w:p w14:paraId="6DAF6C2E">
      <w:pPr>
        <w:jc w:val="center"/>
        <w:rPr>
          <w:rFonts w:ascii="Arial Narrow" w:hAnsi="Arial Narrow"/>
          <w:sz w:val="20"/>
          <w:szCs w:val="20"/>
        </w:rPr>
      </w:pPr>
    </w:p>
    <w:p w14:paraId="6C83680D">
      <w:pPr>
        <w:jc w:val="center"/>
        <w:rPr>
          <w:rFonts w:ascii="Arial Narrow" w:hAnsi="Arial Narrow"/>
          <w:sz w:val="20"/>
          <w:szCs w:val="20"/>
        </w:rPr>
      </w:pPr>
    </w:p>
    <w:p w14:paraId="2F85F617">
      <w:pPr>
        <w:jc w:val="center"/>
        <w:rPr>
          <w:rFonts w:ascii="Arial Narrow" w:hAnsi="Arial Narrow"/>
          <w:sz w:val="20"/>
          <w:szCs w:val="20"/>
        </w:rPr>
      </w:pP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id w:val="-975751024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3077CD1D">
          <w:pPr>
            <w:pStyle w:val="40"/>
            <w:rPr>
              <w:sz w:val="20"/>
              <w:szCs w:val="20"/>
            </w:rPr>
          </w:pPr>
          <w:r>
            <w:rPr>
              <w:sz w:val="20"/>
              <w:szCs w:val="20"/>
            </w:rPr>
            <w:t>Obsah</w:t>
          </w:r>
        </w:p>
        <w:p w14:paraId="41451E31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TOC \o "1-3" \h \z \u </w:instrText>
          </w:r>
          <w:r>
            <w:rPr>
              <w:sz w:val="20"/>
              <w:szCs w:val="20"/>
            </w:rPr>
            <w:fldChar w:fldCharType="separate"/>
          </w:r>
          <w:r>
            <w:fldChar w:fldCharType="begin"/>
          </w:r>
          <w:r>
            <w:instrText xml:space="preserve"> HYPERLINK \l "_Toc74047025"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1. Úvodné slovo starostu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_Toc74047025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5609745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"_Toc74047026"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2. Identifikačné údaje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_Toc74047026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41F6FEFE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"_Toc74047027"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3. Organizačná štruktúra obce a identifikácia vedúcich predstaviteľov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_Toc74047027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79A4241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"_Toc74047029"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4. Poslanie, vízie, ciele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_Toc74047029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88677A8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"_Toc74047030"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5. Základná charakteristika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_Toc74047030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506C2105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"_Toc74047031"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5.1. Geografické údaje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_Toc74047031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4832757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"_Toc74047032"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5.2. Demografické údaje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_Toc74047032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5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2D8F96B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"_Toc74047033"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5.3. Ekonomické údaje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_Toc74047033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6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4A76AD4A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"_Toc74047034"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5.4. Symboly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_Toc74047034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6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2837DAB3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"_Toc74047035"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5.5. História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_Toc74047035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DE65E58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"_Toc74047036"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5.6. Pamiatky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_Toc74047036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704496C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"_Toc74047037"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  <w:lang w:eastAsia="sk-SK"/>
            </w:rPr>
            <w:t>6. Plnenie funkcií obce (prenesené kompetencie, originálne kompetencie)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_Toc74047037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85B5B7B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"_Toc74047038" </w:instrText>
          </w:r>
          <w:r>
            <w:fldChar w:fldCharType="separate"/>
          </w:r>
          <w:r>
            <w:rPr>
              <w:rStyle w:val="13"/>
              <w:rFonts w:ascii="Arial Narrow" w:hAnsi="Arial Narrow" w:eastAsia="Times New Roman"/>
              <w:sz w:val="20"/>
              <w:szCs w:val="20"/>
            </w:rPr>
            <w:t>6.1. Výchova a vzdelávanie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_Toc74047038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C4923BA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"_Toc74047039" </w:instrText>
          </w:r>
          <w:r>
            <w:fldChar w:fldCharType="separate"/>
          </w:r>
          <w:r>
            <w:rPr>
              <w:rStyle w:val="13"/>
              <w:rFonts w:ascii="Arial Narrow" w:hAnsi="Arial Narrow" w:eastAsia="Times New Roman"/>
              <w:sz w:val="20"/>
              <w:szCs w:val="20"/>
            </w:rPr>
            <w:t>6.2. Zdravotníctvo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_Toc74047039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0D2E3366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"_Toc74047040" </w:instrText>
          </w:r>
          <w:r>
            <w:fldChar w:fldCharType="separate"/>
          </w:r>
          <w:r>
            <w:rPr>
              <w:rStyle w:val="13"/>
              <w:rFonts w:ascii="Arial Narrow" w:hAnsi="Arial Narrow" w:eastAsia="Times New Roman"/>
              <w:sz w:val="20"/>
              <w:szCs w:val="20"/>
            </w:rPr>
            <w:t>6.3. Sociálne zabezpečenie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_Toc74047040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7634DC3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"_Toc74047041"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6.4. Kultúra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_Toc74047041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481963CC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"_Toc74047041"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6.5. Doprava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_Toc74047041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9B63B91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"_Toc74047041"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6.6. Územné plánoivanie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_Toc74047041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09D45904">
          <w:pPr>
            <w:pStyle w:val="19"/>
            <w:tabs>
              <w:tab w:val="right" w:leader="dot" w:pos="9062"/>
            </w:tabs>
            <w:ind w:left="0"/>
            <w:rPr>
              <w:rFonts w:cstheme="minorBidi"/>
              <w:sz w:val="20"/>
              <w:szCs w:val="20"/>
            </w:rPr>
          </w:pPr>
          <w:r>
            <w:t xml:space="preserve">    </w:t>
          </w:r>
          <w:r>
            <w:fldChar w:fldCharType="begin"/>
          </w:r>
          <w:r>
            <w:instrText xml:space="preserve"> HYPERLINK \l "_Toc74047042"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6.7 Hospodárstvo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_Toc74047042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4AF21580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"_Toc74047043"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7. Informácia o vývoji obce z pohľadu rozpočtovníctva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_Toc74047043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2E150EFB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"_Toc74047044"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7.1. Plnenie príjmov za rok 2023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_Toc74047044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9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23CA9449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"_Toc74047046" </w:instrText>
          </w:r>
          <w:r>
            <w:fldChar w:fldCharType="separate"/>
          </w:r>
          <w:r>
            <w:rPr>
              <w:rStyle w:val="13"/>
              <w:rFonts w:ascii="Arial Narrow" w:hAnsi="Arial Narrow" w:cs="Arial"/>
              <w:i/>
              <w:iCs/>
              <w:caps/>
              <w:sz w:val="20"/>
              <w:szCs w:val="20"/>
            </w:rPr>
            <w:t>7.2. Čerpanie výdavkov za rok 2023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_Toc74047046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277D594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"_Toc74047052" </w:instrText>
          </w:r>
          <w:r>
            <w:fldChar w:fldCharType="separate"/>
          </w:r>
          <w:r>
            <w:rPr>
              <w:rStyle w:val="13"/>
              <w:rFonts w:ascii="Arial Narrow" w:hAnsi="Arial Narrow" w:cs="Arial"/>
              <w:i/>
              <w:iCs/>
              <w:caps/>
              <w:sz w:val="20"/>
              <w:szCs w:val="20"/>
            </w:rPr>
            <w:t>7.3. Prebytok/ schodok rozpočtového hospodárenia za rok 2023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_Toc74047052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2179708F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"_Toc74047053" </w:instrText>
          </w:r>
          <w:r>
            <w:fldChar w:fldCharType="separate"/>
          </w:r>
          <w:r>
            <w:rPr>
              <w:rStyle w:val="13"/>
              <w:rFonts w:ascii="Arial Narrow" w:hAnsi="Arial Narrow" w:cs="Arial"/>
              <w:sz w:val="20"/>
              <w:szCs w:val="20"/>
            </w:rPr>
            <w:t>8. Vývoj hodnoty majetku a zdrojov jeho krytia za uplynulé roky vyjadrujú nasledovné tabuľky: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_Toc74047053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02094A50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"_Toc74047054"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9. Hospodársky výsledok  za rok 2023 – Vývoj nákladov a výnosov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_Toc74047054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C22ED76">
          <w:pPr>
            <w:pStyle w:val="18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"_Toc74047055"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10. Ostatné dôležité informácie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_Toc74047055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0A68E24F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"_Toc74047056"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10.1 Prijaté granty a transfery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_Toc74047056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EC15636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"_Toc74047057"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10.2 Poskytnuté dotácie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_Toc74047057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4D164281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"_Toc74047058"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10.3 Významné investičné akcie v roku 2023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_Toc74047058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DBC7D50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"_Toc74047059"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10.4 Predpokladaný budúci vývoj činností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_Toc74047059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4AFFA14">
          <w:pPr>
            <w:pStyle w:val="19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"_Toc74047060" </w:instrText>
          </w:r>
          <w:r>
            <w:fldChar w:fldCharType="separate"/>
          </w:r>
          <w:r>
            <w:rPr>
              <w:rStyle w:val="13"/>
              <w:rFonts w:ascii="Arial Narrow" w:hAnsi="Arial Narrow"/>
              <w:sz w:val="20"/>
              <w:szCs w:val="20"/>
            </w:rPr>
            <w:t>10.5 Udalosti osobitného významu po ukončení účtovného obdobia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_Toc74047060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0CDB0B9A">
          <w:pPr>
            <w:pStyle w:val="19"/>
            <w:tabs>
              <w:tab w:val="right" w:leader="dot" w:pos="9062"/>
            </w:tabs>
            <w:ind w:left="0"/>
            <w:rPr>
              <w:rFonts w:cstheme="minorBidi"/>
              <w:sz w:val="20"/>
              <w:szCs w:val="20"/>
            </w:rPr>
          </w:pPr>
        </w:p>
        <w:p w14:paraId="3CC0B912">
          <w:pPr>
            <w:tabs>
              <w:tab w:val="left" w:pos="1230"/>
            </w:tabs>
          </w:pP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ab/>
          </w:r>
        </w:p>
      </w:sdtContent>
    </w:sdt>
    <w:p w14:paraId="511C4F99">
      <w:pPr>
        <w:rPr>
          <w:rFonts w:ascii="Arial Narrow" w:hAnsi="Arial Narrow"/>
          <w:sz w:val="20"/>
          <w:szCs w:val="20"/>
        </w:rPr>
      </w:pPr>
    </w:p>
    <w:p w14:paraId="625D925E">
      <w:pPr>
        <w:spacing w:before="474" w:after="0"/>
        <w:ind w:left="131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93B8363">
      <w:pPr>
        <w:spacing w:before="47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AE5F9E9">
      <w:pPr>
        <w:pStyle w:val="2"/>
        <w:rPr>
          <w:rFonts w:ascii="Arial Narrow" w:hAnsi="Arial Narrow"/>
          <w:sz w:val="24"/>
          <w:szCs w:val="24"/>
        </w:rPr>
      </w:pPr>
      <w:bookmarkStart w:id="0" w:name="_Toc74047025"/>
      <w:r>
        <w:rPr>
          <w:rFonts w:ascii="Arial Narrow" w:hAnsi="Arial Narrow"/>
          <w:color w:val="000000"/>
          <w:sz w:val="24"/>
          <w:szCs w:val="24"/>
        </w:rPr>
        <w:t>1. Úvodné slovo starostu obce</w:t>
      </w:r>
      <w:bookmarkEnd w:id="0"/>
      <w:r>
        <w:rPr>
          <w:rFonts w:ascii="Arial Narrow" w:hAnsi="Arial Narrow"/>
          <w:color w:val="000000"/>
          <w:sz w:val="24"/>
          <w:szCs w:val="24"/>
        </w:rPr>
        <w:t> </w:t>
      </w:r>
    </w:p>
    <w:p w14:paraId="7B9306DE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27DE83F2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>Vážení spoluobčania,</w:t>
      </w:r>
    </w:p>
    <w:p w14:paraId="04938E6A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017A3C8D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color w:val="C00000"/>
          <w:sz w:val="20"/>
          <w:szCs w:val="20"/>
        </w:rPr>
        <w:t xml:space="preserve">             </w:t>
      </w:r>
      <w:r>
        <w:rPr>
          <w:rFonts w:ascii="Arial Narrow" w:hAnsi="Arial Narrow"/>
          <w:b/>
          <w:bCs/>
          <w:sz w:val="20"/>
          <w:szCs w:val="20"/>
        </w:rPr>
        <w:t xml:space="preserve">predkladám Vám výročnú správu obce za rok 2024, ktorá zobrazuje aktuálny stav našej obce. Je zostavená na základe výsledkov ekonomických ukazovateľov a míľnikov, ktoré sme v uplynulom roku dosiahli. Poskytuje podrobný opis stavu a činností vykonávaných obcou a verne zachytáva stav hospodárenia obce pri zabezpečovaní základných potrieb občanov. </w:t>
      </w:r>
    </w:p>
    <w:p w14:paraId="6C65A8A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</w:p>
    <w:p w14:paraId="5F0A5BEF">
      <w:pPr>
        <w:spacing w:before="133" w:after="0" w:line="240" w:lineRule="auto"/>
        <w:ind w:right="2352" w:firstLine="4302" w:firstLineChars="2150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Roman Beličák - starosta obce</w:t>
      </w:r>
    </w:p>
    <w:p w14:paraId="310F83D7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</w:p>
    <w:p w14:paraId="52375102">
      <w:pPr>
        <w:pStyle w:val="2"/>
        <w:rPr>
          <w:rFonts w:ascii="Arial Narrow" w:hAnsi="Arial Narrow"/>
          <w:i/>
          <w:iCs/>
          <w:color w:val="000000"/>
          <w:sz w:val="24"/>
          <w:szCs w:val="24"/>
        </w:rPr>
      </w:pPr>
      <w:bookmarkStart w:id="1" w:name="_Toc74047026"/>
      <w:r>
        <w:rPr>
          <w:rFonts w:ascii="Arial Narrow" w:hAnsi="Arial Narrow"/>
          <w:color w:val="000000"/>
          <w:sz w:val="24"/>
          <w:szCs w:val="24"/>
        </w:rPr>
        <w:t>2. Identifikačné údaje obce</w:t>
      </w:r>
      <w:bookmarkEnd w:id="1"/>
    </w:p>
    <w:p w14:paraId="6DFB9F83">
      <w:pPr>
        <w:spacing w:before="570"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  Názov: Obec Zlatá Idka</w:t>
      </w:r>
    </w:p>
    <w:p w14:paraId="2AE64EAB">
      <w:pPr>
        <w:spacing w:before="135" w:after="0" w:line="240" w:lineRule="auto"/>
        <w:ind w:left="128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Sídlo: Zlatá Idka 159. 044 61</w:t>
      </w:r>
    </w:p>
    <w:p w14:paraId="00D825F5">
      <w:pPr>
        <w:spacing w:before="133" w:after="0" w:line="240" w:lineRule="auto"/>
        <w:ind w:left="119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IČO:  00324957</w:t>
      </w:r>
    </w:p>
    <w:p w14:paraId="5146E5C8">
      <w:pPr>
        <w:spacing w:before="135" w:after="0" w:line="240" w:lineRule="auto"/>
        <w:ind w:left="117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DIČ: 2021245182</w:t>
      </w:r>
    </w:p>
    <w:p w14:paraId="76B9FC07">
      <w:pPr>
        <w:spacing w:before="133" w:after="0" w:line="240" w:lineRule="auto"/>
        <w:ind w:left="128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Štatutárny orgán obce: starosta </w:t>
      </w:r>
    </w:p>
    <w:p w14:paraId="594E45D2">
      <w:pPr>
        <w:spacing w:before="135" w:after="0" w:line="240" w:lineRule="auto"/>
        <w:ind w:left="120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Telefón: 055 4669 111</w:t>
      </w:r>
    </w:p>
    <w:p w14:paraId="1DC5E018">
      <w:pPr>
        <w:spacing w:before="133" w:after="0" w:line="240" w:lineRule="auto"/>
        <w:ind w:left="118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E-mail: zlataidka@zlataidka. sk </w:t>
      </w:r>
    </w:p>
    <w:p w14:paraId="399FEB49">
      <w:pPr>
        <w:spacing w:before="135" w:after="0" w:line="240" w:lineRule="auto"/>
        <w:ind w:left="116"/>
        <w:rPr>
          <w:rFonts w:ascii="Arial Narrow" w:hAnsi="Arial Narrow" w:eastAsia="Times New Roman" w:cs="Times New Roman"/>
          <w:color w:val="0000FF"/>
          <w:sz w:val="20"/>
          <w:szCs w:val="20"/>
          <w:u w:val="single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Webová stránka: </w:t>
      </w:r>
      <w:r>
        <w:fldChar w:fldCharType="begin"/>
      </w:r>
      <w:r>
        <w:instrText xml:space="preserve"> HYPERLINK "http://www.obeczlataidka.sk" </w:instrText>
      </w:r>
      <w:r>
        <w:fldChar w:fldCharType="separate"/>
      </w:r>
      <w:r>
        <w:rPr>
          <w:rStyle w:val="29"/>
          <w:rFonts w:ascii="Arial Narrow" w:hAnsi="Arial Narrow" w:eastAsia="Times New Roman" w:cs="Times New Roman"/>
          <w:sz w:val="20"/>
          <w:szCs w:val="20"/>
          <w:lang w:eastAsia="sk-SK"/>
        </w:rPr>
        <w:t>www.obeczlataidka.sk</w:t>
      </w:r>
      <w:r>
        <w:rPr>
          <w:rStyle w:val="29"/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</w:p>
    <w:p w14:paraId="14DD2F83">
      <w:pPr>
        <w:spacing w:before="135"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77BFA26A">
      <w:pPr>
        <w:spacing w:before="133" w:after="0" w:line="240" w:lineRule="auto"/>
        <w:ind w:right="2816"/>
        <w:jc w:val="right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 </w:t>
      </w:r>
    </w:p>
    <w:p w14:paraId="1E9E4D5C">
      <w:pPr>
        <w:pStyle w:val="2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2" w:name="_Toc74047027"/>
      <w:r>
        <w:rPr>
          <w:rFonts w:ascii="Arial Narrow" w:hAnsi="Arial Narrow"/>
          <w:color w:val="000000"/>
          <w:sz w:val="24"/>
          <w:szCs w:val="24"/>
        </w:rPr>
        <w:t>3. Organizačná štruktúra obce a identifikácia vedúcich</w:t>
      </w:r>
      <w:bookmarkEnd w:id="2"/>
      <w:r>
        <w:rPr>
          <w:rFonts w:ascii="Arial Narrow" w:hAnsi="Arial Narrow"/>
          <w:color w:val="000000"/>
          <w:sz w:val="24"/>
          <w:szCs w:val="24"/>
        </w:rPr>
        <w:t xml:space="preserve"> </w:t>
      </w:r>
      <w:bookmarkStart w:id="3" w:name="_Toc74047028"/>
      <w:r>
        <w:rPr>
          <w:rFonts w:ascii="Arial Narrow" w:hAnsi="Arial Narrow"/>
          <w:color w:val="000000"/>
          <w:sz w:val="24"/>
          <w:szCs w:val="24"/>
        </w:rPr>
        <w:t>predstaviteľov</w:t>
      </w:r>
      <w:bookmarkEnd w:id="3"/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2249C817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120CA50B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6A147B26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51107B0A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>Starosta obce:                       Roman Beličák</w:t>
      </w:r>
    </w:p>
    <w:p w14:paraId="7CBE4330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Poverený zastupovaním starostu obce:         </w:t>
      </w:r>
    </w:p>
    <w:p w14:paraId="42E8F018">
      <w:pPr>
        <w:pStyle w:val="10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                                          Ing. Dávid Molnár</w:t>
      </w:r>
    </w:p>
    <w:p w14:paraId="1DEC7346">
      <w:pPr>
        <w:pStyle w:val="10"/>
        <w:jc w:val="both"/>
        <w:rPr>
          <w:rFonts w:ascii="Arial Narrow" w:hAnsi="Arial Narrow" w:cs="Times New Roman"/>
          <w:sz w:val="20"/>
          <w:szCs w:val="20"/>
        </w:rPr>
      </w:pPr>
    </w:p>
    <w:p w14:paraId="750B8D2F">
      <w:pPr>
        <w:pStyle w:val="10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Hlavný kontrolór obce:          JUDr. Svetlana  Pavlíková </w:t>
      </w:r>
    </w:p>
    <w:p w14:paraId="101DA359">
      <w:pPr>
        <w:pStyle w:val="10"/>
        <w:jc w:val="both"/>
        <w:rPr>
          <w:rFonts w:ascii="Arial Narrow" w:hAnsi="Arial Narrow" w:cs="Times New Roman"/>
          <w:sz w:val="20"/>
          <w:szCs w:val="20"/>
        </w:rPr>
      </w:pPr>
    </w:p>
    <w:p w14:paraId="4EEA2D71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>Obecné zastupiteľstvo:         Zuzana Beličáková</w:t>
      </w:r>
    </w:p>
    <w:p w14:paraId="61C0D79D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                                           Slávka Rusnáková</w:t>
      </w:r>
    </w:p>
    <w:p w14:paraId="0CA56386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                                           Ing. Adrej Jacko</w:t>
      </w:r>
    </w:p>
    <w:p w14:paraId="2209CB42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                                           Roland Molnár </w:t>
      </w:r>
    </w:p>
    <w:p w14:paraId="3536E13A">
      <w:pPr>
        <w:pStyle w:val="10"/>
        <w:ind w:firstLine="2100" w:firstLineChars="105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>Ing. Dávid  Molnár</w:t>
      </w:r>
    </w:p>
    <w:p w14:paraId="03C1A383">
      <w:pPr>
        <w:pStyle w:val="10"/>
        <w:jc w:val="both"/>
        <w:rPr>
          <w:rFonts w:ascii="Arial Narrow" w:hAnsi="Arial Narrow" w:cs="Times New Roman"/>
          <w:sz w:val="20"/>
          <w:szCs w:val="20"/>
        </w:rPr>
      </w:pPr>
    </w:p>
    <w:p w14:paraId="61905985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>Obecný úrad:                         Martina Idésová</w:t>
      </w:r>
    </w:p>
    <w:p w14:paraId="6991CF49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</w:p>
    <w:p w14:paraId="1C4A07F0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</w:p>
    <w:p w14:paraId="33E1E3C7">
      <w:pPr>
        <w:pStyle w:val="2"/>
        <w:rPr>
          <w:rFonts w:ascii="Arial Narrow" w:hAnsi="Arial Narrow"/>
          <w:color w:val="000000"/>
          <w:sz w:val="24"/>
          <w:szCs w:val="24"/>
        </w:rPr>
      </w:pPr>
      <w:bookmarkStart w:id="4" w:name="_Toc74047029"/>
      <w:r>
        <w:rPr>
          <w:rFonts w:ascii="Arial Narrow" w:hAnsi="Arial Narrow"/>
          <w:color w:val="000000"/>
          <w:sz w:val="24"/>
          <w:szCs w:val="24"/>
        </w:rPr>
        <w:t>4. Poslanie, vízie, ciele</w:t>
      </w:r>
      <w:bookmarkEnd w:id="4"/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4183D3D7">
      <w:pPr>
        <w:pStyle w:val="2"/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</w:pPr>
    </w:p>
    <w:p w14:paraId="40A59E86">
      <w:pPr>
        <w:pStyle w:val="2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r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P</w:t>
      </w:r>
      <w:r>
        <w:rPr>
          <w:rFonts w:ascii="Arial Narrow" w:hAnsi="Arial Narrow"/>
          <w:i/>
          <w:iCs/>
          <w:color w:val="000000"/>
          <w:sz w:val="20"/>
          <w:szCs w:val="20"/>
          <w:u w:val="single"/>
          <w:lang w:eastAsia="sk-SK"/>
        </w:rPr>
        <w:t>oslanie obce:</w:t>
      </w:r>
      <w:r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 </w:t>
      </w:r>
    </w:p>
    <w:p w14:paraId="7DFA5C0A">
      <w:pPr>
        <w:spacing w:before="128" w:after="0" w:line="240" w:lineRule="auto"/>
        <w:ind w:left="95" w:right="229" w:firstLine="735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Obec Zlatá Idka je samostatný územný samosprávny a správny celok Slovenskej republiky.  Združuje osoby, ktoré majú na jej území trvalý pobyt. Obec je právnickou osobou, ktorá za  podmienok ustanovených zákonom samostatne hospodári s vlastným majetkom a s vlastnými  príjmami. Základnou úlohou obce pri výkone samosprávy je starostlivosť o všestranný rozvoj  jej územia a potreby jej obyvateľov.  </w:t>
      </w:r>
    </w:p>
    <w:p w14:paraId="6712636E">
      <w:pPr>
        <w:spacing w:before="31" w:after="0" w:line="240" w:lineRule="auto"/>
        <w:ind w:left="95" w:right="232" w:firstLine="22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3A1E981E">
      <w:pPr>
        <w:spacing w:before="31" w:after="0" w:line="240" w:lineRule="auto"/>
        <w:ind w:left="95" w:right="232" w:firstLine="22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Poslaním obce je slúžiť všetkým obyvateľom, ktorým ponúkame jedinečné služby, vytvárať  podmienky pre vyvážený rozvoj obce, chrániť všetkých jej obyvateľov, ale aj okolitú prírodu a  jej zdroje. Obyvatelia obce, ktorí žijú alebo pracujú v obci predstavujú prioritu. </w:t>
      </w:r>
    </w:p>
    <w:p w14:paraId="63A350F3">
      <w:pPr>
        <w:spacing w:before="31" w:after="0" w:line="240" w:lineRule="auto"/>
        <w:ind w:left="95" w:right="232" w:firstLine="22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789D1C83">
      <w:pPr>
        <w:spacing w:before="448"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Vízie obce:</w:t>
      </w: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0052CD8E">
      <w:pPr>
        <w:spacing w:before="128" w:after="0" w:line="240" w:lineRule="auto"/>
        <w:ind w:left="114" w:right="229" w:firstLine="711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Rozvíjať aktivity v obci, ktoré vedú k spokojnému životu všetkých občanov a  zabezpečovať neustály ekonomický, sociálny, kultúrny a spoločenský rast obce. Obec Zlatá Idka je obcou, ktorá sa stará o rovnovážne zabezpečenie verejných služieb, ktoré sú  nevyhnutné pre plnohodnotný život jej obyvateľov. V obci sa úspešne rozvíja podnikanie a tým sú vytvorené podmienky pre zamestnanie miestnych obyvateľov. </w:t>
      </w:r>
    </w:p>
    <w:p w14:paraId="6B485618">
      <w:pPr>
        <w:spacing w:before="448" w:after="0" w:line="240" w:lineRule="auto"/>
        <w:ind w:left="128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Ciele obce:</w:t>
      </w: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0461EFB8">
      <w:pPr>
        <w:spacing w:before="130" w:after="0" w:line="240" w:lineRule="auto"/>
        <w:ind w:left="113" w:right="229" w:firstLine="711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Zabezpečiť trvalo udržateľný rozvoj obce Zlatá Idka, po ekonomickej, sociálnej, kultúrnej  stránke. Ekonomický, kultúrny a spoločenský rast bude zabezpečený prostredníctvom  disponibilného potenciálu nachádzajúceho sa v ľudských, prírodných a ekonomických  zdrojoch. Zabezpečiť ochranu životného prostredia a jeho zveľaďovanie. Posilniť vybavenosť  územia obce vybudovaním technickej, environmentálnej infraštruktúry a infraštruktúry  cestovného ruchu podporujúcej rozvoj obce, budovanie občianskej a sociálnej infraštruktúry.  Zlepšiť stav obecného majetku budovaním a rekonštrukciou miestnej infraštruktúry. </w:t>
      </w:r>
    </w:p>
    <w:p w14:paraId="143FE8D9">
      <w:pPr>
        <w:pStyle w:val="10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5A7337C3">
      <w:pPr>
        <w:pStyle w:val="10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627D42D4">
      <w:pPr>
        <w:pStyle w:val="2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5" w:name="_Toc74047030"/>
      <w:r>
        <w:rPr>
          <w:rFonts w:ascii="Arial Narrow" w:hAnsi="Arial Narrow"/>
          <w:color w:val="000000"/>
          <w:sz w:val="24"/>
          <w:szCs w:val="24"/>
        </w:rPr>
        <w:t>5. Základná charakteristika obce</w:t>
      </w:r>
      <w:bookmarkEnd w:id="5"/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59E52F0D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00CC9096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     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Podľa §1 zákona č. 369/1990 Zb. o obecnom zriadení je obec „samostatný územný  samosprávny a správny celok Slovenskej republiky, združuje osoby ktoré majú na jej území  trvalý pobyt. Obec je právnickou osobou, ktorá za podmienok ustanovených zákonom  samostatne hospodári s vlastným majetkom a s vlastnými príjmami. Základnou úlohou obce pri  výkone samosprávy je starostlivosť o všestranný rozvoj jej územia a o potreby jej obyvateľov“.  </w:t>
      </w:r>
    </w:p>
    <w:p w14:paraId="6DF8849D">
      <w:pPr>
        <w:spacing w:after="0"/>
        <w:ind w:left="113" w:right="675" w:firstLine="9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54F01B68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  </w:t>
      </w:r>
    </w:p>
    <w:p w14:paraId="53BA8F3F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6" w:name="_Toc74047031"/>
      <w:r>
        <w:rPr>
          <w:rFonts w:ascii="Arial Narrow" w:hAnsi="Arial Narrow"/>
          <w:b/>
          <w:bCs/>
          <w:color w:val="000000"/>
          <w:sz w:val="24"/>
          <w:szCs w:val="24"/>
        </w:rPr>
        <w:t>5.1. Geografické údaje</w:t>
      </w:r>
      <w:bookmarkEnd w:id="6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70E2038B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E4349B1">
      <w:pPr>
        <w:spacing w:before="128" w:after="0" w:line="240" w:lineRule="auto"/>
        <w:ind w:left="115" w:right="234" w:firstLine="709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Z administratívneho hľadiska je obec začlenená do okresu Košice - okolie  a Košického samosprávneho kraja. Región – Abov. Z hľadiska výškovej polohy patrí kataster obce Zlatá Idka do nízkej vysočiny. Nadmorská výška obce Zlatá Idka je 668 m.n.m. </w:t>
      </w:r>
      <w:r>
        <w:rPr>
          <w:rFonts w:ascii="Arial Narrow" w:hAnsi="Arial Narrow" w:eastAsia="Times New Roman" w:cs="Times New Roman"/>
          <w:sz w:val="20"/>
          <w:szCs w:val="20"/>
        </w:rPr>
        <w:t xml:space="preserve">Rozloha katastrálneho územia obce je 1687 ha. </w:t>
      </w:r>
    </w:p>
    <w:p w14:paraId="39604826">
      <w:pPr>
        <w:spacing w:before="27" w:after="0" w:line="240" w:lineRule="auto"/>
        <w:ind w:left="115" w:right="229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64B8C46A">
      <w:pPr>
        <w:pStyle w:val="1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Kataster obce susedí: mesto Košice, </w:t>
      </w:r>
    </w:p>
    <w:p w14:paraId="296C3E15">
      <w:pPr>
        <w:pStyle w:val="10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                                    obce: Hýľov, Vyšný Klátov, Nižný Klátov,</w:t>
      </w:r>
      <w:r>
        <w:rPr>
          <w:rFonts w:ascii="Arial Narrow" w:hAnsi="Arial Narrow" w:cs="Times New Roman"/>
          <w:sz w:val="20"/>
          <w:szCs w:val="20"/>
        </w:rPr>
        <w:t xml:space="preserve"> Rudník, Jasov,  Poproč</w:t>
      </w:r>
    </w:p>
    <w:p w14:paraId="059154F2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3A40C30D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658F442C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7" w:name="_Toc74047032"/>
      <w:r>
        <w:rPr>
          <w:rFonts w:ascii="Arial Narrow" w:hAnsi="Arial Narrow"/>
          <w:b/>
          <w:bCs/>
          <w:color w:val="000000"/>
          <w:sz w:val="24"/>
          <w:szCs w:val="24"/>
        </w:rPr>
        <w:t>5.2. Demografické údaje</w:t>
      </w:r>
      <w:bookmarkEnd w:id="7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0024F7D9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49854B2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03A9BE50">
      <w:pPr>
        <w:spacing w:before="128" w:after="0" w:line="240" w:lineRule="auto"/>
        <w:ind w:left="118" w:right="229" w:firstLine="712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Obec Zlatá Idka patrí do kategórie malých obcí. Podľa Štatistického úradu SR k 31.12.202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4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žilo v obci 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432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obyvateľov prihlásených na trvalý pobyt (muži- 2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18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, ženy 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214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).</w:t>
      </w:r>
    </w:p>
    <w:p w14:paraId="333364A1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3EFD1434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Vekové  zloženie obyvateľstva je nasledujúce:  </w:t>
      </w:r>
    </w:p>
    <w:p w14:paraId="7BA09EC2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4C2B1B24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6487F2B1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drawing>
          <wp:inline distT="0" distB="0" distL="0" distR="0">
            <wp:extent cx="5760720" cy="1920240"/>
            <wp:effectExtent l="0" t="0" r="0" b="3810"/>
            <wp:docPr id="34708302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83026" name="Obrázok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2868D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42396E2D">
      <w:pPr>
        <w:spacing w:before="128" w:after="0" w:line="240" w:lineRule="auto"/>
        <w:ind w:right="229"/>
      </w:pPr>
    </w:p>
    <w:p w14:paraId="117FCC6B">
      <w:pPr>
        <w:spacing w:before="128" w:after="0" w:line="240" w:lineRule="auto"/>
        <w:ind w:right="229"/>
      </w:pPr>
      <w:r>
        <w:t>VEKOVÁ ŠTRUKTÚRA OBYVATEĽSTVA K 31.12.2024</w:t>
      </w:r>
    </w:p>
    <w:p w14:paraId="6FDBAE73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6621E176">
      <w:pPr>
        <w:spacing w:after="240" w:line="240" w:lineRule="auto"/>
        <w:jc w:val="center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  <w:drawing>
          <wp:inline distT="0" distB="0" distL="0" distR="0">
            <wp:extent cx="5760720" cy="1920240"/>
            <wp:effectExtent l="0" t="0" r="0" b="3810"/>
            <wp:docPr id="532025370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25370" name="Obrázok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C224B">
      <w:pPr>
        <w:spacing w:after="240" w:line="240" w:lineRule="auto"/>
        <w:jc w:val="center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</w:p>
    <w:p w14:paraId="2F85287D">
      <w:pPr>
        <w:spacing w:after="240" w:line="240" w:lineRule="auto"/>
        <w:jc w:val="center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0DCB31D3">
      <w:pPr>
        <w:spacing w:after="0" w:line="240" w:lineRule="auto"/>
        <w:ind w:left="113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2C608B2C">
      <w:pPr>
        <w:spacing w:before="461" w:after="0" w:line="240" w:lineRule="auto"/>
        <w:ind w:left="104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D</w:t>
      </w: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emografický vývoj obce:</w:t>
      </w:r>
    </w:p>
    <w:p w14:paraId="5F202C3E">
      <w:pPr>
        <w:spacing w:after="240" w:line="240" w:lineRule="auto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</w:p>
    <w:p w14:paraId="13FCC4F5">
      <w:pPr>
        <w:spacing w:after="240" w:line="240" w:lineRule="auto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  <w:drawing>
          <wp:inline distT="0" distB="0" distL="0" distR="0">
            <wp:extent cx="5760720" cy="1920240"/>
            <wp:effectExtent l="0" t="0" r="0" b="3810"/>
            <wp:docPr id="654546740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46740" name="Obrázok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FAD90">
      <w:pPr>
        <w:spacing w:after="240" w:line="240" w:lineRule="auto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</w:p>
    <w:p w14:paraId="3233323A">
      <w:pPr>
        <w:spacing w:after="240" w:line="240" w:lineRule="auto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</w:p>
    <w:p w14:paraId="7B527AD0">
      <w:pPr>
        <w:spacing w:after="240" w:line="240" w:lineRule="auto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  <w:drawing>
          <wp:inline distT="0" distB="0" distL="0" distR="0">
            <wp:extent cx="5760720" cy="1920240"/>
            <wp:effectExtent l="0" t="0" r="0" b="3810"/>
            <wp:docPr id="12077229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2299" name="Obrázok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4F8E8">
      <w:pPr>
        <w:spacing w:after="0" w:line="240" w:lineRule="auto"/>
        <w:ind w:left="113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05E0812D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BACF9C6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8A86BE5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8" w:name="_Toc74047033"/>
      <w:r>
        <w:rPr>
          <w:rFonts w:ascii="Arial Narrow" w:hAnsi="Arial Narrow"/>
          <w:b/>
          <w:bCs/>
          <w:color w:val="000000"/>
          <w:sz w:val="24"/>
          <w:szCs w:val="24"/>
        </w:rPr>
        <w:t>5.3. Ekonomické údaje</w:t>
      </w:r>
      <w:bookmarkEnd w:id="8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72CE1BF1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250140D0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  <w:lang w:eastAsia="sk-SK"/>
        </w:rPr>
        <w:drawing>
          <wp:inline distT="0" distB="0" distL="0" distR="0">
            <wp:extent cx="5760720" cy="1920240"/>
            <wp:effectExtent l="0" t="0" r="0" b="3810"/>
            <wp:docPr id="3" name="Obrázok 3" descr="C:\Users\russke0053\Downloads\char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russke0053\Downloads\chart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DA71F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4EE8C281">
      <w:pPr>
        <w:spacing w:before="128" w:after="0" w:line="240" w:lineRule="auto"/>
        <w:ind w:left="121" w:right="229" w:firstLine="704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drawing>
          <wp:inline distT="0" distB="0" distL="0" distR="0">
            <wp:extent cx="5760720" cy="1920240"/>
            <wp:effectExtent l="0" t="0" r="0" b="3810"/>
            <wp:docPr id="5" name="Obrázok 5" descr="C:\Users\russke0053\Downloads\char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C:\Users\russke0053\Downloads\chart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.  </w:t>
      </w:r>
    </w:p>
    <w:p w14:paraId="34A8DFC7">
      <w:pPr>
        <w:spacing w:after="0" w:line="240" w:lineRule="auto"/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4ADAEC17">
      <w:pPr>
        <w:spacing w:after="0" w:line="240" w:lineRule="auto"/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</w:pPr>
    </w:p>
    <w:p w14:paraId="5478BC71">
      <w:pPr>
        <w:spacing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2C1CAB47">
      <w:pPr>
        <w:spacing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sz w:val="20"/>
          <w:szCs w:val="20"/>
          <w:lang w:eastAsia="sk-SK"/>
        </w:rPr>
        <w:t xml:space="preserve">                 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Obec Zlatá Idka sa snaží ponúknuť prácu nezamestnaným občanom prostredníctvom  menších obecných služieb s cieľom, aby obdobie, kedy nemôžu nájsť uplatnenie na trhu práce  využili na udržiavanie svojich doterajších zručností a pracovných návykov a zároveň zlepšovať  životné prostredie, ekonomické a sociálne podmienky v obci.</w:t>
      </w:r>
    </w:p>
    <w:p w14:paraId="53A2D5CE">
      <w:pPr>
        <w:spacing w:before="526" w:after="0" w:line="240" w:lineRule="auto"/>
        <w:ind w:right="231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0A5B4AB4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9" w:name="_Toc74047034"/>
      <w:r>
        <w:rPr>
          <w:rFonts w:ascii="Arial Narrow" w:hAnsi="Arial Narrow"/>
          <w:b/>
          <w:bCs/>
          <w:color w:val="000000"/>
          <w:sz w:val="24"/>
          <w:szCs w:val="24"/>
        </w:rPr>
        <w:t>5.4. Symboly obce</w:t>
      </w:r>
      <w:bookmarkEnd w:id="9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0D740FC3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07584677">
      <w:pPr>
        <w:pStyle w:val="25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008AF1E4">
      <w:pPr>
        <w:pStyle w:val="25"/>
        <w:spacing w:line="240" w:lineRule="auto"/>
        <w:jc w:val="both"/>
        <w:rPr>
          <w:rFonts w:ascii="Arial Narrow" w:hAnsi="Arial Narrow" w:eastAsia="Times New Roman" w:cs="Times New Roman"/>
          <w:b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Erb obce :   </w:t>
      </w:r>
      <w:r>
        <w:rPr>
          <w:rFonts w:ascii="Arial Narrow" w:hAnsi="Arial Narrow" w:eastAsia="Times New Roman" w:cs="Times New Roman"/>
          <w:b/>
          <w:sz w:val="20"/>
          <w:szCs w:val="20"/>
        </w:rPr>
        <w:t xml:space="preserve"> </w:t>
      </w:r>
      <w:r>
        <w:rPr>
          <w:rFonts w:ascii="Arial Narrow" w:hAnsi="Arial Narrow" w:eastAsia="Times New Roman" w:cs="Times New Roman"/>
          <w:b/>
          <w:sz w:val="20"/>
          <w:szCs w:val="20"/>
        </w:rPr>
        <w:drawing>
          <wp:inline distT="0" distB="0" distL="0" distR="0">
            <wp:extent cx="552450" cy="5524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71CC6">
      <w:pPr>
        <w:pStyle w:val="25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10E3F879">
      <w:pPr>
        <w:pStyle w:val="25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1D30913D">
      <w:pPr>
        <w:pStyle w:val="25"/>
        <w:spacing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Vlajka obce</w:t>
      </w:r>
      <w:r>
        <w:rPr>
          <w:rFonts w:ascii="Arial Narrow" w:hAnsi="Arial Narrow"/>
          <w:sz w:val="20"/>
          <w:szCs w:val="20"/>
        </w:rPr>
        <w:t xml:space="preserve">: </w:t>
      </w:r>
      <w:r>
        <w:rPr>
          <w:rFonts w:ascii="Arial Narrow" w:hAnsi="Arial Narrow"/>
          <w:sz w:val="20"/>
          <w:szCs w:val="20"/>
        </w:rPr>
        <w:drawing>
          <wp:inline distT="0" distB="0" distL="0" distR="0">
            <wp:extent cx="638175" cy="561975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846" cy="5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3BD04">
      <w:pPr>
        <w:pStyle w:val="25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7675C33B">
      <w:pPr>
        <w:pStyle w:val="25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493E2F6A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0" w:name="_Toc74047035"/>
      <w:r>
        <w:rPr>
          <w:rFonts w:ascii="Arial Narrow" w:hAnsi="Arial Narrow"/>
          <w:b/>
          <w:bCs/>
          <w:color w:val="000000"/>
          <w:sz w:val="24"/>
          <w:szCs w:val="24"/>
        </w:rPr>
        <w:t>5.5. História obce</w:t>
      </w:r>
      <w:bookmarkEnd w:id="10"/>
    </w:p>
    <w:p w14:paraId="6ED95AA8">
      <w:pPr>
        <w:shd w:val="clear" w:color="auto" w:fill="FFFFFF"/>
        <w:spacing w:before="30" w:after="30" w:line="240" w:lineRule="auto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7BA7144">
      <w:pPr>
        <w:shd w:val="clear" w:color="auto" w:fill="FFFFFF"/>
        <w:spacing w:before="30" w:after="30" w:line="240" w:lineRule="auto"/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</w:t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t xml:space="preserve"> Názov obce je doložený z roku 1349 ako Ida, z roku 1459 ako Arany-Yda, v roku 1612 ako Gulden-Eidten, v roku 1630 ako Arany Ida, v rokoch 1808 ako Zlatá Idka; po maďarsky Arany-idka,, Aranyida.</w:t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br w:type="textWrapping"/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t>Obec bola administratívne začlenená pod Abovsko-turniansku župu; pred rokom 1960 pod okres Moldava nad Bodvou, kraj Košice; po roku 1960 pod okres Košice-vidiek, kraj Východoslovenský.</w:t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br w:type="textWrapping"/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t>Obec s richtárom, kráľovskou baňou na zlato a striebro a obyvateľstvom deleným na „občanov, hostí a baníkov“ sa spomína z roku 1349. Obec aj s právom dolovať prešla v roku 1459 z kráľovského majetku do vlastníctva mesta Košice. V 2. polovici 16. storočia baníctvo upadlo.  V roku 1715 – 20 mala 5 domácností. V roku 1767 sa dostala do rúk eráru, ktorý začal dolovať meď a postavil 2 hámre.V roku 1772 tu bývalo 26 poddanských rodín, v roku 1828 mala 96 domov a 724 obyvateľov. V usadlosti Reka pracovala do roku 1807 medená huta. V rokoch 1807 – 1891 odkryli do 20 nových šachiet, v roku 1823/4 začala pracovať amalgámová huta, ktorá bola v činnosti do I. svetovej vojny. Po zastavení ťažby v baniach väčšina obyvateľov pracovala v lesnom hospodárstve. Obec bola v rokoch 1938-44 pripojenou k Maďarsku. V roku 1943 časť vyhorela. V jej chotári v rokoch 1943-44 pôsobila partizánska skupina Petőfi. JRD, založené v roku 1960, bolo v roku 1963 zlúčené s JRD Hýľov. Je tu lesný závod. Značná časť obyvateľstva pracuje v priemyselných podnikoch v Košiciach.</w:t>
      </w:r>
    </w:p>
    <w:p w14:paraId="5C3E02C2">
      <w:pPr>
        <w:shd w:val="clear" w:color="auto" w:fill="FFFFFF"/>
        <w:spacing w:before="30" w:after="30" w:line="240" w:lineRule="auto"/>
        <w:jc w:val="both"/>
        <w:rPr>
          <w:rFonts w:ascii="Arial Narrow" w:hAnsi="Arial Narrow" w:eastAsia="Times New Roman" w:cs="Times New Roman"/>
          <w:i/>
          <w:iCs/>
          <w:color w:val="333333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333333"/>
          <w:sz w:val="20"/>
          <w:szCs w:val="20"/>
          <w:lang w:eastAsia="sk-SK"/>
        </w:rPr>
        <w:t>Zdroj: Vlastivedný slovník obcí na Slovensku, 3. časť</w:t>
      </w:r>
    </w:p>
    <w:p w14:paraId="2C1E8433">
      <w:pPr>
        <w:spacing w:after="0"/>
        <w:ind w:left="113" w:right="675" w:firstLine="9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671015C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1" w:name="_Toc74047036"/>
      <w:r>
        <w:rPr>
          <w:rFonts w:ascii="Arial Narrow" w:hAnsi="Arial Narrow"/>
          <w:b/>
          <w:bCs/>
          <w:color w:val="000000"/>
          <w:sz w:val="24"/>
          <w:szCs w:val="24"/>
        </w:rPr>
        <w:t>5.6. Pamiatky</w:t>
      </w:r>
      <w:bookmarkEnd w:id="11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1AB850BD">
      <w:pPr>
        <w:shd w:val="clear" w:color="auto" w:fill="FFFFFF"/>
        <w:spacing w:before="72" w:after="0" w:line="240" w:lineRule="auto"/>
        <w:outlineLvl w:val="2"/>
        <w:rPr>
          <w:rFonts w:ascii="Arial Narrow" w:hAnsi="Arial Narrow" w:eastAsia="Times New Roman" w:cs="Arial"/>
          <w:b/>
          <w:bCs/>
          <w:color w:val="000000"/>
          <w:sz w:val="24"/>
          <w:szCs w:val="24"/>
          <w:lang w:eastAsia="sk-SK"/>
        </w:rPr>
      </w:pPr>
      <w:r>
        <w:rPr>
          <w:rFonts w:ascii="Arial Narrow" w:hAnsi="Arial Narrow" w:eastAsia="Times New Roman" w:cs="Arial"/>
          <w:b/>
          <w:bCs/>
          <w:color w:val="000000"/>
          <w:sz w:val="24"/>
          <w:szCs w:val="24"/>
          <w:lang w:eastAsia="sk-SK"/>
        </w:rPr>
        <w:t xml:space="preserve"> </w:t>
      </w:r>
    </w:p>
    <w:p w14:paraId="5E8D13F1">
      <w:pPr>
        <w:shd w:val="clear" w:color="auto" w:fill="FFFFFF"/>
        <w:spacing w:before="72" w:after="0" w:line="240" w:lineRule="auto"/>
        <w:outlineLvl w:val="2"/>
        <w:rPr>
          <w:rFonts w:ascii="Arial Narrow" w:hAnsi="Arial Narrow" w:eastAsia="Times New Roman" w:cs="Arial"/>
          <w:b/>
          <w:bCs/>
          <w:color w:val="000000"/>
          <w:sz w:val="24"/>
          <w:szCs w:val="24"/>
          <w:lang w:eastAsia="sk-SK"/>
        </w:rPr>
      </w:pPr>
      <w:r>
        <w:fldChar w:fldCharType="begin"/>
      </w:r>
      <w:r>
        <w:instrText xml:space="preserve"> HYPERLINK "https://sk.wikipedia.org/wiki/R%C3%ADmskokatol%C3%ADcka_cirkev_na_Slovensku"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Rímskokatolícky</w:t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 kostol Všetkých svätých,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 xml:space="preserve"> jednoloďová </w:t>
      </w:r>
      <w:r>
        <w:fldChar w:fldCharType="begin"/>
      </w:r>
      <w:r>
        <w:instrText xml:space="preserve"> HYPERLINK "https://sk.wikipedia.org/wiki/Barok" \o "Rímskokatolícka cirkev na Slovensku"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barokovo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-</w:t>
      </w:r>
      <w:r>
        <w:fldChar w:fldCharType="begin"/>
      </w:r>
      <w:r>
        <w:instrText xml:space="preserve"> HYPERLINK "https://sk.wikipedia.org/wiki/Klasicizmus"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klasicistická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 stavba s polygonálne ukončeným </w:t>
      </w:r>
      <w:r>
        <w:fldChar w:fldCharType="begin"/>
      </w:r>
      <w:r>
        <w:instrText xml:space="preserve"> HYPERLINK "https://sk.wikipedia.org/wiki/Presbyt%C3%A9rium" \o "Presbytérium"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presbytériom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 a vežou tvoriacou súčasť jej hmoty z roku </w:t>
      </w:r>
      <w:r>
        <w:fldChar w:fldCharType="begin"/>
      </w:r>
      <w:r>
        <w:instrText xml:space="preserve"> HYPERLINK "https://sk.wikipedia.org/wiki/1768" \o "1768"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1768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 Úpravami prešiel v roku </w:t>
      </w:r>
      <w:r>
        <w:fldChar w:fldCharType="begin"/>
      </w:r>
      <w:r>
        <w:instrText xml:space="preserve"> HYPERLINK "https://sk.wikipedia.org/wiki/1830" \o "1830"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1830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 a po požiari v roku </w:t>
      </w:r>
      <w:r>
        <w:fldChar w:fldCharType="begin"/>
      </w:r>
      <w:r>
        <w:instrText xml:space="preserve"> HYPERLINK "https://sk.wikipedia.org/wiki/1853" \o "1853"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1853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 Fasády kostola sú hladké, veža je ukončená zvonovitou helmicou.</w:t>
      </w:r>
    </w:p>
    <w:p w14:paraId="7162B9E9">
      <w:pPr>
        <w:shd w:val="clear" w:color="auto" w:fill="FFFFFF"/>
        <w:spacing w:before="100" w:beforeAutospacing="1" w:after="24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Dedinská zvonica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 xml:space="preserve"> v časti Rieka, jednoduchá trojpodlažná kamenná stavba na pôdoryse štvorca z roku </w:t>
      </w:r>
      <w:r>
        <w:fldChar w:fldCharType="begin"/>
      </w:r>
      <w:r>
        <w:instrText xml:space="preserve"> HYPERLINK "https://sk.wikipedia.org/wiki/1823" \o "1823"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1823</w:t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</w:t>
      </w:r>
      <w:r>
        <w:fldChar w:fldCharType="begin"/>
      </w:r>
      <w:r>
        <w:instrText xml:space="preserve"> HYPERLINK "https://sk.wikipedia.org/wiki/Zlat%C3%A1_Idka" \l "cite_note-5"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u w:val="single"/>
          <w:vertAlign w:val="superscript"/>
          <w:lang w:eastAsia="sk-SK"/>
        </w:rPr>
        <w:t>]</w:t>
      </w:r>
      <w:r>
        <w:rPr>
          <w:rFonts w:ascii="Arial Narrow" w:hAnsi="Arial Narrow" w:eastAsia="Times New Roman" w:cs="Times New Roman"/>
          <w:sz w:val="20"/>
          <w:szCs w:val="20"/>
          <w:u w:val="single"/>
          <w:vertAlign w:val="superscript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u w:val="single"/>
          <w:vertAlign w:val="superscript"/>
          <w:lang w:eastAsia="sk-SK"/>
        </w:rPr>
        <w:t xml:space="preserve"> 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Fasáda zvonice je z neomietaného lomového kameňa, ukončená je šindľovou ihlanovou strechou.</w:t>
      </w:r>
    </w:p>
    <w:p w14:paraId="524555AD">
      <w:pPr>
        <w:shd w:val="clear" w:color="auto" w:fill="FFFFFF"/>
        <w:spacing w:before="100" w:beforeAutospacing="1" w:after="24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Budova správy baní, prícestný hostinec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, dvojpodlažná trojtraktová bloková baroková stavba s manzardovou strechou z roku </w:t>
      </w:r>
      <w:r>
        <w:fldChar w:fldCharType="begin"/>
      </w:r>
      <w:r>
        <w:instrText xml:space="preserve"> HYPERLINK "https://sk.wikipedia.org/wiki/1767" \o "1767"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1767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 Úpravami prešiel v prvej polovici </w:t>
      </w:r>
      <w:r>
        <w:fldChar w:fldCharType="begin"/>
      </w:r>
      <w:r>
        <w:instrText xml:space="preserve"> HYPERLINK "https://sk.wikipedia.org/wiki/19._storo%C4%8Die" \o "19. storočie"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19. storočia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 Nachádza sa v časti Rieka.</w:t>
      </w:r>
    </w:p>
    <w:p w14:paraId="76CFBAD4">
      <w:pPr>
        <w:spacing w:after="0" w:line="240" w:lineRule="auto"/>
        <w:ind w:left="113"/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Zdroj: Wikipédia</w:t>
      </w:r>
    </w:p>
    <w:p w14:paraId="0B586068">
      <w:pPr>
        <w:spacing w:after="0" w:line="240" w:lineRule="auto"/>
        <w:ind w:left="113"/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</w:pPr>
    </w:p>
    <w:p w14:paraId="2CC2846F">
      <w:pPr>
        <w:pStyle w:val="2"/>
        <w:rPr>
          <w:rFonts w:ascii="Arial Narrow" w:hAnsi="Arial Narrow"/>
          <w:color w:val="000000"/>
          <w:sz w:val="24"/>
          <w:szCs w:val="24"/>
          <w:lang w:eastAsia="sk-SK"/>
        </w:rPr>
      </w:pPr>
      <w:bookmarkStart w:id="12" w:name="_Toc74047037"/>
      <w:r>
        <w:rPr>
          <w:rFonts w:ascii="Arial Narrow" w:hAnsi="Arial Narrow"/>
          <w:color w:val="000000"/>
          <w:sz w:val="26"/>
          <w:szCs w:val="26"/>
          <w:lang w:eastAsia="sk-SK"/>
        </w:rPr>
        <w:t>6. Plnenie funkcií obce (prenesené kompetencie, originálne kompetencie)</w:t>
      </w:r>
      <w:bookmarkEnd w:id="12"/>
      <w:r>
        <w:rPr>
          <w:rFonts w:ascii="Arial Narrow" w:hAnsi="Arial Narrow"/>
          <w:color w:val="000000"/>
          <w:sz w:val="26"/>
          <w:szCs w:val="26"/>
          <w:lang w:eastAsia="sk-SK"/>
        </w:rPr>
        <w:t> </w:t>
      </w:r>
      <w:r>
        <w:rPr>
          <w:rFonts w:ascii="Arial Narrow" w:hAnsi="Arial Narrow"/>
          <w:color w:val="000000"/>
          <w:sz w:val="24"/>
          <w:szCs w:val="24"/>
          <w:lang w:eastAsia="sk-SK"/>
        </w:rPr>
        <w:t> </w:t>
      </w:r>
    </w:p>
    <w:p w14:paraId="5AEDFC5B">
      <w:pPr>
        <w:rPr>
          <w:lang w:val="zh-CN" w:eastAsia="sk-SK"/>
        </w:rPr>
      </w:pPr>
    </w:p>
    <w:p w14:paraId="68C2F884">
      <w:pPr>
        <w:pStyle w:val="3"/>
        <w:rPr>
          <w:rFonts w:ascii="Arial Narrow" w:hAnsi="Arial Narrow" w:eastAsia="Times New Roman" w:cs="Times New Roman"/>
          <w:sz w:val="24"/>
          <w:szCs w:val="24"/>
          <w:lang w:eastAsia="sk-SK"/>
        </w:rPr>
      </w:pPr>
      <w:bookmarkStart w:id="13" w:name="_Toc74047038"/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6.1. Výchova a vzdelávanie</w:t>
      </w:r>
      <w:bookmarkEnd w:id="13"/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  </w:t>
      </w:r>
    </w:p>
    <w:p w14:paraId="0E4F6A40">
      <w:pPr>
        <w:spacing w:before="443" w:after="0" w:line="240" w:lineRule="auto"/>
        <w:ind w:left="117" w:right="229" w:firstLine="11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         Školopovinné deti z obce navštevujú základné školy v Nižnom Klátove a Košiciach. Najbližšie stredné školy, ktoré študenti navštevujú sú v Košiciach. Predškolské zariadenia navštevujú deti v obci Hyľov, Rudník a v meste Košice.</w:t>
      </w:r>
    </w:p>
    <w:p w14:paraId="1298D3B7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  <w:bookmarkStart w:id="14" w:name="_Toc74047039"/>
    </w:p>
    <w:p w14:paraId="480B89BB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6.2. Zdravotníctvo</w:t>
      </w:r>
      <w:bookmarkEnd w:id="14"/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41FAD88B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1ACCD0F">
      <w:pPr>
        <w:spacing w:before="128" w:after="0" w:line="240" w:lineRule="auto"/>
        <w:ind w:right="229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         Základná a odborná  zdravotná starostlivosť je zabezpečovaná v Košiciach a Moldave nad Bodvou, ktorá je zabezpečovaná prostredníctvom  siete zdravotníckych zariadení pre obyvateľov regiónu. </w:t>
      </w:r>
    </w:p>
    <w:p w14:paraId="65F99DAD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  <w:bookmarkStart w:id="15" w:name="_Toc74047040"/>
    </w:p>
    <w:p w14:paraId="7931C234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6.3. Sociálne zabezpečenie</w:t>
      </w:r>
      <w:bookmarkEnd w:id="15"/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5A14CF05">
      <w:pPr>
        <w:pStyle w:val="3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68409866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V súčasnosti obec Zlatá Idka neposkytuje, nezabezpečuje a nemá zapísanú sociálnu službu v Registri poskytovateľov sociálnych služieb Košického samosprávneho kraja.</w:t>
      </w:r>
    </w:p>
    <w:p w14:paraId="07D3F7B6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Obec v prípade potreby podporuje:</w:t>
      </w:r>
    </w:p>
    <w:p w14:paraId="226F9B4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40443B8E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- poskytovanie sociálnych služieb s verejnými a neverejnými poskytovateľmi pre potreby obce na základe zmluvy s poskytovateľom.</w:t>
      </w:r>
    </w:p>
    <w:p w14:paraId="29650C40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0BB09975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Zoznam poskytovateľov sociálnych služieb v územnom obvode obce Zlatá Idka:</w:t>
      </w:r>
    </w:p>
    <w:p w14:paraId="7F7FD151">
      <w:pPr>
        <w:pStyle w:val="37"/>
        <w:numPr>
          <w:ilvl w:val="0"/>
          <w:numId w:val="1"/>
        </w:numPr>
        <w:ind w:right="675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 súčasnosti nie je registrovaný iný verejný alebo neverejný poskytovateľ sociálnej</w:t>
      </w:r>
    </w:p>
    <w:p w14:paraId="5C74A72A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služby v územnom obvode obce Zlatá Idka a žiadny subjekt neponúkol spoluprácu</w:t>
      </w:r>
    </w:p>
    <w:p w14:paraId="21F94E45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pri poskytovaní potrebných sociálnych služieb v územnom obvode obce Zlatá Idka.</w:t>
      </w:r>
    </w:p>
    <w:p w14:paraId="5969AA5B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5539D8D9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2B238AEB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  </w:t>
      </w:r>
      <w:bookmarkStart w:id="16" w:name="_Toc74047041"/>
      <w:r>
        <w:rPr>
          <w:rFonts w:ascii="Arial Narrow" w:hAnsi="Arial Narrow"/>
          <w:b/>
          <w:bCs/>
          <w:color w:val="000000"/>
          <w:sz w:val="24"/>
          <w:szCs w:val="24"/>
        </w:rPr>
        <w:t>6.4. Kultúra</w:t>
      </w:r>
      <w:bookmarkEnd w:id="16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 </w:t>
      </w:r>
    </w:p>
    <w:p w14:paraId="0FFE07E4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A4EDE1C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05391FE9">
      <w:pPr>
        <w:spacing w:before="6" w:after="0"/>
        <w:ind w:right="757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          V obci sa nachádza kultúrny dom, ktorý slúži na organizovanie  rôznych kultúrnych podujatí, rodinných osláv a stretnutí. Obec organizuje kultúrne podujatia ako Deň obce, Mikuláš pre deti. Pre dôchodcov a deti - výlet na Kojšovskú hoľu vláčikom.</w:t>
      </w:r>
    </w:p>
    <w:p w14:paraId="12CFE146">
      <w:pPr>
        <w:spacing w:after="0"/>
        <w:ind w:right="675"/>
        <w:jc w:val="both"/>
        <w:rPr>
          <w:rFonts w:ascii="Arial Narrow" w:hAnsi="Arial Narrow"/>
          <w:sz w:val="20"/>
          <w:szCs w:val="20"/>
        </w:rPr>
      </w:pPr>
    </w:p>
    <w:p w14:paraId="599A2D5E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  6.5. Doprava</w:t>
      </w:r>
    </w:p>
    <w:p w14:paraId="3FEF2A96">
      <w:r>
        <w:t xml:space="preserve">     </w:t>
      </w:r>
    </w:p>
    <w:p w14:paraId="7AE9480A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Prímesku autobusovú dopravu v obci zabezpečuje EUROBUS a.s. V obci sú vybudované zastávky so zastrešením a sedením.</w:t>
      </w:r>
    </w:p>
    <w:p w14:paraId="63A18DF7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  6.6. Územné plánovanie</w:t>
      </w:r>
    </w:p>
    <w:p w14:paraId="2DE8B0D2">
      <w:r>
        <w:t xml:space="preserve">     </w:t>
      </w:r>
    </w:p>
    <w:p w14:paraId="336BBB68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Územný plán obce Zlata Idka bol vypracovaný v roku 1995. Zmeny a úpravy územného plánu obec riešila doplnkami ( 6 doplnkami). </w:t>
      </w:r>
    </w:p>
    <w:p w14:paraId="18E0228E">
      <w:pPr>
        <w:rPr>
          <w:rFonts w:ascii="Arial Narrow" w:hAnsi="Arial Narrow"/>
          <w:color w:val="C00000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</w:t>
      </w:r>
    </w:p>
    <w:p w14:paraId="2D025238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7" w:name="_Toc74047042"/>
      <w:r>
        <w:rPr>
          <w:rFonts w:ascii="Arial Narrow" w:hAnsi="Arial Narrow"/>
          <w:b/>
          <w:bCs/>
          <w:color w:val="000000"/>
          <w:sz w:val="24"/>
          <w:szCs w:val="24"/>
        </w:rPr>
        <w:t>6.7 Hospodárstvo</w:t>
      </w:r>
      <w:bookmarkEnd w:id="17"/>
    </w:p>
    <w:p w14:paraId="4310F709">
      <w:pPr>
        <w:pStyle w:val="3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2BE3674">
      <w:pPr>
        <w:spacing w:before="128" w:after="0" w:line="240" w:lineRule="auto"/>
        <w:ind w:left="110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Najvýznamnejšie podnikateľské subjekty v obci sú : </w:t>
      </w:r>
    </w:p>
    <w:p w14:paraId="0D36D768">
      <w:pPr>
        <w:pStyle w:val="37"/>
        <w:numPr>
          <w:ilvl w:val="0"/>
          <w:numId w:val="1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KOREKT PLUS s.r.o.</w:t>
      </w:r>
    </w:p>
    <w:p w14:paraId="58CF1278">
      <w:pPr>
        <w:pStyle w:val="37"/>
        <w:numPr>
          <w:ilvl w:val="0"/>
          <w:numId w:val="1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CHEMAKO s.r.o.</w:t>
      </w:r>
    </w:p>
    <w:p w14:paraId="3E4A387C">
      <w:pPr>
        <w:pStyle w:val="37"/>
        <w:spacing w:before="128"/>
        <w:ind w:left="0"/>
        <w:rPr>
          <w:rFonts w:ascii="Arial Narrow" w:hAnsi="Arial Narrow"/>
          <w:color w:val="000000"/>
          <w:sz w:val="20"/>
          <w:szCs w:val="20"/>
        </w:rPr>
      </w:pPr>
    </w:p>
    <w:p w14:paraId="63698097">
      <w:pPr>
        <w:pStyle w:val="2"/>
        <w:rPr>
          <w:rFonts w:ascii="Arial Narrow" w:hAnsi="Arial Narrow"/>
          <w:color w:val="FF0000"/>
          <w:sz w:val="24"/>
          <w:szCs w:val="24"/>
        </w:rPr>
      </w:pPr>
      <w:bookmarkStart w:id="18" w:name="_Toc74047043"/>
      <w:r>
        <w:rPr>
          <w:rFonts w:ascii="Arial Narrow" w:hAnsi="Arial Narrow"/>
          <w:color w:val="FF0000"/>
          <w:sz w:val="24"/>
          <w:szCs w:val="24"/>
        </w:rPr>
        <w:t>7. Informácia o vývoji obce z pohľadu rozpočtovníctva</w:t>
      </w:r>
      <w:bookmarkEnd w:id="18"/>
      <w:r>
        <w:rPr>
          <w:rFonts w:ascii="Arial Narrow" w:hAnsi="Arial Narrow"/>
          <w:color w:val="FF0000"/>
          <w:sz w:val="24"/>
          <w:szCs w:val="24"/>
        </w:rPr>
        <w:t> </w:t>
      </w:r>
    </w:p>
    <w:p w14:paraId="21AF4C93">
      <w:pPr>
        <w:ind w:left="709"/>
        <w:jc w:val="both"/>
        <w:rPr>
          <w:rFonts w:ascii="Arial Narrow" w:hAnsi="Arial Narrow" w:cs="Arial"/>
          <w:sz w:val="20"/>
          <w:szCs w:val="20"/>
        </w:rPr>
      </w:pPr>
      <w:bookmarkStart w:id="19" w:name="_Hlk133228031"/>
      <w:r>
        <w:rPr>
          <w:rFonts w:ascii="Arial Narrow" w:hAnsi="Arial Narrow" w:cs="Arial"/>
          <w:sz w:val="20"/>
          <w:szCs w:val="20"/>
        </w:rPr>
        <w:t>Základným   nástrojom  finančného  hospodárenia  obce  bol   rozpočet   obce   na  rok   2024.</w:t>
      </w:r>
    </w:p>
    <w:p w14:paraId="36934A61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4269E32C">
      <w:pPr>
        <w:ind w:left="709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Obecné zastupiteľstvo schválilo rozpočet na rok 2024 na svojom zasadnutí uznesením č.76/2023 dňa: 16.12.2023    </w:t>
      </w:r>
      <w:r>
        <w:rPr>
          <w:rFonts w:ascii="Arial Narrow" w:hAnsi="Arial Narrow" w:cs="Arial"/>
          <w:b/>
          <w:color w:val="FF0000"/>
          <w:sz w:val="20"/>
          <w:szCs w:val="20"/>
        </w:rPr>
        <w:t>.</w:t>
      </w:r>
    </w:p>
    <w:p w14:paraId="3A8D99E9">
      <w:pPr>
        <w:ind w:left="709"/>
        <w:jc w:val="both"/>
        <w:rPr>
          <w:rFonts w:ascii="Arial Narrow" w:hAnsi="Arial Narrow" w:cs="Arial"/>
          <w:bCs/>
          <w:color w:val="FF0000"/>
          <w:sz w:val="20"/>
          <w:szCs w:val="20"/>
        </w:rPr>
      </w:pPr>
    </w:p>
    <w:p w14:paraId="3CD75279">
      <w:pPr>
        <w:ind w:left="709"/>
        <w:jc w:val="both"/>
        <w:rPr>
          <w:rFonts w:ascii="Arial Narrow" w:hAnsi="Arial Narrow" w:cs="Arial"/>
          <w:color w:val="FF0000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Obec zostavila rozpočet podľa ustanovenia § 10 odsek 7) zákona č.583/2004 Z.z. o rozpočtových pravidlách územnej samosprávy a o zmene a doplnení niektorých zákonov v znení neskorších predpisov. Rozpočet obce na rok 2024 bol zostavený ako prebytkový. Bežný rozpočet bol zostavený ako prebytkový, kapitálový ako schodkový</w:t>
      </w:r>
      <w:r>
        <w:rPr>
          <w:rFonts w:ascii="Arial Narrow" w:hAnsi="Arial Narrow" w:cs="Arial"/>
          <w:color w:val="FF0000"/>
          <w:sz w:val="20"/>
          <w:szCs w:val="20"/>
        </w:rPr>
        <w:t xml:space="preserve">. </w:t>
      </w:r>
    </w:p>
    <w:p w14:paraId="2B11320B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1D546E9C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Vývoj rozpočtového hospodárenia v roku 2024 si vyžiadal úpravu príjmových a výdavkových položiek.</w:t>
      </w:r>
    </w:p>
    <w:p w14:paraId="5A586859">
      <w:pPr>
        <w:jc w:val="both"/>
        <w:rPr>
          <w:rFonts w:ascii="Arial Narrow" w:hAnsi="Arial Narrow" w:cs="Arial"/>
          <w:sz w:val="20"/>
          <w:szCs w:val="20"/>
        </w:rPr>
      </w:pPr>
    </w:p>
    <w:p w14:paraId="6A87C484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Zmeny rozpočtu: </w:t>
      </w:r>
    </w:p>
    <w:p w14:paraId="7E545FBD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prvá  zmena  schválená obecným zastupiteľstvom dňa 21.06.2024 uznesením č.21/2024</w:t>
      </w:r>
    </w:p>
    <w:p w14:paraId="35E04DA8">
      <w:pPr>
        <w:numPr>
          <w:ilvl w:val="0"/>
          <w:numId w:val="2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druhá zmena schválená obecným zastupiteľstvom dňa 18.10.2024 uznesením č.40/2024 </w:t>
      </w:r>
    </w:p>
    <w:p w14:paraId="41C89BC0">
      <w:pPr>
        <w:ind w:left="720"/>
        <w:jc w:val="both"/>
        <w:rPr>
          <w:rFonts w:ascii="Arial Narrow" w:hAnsi="Arial Narrow"/>
          <w:sz w:val="20"/>
          <w:szCs w:val="20"/>
        </w:rPr>
      </w:pPr>
    </w:p>
    <w:p w14:paraId="1FEEEEA6">
      <w:pPr>
        <w:ind w:left="709"/>
        <w:jc w:val="both"/>
        <w:rPr>
          <w:rFonts w:ascii="Cambria" w:hAnsi="Cambria" w:cs="Arial"/>
          <w:sz w:val="20"/>
          <w:szCs w:val="20"/>
        </w:rPr>
      </w:pPr>
    </w:p>
    <w:p w14:paraId="09D65869">
      <w:pPr>
        <w:tabs>
          <w:tab w:val="left" w:pos="2355"/>
          <w:tab w:val="center" w:pos="4536"/>
        </w:tabs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     Rozpočet obce na rok 2024 v €:    </w:t>
      </w:r>
    </w:p>
    <w:p w14:paraId="552D2E7C">
      <w:pPr>
        <w:tabs>
          <w:tab w:val="left" w:pos="2355"/>
          <w:tab w:val="center" w:pos="4536"/>
        </w:tabs>
        <w:rPr>
          <w:rFonts w:ascii="Cambria" w:hAnsi="Cambria" w:cs="Arial"/>
          <w:b/>
          <w:sz w:val="20"/>
          <w:szCs w:val="20"/>
        </w:rPr>
      </w:pPr>
    </w:p>
    <w:tbl>
      <w:tblPr>
        <w:tblStyle w:val="7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3"/>
        <w:gridCol w:w="1496"/>
        <w:gridCol w:w="1368"/>
        <w:gridCol w:w="1541"/>
      </w:tblGrid>
      <w:tr w14:paraId="54CBD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0" w:type="auto"/>
            <w:shd w:val="clear" w:color="auto" w:fill="D9D9D9"/>
          </w:tcPr>
          <w:p w14:paraId="57DD22C8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D9D9D9"/>
          </w:tcPr>
          <w:p w14:paraId="40FAE4CC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Schválený</w:t>
            </w:r>
          </w:p>
          <w:p w14:paraId="0232841E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2024</w:t>
            </w:r>
          </w:p>
        </w:tc>
        <w:tc>
          <w:tcPr>
            <w:tcW w:w="1368" w:type="dxa"/>
            <w:shd w:val="clear" w:color="auto" w:fill="D9D9D9"/>
          </w:tcPr>
          <w:p w14:paraId="699800EE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Upravený k</w:t>
            </w:r>
          </w:p>
          <w:p w14:paraId="7061810D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31.12.2024</w:t>
            </w:r>
          </w:p>
        </w:tc>
        <w:tc>
          <w:tcPr>
            <w:tcW w:w="1541" w:type="dxa"/>
            <w:shd w:val="clear" w:color="auto" w:fill="D9D9D9"/>
          </w:tcPr>
          <w:p w14:paraId="6B67D90F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Skutočnosť k</w:t>
            </w:r>
          </w:p>
          <w:p w14:paraId="0078A5E9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31.12.2024</w:t>
            </w:r>
          </w:p>
        </w:tc>
      </w:tr>
      <w:tr w14:paraId="5E4FB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</w:tcPr>
          <w:p w14:paraId="60E19647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Bežné príjmy celkom</w:t>
            </w:r>
          </w:p>
        </w:tc>
        <w:tc>
          <w:tcPr>
            <w:tcW w:w="1496" w:type="dxa"/>
          </w:tcPr>
          <w:p w14:paraId="284A1ACA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194 700,00</w:t>
            </w:r>
          </w:p>
        </w:tc>
        <w:tc>
          <w:tcPr>
            <w:tcW w:w="1368" w:type="dxa"/>
          </w:tcPr>
          <w:p w14:paraId="0421D985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194 700,00</w:t>
            </w:r>
          </w:p>
        </w:tc>
        <w:tc>
          <w:tcPr>
            <w:tcW w:w="1541" w:type="dxa"/>
          </w:tcPr>
          <w:p w14:paraId="0173397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202 669,77</w:t>
            </w:r>
          </w:p>
        </w:tc>
      </w:tr>
      <w:tr w14:paraId="18A54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</w:tcPr>
          <w:p w14:paraId="4627811B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Bežné výdavky celkom</w:t>
            </w:r>
          </w:p>
        </w:tc>
        <w:tc>
          <w:tcPr>
            <w:tcW w:w="1496" w:type="dxa"/>
          </w:tcPr>
          <w:p w14:paraId="3C7B289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172 400,00</w:t>
            </w:r>
          </w:p>
        </w:tc>
        <w:tc>
          <w:tcPr>
            <w:tcW w:w="1368" w:type="dxa"/>
          </w:tcPr>
          <w:p w14:paraId="6FABED0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172 400,00</w:t>
            </w:r>
          </w:p>
        </w:tc>
        <w:tc>
          <w:tcPr>
            <w:tcW w:w="1541" w:type="dxa"/>
          </w:tcPr>
          <w:p w14:paraId="70DD30A2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169 227,41</w:t>
            </w:r>
          </w:p>
        </w:tc>
      </w:tr>
      <w:tr w14:paraId="36B07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shd w:val="clear" w:color="auto" w:fill="D9E2F3"/>
          </w:tcPr>
          <w:p w14:paraId="7CD32754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Sumár bežného rozpočtu</w:t>
            </w:r>
          </w:p>
        </w:tc>
        <w:tc>
          <w:tcPr>
            <w:tcW w:w="1496" w:type="dxa"/>
            <w:shd w:val="clear" w:color="auto" w:fill="D9E2F3"/>
          </w:tcPr>
          <w:p w14:paraId="59FF9CFE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22 300,00</w:t>
            </w:r>
          </w:p>
        </w:tc>
        <w:tc>
          <w:tcPr>
            <w:tcW w:w="1368" w:type="dxa"/>
            <w:shd w:val="clear" w:color="auto" w:fill="D9E2F3"/>
          </w:tcPr>
          <w:p w14:paraId="7B95F8E8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22 300,00</w:t>
            </w:r>
          </w:p>
        </w:tc>
        <w:tc>
          <w:tcPr>
            <w:tcW w:w="1541" w:type="dxa"/>
            <w:shd w:val="clear" w:color="auto" w:fill="D9E2F3"/>
          </w:tcPr>
          <w:p w14:paraId="09CD757C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33 442,36</w:t>
            </w:r>
          </w:p>
        </w:tc>
      </w:tr>
      <w:tr w14:paraId="59172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</w:tcPr>
          <w:p w14:paraId="608F4F98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14:paraId="7FA6D83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4A33A4CC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41" w:type="dxa"/>
          </w:tcPr>
          <w:p w14:paraId="5288F9B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14:paraId="27B8A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0" w:type="auto"/>
          </w:tcPr>
          <w:p w14:paraId="37DF0952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Kapitálové príjmy celkom</w:t>
            </w:r>
          </w:p>
        </w:tc>
        <w:tc>
          <w:tcPr>
            <w:tcW w:w="1496" w:type="dxa"/>
          </w:tcPr>
          <w:p w14:paraId="2087F1E5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3 284 498,19</w:t>
            </w:r>
          </w:p>
        </w:tc>
        <w:tc>
          <w:tcPr>
            <w:tcW w:w="1368" w:type="dxa"/>
          </w:tcPr>
          <w:p w14:paraId="04A2712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3 284 498,19</w:t>
            </w:r>
          </w:p>
        </w:tc>
        <w:tc>
          <w:tcPr>
            <w:tcW w:w="1541" w:type="dxa"/>
          </w:tcPr>
          <w:p w14:paraId="568FDAD5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4 463,85</w:t>
            </w:r>
          </w:p>
        </w:tc>
      </w:tr>
      <w:tr w14:paraId="13247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</w:tcPr>
          <w:p w14:paraId="3FD11D1A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Kapitálové výdavky celkom</w:t>
            </w:r>
          </w:p>
        </w:tc>
        <w:tc>
          <w:tcPr>
            <w:tcW w:w="1496" w:type="dxa"/>
          </w:tcPr>
          <w:p w14:paraId="4E3803B0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3 352 355,19</w:t>
            </w:r>
          </w:p>
        </w:tc>
        <w:tc>
          <w:tcPr>
            <w:tcW w:w="1368" w:type="dxa"/>
          </w:tcPr>
          <w:p w14:paraId="0D31F747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3 408 455,19</w:t>
            </w:r>
          </w:p>
        </w:tc>
        <w:tc>
          <w:tcPr>
            <w:tcW w:w="1541" w:type="dxa"/>
          </w:tcPr>
          <w:p w14:paraId="387319B3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122 169,07</w:t>
            </w:r>
          </w:p>
        </w:tc>
      </w:tr>
      <w:tr w14:paraId="58056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shd w:val="clear" w:color="auto" w:fill="D9E2F3"/>
          </w:tcPr>
          <w:p w14:paraId="5BDAC5F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Sumár kapitálového rozpočtu</w:t>
            </w:r>
          </w:p>
        </w:tc>
        <w:tc>
          <w:tcPr>
            <w:tcW w:w="1496" w:type="dxa"/>
            <w:shd w:val="clear" w:color="auto" w:fill="D9E2F3"/>
          </w:tcPr>
          <w:p w14:paraId="43816C8C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-67 857,00</w:t>
            </w:r>
          </w:p>
        </w:tc>
        <w:tc>
          <w:tcPr>
            <w:tcW w:w="1368" w:type="dxa"/>
            <w:shd w:val="clear" w:color="auto" w:fill="D9E2F3"/>
          </w:tcPr>
          <w:p w14:paraId="70BDDD6F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-123 957,00</w:t>
            </w:r>
          </w:p>
        </w:tc>
        <w:tc>
          <w:tcPr>
            <w:tcW w:w="1541" w:type="dxa"/>
            <w:shd w:val="clear" w:color="auto" w:fill="D9E2F3"/>
          </w:tcPr>
          <w:p w14:paraId="4E85829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-117 705,22</w:t>
            </w:r>
          </w:p>
        </w:tc>
      </w:tr>
      <w:tr w14:paraId="31BCA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</w:tcPr>
          <w:p w14:paraId="3D1F30BF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14:paraId="13067264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5D55FA0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41" w:type="dxa"/>
          </w:tcPr>
          <w:p w14:paraId="486AC210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14:paraId="2FCEC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</w:tcPr>
          <w:p w14:paraId="4623A414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Finančné operácie príjmové</w:t>
            </w:r>
          </w:p>
        </w:tc>
        <w:tc>
          <w:tcPr>
            <w:tcW w:w="1496" w:type="dxa"/>
          </w:tcPr>
          <w:p w14:paraId="7A70254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67 857,00</w:t>
            </w:r>
          </w:p>
        </w:tc>
        <w:tc>
          <w:tcPr>
            <w:tcW w:w="1368" w:type="dxa"/>
          </w:tcPr>
          <w:p w14:paraId="4187E242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103 957,00</w:t>
            </w:r>
          </w:p>
        </w:tc>
        <w:tc>
          <w:tcPr>
            <w:tcW w:w="1541" w:type="dxa"/>
          </w:tcPr>
          <w:p w14:paraId="4795A01B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116 112,00</w:t>
            </w:r>
          </w:p>
        </w:tc>
      </w:tr>
      <w:tr w14:paraId="42FAC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</w:tcPr>
          <w:p w14:paraId="37056A31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Finančné operácie výdavkové</w:t>
            </w:r>
          </w:p>
        </w:tc>
        <w:tc>
          <w:tcPr>
            <w:tcW w:w="1496" w:type="dxa"/>
          </w:tcPr>
          <w:p w14:paraId="34131F1A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0,00</w:t>
            </w:r>
          </w:p>
        </w:tc>
        <w:tc>
          <w:tcPr>
            <w:tcW w:w="1368" w:type="dxa"/>
          </w:tcPr>
          <w:p w14:paraId="4ADEE06F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0,00</w:t>
            </w:r>
          </w:p>
        </w:tc>
        <w:tc>
          <w:tcPr>
            <w:tcW w:w="1541" w:type="dxa"/>
          </w:tcPr>
          <w:p w14:paraId="3A0DFD0E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0,00</w:t>
            </w:r>
          </w:p>
        </w:tc>
      </w:tr>
      <w:tr w14:paraId="10C4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shd w:val="clear" w:color="auto" w:fill="D9E2F3"/>
          </w:tcPr>
          <w:p w14:paraId="49783015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Sumár finančných operácii</w:t>
            </w:r>
          </w:p>
        </w:tc>
        <w:tc>
          <w:tcPr>
            <w:tcW w:w="1496" w:type="dxa"/>
            <w:shd w:val="clear" w:color="auto" w:fill="D9E2F3"/>
          </w:tcPr>
          <w:p w14:paraId="66744FCF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67 857,00</w:t>
            </w:r>
          </w:p>
        </w:tc>
        <w:tc>
          <w:tcPr>
            <w:tcW w:w="1368" w:type="dxa"/>
            <w:shd w:val="clear" w:color="auto" w:fill="D9E2F3"/>
          </w:tcPr>
          <w:p w14:paraId="7FCFF528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103 957,00</w:t>
            </w:r>
          </w:p>
        </w:tc>
        <w:tc>
          <w:tcPr>
            <w:tcW w:w="1541" w:type="dxa"/>
            <w:shd w:val="clear" w:color="auto" w:fill="D9E2F3"/>
          </w:tcPr>
          <w:p w14:paraId="28584135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116 112,00</w:t>
            </w:r>
          </w:p>
        </w:tc>
      </w:tr>
      <w:tr w14:paraId="7B340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0" w:type="auto"/>
          </w:tcPr>
          <w:p w14:paraId="6FEF189A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14:paraId="4BE172E5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727536EF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41" w:type="dxa"/>
          </w:tcPr>
          <w:p w14:paraId="346261A3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14:paraId="2BD1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</w:tcPr>
          <w:p w14:paraId="610E7FD1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Celkové príjmy spolu</w:t>
            </w:r>
          </w:p>
        </w:tc>
        <w:tc>
          <w:tcPr>
            <w:tcW w:w="1496" w:type="dxa"/>
          </w:tcPr>
          <w:p w14:paraId="4B6D1ECF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3 547 055,19</w:t>
            </w:r>
          </w:p>
        </w:tc>
        <w:tc>
          <w:tcPr>
            <w:tcW w:w="1368" w:type="dxa"/>
          </w:tcPr>
          <w:p w14:paraId="64018343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3 583 155,19</w:t>
            </w:r>
          </w:p>
        </w:tc>
        <w:tc>
          <w:tcPr>
            <w:tcW w:w="1541" w:type="dxa"/>
          </w:tcPr>
          <w:p w14:paraId="21F4C7A0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323 245,62</w:t>
            </w:r>
          </w:p>
        </w:tc>
      </w:tr>
      <w:tr w14:paraId="2211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</w:tcPr>
          <w:p w14:paraId="6B4CD627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Celkové výdavky spolu</w:t>
            </w:r>
          </w:p>
        </w:tc>
        <w:tc>
          <w:tcPr>
            <w:tcW w:w="1496" w:type="dxa"/>
          </w:tcPr>
          <w:p w14:paraId="6D7BEED7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3 524 755,19</w:t>
            </w:r>
          </w:p>
        </w:tc>
        <w:tc>
          <w:tcPr>
            <w:tcW w:w="1368" w:type="dxa"/>
          </w:tcPr>
          <w:p w14:paraId="758F0A72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3 580 855,19</w:t>
            </w:r>
          </w:p>
        </w:tc>
        <w:tc>
          <w:tcPr>
            <w:tcW w:w="1541" w:type="dxa"/>
          </w:tcPr>
          <w:p w14:paraId="77B74284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291 396,48</w:t>
            </w:r>
          </w:p>
        </w:tc>
      </w:tr>
      <w:tr w14:paraId="511A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shd w:val="clear" w:color="auto" w:fill="D9E2F3"/>
          </w:tcPr>
          <w:p w14:paraId="35C2E482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Účtovný prebytok/schodok</w:t>
            </w:r>
          </w:p>
        </w:tc>
        <w:tc>
          <w:tcPr>
            <w:tcW w:w="1496" w:type="dxa"/>
            <w:shd w:val="clear" w:color="auto" w:fill="D9E2F3"/>
          </w:tcPr>
          <w:p w14:paraId="19344FB7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22 300,00</w:t>
            </w:r>
          </w:p>
        </w:tc>
        <w:tc>
          <w:tcPr>
            <w:tcW w:w="1368" w:type="dxa"/>
            <w:shd w:val="clear" w:color="auto" w:fill="D9E2F3"/>
          </w:tcPr>
          <w:p w14:paraId="6AC8CD04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2 300,00</w:t>
            </w:r>
          </w:p>
        </w:tc>
        <w:tc>
          <w:tcPr>
            <w:tcW w:w="1541" w:type="dxa"/>
            <w:shd w:val="clear" w:color="auto" w:fill="D9E2F3"/>
          </w:tcPr>
          <w:p w14:paraId="4AD17DB4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31 849,14</w:t>
            </w:r>
          </w:p>
        </w:tc>
      </w:tr>
    </w:tbl>
    <w:p w14:paraId="08C6F16D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bookmarkEnd w:id="19"/>
    <w:p w14:paraId="3D548A4C">
      <w:pPr>
        <w:tabs>
          <w:tab w:val="left" w:pos="2355"/>
          <w:tab w:val="center" w:pos="4536"/>
        </w:tabs>
        <w:rPr>
          <w:rFonts w:ascii="Cambria" w:hAnsi="Cambria" w:cs="Arial"/>
          <w:b/>
          <w:color w:val="FF0000"/>
          <w:sz w:val="20"/>
          <w:szCs w:val="20"/>
        </w:rPr>
      </w:pPr>
    </w:p>
    <w:p w14:paraId="430E566E">
      <w:pPr>
        <w:tabs>
          <w:tab w:val="left" w:pos="2355"/>
          <w:tab w:val="center" w:pos="4536"/>
        </w:tabs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 xml:space="preserve">                           </w:t>
      </w:r>
    </w:p>
    <w:p w14:paraId="0C61343A">
      <w:pPr>
        <w:pStyle w:val="3"/>
        <w:rPr>
          <w:rFonts w:ascii="Arial Narrow" w:hAnsi="Arial Narrow"/>
          <w:b/>
          <w:bCs/>
          <w:color w:val="FF0000"/>
        </w:rPr>
      </w:pPr>
      <w:bookmarkStart w:id="20" w:name="_Toc74047044"/>
      <w:r>
        <w:rPr>
          <w:rFonts w:ascii="Arial Narrow" w:hAnsi="Arial Narrow"/>
          <w:b/>
          <w:bCs/>
          <w:color w:val="FF0000"/>
        </w:rPr>
        <w:t>7.1. Plnenie príjmov za rok 202</w:t>
      </w:r>
      <w:bookmarkEnd w:id="20"/>
      <w:r>
        <w:rPr>
          <w:rFonts w:ascii="Arial Narrow" w:hAnsi="Arial Narrow"/>
          <w:b/>
          <w:bCs/>
          <w:color w:val="FF0000"/>
        </w:rPr>
        <w:t>4</w:t>
      </w:r>
    </w:p>
    <w:p w14:paraId="508F7CB5">
      <w:pPr>
        <w:ind w:left="709"/>
        <w:rPr>
          <w:rFonts w:ascii="Arial Narrow" w:hAnsi="Arial Narrow" w:cs="Arial"/>
          <w:b/>
          <w:i/>
          <w:iCs/>
          <w:caps/>
          <w:color w:val="C00000"/>
          <w:sz w:val="20"/>
          <w:szCs w:val="20"/>
        </w:rPr>
      </w:pPr>
      <w:bookmarkStart w:id="21" w:name="_Hlk133228327"/>
    </w:p>
    <w:p w14:paraId="30EE6834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Za rok 2024  boli dosiahnuté </w:t>
      </w:r>
      <w:r>
        <w:rPr>
          <w:rFonts w:ascii="Arial Narrow" w:hAnsi="Arial Narrow" w:cs="Arial"/>
          <w:b/>
          <w:sz w:val="20"/>
          <w:szCs w:val="20"/>
        </w:rPr>
        <w:t>celkové príjmy spolu s finančnými operáciami</w:t>
      </w:r>
      <w:r>
        <w:rPr>
          <w:rFonts w:ascii="Arial Narrow" w:hAnsi="Arial Narrow" w:cs="Arial"/>
          <w:bCs/>
          <w:sz w:val="20"/>
          <w:szCs w:val="20"/>
        </w:rPr>
        <w:t xml:space="preserve"> v sume 323 245,62</w:t>
      </w:r>
      <w:r>
        <w:rPr>
          <w:rFonts w:ascii="Arial Narrow" w:hAnsi="Arial Narrow" w:cs="Arial"/>
          <w:b/>
          <w:sz w:val="20"/>
          <w:szCs w:val="20"/>
        </w:rPr>
        <w:t xml:space="preserve"> eur</w:t>
      </w:r>
      <w:r>
        <w:rPr>
          <w:rFonts w:ascii="Arial Narrow" w:hAnsi="Arial Narrow" w:cs="Arial"/>
          <w:bCs/>
          <w:sz w:val="20"/>
          <w:szCs w:val="20"/>
        </w:rPr>
        <w:t xml:space="preserve"> čo predstavuje 9,02 % plnenie upraveného rozpočtu.</w:t>
      </w:r>
    </w:p>
    <w:bookmarkEnd w:id="21"/>
    <w:p w14:paraId="260EA730">
      <w:pPr>
        <w:ind w:left="709"/>
        <w:rPr>
          <w:rFonts w:ascii="Arial Narrow" w:hAnsi="Arial Narrow" w:cs="Arial"/>
          <w:b/>
          <w:i/>
          <w:sz w:val="20"/>
          <w:szCs w:val="20"/>
        </w:rPr>
      </w:pPr>
    </w:p>
    <w:tbl>
      <w:tblPr>
        <w:tblStyle w:val="7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6700E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 w14:paraId="5FFC7B3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58F8CD2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2024</w:t>
            </w:r>
          </w:p>
        </w:tc>
        <w:tc>
          <w:tcPr>
            <w:tcW w:w="2202" w:type="dxa"/>
            <w:shd w:val="clear" w:color="auto" w:fill="D9D9D9"/>
          </w:tcPr>
          <w:p w14:paraId="691ED75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</w:t>
            </w:r>
          </w:p>
          <w:p w14:paraId="682B7DE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2024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6B92C9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31.12.2024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007A595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45A1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vAlign w:val="center"/>
          </w:tcPr>
          <w:p w14:paraId="382F083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3 547 055,19</w:t>
            </w:r>
          </w:p>
        </w:tc>
        <w:tc>
          <w:tcPr>
            <w:tcW w:w="2202" w:type="dxa"/>
            <w:vAlign w:val="center"/>
          </w:tcPr>
          <w:p w14:paraId="4E67FAE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3 583 155,19</w:t>
            </w:r>
          </w:p>
        </w:tc>
        <w:tc>
          <w:tcPr>
            <w:tcW w:w="2233" w:type="dxa"/>
            <w:vAlign w:val="center"/>
          </w:tcPr>
          <w:p w14:paraId="362C173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323 245,62</w:t>
            </w:r>
          </w:p>
        </w:tc>
        <w:tc>
          <w:tcPr>
            <w:tcW w:w="1672" w:type="dxa"/>
            <w:vAlign w:val="center"/>
          </w:tcPr>
          <w:p w14:paraId="3F5220A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9,02</w:t>
            </w:r>
          </w:p>
        </w:tc>
      </w:tr>
    </w:tbl>
    <w:p w14:paraId="4A434EB2">
      <w:pPr>
        <w:rPr>
          <w:rFonts w:ascii="Arial Narrow" w:hAnsi="Arial Narrow" w:cs="Arial"/>
          <w:b/>
          <w:i/>
          <w:iCs/>
          <w:caps/>
          <w:color w:val="FF0000"/>
        </w:rPr>
      </w:pPr>
    </w:p>
    <w:p w14:paraId="12D69156">
      <w:pPr>
        <w:rPr>
          <w:rFonts w:ascii="Arial Narrow" w:hAnsi="Arial Narrow" w:cs="Arial"/>
          <w:b/>
          <w:i/>
          <w:iCs/>
          <w:caps/>
          <w:color w:val="FF0000"/>
        </w:rPr>
      </w:pPr>
      <w:r>
        <w:rPr>
          <w:rFonts w:ascii="Arial Narrow" w:hAnsi="Arial Narrow" w:cs="Arial"/>
          <w:b/>
          <w:i/>
          <w:iCs/>
          <w:caps/>
          <w:color w:val="FF0000"/>
        </w:rPr>
        <w:t xml:space="preserve"> Bežné príjmy </w:t>
      </w:r>
    </w:p>
    <w:p w14:paraId="030E3131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Bežné príjmy obce dosiahli za rok 2024 sumu 202 669,77 eur, čo je v porovnaní s upraveným rozpočtom zvýšenie o 7 969,77   eur. </w:t>
      </w:r>
    </w:p>
    <w:p w14:paraId="32E7EEC9">
      <w:pPr>
        <w:rPr>
          <w:rFonts w:ascii="Arial Narrow" w:hAnsi="Arial Narrow" w:cs="Arial"/>
          <w:bCs/>
          <w:sz w:val="20"/>
          <w:szCs w:val="20"/>
        </w:rPr>
      </w:pPr>
    </w:p>
    <w:p w14:paraId="2D2A9449">
      <w:pPr>
        <w:rPr>
          <w:rFonts w:ascii="Arial Narrow" w:hAnsi="Arial Narrow" w:cs="Arial"/>
          <w:bCs/>
          <w:sz w:val="20"/>
          <w:szCs w:val="20"/>
        </w:rPr>
      </w:pPr>
    </w:p>
    <w:tbl>
      <w:tblPr>
        <w:tblStyle w:val="7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63C6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 w14:paraId="68C1613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17AA4C3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2024</w:t>
            </w:r>
          </w:p>
        </w:tc>
        <w:tc>
          <w:tcPr>
            <w:tcW w:w="2202" w:type="dxa"/>
            <w:shd w:val="clear" w:color="auto" w:fill="D9D9D9"/>
          </w:tcPr>
          <w:p w14:paraId="7EEC92B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</w:t>
            </w:r>
          </w:p>
          <w:p w14:paraId="3860B98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2024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56D54AD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31.12.2024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70226C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0337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vAlign w:val="center"/>
          </w:tcPr>
          <w:p w14:paraId="1F9C0EE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194 700,00</w:t>
            </w:r>
          </w:p>
        </w:tc>
        <w:tc>
          <w:tcPr>
            <w:tcW w:w="2202" w:type="dxa"/>
            <w:vAlign w:val="center"/>
          </w:tcPr>
          <w:p w14:paraId="60F8A3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194 700,00</w:t>
            </w:r>
          </w:p>
        </w:tc>
        <w:tc>
          <w:tcPr>
            <w:tcW w:w="2233" w:type="dxa"/>
            <w:vAlign w:val="center"/>
          </w:tcPr>
          <w:p w14:paraId="42754EF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202 669,77</w:t>
            </w:r>
          </w:p>
        </w:tc>
        <w:tc>
          <w:tcPr>
            <w:tcW w:w="1672" w:type="dxa"/>
            <w:vAlign w:val="center"/>
          </w:tcPr>
          <w:p w14:paraId="32C09FC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104,09</w:t>
            </w:r>
          </w:p>
        </w:tc>
      </w:tr>
    </w:tbl>
    <w:p w14:paraId="2816B78C">
      <w:pPr>
        <w:rPr>
          <w:rFonts w:ascii="Arial Narrow" w:hAnsi="Arial Narrow" w:cs="Arial"/>
          <w:bCs/>
          <w:color w:val="C00000"/>
          <w:sz w:val="20"/>
          <w:szCs w:val="20"/>
        </w:rPr>
      </w:pPr>
    </w:p>
    <w:p w14:paraId="3E48F48A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Bežné príjmy tvoria:</w:t>
      </w:r>
    </w:p>
    <w:p w14:paraId="12EFBA4A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 </w:t>
      </w:r>
    </w:p>
    <w:p w14:paraId="1766FCC4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- daňové príjmy  v sume 172 303,61 eur</w:t>
      </w:r>
    </w:p>
    <w:p w14:paraId="6EE6DE3A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- nedaňové príjmy  v sume   </w:t>
      </w:r>
      <w:r>
        <w:rPr>
          <w:rFonts w:ascii="Arial Narrow" w:hAnsi="Arial Narrow" w:cs="Arial"/>
          <w:sz w:val="20"/>
          <w:szCs w:val="20"/>
        </w:rPr>
        <w:t>18 255,37</w:t>
      </w:r>
      <w:r>
        <w:rPr>
          <w:rFonts w:ascii="Arial Narrow" w:hAnsi="Arial Narrow" w:cs="Arial"/>
          <w:bCs/>
          <w:sz w:val="20"/>
          <w:szCs w:val="20"/>
        </w:rPr>
        <w:t xml:space="preserve">eur </w:t>
      </w:r>
    </w:p>
    <w:p w14:paraId="1215B06E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- granty a transfery v sume  </w:t>
      </w:r>
      <w:r>
        <w:rPr>
          <w:rFonts w:ascii="Arial Narrow" w:hAnsi="Arial Narrow" w:cs="Arial"/>
          <w:sz w:val="20"/>
          <w:szCs w:val="20"/>
        </w:rPr>
        <w:t xml:space="preserve">12 110,79 </w:t>
      </w:r>
      <w:r>
        <w:rPr>
          <w:rFonts w:ascii="Arial Narrow" w:hAnsi="Arial Narrow" w:cs="Arial"/>
          <w:bCs/>
          <w:sz w:val="20"/>
          <w:szCs w:val="20"/>
        </w:rPr>
        <w:t>eur</w:t>
      </w:r>
    </w:p>
    <w:p w14:paraId="1690E35A">
      <w:pPr>
        <w:rPr>
          <w:rFonts w:ascii="Arial Narrow" w:hAnsi="Arial Narrow" w:cs="Arial"/>
          <w:b/>
          <w:i/>
          <w:iCs/>
          <w:color w:val="FF0000"/>
        </w:rPr>
      </w:pPr>
    </w:p>
    <w:p w14:paraId="259F05ED">
      <w:pPr>
        <w:rPr>
          <w:rFonts w:ascii="Arial Narrow" w:hAnsi="Arial Narrow" w:cs="Arial"/>
          <w:b/>
          <w:i/>
          <w:iCs/>
          <w:color w:val="FF0000"/>
        </w:rPr>
      </w:pPr>
      <w:r>
        <w:rPr>
          <w:rFonts w:ascii="Arial Narrow" w:hAnsi="Arial Narrow" w:cs="Arial"/>
          <w:b/>
          <w:i/>
          <w:iCs/>
          <w:color w:val="FF0000"/>
        </w:rPr>
        <w:t>- Daňové príjmy</w:t>
      </w:r>
    </w:p>
    <w:p w14:paraId="70F47133">
      <w:pPr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Daňové príjmy spolu  dosiahli za rok 2024 sumu 172 303,61 eur, čo je 96,15 % plnenie rozpočtu.</w:t>
      </w:r>
    </w:p>
    <w:p w14:paraId="56A83EC4">
      <w:pPr>
        <w:rPr>
          <w:rFonts w:ascii="Arial Narrow" w:hAnsi="Arial Narrow" w:cs="Arial"/>
          <w:b/>
        </w:rPr>
      </w:pPr>
    </w:p>
    <w:tbl>
      <w:tblPr>
        <w:tblStyle w:val="7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78BF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 w14:paraId="0E95E8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44CAA1D0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2024</w:t>
            </w:r>
          </w:p>
        </w:tc>
        <w:tc>
          <w:tcPr>
            <w:tcW w:w="2202" w:type="dxa"/>
            <w:shd w:val="clear" w:color="auto" w:fill="D9D9D9"/>
          </w:tcPr>
          <w:p w14:paraId="3502DC4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</w:t>
            </w:r>
          </w:p>
          <w:p w14:paraId="1ED344B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2024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10BE9C0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31.12.2024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37B1F44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6B977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vAlign w:val="center"/>
          </w:tcPr>
          <w:p w14:paraId="5E68A40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179 200,00</w:t>
            </w:r>
          </w:p>
        </w:tc>
        <w:tc>
          <w:tcPr>
            <w:tcW w:w="2202" w:type="dxa"/>
            <w:vAlign w:val="center"/>
          </w:tcPr>
          <w:p w14:paraId="421F3E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179 200,00</w:t>
            </w:r>
          </w:p>
        </w:tc>
        <w:tc>
          <w:tcPr>
            <w:tcW w:w="2233" w:type="dxa"/>
            <w:vAlign w:val="center"/>
          </w:tcPr>
          <w:p w14:paraId="363D9FF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172 303,61</w:t>
            </w:r>
          </w:p>
        </w:tc>
        <w:tc>
          <w:tcPr>
            <w:tcW w:w="1672" w:type="dxa"/>
            <w:vAlign w:val="center"/>
          </w:tcPr>
          <w:p w14:paraId="78A84F3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96,15</w:t>
            </w:r>
          </w:p>
        </w:tc>
      </w:tr>
    </w:tbl>
    <w:p w14:paraId="1669FF16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766582FF">
      <w:pPr>
        <w:ind w:left="709"/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56DD22BF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a) Výnos dane z príjmov poukázaný územnej samospráve </w:t>
      </w:r>
    </w:p>
    <w:p w14:paraId="5D6ACCEB">
      <w:pPr>
        <w:spacing w:before="12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Z predpokladanej finančnej čiastky vo výške 120 000,00 € z výnosu dane z príjmov boli k 31.12.2024 poukázané prostriedky zo ŠR vo výške  122 292,36 €, čo predstavuje plnenie na 101,91 %. </w:t>
      </w:r>
    </w:p>
    <w:p w14:paraId="6801CA87">
      <w:pPr>
        <w:spacing w:before="120"/>
        <w:jc w:val="both"/>
        <w:rPr>
          <w:rFonts w:ascii="Arial Narrow" w:hAnsi="Arial Narrow" w:cs="Arial"/>
          <w:sz w:val="20"/>
          <w:szCs w:val="20"/>
        </w:rPr>
      </w:pPr>
    </w:p>
    <w:tbl>
      <w:tblPr>
        <w:tblStyle w:val="16"/>
        <w:tblW w:w="8700" w:type="dxa"/>
        <w:tblInd w:w="3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1579"/>
        <w:gridCol w:w="1718"/>
        <w:gridCol w:w="1808"/>
        <w:gridCol w:w="1639"/>
      </w:tblGrid>
      <w:tr w14:paraId="0EAF2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6" w:type="dxa"/>
          </w:tcPr>
          <w:p w14:paraId="587911C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1579" w:type="dxa"/>
          </w:tcPr>
          <w:p w14:paraId="21821F7D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2024</w:t>
            </w:r>
          </w:p>
        </w:tc>
        <w:tc>
          <w:tcPr>
            <w:tcW w:w="1718" w:type="dxa"/>
          </w:tcPr>
          <w:p w14:paraId="2F39D2C3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1808" w:type="dxa"/>
          </w:tcPr>
          <w:p w14:paraId="5841D6FA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639" w:type="dxa"/>
          </w:tcPr>
          <w:p w14:paraId="3FB441E0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</w:tr>
      <w:tr w14:paraId="371F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6" w:type="dxa"/>
          </w:tcPr>
          <w:p w14:paraId="21EDA41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 xml:space="preserve"> Suma (€)</w:t>
            </w:r>
          </w:p>
        </w:tc>
        <w:tc>
          <w:tcPr>
            <w:tcW w:w="1579" w:type="dxa"/>
          </w:tcPr>
          <w:p w14:paraId="154B1B10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172 303,61</w:t>
            </w:r>
          </w:p>
        </w:tc>
        <w:tc>
          <w:tcPr>
            <w:tcW w:w="1718" w:type="dxa"/>
          </w:tcPr>
          <w:p w14:paraId="61755B8A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120 139,96</w:t>
            </w:r>
          </w:p>
        </w:tc>
        <w:tc>
          <w:tcPr>
            <w:tcW w:w="1808" w:type="dxa"/>
          </w:tcPr>
          <w:p w14:paraId="05A1ACC2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117 901,05</w:t>
            </w:r>
          </w:p>
        </w:tc>
        <w:tc>
          <w:tcPr>
            <w:tcW w:w="1639" w:type="dxa"/>
          </w:tcPr>
          <w:p w14:paraId="55FFC489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105 495,42</w:t>
            </w:r>
          </w:p>
        </w:tc>
      </w:tr>
    </w:tbl>
    <w:p w14:paraId="49E693F8">
      <w:pPr>
        <w:jc w:val="both"/>
        <w:rPr>
          <w:rFonts w:ascii="Arial Narrow" w:hAnsi="Arial Narrow" w:cs="Arial"/>
          <w:color w:val="FF0000"/>
          <w:sz w:val="20"/>
          <w:szCs w:val="20"/>
        </w:rPr>
      </w:pPr>
      <w:r>
        <w:rPr>
          <w:rFonts w:ascii="Arial Narrow" w:hAnsi="Arial Narrow" w:cs="Arial"/>
          <w:color w:val="FF0000"/>
          <w:sz w:val="20"/>
          <w:szCs w:val="20"/>
        </w:rPr>
        <w:t xml:space="preserve">   </w:t>
      </w:r>
    </w:p>
    <w:p w14:paraId="5390CF35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b) Daň z majetku z </w:t>
      </w:r>
      <w:r>
        <w:rPr>
          <w:rFonts w:ascii="Arial Narrow" w:hAnsi="Arial Narrow" w:cs="Arial"/>
          <w:sz w:val="20"/>
          <w:szCs w:val="20"/>
        </w:rPr>
        <w:t> rozpočtovaných 42 200,00 € bol skutočný príjem k 31.12.2024 vo výške 43 178,18 €, čo je 102,31% plnenie.</w:t>
      </w:r>
    </w:p>
    <w:p w14:paraId="77F1CD68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</w:t>
      </w:r>
      <w:r>
        <w:rPr>
          <w:rFonts w:ascii="Arial Narrow" w:hAnsi="Arial Narrow" w:cs="Arial"/>
          <w:b/>
          <w:sz w:val="20"/>
          <w:szCs w:val="20"/>
        </w:rPr>
        <w:t>Daň z pozemkov-</w:t>
      </w:r>
      <w:r>
        <w:rPr>
          <w:rFonts w:ascii="Arial Narrow" w:hAnsi="Arial Narrow" w:cs="Arial"/>
          <w:sz w:val="20"/>
          <w:szCs w:val="20"/>
        </w:rPr>
        <w:t xml:space="preserve"> skutočný príjem k 31.12.2024 vo výške 24 702,96€.                    </w:t>
      </w:r>
    </w:p>
    <w:p w14:paraId="221266D2">
      <w:pPr>
        <w:spacing w:before="120"/>
        <w:ind w:firstLine="200" w:firstLineChars="100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Daň zo stavieb </w:t>
      </w:r>
      <w:r>
        <w:rPr>
          <w:rFonts w:ascii="Arial Narrow" w:hAnsi="Arial Narrow" w:cs="Arial"/>
          <w:sz w:val="20"/>
          <w:szCs w:val="20"/>
        </w:rPr>
        <w:t xml:space="preserve"> - skutočný príjem k 31.12.2024 vo výške 18 411,52€.</w:t>
      </w:r>
    </w:p>
    <w:p w14:paraId="099C2D3E">
      <w:pPr>
        <w:spacing w:before="120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     Daň z bytov   - </w:t>
      </w:r>
      <w:r>
        <w:rPr>
          <w:rFonts w:ascii="Arial Narrow" w:hAnsi="Arial Narrow" w:cs="Arial"/>
          <w:sz w:val="20"/>
          <w:szCs w:val="20"/>
        </w:rPr>
        <w:t>skutočný príjem k 31.12.2024 vo výške 63,70€.</w:t>
      </w:r>
    </w:p>
    <w:p w14:paraId="100A8926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440F0AF6">
      <w:pPr>
        <w:jc w:val="both"/>
        <w:rPr>
          <w:rFonts w:ascii="Arial Narrow" w:hAnsi="Arial Narrow" w:cs="Arial"/>
          <w:sz w:val="20"/>
          <w:szCs w:val="20"/>
        </w:rPr>
      </w:pPr>
    </w:p>
    <w:tbl>
      <w:tblPr>
        <w:tblStyle w:val="16"/>
        <w:tblW w:w="0" w:type="auto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550"/>
        <w:gridCol w:w="1692"/>
        <w:gridCol w:w="1759"/>
        <w:gridCol w:w="1759"/>
      </w:tblGrid>
      <w:tr w14:paraId="43352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</w:tcPr>
          <w:p w14:paraId="73AC48D0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1550" w:type="dxa"/>
          </w:tcPr>
          <w:p w14:paraId="7D3BAEA5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2024</w:t>
            </w:r>
          </w:p>
        </w:tc>
        <w:tc>
          <w:tcPr>
            <w:tcW w:w="1692" w:type="dxa"/>
          </w:tcPr>
          <w:p w14:paraId="38EC08A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1759" w:type="dxa"/>
          </w:tcPr>
          <w:p w14:paraId="73AE808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759" w:type="dxa"/>
          </w:tcPr>
          <w:p w14:paraId="6B2B3516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</w:tr>
      <w:tr w14:paraId="36108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</w:tcPr>
          <w:p w14:paraId="2A4B57C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1550" w:type="dxa"/>
          </w:tcPr>
          <w:p w14:paraId="18E9CDBE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43 178,18</w:t>
            </w:r>
          </w:p>
        </w:tc>
        <w:tc>
          <w:tcPr>
            <w:tcW w:w="1692" w:type="dxa"/>
          </w:tcPr>
          <w:p w14:paraId="71321812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37 173,14</w:t>
            </w:r>
          </w:p>
        </w:tc>
        <w:tc>
          <w:tcPr>
            <w:tcW w:w="1759" w:type="dxa"/>
          </w:tcPr>
          <w:p w14:paraId="036B428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38 105,37</w:t>
            </w:r>
          </w:p>
        </w:tc>
        <w:tc>
          <w:tcPr>
            <w:tcW w:w="1759" w:type="dxa"/>
          </w:tcPr>
          <w:p w14:paraId="63B99FBD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40 563,38</w:t>
            </w:r>
          </w:p>
        </w:tc>
      </w:tr>
    </w:tbl>
    <w:p w14:paraId="2E1E009C">
      <w:pPr>
        <w:jc w:val="both"/>
        <w:rPr>
          <w:rFonts w:ascii="Arial Narrow" w:hAnsi="Arial Narrow" w:cs="Arial"/>
          <w:sz w:val="20"/>
          <w:szCs w:val="20"/>
        </w:rPr>
      </w:pPr>
    </w:p>
    <w:p w14:paraId="664757A6">
      <w:pPr>
        <w:spacing w:before="120"/>
        <w:jc w:val="both"/>
        <w:rPr>
          <w:rFonts w:ascii="Arial Narrow" w:hAnsi="Arial Narrow" w:cs="Arial"/>
          <w:sz w:val="20"/>
          <w:szCs w:val="20"/>
        </w:rPr>
      </w:pPr>
    </w:p>
    <w:p w14:paraId="273E9B73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c) Dane za tovary a služby </w:t>
      </w:r>
      <w:r>
        <w:rPr>
          <w:rFonts w:ascii="Arial Narrow" w:hAnsi="Arial Narrow" w:cs="Arial"/>
          <w:sz w:val="20"/>
          <w:szCs w:val="20"/>
        </w:rPr>
        <w:t> rozpočtovaných 17 000,00 € bol skutočný príjem k 31.12.2024 vo výške 6 833,07€, čo je 40,20% plnenie</w:t>
      </w:r>
    </w:p>
    <w:p w14:paraId="33617D45">
      <w:pPr>
        <w:spacing w:before="120"/>
        <w:ind w:firstLine="100" w:firstLineChars="50"/>
        <w:jc w:val="both"/>
        <w:rPr>
          <w:rFonts w:ascii="Arial Narrow" w:hAnsi="Arial Narrow" w:cs="Arial"/>
          <w:b/>
          <w:color w:val="FF0000"/>
          <w:sz w:val="20"/>
          <w:szCs w:val="20"/>
        </w:rPr>
      </w:pPr>
    </w:p>
    <w:p w14:paraId="6A0915B9">
      <w:pPr>
        <w:spacing w:before="120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 xml:space="preserve">- Daň za psa  </w:t>
      </w:r>
    </w:p>
    <w:p w14:paraId="4E7D420C">
      <w:pPr>
        <w:spacing w:before="120"/>
        <w:jc w:val="both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/>
          <w:color w:val="FF0000"/>
          <w:sz w:val="20"/>
          <w:szCs w:val="20"/>
        </w:rPr>
        <w:t xml:space="preserve">                      </w:t>
      </w:r>
      <w:r>
        <w:rPr>
          <w:rFonts w:ascii="Arial Narrow" w:hAnsi="Arial Narrow"/>
          <w:sz w:val="20"/>
          <w:szCs w:val="20"/>
        </w:rPr>
        <w:t xml:space="preserve"> -  </w:t>
      </w:r>
      <w:r>
        <w:rPr>
          <w:rFonts w:ascii="Arial Narrow" w:hAnsi="Arial Narrow" w:cs="Arial"/>
          <w:sz w:val="20"/>
          <w:szCs w:val="20"/>
        </w:rPr>
        <w:t xml:space="preserve">skutočný príjem k 31.12.2024 vo výške 1 142,14 </w:t>
      </w:r>
      <w:r>
        <w:rPr>
          <w:rFonts w:ascii="Arial Narrow" w:hAnsi="Arial Narrow"/>
          <w:sz w:val="20"/>
          <w:szCs w:val="20"/>
        </w:rPr>
        <w:t>€.</w:t>
      </w:r>
    </w:p>
    <w:tbl>
      <w:tblPr>
        <w:tblStyle w:val="16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569"/>
        <w:gridCol w:w="1706"/>
        <w:gridCol w:w="1706"/>
        <w:gridCol w:w="1674"/>
      </w:tblGrid>
      <w:tr w14:paraId="193D5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</w:tcPr>
          <w:p w14:paraId="135B7E62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1569" w:type="dxa"/>
          </w:tcPr>
          <w:p w14:paraId="4B5226A0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2024</w:t>
            </w:r>
          </w:p>
        </w:tc>
        <w:tc>
          <w:tcPr>
            <w:tcW w:w="1706" w:type="dxa"/>
          </w:tcPr>
          <w:p w14:paraId="35D6A4B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1706" w:type="dxa"/>
          </w:tcPr>
          <w:p w14:paraId="070A390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674" w:type="dxa"/>
          </w:tcPr>
          <w:p w14:paraId="62070DA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</w:tr>
      <w:tr w14:paraId="4CC9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</w:tcPr>
          <w:p w14:paraId="5E03F12E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1569" w:type="dxa"/>
          </w:tcPr>
          <w:p w14:paraId="319F16DD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1 142,14</w:t>
            </w:r>
          </w:p>
        </w:tc>
        <w:tc>
          <w:tcPr>
            <w:tcW w:w="1706" w:type="dxa"/>
          </w:tcPr>
          <w:p w14:paraId="27A3A52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918,86</w:t>
            </w:r>
          </w:p>
        </w:tc>
        <w:tc>
          <w:tcPr>
            <w:tcW w:w="1706" w:type="dxa"/>
          </w:tcPr>
          <w:p w14:paraId="6744E345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988,00</w:t>
            </w:r>
          </w:p>
        </w:tc>
        <w:tc>
          <w:tcPr>
            <w:tcW w:w="1674" w:type="dxa"/>
          </w:tcPr>
          <w:p w14:paraId="06A7E4D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916,0</w:t>
            </w:r>
          </w:p>
        </w:tc>
      </w:tr>
    </w:tbl>
    <w:p w14:paraId="1797D186">
      <w:pPr>
        <w:spacing w:before="120"/>
        <w:jc w:val="both"/>
        <w:rPr>
          <w:rFonts w:ascii="Arial Narrow" w:hAnsi="Arial Narrow"/>
          <w:color w:val="FF0000"/>
          <w:sz w:val="20"/>
          <w:szCs w:val="20"/>
        </w:rPr>
      </w:pPr>
    </w:p>
    <w:p w14:paraId="2E9A55FD">
      <w:pPr>
        <w:spacing w:before="120"/>
        <w:ind w:firstLine="100" w:firstLineChars="50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/>
          <w:color w:val="FF0000"/>
          <w:sz w:val="20"/>
          <w:szCs w:val="20"/>
        </w:rPr>
        <w:t xml:space="preserve">-  </w:t>
      </w:r>
      <w:r>
        <w:rPr>
          <w:rFonts w:ascii="Arial Narrow" w:hAnsi="Arial Narrow" w:cs="Arial"/>
          <w:b/>
          <w:color w:val="FF0000"/>
          <w:sz w:val="20"/>
          <w:szCs w:val="20"/>
        </w:rPr>
        <w:t>Daň za ubytovaciu kapacitu</w:t>
      </w:r>
    </w:p>
    <w:p w14:paraId="4DA62262">
      <w:pPr>
        <w:spacing w:before="120"/>
        <w:ind w:left="709"/>
        <w:jc w:val="both"/>
        <w:rPr>
          <w:rFonts w:ascii="Arial Narrow" w:hAnsi="Arial Narrow" w:cs="Arial"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 xml:space="preserve">     </w:t>
      </w:r>
      <w:r>
        <w:rPr>
          <w:rFonts w:ascii="Arial Narrow" w:hAnsi="Arial Narrow" w:cs="Arial"/>
          <w:color w:val="FF0000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-   skutočný príjem k 31.12.2024 vo výške 752,50eur.</w:t>
      </w:r>
    </w:p>
    <w:tbl>
      <w:tblPr>
        <w:tblStyle w:val="16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556"/>
        <w:gridCol w:w="1721"/>
        <w:gridCol w:w="1695"/>
        <w:gridCol w:w="1695"/>
      </w:tblGrid>
      <w:tr w14:paraId="63C3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5" w:type="dxa"/>
          </w:tcPr>
          <w:p w14:paraId="73AF8020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1556" w:type="dxa"/>
          </w:tcPr>
          <w:p w14:paraId="417D906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2024</w:t>
            </w:r>
          </w:p>
        </w:tc>
        <w:tc>
          <w:tcPr>
            <w:tcW w:w="1721" w:type="dxa"/>
          </w:tcPr>
          <w:p w14:paraId="52E1C60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1695" w:type="dxa"/>
          </w:tcPr>
          <w:p w14:paraId="3D8160DD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695" w:type="dxa"/>
          </w:tcPr>
          <w:p w14:paraId="547A6D1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</w:tr>
      <w:tr w14:paraId="57A9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5" w:type="dxa"/>
          </w:tcPr>
          <w:p w14:paraId="0DEB04C6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1556" w:type="dxa"/>
          </w:tcPr>
          <w:p w14:paraId="511082A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752,50</w:t>
            </w:r>
          </w:p>
        </w:tc>
        <w:tc>
          <w:tcPr>
            <w:tcW w:w="1721" w:type="dxa"/>
          </w:tcPr>
          <w:p w14:paraId="37EA466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1000,50</w:t>
            </w:r>
          </w:p>
        </w:tc>
        <w:tc>
          <w:tcPr>
            <w:tcW w:w="1695" w:type="dxa"/>
          </w:tcPr>
          <w:p w14:paraId="158E7091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672,00</w:t>
            </w:r>
          </w:p>
        </w:tc>
        <w:tc>
          <w:tcPr>
            <w:tcW w:w="1695" w:type="dxa"/>
          </w:tcPr>
          <w:p w14:paraId="683084B3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300,00</w:t>
            </w:r>
          </w:p>
        </w:tc>
      </w:tr>
    </w:tbl>
    <w:p w14:paraId="1B53EACE">
      <w:pPr>
        <w:spacing w:before="120"/>
        <w:ind w:left="709"/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A85B19C">
      <w:pPr>
        <w:spacing w:before="120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 xml:space="preserve">-  Poplatok za komunálny odpad a drobný stavebný odpad </w:t>
      </w:r>
    </w:p>
    <w:p w14:paraId="127569CA">
      <w:pPr>
        <w:spacing w:before="120"/>
        <w:ind w:firstLine="400" w:firstLineChars="20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-  skutočný príjem k 31.12.2024 vo výške 4 938,43</w:t>
      </w:r>
      <w:r>
        <w:rPr>
          <w:rFonts w:ascii="Arial Narrow" w:hAnsi="Arial Narrow"/>
          <w:sz w:val="20"/>
          <w:szCs w:val="20"/>
        </w:rPr>
        <w:t>€</w:t>
      </w:r>
      <w:r>
        <w:rPr>
          <w:rFonts w:ascii="Arial Narrow" w:hAnsi="Arial Narrow" w:cs="Arial"/>
          <w:sz w:val="20"/>
          <w:szCs w:val="20"/>
        </w:rPr>
        <w:t>.  Obec eviduje pohľadávku za komunálny odpad vo výške 3 536,67 eur</w:t>
      </w:r>
    </w:p>
    <w:p w14:paraId="3E2C11F0">
      <w:pPr>
        <w:spacing w:before="120"/>
        <w:jc w:val="both"/>
        <w:rPr>
          <w:rFonts w:ascii="Arial Narrow" w:hAnsi="Arial Narrow" w:cs="Arial"/>
          <w:sz w:val="20"/>
          <w:szCs w:val="20"/>
        </w:rPr>
      </w:pPr>
    </w:p>
    <w:tbl>
      <w:tblPr>
        <w:tblStyle w:val="16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527"/>
        <w:gridCol w:w="1675"/>
        <w:gridCol w:w="1744"/>
        <w:gridCol w:w="1743"/>
      </w:tblGrid>
      <w:tr w14:paraId="1C18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 w14:paraId="269FC04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1527" w:type="dxa"/>
          </w:tcPr>
          <w:p w14:paraId="17BCFE1E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2024</w:t>
            </w:r>
          </w:p>
        </w:tc>
        <w:tc>
          <w:tcPr>
            <w:tcW w:w="1675" w:type="dxa"/>
          </w:tcPr>
          <w:p w14:paraId="1899E355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1744" w:type="dxa"/>
          </w:tcPr>
          <w:p w14:paraId="4539F279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743" w:type="dxa"/>
          </w:tcPr>
          <w:p w14:paraId="1CBE8EB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</w:tr>
      <w:tr w14:paraId="3021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 w14:paraId="39AD0C9E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1527" w:type="dxa"/>
          </w:tcPr>
          <w:p w14:paraId="73EE9EF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4 938,43</w:t>
            </w:r>
          </w:p>
        </w:tc>
        <w:tc>
          <w:tcPr>
            <w:tcW w:w="1675" w:type="dxa"/>
          </w:tcPr>
          <w:p w14:paraId="4F726CF9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11 411,58</w:t>
            </w:r>
          </w:p>
        </w:tc>
        <w:tc>
          <w:tcPr>
            <w:tcW w:w="1744" w:type="dxa"/>
          </w:tcPr>
          <w:p w14:paraId="7D704E3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10 508,58</w:t>
            </w:r>
          </w:p>
        </w:tc>
        <w:tc>
          <w:tcPr>
            <w:tcW w:w="1743" w:type="dxa"/>
          </w:tcPr>
          <w:p w14:paraId="6D9C3A69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13 117,25</w:t>
            </w:r>
          </w:p>
        </w:tc>
      </w:tr>
    </w:tbl>
    <w:p w14:paraId="404E6E96">
      <w:pPr>
        <w:rPr>
          <w:rFonts w:ascii="Arial Narrow" w:hAnsi="Arial Narrow" w:cs="Arial"/>
          <w:b/>
          <w:caps/>
        </w:rPr>
      </w:pPr>
      <w:r>
        <w:rPr>
          <w:rFonts w:ascii="Arial Narrow" w:hAnsi="Arial Narrow" w:cs="Arial"/>
          <w:sz w:val="20"/>
          <w:szCs w:val="20"/>
        </w:rPr>
        <w:t xml:space="preserve"> </w:t>
      </w:r>
    </w:p>
    <w:p w14:paraId="2892B6C4">
      <w:pPr>
        <w:rPr>
          <w:rFonts w:ascii="Arial Narrow" w:hAnsi="Arial Narrow" w:cs="Arial"/>
          <w:b/>
          <w:caps/>
          <w:color w:val="FF0000"/>
        </w:rPr>
      </w:pPr>
    </w:p>
    <w:p w14:paraId="7FE701AB">
      <w:pPr>
        <w:rPr>
          <w:rFonts w:ascii="Arial Narrow" w:hAnsi="Arial Narrow" w:cs="Arial"/>
          <w:b/>
          <w:caps/>
          <w:color w:val="FF0000"/>
        </w:rPr>
      </w:pPr>
      <w:r>
        <w:rPr>
          <w:rFonts w:ascii="Arial Narrow" w:hAnsi="Arial Narrow" w:cs="Arial"/>
          <w:b/>
          <w:i/>
          <w:iCs/>
          <w:color w:val="FF0000"/>
        </w:rPr>
        <w:t xml:space="preserve">- Nedaňové príjmy </w:t>
      </w:r>
    </w:p>
    <w:p w14:paraId="158136B7">
      <w:pPr>
        <w:ind w:left="709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/>
          <w:color w:val="FF0000"/>
        </w:rPr>
        <w:t xml:space="preserve"> </w:t>
      </w:r>
      <w:r>
        <w:rPr>
          <w:rFonts w:ascii="Arial Narrow" w:hAnsi="Arial Narrow" w:cs="Arial"/>
          <w:bCs/>
          <w:sz w:val="20"/>
          <w:szCs w:val="20"/>
        </w:rPr>
        <w:t>Skutočné nedaňové príjmy dosiahli sumu 18 255,37 eur čo predstavuje  202,84% plnenie rozpočtu.</w:t>
      </w:r>
    </w:p>
    <w:p w14:paraId="5D67C266">
      <w:pPr>
        <w:ind w:left="709"/>
        <w:rPr>
          <w:rFonts w:ascii="Arial Narrow" w:hAnsi="Arial Narrow" w:cs="Arial"/>
          <w:bCs/>
          <w:sz w:val="20"/>
          <w:szCs w:val="20"/>
        </w:rPr>
      </w:pPr>
    </w:p>
    <w:tbl>
      <w:tblPr>
        <w:tblStyle w:val="7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4D90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 w14:paraId="7ACF62B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6ED80CE3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2024</w:t>
            </w:r>
          </w:p>
        </w:tc>
        <w:tc>
          <w:tcPr>
            <w:tcW w:w="2202" w:type="dxa"/>
            <w:shd w:val="clear" w:color="auto" w:fill="D9D9D9"/>
          </w:tcPr>
          <w:p w14:paraId="2B46CFB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 rozpočet</w:t>
            </w:r>
          </w:p>
          <w:p w14:paraId="193DE68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2024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0924A8F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31.12.2024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3912CE4F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78E83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vAlign w:val="center"/>
          </w:tcPr>
          <w:p w14:paraId="6F41157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9 000,00</w:t>
            </w:r>
          </w:p>
        </w:tc>
        <w:tc>
          <w:tcPr>
            <w:tcW w:w="2202" w:type="dxa"/>
            <w:vAlign w:val="center"/>
          </w:tcPr>
          <w:p w14:paraId="6A77ABA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9 000,00</w:t>
            </w:r>
          </w:p>
        </w:tc>
        <w:tc>
          <w:tcPr>
            <w:tcW w:w="2233" w:type="dxa"/>
            <w:vAlign w:val="center"/>
          </w:tcPr>
          <w:p w14:paraId="6E3B526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18 255,37</w:t>
            </w:r>
          </w:p>
        </w:tc>
        <w:tc>
          <w:tcPr>
            <w:tcW w:w="1672" w:type="dxa"/>
            <w:vAlign w:val="center"/>
          </w:tcPr>
          <w:p w14:paraId="2E14E90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202,84</w:t>
            </w:r>
          </w:p>
        </w:tc>
      </w:tr>
    </w:tbl>
    <w:p w14:paraId="0C878B36">
      <w:pPr>
        <w:rPr>
          <w:rFonts w:ascii="Arial Narrow" w:hAnsi="Arial Narrow" w:cs="Arial"/>
          <w:b/>
          <w:i/>
          <w:color w:val="FF0000"/>
          <w:sz w:val="20"/>
          <w:szCs w:val="20"/>
        </w:rPr>
      </w:pPr>
    </w:p>
    <w:p w14:paraId="4D069FB9">
      <w:pPr>
        <w:pStyle w:val="37"/>
        <w:numPr>
          <w:ilvl w:val="0"/>
          <w:numId w:val="3"/>
        </w:numPr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>Príjmy z podnikania a z vlastníctva majetku (pol. 210)</w:t>
      </w:r>
    </w:p>
    <w:p w14:paraId="733934C4">
      <w:pPr>
        <w:pStyle w:val="37"/>
        <w:ind w:left="1069"/>
        <w:jc w:val="both"/>
        <w:rPr>
          <w:rFonts w:ascii="Arial Narrow" w:hAnsi="Arial Narrow" w:cs="Arial"/>
          <w:b/>
          <w:color w:val="FF0000"/>
          <w:sz w:val="20"/>
          <w:szCs w:val="20"/>
        </w:rPr>
      </w:pPr>
    </w:p>
    <w:p w14:paraId="74E18D31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Z rozpočtovaných 600,00 € bol skutočný príjem k 31.12.2024 vo výške 4 696,84€ čo je 782,81% plnenie. Ide o príjem z prenajatých pozemkov budov, priestorov a objektov.  Dividendy za akcie od Východoslovenskej vodárenskej spoločnosti neboli vyplácané. </w:t>
      </w:r>
    </w:p>
    <w:p w14:paraId="71063D55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color w:val="FF0000"/>
          <w:sz w:val="20"/>
          <w:szCs w:val="20"/>
        </w:rPr>
        <w:t xml:space="preserve"> </w:t>
      </w:r>
    </w:p>
    <w:tbl>
      <w:tblPr>
        <w:tblStyle w:val="16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561"/>
        <w:gridCol w:w="1701"/>
        <w:gridCol w:w="1701"/>
        <w:gridCol w:w="1700"/>
      </w:tblGrid>
      <w:tr w14:paraId="52E16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04DECC31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1561" w:type="dxa"/>
          </w:tcPr>
          <w:p w14:paraId="6C023915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2024</w:t>
            </w:r>
          </w:p>
        </w:tc>
        <w:tc>
          <w:tcPr>
            <w:tcW w:w="1701" w:type="dxa"/>
          </w:tcPr>
          <w:p w14:paraId="58FC5603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1701" w:type="dxa"/>
          </w:tcPr>
          <w:p w14:paraId="23B54063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700" w:type="dxa"/>
          </w:tcPr>
          <w:p w14:paraId="043ADFD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</w:tr>
      <w:tr w14:paraId="5711D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7F518A9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1561" w:type="dxa"/>
          </w:tcPr>
          <w:p w14:paraId="6C4745D9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782,81</w:t>
            </w:r>
          </w:p>
        </w:tc>
        <w:tc>
          <w:tcPr>
            <w:tcW w:w="1701" w:type="dxa"/>
          </w:tcPr>
          <w:p w14:paraId="51896D8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658,96</w:t>
            </w:r>
          </w:p>
        </w:tc>
        <w:tc>
          <w:tcPr>
            <w:tcW w:w="1701" w:type="dxa"/>
          </w:tcPr>
          <w:p w14:paraId="26A38F5C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254,72</w:t>
            </w:r>
          </w:p>
        </w:tc>
        <w:tc>
          <w:tcPr>
            <w:tcW w:w="1700" w:type="dxa"/>
          </w:tcPr>
          <w:p w14:paraId="675322E4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516,84</w:t>
            </w:r>
          </w:p>
        </w:tc>
      </w:tr>
    </w:tbl>
    <w:p w14:paraId="3B038960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7B82C78B">
      <w:pPr>
        <w:ind w:left="709"/>
        <w:jc w:val="both"/>
        <w:rPr>
          <w:rFonts w:ascii="Arial Narrow" w:hAnsi="Arial Narrow" w:cs="Arial"/>
          <w:b/>
          <w:color w:val="FF0000"/>
          <w:sz w:val="20"/>
          <w:szCs w:val="20"/>
        </w:rPr>
      </w:pPr>
    </w:p>
    <w:p w14:paraId="0DE0339F">
      <w:pPr>
        <w:ind w:left="709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>b) Administratívne poplatky (pol. 221)</w:t>
      </w:r>
    </w:p>
    <w:p w14:paraId="1004FD94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rozpočtovaných 1 200,00 € bol skutočný príjem k 31.12.2024 vo výške 2 478,00€, čo je 206,5% plnenie.</w:t>
      </w:r>
    </w:p>
    <w:p w14:paraId="6AF129B8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tbl>
      <w:tblPr>
        <w:tblStyle w:val="16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540"/>
        <w:gridCol w:w="1685"/>
        <w:gridCol w:w="1727"/>
        <w:gridCol w:w="1727"/>
      </w:tblGrid>
      <w:tr w14:paraId="2CE4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3" w:type="dxa"/>
          </w:tcPr>
          <w:p w14:paraId="0999B68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1540" w:type="dxa"/>
          </w:tcPr>
          <w:p w14:paraId="0F2D75F1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2024</w:t>
            </w:r>
          </w:p>
        </w:tc>
        <w:tc>
          <w:tcPr>
            <w:tcW w:w="1685" w:type="dxa"/>
          </w:tcPr>
          <w:p w14:paraId="24272FF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1727" w:type="dxa"/>
          </w:tcPr>
          <w:p w14:paraId="271F73B9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727" w:type="dxa"/>
          </w:tcPr>
          <w:p w14:paraId="596D04EC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</w:tr>
      <w:tr w14:paraId="1381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3" w:type="dxa"/>
          </w:tcPr>
          <w:p w14:paraId="0E476320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1540" w:type="dxa"/>
          </w:tcPr>
          <w:p w14:paraId="2DCB4FF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2 478,00</w:t>
            </w:r>
          </w:p>
        </w:tc>
        <w:tc>
          <w:tcPr>
            <w:tcW w:w="1685" w:type="dxa"/>
          </w:tcPr>
          <w:p w14:paraId="1ABD931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1 124,00</w:t>
            </w:r>
          </w:p>
        </w:tc>
        <w:tc>
          <w:tcPr>
            <w:tcW w:w="1727" w:type="dxa"/>
          </w:tcPr>
          <w:p w14:paraId="4950F01D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2 396,00</w:t>
            </w:r>
          </w:p>
        </w:tc>
        <w:tc>
          <w:tcPr>
            <w:tcW w:w="1727" w:type="dxa"/>
          </w:tcPr>
          <w:p w14:paraId="049E55CE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4 260,00</w:t>
            </w:r>
          </w:p>
        </w:tc>
      </w:tr>
    </w:tbl>
    <w:p w14:paraId="4F19B974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408BF56F">
      <w:pPr>
        <w:ind w:left="709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>c) Pokuty a penále (pol. 222)</w:t>
      </w:r>
    </w:p>
    <w:p w14:paraId="510EC9A8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rozpočtových 5 000,00  eur v skutočnosti bol príjem  1515,00 eur, čo je 30,32 % plnenie.</w:t>
      </w:r>
    </w:p>
    <w:p w14:paraId="522B799F">
      <w:pPr>
        <w:ind w:left="709"/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E36A2E4">
      <w:pPr>
        <w:ind w:left="709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>d) Poplatky za stravné, za predaj výrobkov a služieb (pol.223)</w:t>
      </w:r>
    </w:p>
    <w:p w14:paraId="7E6F01AE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rozpočtových  2 200,00 eur bol skutočný príjem 2 298,74 eur, čo je 104,49 % plnenie.</w:t>
      </w:r>
    </w:p>
    <w:p w14:paraId="2B500380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Ide o príjem z poplatkov za hrobové miesto, vyhlásenie v miestom rozhlase, predaj KUKA nádob a príjem za stravné od zamestnancov.</w:t>
      </w:r>
    </w:p>
    <w:p w14:paraId="670381C1">
      <w:pPr>
        <w:ind w:left="709"/>
        <w:jc w:val="both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</w:t>
      </w:r>
    </w:p>
    <w:tbl>
      <w:tblPr>
        <w:tblStyle w:val="16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541"/>
        <w:gridCol w:w="1686"/>
        <w:gridCol w:w="1726"/>
        <w:gridCol w:w="1726"/>
      </w:tblGrid>
      <w:tr w14:paraId="243C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3" w:type="dxa"/>
          </w:tcPr>
          <w:p w14:paraId="163AC58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1541" w:type="dxa"/>
          </w:tcPr>
          <w:p w14:paraId="6E8D357D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2024</w:t>
            </w:r>
          </w:p>
        </w:tc>
        <w:tc>
          <w:tcPr>
            <w:tcW w:w="1686" w:type="dxa"/>
          </w:tcPr>
          <w:p w14:paraId="73A0C73E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1726" w:type="dxa"/>
          </w:tcPr>
          <w:p w14:paraId="748749D0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726" w:type="dxa"/>
          </w:tcPr>
          <w:p w14:paraId="2FCBB794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</w:tr>
      <w:tr w14:paraId="5B81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3" w:type="dxa"/>
          </w:tcPr>
          <w:p w14:paraId="1B657B91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1541" w:type="dxa"/>
          </w:tcPr>
          <w:p w14:paraId="388939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2 298,74</w:t>
            </w:r>
          </w:p>
        </w:tc>
        <w:tc>
          <w:tcPr>
            <w:tcW w:w="1686" w:type="dxa"/>
          </w:tcPr>
          <w:p w14:paraId="5B5D7D54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1 966,53</w:t>
            </w:r>
          </w:p>
        </w:tc>
        <w:tc>
          <w:tcPr>
            <w:tcW w:w="1726" w:type="dxa"/>
          </w:tcPr>
          <w:p w14:paraId="17F79092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6 816,46</w:t>
            </w:r>
          </w:p>
        </w:tc>
        <w:tc>
          <w:tcPr>
            <w:tcW w:w="1726" w:type="dxa"/>
          </w:tcPr>
          <w:p w14:paraId="5F98EF6A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2 024,54</w:t>
            </w:r>
          </w:p>
        </w:tc>
      </w:tr>
    </w:tbl>
    <w:p w14:paraId="17F3371C">
      <w:pPr>
        <w:ind w:left="709"/>
        <w:jc w:val="both"/>
        <w:rPr>
          <w:rFonts w:ascii="Arial Narrow" w:hAnsi="Arial Narrow" w:cs="Arial"/>
          <w:bCs/>
          <w:sz w:val="20"/>
          <w:szCs w:val="20"/>
        </w:rPr>
      </w:pPr>
    </w:p>
    <w:p w14:paraId="501BAC35">
      <w:pPr>
        <w:ind w:left="709"/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99D9641">
      <w:pPr>
        <w:ind w:left="709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>e) Úroky z tuzemských účtov (pol. 240)</w:t>
      </w:r>
    </w:p>
    <w:p w14:paraId="02D9DF55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rozpočtovaných 0 € bol skutočný príjem k 31.12.203 vo výške 0 €, čo je 0 % plnenie. Ide o príjem z úrokov na bežných účtoch.</w:t>
      </w:r>
    </w:p>
    <w:p w14:paraId="2F25B4C9">
      <w:pPr>
        <w:ind w:left="709"/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79357949">
      <w:pPr>
        <w:ind w:left="709"/>
        <w:jc w:val="both"/>
        <w:rPr>
          <w:rFonts w:ascii="Arial Narrow" w:hAnsi="Arial Narrow" w:cs="Arial"/>
          <w:b/>
          <w:bCs/>
          <w:color w:val="FF0000"/>
          <w:sz w:val="20"/>
          <w:szCs w:val="20"/>
        </w:rPr>
      </w:pPr>
      <w:r>
        <w:rPr>
          <w:rFonts w:ascii="Arial Narrow" w:hAnsi="Arial Narrow" w:cs="Arial"/>
          <w:b/>
          <w:bCs/>
          <w:color w:val="FF0000"/>
          <w:sz w:val="20"/>
          <w:szCs w:val="20"/>
        </w:rPr>
        <w:t>f) Ostatné príjmy (pol 292)</w:t>
      </w:r>
    </w:p>
    <w:p w14:paraId="68D8B6B5">
      <w:pPr>
        <w:ind w:left="709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Z rozpočtovaných 0,00 bol skutočný príjem 7 265,79eur.</w:t>
      </w:r>
    </w:p>
    <w:p w14:paraId="0B0A36B6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Ide o príjem za dobropisy, mylné platby a duplicitné platby.</w:t>
      </w:r>
    </w:p>
    <w:p w14:paraId="59C3DDAF">
      <w:pPr>
        <w:shd w:val="clear" w:color="auto" w:fill="F8F8F8"/>
        <w:spacing w:before="100" w:beforeAutospacing="1" w:after="100" w:afterAutospacing="1" w:line="240" w:lineRule="auto"/>
        <w:rPr>
          <w:rFonts w:ascii="Arial Narrow" w:hAnsi="Arial Narrow" w:eastAsia="Times New Roman" w:cs="Arial"/>
          <w:b/>
          <w:bCs/>
          <w:i/>
          <w:iCs/>
          <w:color w:val="FF0000"/>
          <w:lang w:eastAsia="sk-SK"/>
        </w:rPr>
      </w:pPr>
      <w:r>
        <w:rPr>
          <w:rFonts w:ascii="Arial Narrow" w:hAnsi="Arial Narrow" w:eastAsia="Times New Roman" w:cs="Arial"/>
          <w:b/>
          <w:bCs/>
          <w:i/>
          <w:iCs/>
          <w:color w:val="FF0000"/>
          <w:lang w:val="en-US" w:eastAsia="sk-SK"/>
        </w:rPr>
        <w:t xml:space="preserve">- </w:t>
      </w:r>
      <w:r>
        <w:rPr>
          <w:rFonts w:ascii="Arial Narrow" w:hAnsi="Arial Narrow" w:eastAsia="Times New Roman" w:cs="Arial"/>
          <w:b/>
          <w:bCs/>
          <w:i/>
          <w:iCs/>
          <w:color w:val="FF0000"/>
          <w:lang w:eastAsia="sk-SK"/>
        </w:rPr>
        <w:t>Granty a transfery</w:t>
      </w:r>
    </w:p>
    <w:p w14:paraId="62828B96">
      <w:pPr>
        <w:rPr>
          <w:rFonts w:ascii="Arial Narrow" w:hAnsi="Arial Narrow" w:cs="Arial"/>
          <w:b/>
          <w:caps/>
          <w:color w:val="C00000"/>
          <w:sz w:val="20"/>
          <w:szCs w:val="20"/>
        </w:rPr>
      </w:pPr>
      <w:r>
        <w:rPr>
          <w:rFonts w:ascii="Arial Narrow" w:hAnsi="Arial Narrow" w:cs="Arial"/>
          <w:b/>
          <w:caps/>
          <w:color w:val="FF0000"/>
          <w:sz w:val="20"/>
          <w:szCs w:val="20"/>
        </w:rPr>
        <w:t xml:space="preserve">   </w:t>
      </w:r>
      <w:r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     </w:t>
      </w:r>
      <w:r>
        <w:rPr>
          <w:rFonts w:ascii="Arial Narrow" w:hAnsi="Arial Narrow" w:cs="Arial"/>
          <w:bCs/>
          <w:sz w:val="20"/>
          <w:szCs w:val="20"/>
        </w:rPr>
        <w:t>Skutočné príjmy z grantov a transferov dosiahli sumu 12 110,79 čo predstavuje 186,32 % plnenie rozpočtu.</w:t>
      </w:r>
      <w:r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                    </w:t>
      </w:r>
    </w:p>
    <w:p w14:paraId="433E8915">
      <w:pPr>
        <w:ind w:left="709"/>
        <w:rPr>
          <w:rFonts w:ascii="Arial Narrow" w:hAnsi="Arial Narrow" w:cs="Arial"/>
          <w:b/>
          <w:color w:val="C00000"/>
        </w:rPr>
      </w:pPr>
      <w:r>
        <w:rPr>
          <w:rFonts w:ascii="Arial Narrow" w:hAnsi="Arial Narrow" w:cs="Arial"/>
          <w:b/>
          <w:color w:val="C00000"/>
        </w:rPr>
        <w:t xml:space="preserve"> </w:t>
      </w:r>
    </w:p>
    <w:tbl>
      <w:tblPr>
        <w:tblStyle w:val="7"/>
        <w:tblW w:w="8577" w:type="dxa"/>
        <w:tblInd w:w="4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59DD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 w14:paraId="5A4056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0998C01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2024</w:t>
            </w:r>
          </w:p>
        </w:tc>
        <w:tc>
          <w:tcPr>
            <w:tcW w:w="2202" w:type="dxa"/>
            <w:shd w:val="clear" w:color="auto" w:fill="D9D9D9"/>
          </w:tcPr>
          <w:p w14:paraId="054A43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 rozpočet</w:t>
            </w:r>
          </w:p>
          <w:p w14:paraId="5C45F8B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2024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25C549B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31.12.2024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7A07AAB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757F1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70" w:type="dxa"/>
            <w:vAlign w:val="center"/>
          </w:tcPr>
          <w:p w14:paraId="2A09542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6 500,00</w:t>
            </w:r>
          </w:p>
        </w:tc>
        <w:tc>
          <w:tcPr>
            <w:tcW w:w="2202" w:type="dxa"/>
            <w:vAlign w:val="center"/>
          </w:tcPr>
          <w:p w14:paraId="5DF2B67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6 500,00</w:t>
            </w:r>
          </w:p>
        </w:tc>
        <w:tc>
          <w:tcPr>
            <w:tcW w:w="2233" w:type="dxa"/>
            <w:vAlign w:val="center"/>
          </w:tcPr>
          <w:p w14:paraId="5FC5D76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12 110,79</w:t>
            </w:r>
          </w:p>
        </w:tc>
        <w:tc>
          <w:tcPr>
            <w:tcW w:w="1672" w:type="dxa"/>
            <w:vAlign w:val="center"/>
          </w:tcPr>
          <w:p w14:paraId="41A87E6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186,32</w:t>
            </w:r>
          </w:p>
        </w:tc>
      </w:tr>
    </w:tbl>
    <w:p w14:paraId="23A62F30">
      <w:pPr>
        <w:ind w:left="709"/>
        <w:jc w:val="center"/>
        <w:rPr>
          <w:rFonts w:ascii="Arial Narrow" w:hAnsi="Arial Narrow" w:cs="Arial"/>
          <w:b/>
          <w:color w:val="C00000"/>
        </w:rPr>
      </w:pPr>
    </w:p>
    <w:p w14:paraId="2F3B1E4E">
      <w:pPr>
        <w:ind w:left="1069"/>
        <w:rPr>
          <w:rFonts w:ascii="Arial Narrow" w:hAnsi="Arial Narrow"/>
          <w:sz w:val="18"/>
          <w:szCs w:val="18"/>
        </w:rPr>
      </w:pPr>
    </w:p>
    <w:p w14:paraId="039AC93C">
      <w:pPr>
        <w:outlineLvl w:val="0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>
        <w:rPr>
          <w:rFonts w:ascii="Arial Narrow" w:hAnsi="Arial Narrow" w:cs="Arial"/>
          <w:b/>
          <w:sz w:val="18"/>
          <w:szCs w:val="18"/>
        </w:rPr>
        <w:t xml:space="preserve">Obec prijala nasledovné granty a transfery : </w:t>
      </w:r>
    </w:p>
    <w:p w14:paraId="35ECCFD8">
      <w:pPr>
        <w:ind w:left="709"/>
        <w:outlineLvl w:val="0"/>
        <w:rPr>
          <w:rFonts w:ascii="Arial Narrow" w:hAnsi="Arial Narrow" w:cs="Arial"/>
          <w:b/>
          <w:sz w:val="18"/>
          <w:szCs w:val="18"/>
        </w:rPr>
      </w:pPr>
    </w:p>
    <w:tbl>
      <w:tblPr>
        <w:tblStyle w:val="7"/>
        <w:tblW w:w="8222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2990"/>
        <w:gridCol w:w="1773"/>
        <w:gridCol w:w="2746"/>
      </w:tblGrid>
      <w:tr w14:paraId="4A1D6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3" w:type="dxa"/>
            <w:shd w:val="clear" w:color="auto" w:fill="D9D9D9"/>
            <w:vAlign w:val="center"/>
          </w:tcPr>
          <w:p w14:paraId="15B35C9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P.č.</w:t>
            </w:r>
          </w:p>
        </w:tc>
        <w:tc>
          <w:tcPr>
            <w:tcW w:w="2990" w:type="dxa"/>
            <w:shd w:val="clear" w:color="auto" w:fill="D9D9D9"/>
            <w:vAlign w:val="center"/>
          </w:tcPr>
          <w:p w14:paraId="7448933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Poskytovateľ  </w:t>
            </w:r>
          </w:p>
        </w:tc>
        <w:tc>
          <w:tcPr>
            <w:tcW w:w="1773" w:type="dxa"/>
            <w:shd w:val="clear" w:color="auto" w:fill="D9D9D9"/>
            <w:vAlign w:val="center"/>
          </w:tcPr>
          <w:p w14:paraId="6C7F3AFF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v €</w:t>
            </w:r>
          </w:p>
        </w:tc>
        <w:tc>
          <w:tcPr>
            <w:tcW w:w="2746" w:type="dxa"/>
            <w:shd w:val="clear" w:color="auto" w:fill="D9D9D9"/>
            <w:vAlign w:val="center"/>
          </w:tcPr>
          <w:p w14:paraId="75C15B8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Účel </w:t>
            </w:r>
          </w:p>
        </w:tc>
      </w:tr>
      <w:tr w14:paraId="6D86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73C54F02">
            <w:pPr>
              <w:numPr>
                <w:ilvl w:val="0"/>
                <w:numId w:val="4"/>
              </w:numPr>
              <w:spacing w:after="0" w:line="240" w:lineRule="auto"/>
              <w:ind w:left="60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362FEE7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Ministerstvo vnútra SR </w:t>
            </w:r>
          </w:p>
        </w:tc>
        <w:tc>
          <w:tcPr>
            <w:tcW w:w="1773" w:type="dxa"/>
            <w:vAlign w:val="center"/>
          </w:tcPr>
          <w:p w14:paraId="64C1676D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26,00</w:t>
            </w:r>
          </w:p>
        </w:tc>
        <w:tc>
          <w:tcPr>
            <w:tcW w:w="2746" w:type="dxa"/>
            <w:vAlign w:val="center"/>
          </w:tcPr>
          <w:p w14:paraId="7E68736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Dotácia  Register adries</w:t>
            </w:r>
          </w:p>
        </w:tc>
      </w:tr>
      <w:tr w14:paraId="09853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shd w:val="clear" w:color="auto" w:fill="FFFFFF"/>
            <w:vAlign w:val="center"/>
          </w:tcPr>
          <w:p w14:paraId="45207EAA">
            <w:pPr>
              <w:numPr>
                <w:ilvl w:val="0"/>
                <w:numId w:val="4"/>
              </w:numPr>
              <w:spacing w:after="0" w:line="240" w:lineRule="auto"/>
              <w:ind w:left="60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FFFFFF"/>
            <w:vAlign w:val="center"/>
          </w:tcPr>
          <w:p w14:paraId="6F577EF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shd w:val="clear" w:color="auto" w:fill="FFFFFF"/>
            <w:vAlign w:val="center"/>
          </w:tcPr>
          <w:p w14:paraId="6001C7F4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129,69</w:t>
            </w:r>
          </w:p>
        </w:tc>
        <w:tc>
          <w:tcPr>
            <w:tcW w:w="2746" w:type="dxa"/>
            <w:shd w:val="clear" w:color="auto" w:fill="FFFFFF"/>
            <w:vAlign w:val="center"/>
          </w:tcPr>
          <w:p w14:paraId="755B2596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Dotácia REGOB</w:t>
            </w:r>
          </w:p>
        </w:tc>
      </w:tr>
      <w:tr w14:paraId="150AC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shd w:val="clear" w:color="auto" w:fill="FFFFFF"/>
            <w:vAlign w:val="center"/>
          </w:tcPr>
          <w:p w14:paraId="45CF2180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FFFFFF"/>
            <w:vAlign w:val="center"/>
          </w:tcPr>
          <w:p w14:paraId="3F2D2C7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shd w:val="clear" w:color="auto" w:fill="FFFFFF"/>
            <w:vAlign w:val="center"/>
          </w:tcPr>
          <w:p w14:paraId="4AD308D9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47,56</w:t>
            </w:r>
          </w:p>
        </w:tc>
        <w:tc>
          <w:tcPr>
            <w:tcW w:w="2746" w:type="dxa"/>
            <w:shd w:val="clear" w:color="auto" w:fill="FFFFFF"/>
            <w:vAlign w:val="center"/>
          </w:tcPr>
          <w:p w14:paraId="3752EA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Dotácia Životné prostredie</w:t>
            </w:r>
          </w:p>
        </w:tc>
      </w:tr>
      <w:tr w14:paraId="14366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625A3D67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2BDD521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vAlign w:val="center"/>
          </w:tcPr>
          <w:p w14:paraId="19C82581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2 738,01</w:t>
            </w:r>
          </w:p>
        </w:tc>
        <w:tc>
          <w:tcPr>
            <w:tcW w:w="2746" w:type="dxa"/>
            <w:vAlign w:val="center"/>
          </w:tcPr>
          <w:p w14:paraId="6471E3C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Voľby, referendum</w:t>
            </w:r>
          </w:p>
        </w:tc>
      </w:tr>
      <w:tr w14:paraId="4F3AF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0FE4F061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7A0C4E2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vAlign w:val="center"/>
          </w:tcPr>
          <w:p w14:paraId="3F7AAAB5">
            <w:pPr>
              <w:tabs>
                <w:tab w:val="decimal" w:pos="1351"/>
              </w:tabs>
              <w:wordWrap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188,52</w:t>
            </w:r>
          </w:p>
        </w:tc>
        <w:tc>
          <w:tcPr>
            <w:tcW w:w="2746" w:type="dxa"/>
            <w:vAlign w:val="center"/>
          </w:tcPr>
          <w:p w14:paraId="4034F9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Energošeky</w:t>
            </w:r>
          </w:p>
        </w:tc>
      </w:tr>
      <w:tr w14:paraId="1AE2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7427FCE4">
            <w:pPr>
              <w:numPr>
                <w:ilvl w:val="0"/>
                <w:numId w:val="4"/>
              </w:numPr>
              <w:spacing w:after="0" w:line="240" w:lineRule="auto"/>
              <w:ind w:left="60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5B70EEE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Dobrovoľná  požiar. ochrana  SR</w:t>
            </w:r>
          </w:p>
        </w:tc>
        <w:tc>
          <w:tcPr>
            <w:tcW w:w="1773" w:type="dxa"/>
            <w:vAlign w:val="center"/>
          </w:tcPr>
          <w:p w14:paraId="4B010496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3 000,00</w:t>
            </w:r>
          </w:p>
        </w:tc>
        <w:tc>
          <w:tcPr>
            <w:tcW w:w="2746" w:type="dxa"/>
            <w:vAlign w:val="center"/>
          </w:tcPr>
          <w:p w14:paraId="764C7A2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Dotácia pre požiarnu ochranu v obci</w:t>
            </w:r>
          </w:p>
        </w:tc>
      </w:tr>
      <w:tr w14:paraId="5321E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369B6010">
            <w:pPr>
              <w:numPr>
                <w:ilvl w:val="0"/>
                <w:numId w:val="4"/>
              </w:numPr>
              <w:spacing w:after="0" w:line="240" w:lineRule="auto"/>
              <w:ind w:left="60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57ED5DD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Obec Nižný klátov</w:t>
            </w:r>
          </w:p>
        </w:tc>
        <w:tc>
          <w:tcPr>
            <w:tcW w:w="1773" w:type="dxa"/>
            <w:vAlign w:val="center"/>
          </w:tcPr>
          <w:p w14:paraId="46C08027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2746" w:type="dxa"/>
            <w:vAlign w:val="center"/>
          </w:tcPr>
          <w:p w14:paraId="7DCA896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Transfer Požiarna ochrana</w:t>
            </w:r>
          </w:p>
        </w:tc>
      </w:tr>
      <w:tr w14:paraId="211D1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073928DD">
            <w:pPr>
              <w:numPr>
                <w:ilvl w:val="0"/>
                <w:numId w:val="4"/>
              </w:numPr>
              <w:spacing w:after="0" w:line="240" w:lineRule="auto"/>
              <w:ind w:left="60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49960B5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Fyzická osoba</w:t>
            </w:r>
          </w:p>
        </w:tc>
        <w:tc>
          <w:tcPr>
            <w:tcW w:w="1773" w:type="dxa"/>
            <w:vAlign w:val="center"/>
          </w:tcPr>
          <w:p w14:paraId="1320CEA1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2 900,00</w:t>
            </w:r>
          </w:p>
        </w:tc>
        <w:tc>
          <w:tcPr>
            <w:tcW w:w="2746" w:type="dxa"/>
            <w:vAlign w:val="center"/>
          </w:tcPr>
          <w:p w14:paraId="2B43BFA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Dar </w:t>
            </w:r>
          </w:p>
        </w:tc>
      </w:tr>
      <w:tr w14:paraId="1D119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35D629CA">
            <w:pPr>
              <w:numPr>
                <w:ilvl w:val="0"/>
                <w:numId w:val="4"/>
              </w:numPr>
              <w:spacing w:after="0" w:line="240" w:lineRule="auto"/>
              <w:ind w:left="60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277D668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Úrad práce</w:t>
            </w:r>
          </w:p>
        </w:tc>
        <w:tc>
          <w:tcPr>
            <w:tcW w:w="1773" w:type="dxa"/>
            <w:vAlign w:val="center"/>
          </w:tcPr>
          <w:p w14:paraId="2A122ADF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17,11</w:t>
            </w:r>
          </w:p>
        </w:tc>
        <w:tc>
          <w:tcPr>
            <w:tcW w:w="2746" w:type="dxa"/>
            <w:vAlign w:val="center"/>
          </w:tcPr>
          <w:p w14:paraId="595A4AF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Aktivačná činnosť</w:t>
            </w:r>
          </w:p>
        </w:tc>
      </w:tr>
      <w:tr w14:paraId="2BB45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3A4D0F03">
            <w:pPr>
              <w:numPr>
                <w:ilvl w:val="0"/>
                <w:numId w:val="4"/>
              </w:numPr>
              <w:spacing w:after="0" w:line="240" w:lineRule="auto"/>
              <w:ind w:left="60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4DBE71F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Úrad práce</w:t>
            </w:r>
          </w:p>
        </w:tc>
        <w:tc>
          <w:tcPr>
            <w:tcW w:w="1773" w:type="dxa"/>
            <w:vAlign w:val="center"/>
          </w:tcPr>
          <w:p w14:paraId="111AED8E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1 200,00</w:t>
            </w:r>
          </w:p>
        </w:tc>
        <w:tc>
          <w:tcPr>
            <w:tcW w:w="2746" w:type="dxa"/>
            <w:vAlign w:val="center"/>
          </w:tcPr>
          <w:p w14:paraId="234E692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Detské prídavky</w:t>
            </w:r>
          </w:p>
        </w:tc>
      </w:tr>
      <w:tr w14:paraId="72D73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2AF52414">
            <w:pPr>
              <w:numPr>
                <w:ilvl w:val="0"/>
                <w:numId w:val="4"/>
              </w:numPr>
              <w:spacing w:after="0" w:line="240" w:lineRule="auto"/>
              <w:ind w:left="60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59690E4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Environmentálny fond</w:t>
            </w:r>
          </w:p>
        </w:tc>
        <w:tc>
          <w:tcPr>
            <w:tcW w:w="1773" w:type="dxa"/>
            <w:vAlign w:val="center"/>
          </w:tcPr>
          <w:p w14:paraId="4743F609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363,90</w:t>
            </w:r>
          </w:p>
        </w:tc>
        <w:tc>
          <w:tcPr>
            <w:tcW w:w="2746" w:type="dxa"/>
            <w:vAlign w:val="center"/>
          </w:tcPr>
          <w:p w14:paraId="5C507E4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Uloženie odpadov</w:t>
            </w:r>
          </w:p>
        </w:tc>
      </w:tr>
      <w:tr w14:paraId="5638A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vAlign w:val="center"/>
          </w:tcPr>
          <w:p w14:paraId="5AE6DA15">
            <w:pPr>
              <w:numPr>
                <w:ilvl w:val="0"/>
                <w:numId w:val="4"/>
              </w:numPr>
              <w:spacing w:after="0" w:line="240" w:lineRule="auto"/>
              <w:ind w:left="60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3C6AD0A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Dotácia KSK</w:t>
            </w:r>
          </w:p>
        </w:tc>
        <w:tc>
          <w:tcPr>
            <w:tcW w:w="1773" w:type="dxa"/>
            <w:vAlign w:val="center"/>
          </w:tcPr>
          <w:p w14:paraId="6DE5E6D3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1000,00</w:t>
            </w:r>
          </w:p>
        </w:tc>
        <w:tc>
          <w:tcPr>
            <w:tcW w:w="2746" w:type="dxa"/>
            <w:vAlign w:val="center"/>
          </w:tcPr>
          <w:p w14:paraId="5F7141D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Defibrilátor</w:t>
            </w:r>
          </w:p>
        </w:tc>
      </w:tr>
    </w:tbl>
    <w:p w14:paraId="1DB8E919">
      <w:pPr>
        <w:ind w:left="709"/>
        <w:outlineLvl w:val="0"/>
        <w:rPr>
          <w:rFonts w:ascii="Arial Narrow" w:hAnsi="Arial Narrow" w:cs="Arial"/>
          <w:sz w:val="20"/>
        </w:rPr>
      </w:pPr>
    </w:p>
    <w:p w14:paraId="2834FA83">
      <w:pPr>
        <w:ind w:left="709"/>
        <w:jc w:val="both"/>
        <w:rPr>
          <w:rFonts w:ascii="Arial Narrow" w:hAnsi="Arial Narrow" w:cs="Arial"/>
          <w:sz w:val="20"/>
          <w:szCs w:val="20"/>
          <w:lang w:val="sk-SK" w:eastAsia="sk-SK"/>
        </w:rPr>
      </w:pPr>
      <w:r>
        <w:rPr>
          <w:rFonts w:ascii="Arial Narrow" w:hAnsi="Arial Narrow" w:cs="Arial"/>
          <w:sz w:val="20"/>
          <w:szCs w:val="20"/>
          <w:lang w:val="sk-SK" w:eastAsia="sk-SK"/>
        </w:rPr>
        <w:t xml:space="preserve">Granty a transfery boli účelovo viazané a boli použité v súlade s ich účelom. </w:t>
      </w:r>
    </w:p>
    <w:p w14:paraId="0A39140B">
      <w:pPr>
        <w:ind w:left="709"/>
        <w:jc w:val="both"/>
        <w:rPr>
          <w:rFonts w:ascii="Arial Narrow" w:hAnsi="Arial Narrow" w:cs="Arial"/>
          <w:sz w:val="20"/>
          <w:szCs w:val="20"/>
          <w:lang w:val="sk-SK" w:eastAsia="sk-SK"/>
        </w:rPr>
      </w:pPr>
    </w:p>
    <w:tbl>
      <w:tblPr>
        <w:tblStyle w:val="16"/>
        <w:tblW w:w="0" w:type="auto"/>
        <w:tblInd w:w="7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531"/>
        <w:gridCol w:w="1677"/>
        <w:gridCol w:w="1718"/>
        <w:gridCol w:w="1754"/>
      </w:tblGrid>
      <w:tr w14:paraId="03E0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2" w:type="dxa"/>
          </w:tcPr>
          <w:p w14:paraId="4B935D8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Rok</w:t>
            </w:r>
          </w:p>
        </w:tc>
        <w:tc>
          <w:tcPr>
            <w:tcW w:w="1531" w:type="dxa"/>
          </w:tcPr>
          <w:p w14:paraId="5DE2D3E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2024</w:t>
            </w:r>
          </w:p>
        </w:tc>
        <w:tc>
          <w:tcPr>
            <w:tcW w:w="1677" w:type="dxa"/>
          </w:tcPr>
          <w:p w14:paraId="71EFC92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2023</w:t>
            </w:r>
          </w:p>
        </w:tc>
        <w:tc>
          <w:tcPr>
            <w:tcW w:w="1718" w:type="dxa"/>
          </w:tcPr>
          <w:p w14:paraId="37215E4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2022</w:t>
            </w:r>
          </w:p>
        </w:tc>
        <w:tc>
          <w:tcPr>
            <w:tcW w:w="1754" w:type="dxa"/>
          </w:tcPr>
          <w:p w14:paraId="442DEA3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2021</w:t>
            </w:r>
          </w:p>
        </w:tc>
      </w:tr>
      <w:tr w14:paraId="3455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2" w:type="dxa"/>
          </w:tcPr>
          <w:p w14:paraId="121973D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1531" w:type="dxa"/>
          </w:tcPr>
          <w:p w14:paraId="7B0FFABB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12 110,79</w:t>
            </w:r>
          </w:p>
        </w:tc>
        <w:tc>
          <w:tcPr>
            <w:tcW w:w="1677" w:type="dxa"/>
          </w:tcPr>
          <w:p w14:paraId="5687AE7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14 598,78</w:t>
            </w:r>
          </w:p>
        </w:tc>
        <w:tc>
          <w:tcPr>
            <w:tcW w:w="1718" w:type="dxa"/>
          </w:tcPr>
          <w:p w14:paraId="0E82858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7 646,72</w:t>
            </w:r>
          </w:p>
        </w:tc>
        <w:tc>
          <w:tcPr>
            <w:tcW w:w="1754" w:type="dxa"/>
          </w:tcPr>
          <w:p w14:paraId="74959F3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30 803,06</w:t>
            </w:r>
          </w:p>
        </w:tc>
      </w:tr>
    </w:tbl>
    <w:p w14:paraId="06CAB599">
      <w:pPr>
        <w:rPr>
          <w:rFonts w:ascii="Arial Narrow" w:hAnsi="Arial Narrow" w:cs="Arial"/>
          <w:b/>
          <w:i/>
          <w:iCs/>
          <w:caps/>
          <w:color w:val="FF0000"/>
        </w:rPr>
      </w:pPr>
      <w:r>
        <w:rPr>
          <w:rFonts w:ascii="Arial Narrow" w:hAnsi="Arial Narrow" w:cs="Arial"/>
          <w:b/>
          <w:i/>
          <w:iCs/>
          <w:caps/>
          <w:color w:val="FF0000"/>
        </w:rPr>
        <w:t xml:space="preserve">    </w:t>
      </w:r>
    </w:p>
    <w:p w14:paraId="6E778B7D">
      <w:pPr>
        <w:rPr>
          <w:rFonts w:ascii="Arial Narrow" w:hAnsi="Arial Narrow" w:cs="Arial"/>
          <w:b/>
          <w:i/>
          <w:iCs/>
          <w:color w:val="FF0000"/>
        </w:rPr>
      </w:pPr>
      <w:r>
        <w:rPr>
          <w:rFonts w:ascii="Arial Narrow" w:hAnsi="Arial Narrow" w:cs="Arial"/>
          <w:b/>
          <w:i/>
          <w:iCs/>
          <w:color w:val="FF0000"/>
        </w:rPr>
        <w:t>KAPITÁLOVÉ PRÍJMY</w:t>
      </w:r>
    </w:p>
    <w:p w14:paraId="5076C4F7">
      <w:pPr>
        <w:rPr>
          <w:rFonts w:ascii="Arial Narrow" w:hAnsi="Arial Narrow" w:cs="Arial"/>
          <w:b/>
          <w:caps/>
          <w:color w:val="C00000"/>
          <w:sz w:val="18"/>
          <w:szCs w:val="18"/>
        </w:rPr>
      </w:pPr>
    </w:p>
    <w:p w14:paraId="50149CFF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Z rozpočtovaných 3 284 498,19 eur bol skutočný príjem  4 463,85 eur čo predstavuje 0,14% plnenie rozpočtu.</w:t>
      </w:r>
    </w:p>
    <w:p w14:paraId="32F39700">
      <w:pPr>
        <w:ind w:left="709"/>
        <w:rPr>
          <w:rFonts w:ascii="Arial Narrow" w:hAnsi="Arial Narrow" w:cs="Arial"/>
          <w:sz w:val="20"/>
          <w:szCs w:val="20"/>
        </w:rPr>
      </w:pPr>
    </w:p>
    <w:tbl>
      <w:tblPr>
        <w:tblStyle w:val="7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48DFA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 w14:paraId="7A04CC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6A056F4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2024</w:t>
            </w:r>
          </w:p>
        </w:tc>
        <w:tc>
          <w:tcPr>
            <w:tcW w:w="2202" w:type="dxa"/>
            <w:shd w:val="clear" w:color="auto" w:fill="D9D9D9"/>
          </w:tcPr>
          <w:p w14:paraId="3CB3DF9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</w:t>
            </w:r>
          </w:p>
          <w:p w14:paraId="237698B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2024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402F154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31.12.2024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4F709B5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1FB4D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vAlign w:val="center"/>
          </w:tcPr>
          <w:p w14:paraId="502BF72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3 284 498,19</w:t>
            </w:r>
          </w:p>
        </w:tc>
        <w:tc>
          <w:tcPr>
            <w:tcW w:w="2202" w:type="dxa"/>
            <w:vAlign w:val="center"/>
          </w:tcPr>
          <w:p w14:paraId="6A81419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3 284 498,19</w:t>
            </w:r>
          </w:p>
        </w:tc>
        <w:tc>
          <w:tcPr>
            <w:tcW w:w="2233" w:type="dxa"/>
            <w:vAlign w:val="center"/>
          </w:tcPr>
          <w:p w14:paraId="153C8BF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4 463,85</w:t>
            </w:r>
          </w:p>
        </w:tc>
        <w:tc>
          <w:tcPr>
            <w:tcW w:w="1672" w:type="dxa"/>
            <w:vAlign w:val="center"/>
          </w:tcPr>
          <w:p w14:paraId="7125136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0,14</w:t>
            </w:r>
          </w:p>
        </w:tc>
      </w:tr>
    </w:tbl>
    <w:p w14:paraId="62761A5E">
      <w:pPr>
        <w:ind w:left="709"/>
        <w:rPr>
          <w:rFonts w:ascii="Arial Narrow" w:hAnsi="Arial Narrow" w:cs="Arial"/>
          <w:b/>
        </w:rPr>
      </w:pPr>
    </w:p>
    <w:p w14:paraId="1F571A51">
      <w:pPr>
        <w:ind w:left="709"/>
        <w:rPr>
          <w:rFonts w:ascii="Arial Narrow" w:hAnsi="Arial Narrow" w:cs="Arial"/>
        </w:rPr>
      </w:pPr>
    </w:p>
    <w:p w14:paraId="374EDDAD">
      <w:pPr>
        <w:ind w:left="100" w:hanging="100" w:hangingChars="5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Ide o príjem z predaja obecných pozemkov v sume 4 463,85 eura. </w:t>
      </w:r>
    </w:p>
    <w:p w14:paraId="34B694A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</w:t>
      </w:r>
    </w:p>
    <w:p w14:paraId="61C1E49E">
      <w:pPr>
        <w:rPr>
          <w:rFonts w:ascii="Arial Narrow" w:hAnsi="Arial Narrow" w:cs="Arial"/>
          <w:sz w:val="20"/>
          <w:szCs w:val="20"/>
        </w:rPr>
      </w:pPr>
    </w:p>
    <w:p w14:paraId="690440F9">
      <w:pPr>
        <w:rPr>
          <w:rFonts w:ascii="Arial Narrow" w:hAnsi="Arial Narrow" w:cs="Arial"/>
          <w:b/>
          <w:i/>
          <w:iCs/>
          <w:color w:val="FF0000"/>
        </w:rPr>
      </w:pPr>
    </w:p>
    <w:p w14:paraId="13345623">
      <w:pPr>
        <w:ind w:left="198" w:leftChars="90" w:firstLine="500" w:firstLineChars="250"/>
        <w:rPr>
          <w:rFonts w:ascii="Arial Narrow" w:hAnsi="Arial Narrow" w:cs="Arial"/>
          <w:color w:val="FF0000"/>
          <w:sz w:val="20"/>
          <w:szCs w:val="20"/>
        </w:rPr>
      </w:pPr>
      <w:r>
        <w:rPr>
          <w:rFonts w:ascii="Arial Narrow" w:hAnsi="Arial Narrow" w:cs="Arial"/>
          <w:b/>
          <w:color w:val="FF0000"/>
          <w:sz w:val="20"/>
          <w:szCs w:val="20"/>
        </w:rPr>
        <w:t xml:space="preserve"> </w:t>
      </w:r>
    </w:p>
    <w:tbl>
      <w:tblPr>
        <w:tblStyle w:val="16"/>
        <w:tblpPr w:leftFromText="180" w:rightFromText="180" w:vertAnchor="text" w:horzAnchor="page" w:tblpX="1693" w:tblpY="3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735"/>
        <w:gridCol w:w="1830"/>
        <w:gridCol w:w="1874"/>
        <w:gridCol w:w="1806"/>
      </w:tblGrid>
      <w:tr w14:paraId="2B80B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shd w:val="clear" w:color="auto" w:fill="D7D7D7" w:themeFill="background1" w:themeFillShade="D8"/>
          </w:tcPr>
          <w:p w14:paraId="3CB6D1C2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1735" w:type="dxa"/>
            <w:shd w:val="clear" w:color="auto" w:fill="D7D7D7" w:themeFill="background1" w:themeFillShade="D8"/>
          </w:tcPr>
          <w:p w14:paraId="26D77F7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2024</w:t>
            </w:r>
          </w:p>
        </w:tc>
        <w:tc>
          <w:tcPr>
            <w:tcW w:w="1830" w:type="dxa"/>
            <w:shd w:val="clear" w:color="auto" w:fill="D7D7D7" w:themeFill="background1" w:themeFillShade="D8"/>
          </w:tcPr>
          <w:p w14:paraId="79850B4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1874" w:type="dxa"/>
            <w:shd w:val="clear" w:color="auto" w:fill="D7D7D7" w:themeFill="background1" w:themeFillShade="D8"/>
          </w:tcPr>
          <w:p w14:paraId="71EBCB21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806" w:type="dxa"/>
            <w:shd w:val="clear" w:color="auto" w:fill="D7D7D7" w:themeFill="background1" w:themeFillShade="D8"/>
          </w:tcPr>
          <w:p w14:paraId="5A909C52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</w:tr>
      <w:tr w14:paraId="3DCA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</w:tcPr>
          <w:p w14:paraId="0F340793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1735" w:type="dxa"/>
          </w:tcPr>
          <w:p w14:paraId="1A32622F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4 463,85</w:t>
            </w:r>
          </w:p>
        </w:tc>
        <w:tc>
          <w:tcPr>
            <w:tcW w:w="1830" w:type="dxa"/>
          </w:tcPr>
          <w:p w14:paraId="20A23C2C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val="en-US" w:eastAsia="sk-SK"/>
              </w:rPr>
              <w:t>121 341,10</w:t>
            </w:r>
          </w:p>
        </w:tc>
        <w:tc>
          <w:tcPr>
            <w:tcW w:w="1874" w:type="dxa"/>
          </w:tcPr>
          <w:p w14:paraId="1B3816C5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34 200,00</w:t>
            </w:r>
          </w:p>
        </w:tc>
        <w:tc>
          <w:tcPr>
            <w:tcW w:w="1806" w:type="dxa"/>
          </w:tcPr>
          <w:p w14:paraId="3C94BA1E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sz w:val="20"/>
                <w:szCs w:val="20"/>
                <w:lang w:eastAsia="sk-SK"/>
              </w:rPr>
              <w:t>256,00</w:t>
            </w:r>
          </w:p>
        </w:tc>
      </w:tr>
    </w:tbl>
    <w:p w14:paraId="34EDAF62">
      <w:pPr>
        <w:rPr>
          <w:rFonts w:ascii="Arial Narrow" w:hAnsi="Arial Narrow" w:cs="Arial"/>
          <w:b/>
          <w:i/>
          <w:iCs/>
          <w:color w:val="FF0000"/>
        </w:rPr>
      </w:pPr>
    </w:p>
    <w:p w14:paraId="7D7774A2">
      <w:pPr>
        <w:rPr>
          <w:rFonts w:ascii="Arial Narrow" w:hAnsi="Arial Narrow" w:cs="Arial"/>
          <w:b/>
          <w:i/>
          <w:iCs/>
          <w:color w:val="FF0000"/>
        </w:rPr>
      </w:pPr>
    </w:p>
    <w:p w14:paraId="00F4FCE7">
      <w:pPr>
        <w:rPr>
          <w:rFonts w:ascii="Arial Narrow" w:hAnsi="Arial Narrow" w:cs="Arial"/>
          <w:b/>
          <w:i/>
          <w:iCs/>
          <w:color w:val="FF0000"/>
          <w:sz w:val="20"/>
        </w:rPr>
      </w:pPr>
      <w:r>
        <w:rPr>
          <w:rFonts w:ascii="Arial Narrow" w:hAnsi="Arial Narrow" w:cs="Arial"/>
          <w:b/>
          <w:i/>
          <w:iCs/>
          <w:color w:val="FF0000"/>
        </w:rPr>
        <w:t>FINANČNÉ PRÍJMY</w:t>
      </w:r>
    </w:p>
    <w:p w14:paraId="032B0DD1">
      <w:pPr>
        <w:ind w:left="709"/>
        <w:rPr>
          <w:rFonts w:ascii="Arial Narrow" w:hAnsi="Arial Narrow" w:cs="Arial"/>
          <w:b/>
          <w:i/>
          <w:iCs/>
          <w:caps/>
        </w:rPr>
      </w:pPr>
    </w:p>
    <w:tbl>
      <w:tblPr>
        <w:tblStyle w:val="7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518AC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 w14:paraId="7A6A2B2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0162722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2024</w:t>
            </w:r>
          </w:p>
        </w:tc>
        <w:tc>
          <w:tcPr>
            <w:tcW w:w="2202" w:type="dxa"/>
            <w:shd w:val="clear" w:color="auto" w:fill="D9D9D9"/>
          </w:tcPr>
          <w:p w14:paraId="03DE148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</w:t>
            </w:r>
          </w:p>
          <w:p w14:paraId="36BBA33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2024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3E605CD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31.12.2024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78C3758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3B23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vAlign w:val="center"/>
          </w:tcPr>
          <w:p w14:paraId="7C6A107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67 857,00</w:t>
            </w:r>
          </w:p>
        </w:tc>
        <w:tc>
          <w:tcPr>
            <w:tcW w:w="2202" w:type="dxa"/>
            <w:vAlign w:val="center"/>
          </w:tcPr>
          <w:p w14:paraId="281E5D3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103 957,00</w:t>
            </w:r>
          </w:p>
        </w:tc>
        <w:tc>
          <w:tcPr>
            <w:tcW w:w="2233" w:type="dxa"/>
            <w:vAlign w:val="center"/>
          </w:tcPr>
          <w:p w14:paraId="4519E64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116 112,00</w:t>
            </w:r>
          </w:p>
        </w:tc>
        <w:tc>
          <w:tcPr>
            <w:tcW w:w="1672" w:type="dxa"/>
            <w:vAlign w:val="center"/>
          </w:tcPr>
          <w:p w14:paraId="3A73149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111,69</w:t>
            </w:r>
          </w:p>
        </w:tc>
      </w:tr>
    </w:tbl>
    <w:p w14:paraId="0F2F32A9">
      <w:pPr>
        <w:ind w:left="709"/>
        <w:jc w:val="center"/>
        <w:rPr>
          <w:rFonts w:ascii="Arial Narrow" w:hAnsi="Arial Narrow" w:cs="Arial"/>
          <w:b/>
          <w:i/>
          <w:iCs/>
          <w:caps/>
        </w:rPr>
      </w:pPr>
    </w:p>
    <w:p w14:paraId="4B9CC29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Cs/>
          <w:caps/>
          <w:sz w:val="20"/>
          <w:szCs w:val="20"/>
        </w:rPr>
        <w:t xml:space="preserve">  </w:t>
      </w:r>
      <w:r>
        <w:rPr>
          <w:rFonts w:ascii="Arial Narrow" w:hAnsi="Arial Narrow" w:cs="Arial"/>
          <w:sz w:val="20"/>
          <w:szCs w:val="20"/>
        </w:rPr>
        <w:t>Súčasťou rozpočtu obce sú aj finančné operácie:</w:t>
      </w:r>
    </w:p>
    <w:p w14:paraId="675AD6A6">
      <w:pPr>
        <w:rPr>
          <w:rFonts w:ascii="Arial Narrow" w:hAnsi="Arial Narrow" w:cs="Arial"/>
          <w:sz w:val="20"/>
          <w:szCs w:val="20"/>
        </w:rPr>
      </w:pPr>
    </w:p>
    <w:p w14:paraId="4F9A37C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</w:t>
      </w:r>
      <w:r>
        <w:rPr>
          <w:rFonts w:ascii="Arial Narrow" w:hAnsi="Arial Narrow" w:cs="Arial"/>
          <w:sz w:val="20"/>
          <w:szCs w:val="20"/>
        </w:rPr>
        <w:t>Z rozpočtovaných po úprave 103 957,00 eur bol skutočný príjem k 31.12.2024 vo výške 116 112,00 eur.</w:t>
      </w:r>
    </w:p>
    <w:p w14:paraId="5AF7D794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Zapojenie prostriedkov z Rezervného fondu v sume 36 120,00eur z toho:</w:t>
      </w:r>
    </w:p>
    <w:p w14:paraId="0DC1F666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- doplnky traktor</w:t>
      </w:r>
    </w:p>
    <w:p w14:paraId="10262905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- nákup pozemkov</w:t>
      </w:r>
    </w:p>
    <w:p w14:paraId="41DB60EF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Zapojenie vylúčených prostriedkov z minulého roku v sumu 79 992,00 eur</w:t>
      </w:r>
    </w:p>
    <w:p w14:paraId="3C7E7FC0">
      <w:pPr>
        <w:ind w:left="36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- traktor</w:t>
      </w:r>
    </w:p>
    <w:p w14:paraId="5D54D8A6">
      <w:pPr>
        <w:pStyle w:val="3"/>
        <w:rPr>
          <w:rFonts w:ascii="Arial Narrow" w:hAnsi="Arial Narrow" w:cs="Arial"/>
          <w:b/>
          <w:i/>
          <w:iCs/>
          <w:caps/>
          <w:color w:val="FF0000"/>
        </w:rPr>
      </w:pPr>
      <w:bookmarkStart w:id="22" w:name="_Toc74047046"/>
    </w:p>
    <w:p w14:paraId="698D872B">
      <w:pPr>
        <w:pStyle w:val="3"/>
        <w:rPr>
          <w:rFonts w:ascii="Arial Narrow" w:hAnsi="Arial Narrow" w:cs="Arial"/>
          <w:b/>
          <w:i/>
          <w:iCs/>
          <w:caps/>
          <w:color w:val="FF0000"/>
        </w:rPr>
      </w:pPr>
      <w:r>
        <w:rPr>
          <w:rFonts w:ascii="Arial Narrow" w:hAnsi="Arial Narrow" w:cs="Arial"/>
          <w:b/>
          <w:i/>
          <w:iCs/>
          <w:caps/>
          <w:color w:val="FF0000"/>
        </w:rPr>
        <w:t>7.2. Čerpanie výdavkov za rok 202</w:t>
      </w:r>
      <w:bookmarkEnd w:id="22"/>
      <w:r>
        <w:rPr>
          <w:rFonts w:ascii="Arial Narrow" w:hAnsi="Arial Narrow" w:cs="Arial"/>
          <w:b/>
          <w:i/>
          <w:iCs/>
          <w:caps/>
          <w:color w:val="FF0000"/>
        </w:rPr>
        <w:t>4</w:t>
      </w:r>
    </w:p>
    <w:p w14:paraId="0374B0F2">
      <w:pPr>
        <w:rPr>
          <w:rFonts w:ascii="Arial Narrow" w:hAnsi="Arial Narrow" w:cs="Arial"/>
          <w:b/>
          <w:i/>
          <w:iCs/>
          <w:caps/>
          <w:color w:val="C00000"/>
        </w:rPr>
      </w:pPr>
      <w:bookmarkStart w:id="23" w:name="_Hlk133226818"/>
    </w:p>
    <w:p w14:paraId="36207434">
      <w:pPr>
        <w:ind w:left="709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Za rok 2024 sa realizovali </w:t>
      </w:r>
      <w:r>
        <w:rPr>
          <w:rFonts w:ascii="Arial Narrow" w:hAnsi="Arial Narrow" w:cs="Arial"/>
          <w:b/>
          <w:sz w:val="20"/>
          <w:szCs w:val="20"/>
        </w:rPr>
        <w:t>celkové výdavky spolu s finančnými operáciami</w:t>
      </w:r>
      <w:r>
        <w:rPr>
          <w:rFonts w:ascii="Arial Narrow" w:hAnsi="Arial Narrow" w:cs="Arial"/>
          <w:bCs/>
          <w:sz w:val="20"/>
          <w:szCs w:val="20"/>
        </w:rPr>
        <w:t xml:space="preserve"> v úhrnom objeme 3 524 755,19  eur čo predstavuje  8,14  % plnenie rozpočtu.</w:t>
      </w:r>
    </w:p>
    <w:bookmarkEnd w:id="23"/>
    <w:p w14:paraId="02BB8493">
      <w:pPr>
        <w:rPr>
          <w:rFonts w:ascii="Arial Narrow" w:hAnsi="Arial Narrow" w:cs="Arial"/>
          <w:i/>
          <w:iCs/>
          <w:sz w:val="20"/>
          <w:szCs w:val="20"/>
        </w:rPr>
      </w:pPr>
    </w:p>
    <w:tbl>
      <w:tblPr>
        <w:tblStyle w:val="7"/>
        <w:tblW w:w="8188" w:type="dxa"/>
        <w:tblInd w:w="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2155"/>
        <w:gridCol w:w="2461"/>
        <w:gridCol w:w="1156"/>
      </w:tblGrid>
      <w:tr w14:paraId="6402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16" w:type="dxa"/>
            <w:shd w:val="clear" w:color="auto" w:fill="D9D9D9"/>
            <w:vAlign w:val="center"/>
          </w:tcPr>
          <w:p w14:paraId="520260B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Rozpočet na rok 2024</w:t>
            </w:r>
          </w:p>
        </w:tc>
        <w:tc>
          <w:tcPr>
            <w:tcW w:w="2155" w:type="dxa"/>
            <w:shd w:val="clear" w:color="auto" w:fill="D9D9D9"/>
          </w:tcPr>
          <w:p w14:paraId="1E276F2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Upravený </w:t>
            </w:r>
          </w:p>
          <w:p w14:paraId="155963F5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rozpočet 2024</w:t>
            </w:r>
          </w:p>
        </w:tc>
        <w:tc>
          <w:tcPr>
            <w:tcW w:w="2461" w:type="dxa"/>
            <w:shd w:val="clear" w:color="auto" w:fill="D9D9D9"/>
            <w:vAlign w:val="center"/>
          </w:tcPr>
          <w:p w14:paraId="04941A0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Skutočnosť</w:t>
            </w:r>
          </w:p>
          <w:p w14:paraId="3630FEBF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 k 31.12.2024</w:t>
            </w:r>
          </w:p>
        </w:tc>
        <w:tc>
          <w:tcPr>
            <w:tcW w:w="1156" w:type="dxa"/>
            <w:shd w:val="clear" w:color="auto" w:fill="D9D9D9"/>
            <w:vAlign w:val="center"/>
          </w:tcPr>
          <w:p w14:paraId="3FC045B2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% skutočné plnenia</w:t>
            </w:r>
          </w:p>
        </w:tc>
      </w:tr>
      <w:tr w14:paraId="26A8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16" w:type="dxa"/>
            <w:vAlign w:val="center"/>
          </w:tcPr>
          <w:p w14:paraId="5B3826D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3 524 755,19</w:t>
            </w:r>
          </w:p>
        </w:tc>
        <w:tc>
          <w:tcPr>
            <w:tcW w:w="2155" w:type="dxa"/>
            <w:vAlign w:val="center"/>
          </w:tcPr>
          <w:p w14:paraId="1907F10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3 580 855,19</w:t>
            </w:r>
          </w:p>
        </w:tc>
        <w:tc>
          <w:tcPr>
            <w:tcW w:w="2461" w:type="dxa"/>
            <w:vAlign w:val="center"/>
          </w:tcPr>
          <w:p w14:paraId="56D702E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291 396,48</w:t>
            </w:r>
          </w:p>
        </w:tc>
        <w:tc>
          <w:tcPr>
            <w:tcW w:w="1156" w:type="dxa"/>
            <w:vAlign w:val="center"/>
          </w:tcPr>
          <w:p w14:paraId="4B7A4C9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8,14</w:t>
            </w:r>
          </w:p>
        </w:tc>
      </w:tr>
    </w:tbl>
    <w:p w14:paraId="228CA94D">
      <w:pPr>
        <w:ind w:left="1069"/>
        <w:jc w:val="both"/>
        <w:rPr>
          <w:rFonts w:ascii="Arial Narrow" w:hAnsi="Arial Narrow" w:cs="Arial"/>
        </w:rPr>
      </w:pPr>
    </w:p>
    <w:p w14:paraId="3EC59274">
      <w:pPr>
        <w:rPr>
          <w:rFonts w:ascii="Arial Narrow" w:hAnsi="Arial Narrow" w:cs="Arial"/>
          <w:b/>
          <w:caps/>
          <w:color w:val="FF0000"/>
        </w:rPr>
      </w:pPr>
    </w:p>
    <w:p w14:paraId="6C2C7D66">
      <w:pPr>
        <w:rPr>
          <w:rFonts w:ascii="Arial Narrow" w:hAnsi="Arial Narrow" w:cs="Arial"/>
          <w:b/>
          <w:i/>
          <w:iCs/>
          <w:caps/>
          <w:color w:val="FF0000"/>
        </w:rPr>
      </w:pPr>
      <w:r>
        <w:rPr>
          <w:rFonts w:ascii="Arial Narrow" w:hAnsi="Arial Narrow" w:cs="Arial"/>
          <w:b/>
          <w:i/>
          <w:iCs/>
          <w:caps/>
          <w:color w:val="FF0000"/>
        </w:rPr>
        <w:t xml:space="preserve"> Bežné výdavky  </w:t>
      </w:r>
    </w:p>
    <w:p w14:paraId="41CD07E0">
      <w:pPr>
        <w:rPr>
          <w:rFonts w:ascii="Arial Narrow" w:hAnsi="Arial Narrow" w:cs="Arial"/>
          <w:b/>
          <w:i/>
          <w:iCs/>
          <w:caps/>
          <w:color w:val="FF0000"/>
        </w:rPr>
      </w:pPr>
    </w:p>
    <w:p w14:paraId="02DDB2D0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   Z hľadiska ročného rozpočtu sa čerpali bežné výdavky vo výške 169 227,41 na 98,16  %.</w:t>
      </w:r>
    </w:p>
    <w:tbl>
      <w:tblPr>
        <w:tblStyle w:val="7"/>
        <w:tblW w:w="8222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227"/>
        <w:gridCol w:w="2509"/>
        <w:gridCol w:w="1127"/>
      </w:tblGrid>
      <w:tr w14:paraId="56359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59" w:type="dxa"/>
            <w:shd w:val="clear" w:color="auto" w:fill="D9D9D9"/>
            <w:vAlign w:val="center"/>
          </w:tcPr>
          <w:p w14:paraId="42D3A072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 Rozpočet na rok 2024</w:t>
            </w:r>
          </w:p>
        </w:tc>
        <w:tc>
          <w:tcPr>
            <w:tcW w:w="2227" w:type="dxa"/>
            <w:shd w:val="clear" w:color="auto" w:fill="D9D9D9"/>
          </w:tcPr>
          <w:p w14:paraId="0146843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Upravený</w:t>
            </w:r>
          </w:p>
          <w:p w14:paraId="3240F72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 rozpočet 2024</w:t>
            </w:r>
          </w:p>
        </w:tc>
        <w:tc>
          <w:tcPr>
            <w:tcW w:w="2509" w:type="dxa"/>
            <w:shd w:val="clear" w:color="auto" w:fill="D9D9D9"/>
            <w:vAlign w:val="center"/>
          </w:tcPr>
          <w:p w14:paraId="34D1DA6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Skutočnosť</w:t>
            </w:r>
          </w:p>
          <w:p w14:paraId="16F9988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 k 31.12.2024</w:t>
            </w:r>
          </w:p>
        </w:tc>
        <w:tc>
          <w:tcPr>
            <w:tcW w:w="1127" w:type="dxa"/>
            <w:shd w:val="clear" w:color="auto" w:fill="D9D9D9"/>
            <w:vAlign w:val="center"/>
          </w:tcPr>
          <w:p w14:paraId="6BAC25B1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% skutočné plnenia</w:t>
            </w:r>
          </w:p>
        </w:tc>
      </w:tr>
      <w:tr w14:paraId="145A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59" w:type="dxa"/>
            <w:vAlign w:val="center"/>
          </w:tcPr>
          <w:p w14:paraId="2ED158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172 400,00</w:t>
            </w:r>
          </w:p>
        </w:tc>
        <w:tc>
          <w:tcPr>
            <w:tcW w:w="2227" w:type="dxa"/>
            <w:vAlign w:val="center"/>
          </w:tcPr>
          <w:p w14:paraId="777201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172 400,00</w:t>
            </w:r>
          </w:p>
        </w:tc>
        <w:tc>
          <w:tcPr>
            <w:tcW w:w="2509" w:type="dxa"/>
            <w:vAlign w:val="center"/>
          </w:tcPr>
          <w:p w14:paraId="1ACA9D7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169 227,41</w:t>
            </w:r>
          </w:p>
        </w:tc>
        <w:tc>
          <w:tcPr>
            <w:tcW w:w="1127" w:type="dxa"/>
            <w:vAlign w:val="center"/>
          </w:tcPr>
          <w:p w14:paraId="2D31B7CF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98,16</w:t>
            </w:r>
          </w:p>
        </w:tc>
      </w:tr>
    </w:tbl>
    <w:p w14:paraId="02830C44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3BE8B6A8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4ED4970A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5FD2F598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6F646077">
      <w:pPr>
        <w:tabs>
          <w:tab w:val="center" w:pos="6480"/>
        </w:tabs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 tom :   </w:t>
      </w:r>
      <w:r>
        <w:rPr>
          <w:rFonts w:ascii="Arial Narrow" w:hAnsi="Arial Narrow" w:cs="Arial"/>
          <w:b/>
          <w:sz w:val="20"/>
          <w:szCs w:val="20"/>
        </w:rPr>
        <w:tab/>
      </w:r>
    </w:p>
    <w:tbl>
      <w:tblPr>
        <w:tblStyle w:val="7"/>
        <w:tblW w:w="8505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469"/>
        <w:gridCol w:w="1082"/>
        <w:gridCol w:w="1418"/>
        <w:gridCol w:w="850"/>
      </w:tblGrid>
      <w:tr w14:paraId="4E31C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shd w:val="clear" w:color="auto" w:fill="D9D9D9"/>
            <w:vAlign w:val="center"/>
          </w:tcPr>
          <w:p w14:paraId="6B89CCCB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Funkčná klasifikácia </w:t>
            </w:r>
          </w:p>
        </w:tc>
        <w:tc>
          <w:tcPr>
            <w:tcW w:w="1469" w:type="dxa"/>
            <w:shd w:val="clear" w:color="auto" w:fill="D9D9D9"/>
            <w:vAlign w:val="center"/>
          </w:tcPr>
          <w:p w14:paraId="4246F2AF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Schválený</w:t>
            </w:r>
          </w:p>
          <w:p w14:paraId="03A0B13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rozpočet</w:t>
            </w:r>
          </w:p>
        </w:tc>
        <w:tc>
          <w:tcPr>
            <w:tcW w:w="1082" w:type="dxa"/>
            <w:shd w:val="clear" w:color="auto" w:fill="D9D9D9"/>
          </w:tcPr>
          <w:p w14:paraId="0BCB9C7F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Upravený</w:t>
            </w:r>
          </w:p>
          <w:p w14:paraId="3A5F16B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rozpočet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AA269C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Skutočnosť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EBFFE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14:paraId="001C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4E8DE4D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01.1.1. Výkonné a zákon. orgány – obce</w:t>
            </w:r>
          </w:p>
        </w:tc>
        <w:tc>
          <w:tcPr>
            <w:tcW w:w="1469" w:type="dxa"/>
            <w:vAlign w:val="center"/>
          </w:tcPr>
          <w:p w14:paraId="37461497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117 500,00</w:t>
            </w:r>
          </w:p>
        </w:tc>
        <w:tc>
          <w:tcPr>
            <w:tcW w:w="1082" w:type="dxa"/>
            <w:vAlign w:val="center"/>
          </w:tcPr>
          <w:p w14:paraId="1A7F50D2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117 500,00</w:t>
            </w:r>
          </w:p>
        </w:tc>
        <w:tc>
          <w:tcPr>
            <w:tcW w:w="1418" w:type="dxa"/>
            <w:vAlign w:val="center"/>
          </w:tcPr>
          <w:p w14:paraId="4353D9B3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120 620,95</w:t>
            </w:r>
          </w:p>
        </w:tc>
        <w:tc>
          <w:tcPr>
            <w:tcW w:w="850" w:type="dxa"/>
            <w:vAlign w:val="center"/>
          </w:tcPr>
          <w:p w14:paraId="2246EE3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102,66</w:t>
            </w:r>
          </w:p>
        </w:tc>
      </w:tr>
      <w:tr w14:paraId="3BB95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08CD8DB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01.1.2. Finančné a rozpočtové záležitosti</w:t>
            </w:r>
          </w:p>
        </w:tc>
        <w:tc>
          <w:tcPr>
            <w:tcW w:w="1469" w:type="dxa"/>
            <w:vAlign w:val="center"/>
          </w:tcPr>
          <w:p w14:paraId="047CD572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082" w:type="dxa"/>
            <w:vAlign w:val="center"/>
          </w:tcPr>
          <w:p w14:paraId="349D4956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769FD925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5DE76BBA">
            <w:pPr>
              <w:jc w:val="right"/>
              <w:rPr>
                <w:rFonts w:ascii="Arial Narrow" w:hAnsi="Arial Narrow" w:cs="Arial"/>
                <w:color w:val="C00000"/>
                <w:sz w:val="18"/>
                <w:szCs w:val="18"/>
              </w:rPr>
            </w:pPr>
          </w:p>
        </w:tc>
      </w:tr>
      <w:tr w14:paraId="7647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7CA20F26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01.6.0. Všeobecné verejne služby</w:t>
            </w:r>
          </w:p>
        </w:tc>
        <w:tc>
          <w:tcPr>
            <w:tcW w:w="1469" w:type="dxa"/>
            <w:vAlign w:val="center"/>
          </w:tcPr>
          <w:p w14:paraId="1680DCC3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1 000,00</w:t>
            </w:r>
          </w:p>
        </w:tc>
        <w:tc>
          <w:tcPr>
            <w:tcW w:w="1082" w:type="dxa"/>
            <w:vAlign w:val="center"/>
          </w:tcPr>
          <w:p w14:paraId="681F375A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1 000,00</w:t>
            </w:r>
          </w:p>
        </w:tc>
        <w:tc>
          <w:tcPr>
            <w:tcW w:w="1418" w:type="dxa"/>
            <w:vAlign w:val="center"/>
          </w:tcPr>
          <w:p w14:paraId="651A9ABC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2 909,85</w:t>
            </w:r>
          </w:p>
        </w:tc>
        <w:tc>
          <w:tcPr>
            <w:tcW w:w="850" w:type="dxa"/>
            <w:vAlign w:val="center"/>
          </w:tcPr>
          <w:p w14:paraId="0225BA2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290,99</w:t>
            </w:r>
          </w:p>
        </w:tc>
      </w:tr>
      <w:tr w14:paraId="2EF4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6EDB159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aps/>
                <w:sz w:val="18"/>
                <w:szCs w:val="18"/>
              </w:rPr>
              <w:t xml:space="preserve">01.8.0 </w:t>
            </w:r>
            <w:r>
              <w:rPr>
                <w:rFonts w:ascii="Arial Narrow" w:hAnsi="Arial Narrow" w:cs="Arial"/>
                <w:sz w:val="18"/>
                <w:szCs w:val="18"/>
              </w:rPr>
              <w:t>Transfery všeobecnej povahy</w:t>
            </w:r>
          </w:p>
        </w:tc>
        <w:tc>
          <w:tcPr>
            <w:tcW w:w="1469" w:type="dxa"/>
            <w:vAlign w:val="center"/>
          </w:tcPr>
          <w:p w14:paraId="3A65E89A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6 000,00</w:t>
            </w:r>
          </w:p>
        </w:tc>
        <w:tc>
          <w:tcPr>
            <w:tcW w:w="1082" w:type="dxa"/>
            <w:vAlign w:val="center"/>
          </w:tcPr>
          <w:p w14:paraId="0E2799DB">
            <w:pPr>
              <w:tabs>
                <w:tab w:val="decimal" w:pos="1317"/>
              </w:tabs>
              <w:wordWrap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6 000,00</w:t>
            </w:r>
          </w:p>
        </w:tc>
        <w:tc>
          <w:tcPr>
            <w:tcW w:w="1418" w:type="dxa"/>
            <w:vAlign w:val="center"/>
          </w:tcPr>
          <w:p w14:paraId="04C8DD6C">
            <w:pPr>
              <w:tabs>
                <w:tab w:val="decimal" w:pos="1317"/>
              </w:tabs>
              <w:wordWrap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4 802,20</w:t>
            </w:r>
          </w:p>
        </w:tc>
        <w:tc>
          <w:tcPr>
            <w:tcW w:w="850" w:type="dxa"/>
            <w:vAlign w:val="center"/>
          </w:tcPr>
          <w:p w14:paraId="6DE76433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80,04</w:t>
            </w:r>
          </w:p>
        </w:tc>
      </w:tr>
      <w:tr w14:paraId="4BFB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2D59263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0320 Požiarna ochrana</w:t>
            </w:r>
          </w:p>
        </w:tc>
        <w:tc>
          <w:tcPr>
            <w:tcW w:w="1469" w:type="dxa"/>
            <w:vAlign w:val="center"/>
          </w:tcPr>
          <w:p w14:paraId="2514CC1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9 600,00</w:t>
            </w:r>
          </w:p>
        </w:tc>
        <w:tc>
          <w:tcPr>
            <w:tcW w:w="1082" w:type="dxa"/>
            <w:vAlign w:val="center"/>
          </w:tcPr>
          <w:p w14:paraId="5ACD74BA">
            <w:pPr>
              <w:tabs>
                <w:tab w:val="decimal" w:pos="1317"/>
              </w:tabs>
              <w:wordWrap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9 600,00</w:t>
            </w:r>
          </w:p>
        </w:tc>
        <w:tc>
          <w:tcPr>
            <w:tcW w:w="1418" w:type="dxa"/>
            <w:vAlign w:val="center"/>
          </w:tcPr>
          <w:p w14:paraId="6C497C33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8 567,17</w:t>
            </w:r>
          </w:p>
        </w:tc>
        <w:tc>
          <w:tcPr>
            <w:tcW w:w="850" w:type="dxa"/>
            <w:vAlign w:val="center"/>
          </w:tcPr>
          <w:p w14:paraId="66FC82F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89,24</w:t>
            </w:r>
          </w:p>
        </w:tc>
      </w:tr>
      <w:tr w14:paraId="2CFC4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686" w:type="dxa"/>
            <w:vAlign w:val="center"/>
          </w:tcPr>
          <w:p w14:paraId="4B9D6D9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05.1.0 Nakladanie s odpadmi</w:t>
            </w:r>
          </w:p>
        </w:tc>
        <w:tc>
          <w:tcPr>
            <w:tcW w:w="1469" w:type="dxa"/>
            <w:vAlign w:val="center"/>
          </w:tcPr>
          <w:p w14:paraId="7C24D6A1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10 100,00</w:t>
            </w:r>
          </w:p>
        </w:tc>
        <w:tc>
          <w:tcPr>
            <w:tcW w:w="1082" w:type="dxa"/>
            <w:vAlign w:val="center"/>
          </w:tcPr>
          <w:p w14:paraId="0E20685A">
            <w:pPr>
              <w:tabs>
                <w:tab w:val="decimal" w:pos="1317"/>
              </w:tabs>
              <w:wordWrap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10 100,00</w:t>
            </w:r>
          </w:p>
        </w:tc>
        <w:tc>
          <w:tcPr>
            <w:tcW w:w="1418" w:type="dxa"/>
            <w:vAlign w:val="center"/>
          </w:tcPr>
          <w:p w14:paraId="61720399">
            <w:pPr>
              <w:tabs>
                <w:tab w:val="decimal" w:pos="1317"/>
              </w:tabs>
              <w:wordWrap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10 472,94</w:t>
            </w:r>
          </w:p>
        </w:tc>
        <w:tc>
          <w:tcPr>
            <w:tcW w:w="850" w:type="dxa"/>
            <w:vAlign w:val="center"/>
          </w:tcPr>
          <w:p w14:paraId="10B9EB5B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103,69</w:t>
            </w:r>
          </w:p>
        </w:tc>
      </w:tr>
      <w:tr w14:paraId="369C0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7ECE82C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06.4.0 Verejné osvetlenie</w:t>
            </w:r>
          </w:p>
        </w:tc>
        <w:tc>
          <w:tcPr>
            <w:tcW w:w="1469" w:type="dxa"/>
            <w:vAlign w:val="center"/>
          </w:tcPr>
          <w:p w14:paraId="12345FD0">
            <w:pPr>
              <w:tabs>
                <w:tab w:val="decimal" w:pos="1317"/>
              </w:tabs>
              <w:wordWrap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9 800,00</w:t>
            </w:r>
          </w:p>
        </w:tc>
        <w:tc>
          <w:tcPr>
            <w:tcW w:w="1082" w:type="dxa"/>
            <w:vAlign w:val="center"/>
          </w:tcPr>
          <w:p w14:paraId="56CEBBFE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9 800,00</w:t>
            </w:r>
          </w:p>
        </w:tc>
        <w:tc>
          <w:tcPr>
            <w:tcW w:w="1418" w:type="dxa"/>
            <w:vAlign w:val="center"/>
          </w:tcPr>
          <w:p w14:paraId="4A001BA6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5 873,36</w:t>
            </w:r>
          </w:p>
        </w:tc>
        <w:tc>
          <w:tcPr>
            <w:tcW w:w="850" w:type="dxa"/>
            <w:vAlign w:val="center"/>
          </w:tcPr>
          <w:p w14:paraId="2F01C052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59,93</w:t>
            </w:r>
          </w:p>
        </w:tc>
      </w:tr>
      <w:tr w14:paraId="38B93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58A1408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07.4.0  Ochrana, podpora a rozvoj verejného zdravia</w:t>
            </w:r>
          </w:p>
        </w:tc>
        <w:tc>
          <w:tcPr>
            <w:tcW w:w="1469" w:type="dxa"/>
            <w:vAlign w:val="center"/>
          </w:tcPr>
          <w:p w14:paraId="2F3A4B6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082" w:type="dxa"/>
            <w:vAlign w:val="center"/>
          </w:tcPr>
          <w:p w14:paraId="1914B7BB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20FCAA18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0214BE1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14:paraId="1849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1E5A9DB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08.1.0 Rekreačné a športové služby</w:t>
            </w:r>
          </w:p>
        </w:tc>
        <w:tc>
          <w:tcPr>
            <w:tcW w:w="1469" w:type="dxa"/>
            <w:vAlign w:val="center"/>
          </w:tcPr>
          <w:p w14:paraId="41AE841C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5 000,00</w:t>
            </w:r>
          </w:p>
        </w:tc>
        <w:tc>
          <w:tcPr>
            <w:tcW w:w="1082" w:type="dxa"/>
            <w:vAlign w:val="center"/>
          </w:tcPr>
          <w:p w14:paraId="549A4802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5 000,00</w:t>
            </w:r>
          </w:p>
        </w:tc>
        <w:tc>
          <w:tcPr>
            <w:tcW w:w="1418" w:type="dxa"/>
            <w:vAlign w:val="center"/>
          </w:tcPr>
          <w:p w14:paraId="3819F131">
            <w:pPr>
              <w:tabs>
                <w:tab w:val="decimal" w:pos="1317"/>
              </w:tabs>
              <w:wordWrap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3 000,00</w:t>
            </w:r>
          </w:p>
        </w:tc>
        <w:tc>
          <w:tcPr>
            <w:tcW w:w="850" w:type="dxa"/>
            <w:vAlign w:val="center"/>
          </w:tcPr>
          <w:p w14:paraId="7A3D7E03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60     </w:t>
            </w:r>
          </w:p>
        </w:tc>
      </w:tr>
      <w:tr w14:paraId="5A6BA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30E83E06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08.2.0 Kultúra</w:t>
            </w:r>
          </w:p>
        </w:tc>
        <w:tc>
          <w:tcPr>
            <w:tcW w:w="1469" w:type="dxa"/>
            <w:vAlign w:val="center"/>
          </w:tcPr>
          <w:p w14:paraId="1373F711">
            <w:pPr>
              <w:tabs>
                <w:tab w:val="decimal" w:pos="1317"/>
              </w:tabs>
              <w:wordWrap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12 000,00</w:t>
            </w:r>
          </w:p>
        </w:tc>
        <w:tc>
          <w:tcPr>
            <w:tcW w:w="1082" w:type="dxa"/>
            <w:vAlign w:val="center"/>
          </w:tcPr>
          <w:p w14:paraId="19C21629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12 000,00</w:t>
            </w:r>
          </w:p>
        </w:tc>
        <w:tc>
          <w:tcPr>
            <w:tcW w:w="1418" w:type="dxa"/>
            <w:vAlign w:val="center"/>
          </w:tcPr>
          <w:p w14:paraId="1F27B45C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11  887,47</w:t>
            </w:r>
          </w:p>
        </w:tc>
        <w:tc>
          <w:tcPr>
            <w:tcW w:w="850" w:type="dxa"/>
            <w:vAlign w:val="center"/>
          </w:tcPr>
          <w:p w14:paraId="4CD3304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99,06              </w:t>
            </w:r>
          </w:p>
        </w:tc>
      </w:tr>
      <w:tr w14:paraId="298F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vAlign w:val="center"/>
          </w:tcPr>
          <w:p w14:paraId="14F591F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08.3.0. Vysielacie a vydavateľské služby</w:t>
            </w:r>
          </w:p>
        </w:tc>
        <w:tc>
          <w:tcPr>
            <w:tcW w:w="1469" w:type="dxa"/>
            <w:vAlign w:val="center"/>
          </w:tcPr>
          <w:p w14:paraId="3AA966E3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400,00</w:t>
            </w:r>
          </w:p>
        </w:tc>
        <w:tc>
          <w:tcPr>
            <w:tcW w:w="1082" w:type="dxa"/>
            <w:vAlign w:val="center"/>
          </w:tcPr>
          <w:p w14:paraId="67FCF1BB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400,00</w:t>
            </w:r>
          </w:p>
        </w:tc>
        <w:tc>
          <w:tcPr>
            <w:tcW w:w="1418" w:type="dxa"/>
            <w:vAlign w:val="center"/>
          </w:tcPr>
          <w:p w14:paraId="31456739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1 093,47</w:t>
            </w:r>
          </w:p>
        </w:tc>
        <w:tc>
          <w:tcPr>
            <w:tcW w:w="850" w:type="dxa"/>
            <w:vAlign w:val="center"/>
          </w:tcPr>
          <w:p w14:paraId="6838C257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273,37</w:t>
            </w:r>
          </w:p>
        </w:tc>
      </w:tr>
      <w:tr w14:paraId="5C8F0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3686" w:type="dxa"/>
            <w:vAlign w:val="center"/>
          </w:tcPr>
          <w:p w14:paraId="60F9C96F">
            <w:pPr>
              <w:rPr>
                <w:rFonts w:ascii="Arial Narrow" w:hAnsi="Arial Narrow" w:cs="Arial"/>
                <w:bCs/>
                <w:cap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aps/>
                <w:sz w:val="18"/>
                <w:szCs w:val="18"/>
              </w:rPr>
              <w:t xml:space="preserve">08.4.0. 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Náboženské služby</w:t>
            </w:r>
          </w:p>
        </w:tc>
        <w:tc>
          <w:tcPr>
            <w:tcW w:w="1469" w:type="dxa"/>
            <w:vAlign w:val="center"/>
          </w:tcPr>
          <w:p w14:paraId="48E9F8BC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1000,00</w:t>
            </w:r>
          </w:p>
        </w:tc>
        <w:tc>
          <w:tcPr>
            <w:tcW w:w="1082" w:type="dxa"/>
            <w:vAlign w:val="center"/>
          </w:tcPr>
          <w:p w14:paraId="403FC747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1000,00</w:t>
            </w:r>
          </w:p>
        </w:tc>
        <w:tc>
          <w:tcPr>
            <w:tcW w:w="1418" w:type="dxa"/>
            <w:vAlign w:val="center"/>
          </w:tcPr>
          <w:p w14:paraId="18FE7B9F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36E58CB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14:paraId="0BAD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3686" w:type="dxa"/>
            <w:vAlign w:val="center"/>
          </w:tcPr>
          <w:p w14:paraId="7FDD6112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Spolu</w:t>
            </w:r>
          </w:p>
        </w:tc>
        <w:tc>
          <w:tcPr>
            <w:tcW w:w="1469" w:type="dxa"/>
            <w:vAlign w:val="center"/>
          </w:tcPr>
          <w:p w14:paraId="5A006240">
            <w:pPr>
              <w:wordWrap w:val="0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172 400,00</w:t>
            </w:r>
          </w:p>
        </w:tc>
        <w:tc>
          <w:tcPr>
            <w:tcW w:w="1082" w:type="dxa"/>
            <w:vAlign w:val="center"/>
          </w:tcPr>
          <w:p w14:paraId="3BE583D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172 400,00</w:t>
            </w:r>
          </w:p>
        </w:tc>
        <w:tc>
          <w:tcPr>
            <w:tcW w:w="1418" w:type="dxa"/>
            <w:vAlign w:val="center"/>
          </w:tcPr>
          <w:p w14:paraId="438EA9F3">
            <w:pPr>
              <w:wordWrap w:val="0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169 227,41</w:t>
            </w:r>
          </w:p>
        </w:tc>
        <w:tc>
          <w:tcPr>
            <w:tcW w:w="850" w:type="dxa"/>
            <w:vAlign w:val="center"/>
          </w:tcPr>
          <w:p w14:paraId="726F9A12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    </w:t>
            </w:r>
          </w:p>
        </w:tc>
      </w:tr>
    </w:tbl>
    <w:p w14:paraId="32875A79">
      <w:pPr>
        <w:rPr>
          <w:rFonts w:ascii="Arial Narrow" w:hAnsi="Arial Narrow" w:cs="Arial"/>
          <w:sz w:val="20"/>
          <w:szCs w:val="20"/>
        </w:rPr>
      </w:pPr>
    </w:p>
    <w:p w14:paraId="4A04188D">
      <w:pPr>
        <w:numPr>
          <w:ilvl w:val="0"/>
          <w:numId w:val="5"/>
        </w:numPr>
        <w:spacing w:after="0" w:line="240" w:lineRule="auto"/>
        <w:ind w:left="142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Mzdy, platy, služobné príjmy a ostatné osobné vyrovnania (pol. 610)             </w:t>
      </w:r>
    </w:p>
    <w:p w14:paraId="2890AA32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rozpočtovaných po úprave 43 300,00€ bolo skutočné čerpanie k 31.12.2024 vo výške 42 443,22 €, čo je 98,02</w:t>
      </w:r>
    </w:p>
    <w:p w14:paraId="77DE3C95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% čerpanie. Patria sem mzdové prostriedky starostu a zamestnancov obce (obecný úrad, kontrolór obce).</w:t>
      </w:r>
    </w:p>
    <w:p w14:paraId="4605B47E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520992E6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b) Poistné a príspevok do poisťovní (pol. 620)                        </w:t>
      </w:r>
    </w:p>
    <w:p w14:paraId="34A66986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rozpočtovaných  po úprave 19 000,00€ bolo skutočne čerpané k 31.12.2024 vo výške 16 829,45€,  čo je 88,58 % čerpanie. Sú tu zahrnuté odvody poistného z miezd starostu, zamestnancov obce a poslancov za zamestnávateľa.</w:t>
      </w:r>
    </w:p>
    <w:p w14:paraId="5F826464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   c) Tovary a služby (pol. 630)                                           </w:t>
      </w:r>
    </w:p>
    <w:p w14:paraId="1BF0217F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Z rozpočtovaných po úprave 96 200,00€ bolo skutočne čerpané k 31.12.2024 vo výške 97 012,74 €, čo je 100,84% čerpanie. Ide o prevádzkové výdavky všetkých stredísk OcÚ, ako sú cestovné náhrady, energie, materiál, dopravné, rutinná a štandardná údržba, nájomné za nájom a ostatné tovary a služby. </w:t>
      </w:r>
    </w:p>
    <w:p w14:paraId="7E5D8E00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5E1AA82D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                  d) Bežné transfery (pol. 640)                                            </w:t>
      </w:r>
    </w:p>
    <w:p w14:paraId="41CD0F25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rozpočtovaných po úprave 13 900,00€ bolo skutočne čerpané k 31.12.2024 vo výške 12 942,00€, čo predstavuje 93,11 % čerpanie. V danej položke sú zahrnuté transfer pre DHZ , TJ Pokrok Zlatá Idka, Spoločný úrad OcÚ Beniakovce, Rudohorie, ZMOS.</w:t>
      </w:r>
    </w:p>
    <w:p w14:paraId="63262FF8">
      <w:pPr>
        <w:ind w:left="709"/>
        <w:rPr>
          <w:rFonts w:ascii="Arial Narrow" w:hAnsi="Arial Narrow" w:cs="Arial"/>
          <w:b/>
          <w:sz w:val="20"/>
          <w:szCs w:val="20"/>
        </w:rPr>
      </w:pPr>
    </w:p>
    <w:p w14:paraId="116D5536">
      <w:pPr>
        <w:ind w:left="709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   e) Splácanie úrokov z úveru(650)</w:t>
      </w:r>
    </w:p>
    <w:p w14:paraId="26B8F549">
      <w:pPr>
        <w:ind w:left="709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rozpočtových 0,00 EUR bolo skutočne čerpané 0 EUR k 31.12.2024</w:t>
      </w:r>
    </w:p>
    <w:p w14:paraId="1DB12C20">
      <w:pPr>
        <w:rPr>
          <w:rFonts w:ascii="Arial Narrow" w:hAnsi="Arial Narrow" w:cs="Arial"/>
          <w:b/>
          <w:i/>
          <w:iCs/>
          <w:caps/>
          <w:color w:val="FF0000"/>
        </w:rPr>
      </w:pPr>
    </w:p>
    <w:p w14:paraId="4BE72340">
      <w:pPr>
        <w:rPr>
          <w:rFonts w:ascii="Arial Narrow" w:hAnsi="Arial Narrow" w:cs="Arial"/>
          <w:i/>
          <w:iCs/>
          <w:color w:val="FF0000"/>
          <w:sz w:val="20"/>
          <w:szCs w:val="20"/>
        </w:rPr>
      </w:pPr>
      <w:r>
        <w:rPr>
          <w:rFonts w:ascii="Arial Narrow" w:hAnsi="Arial Narrow" w:cs="Arial"/>
          <w:bCs/>
          <w:color w:val="FF0000"/>
          <w:sz w:val="20"/>
          <w:szCs w:val="20"/>
        </w:rPr>
        <w:t xml:space="preserve">             </w:t>
      </w:r>
    </w:p>
    <w:p w14:paraId="5B4EA1E5">
      <w:pPr>
        <w:rPr>
          <w:rFonts w:ascii="Arial Narrow" w:hAnsi="Arial Narrow" w:cs="Arial"/>
          <w:b/>
          <w:caps/>
          <w:color w:val="FF0000"/>
          <w:sz w:val="20"/>
          <w:szCs w:val="20"/>
        </w:rPr>
      </w:pPr>
      <w:r>
        <w:rPr>
          <w:rFonts w:ascii="Arial Narrow" w:hAnsi="Arial Narrow" w:cs="Arial"/>
          <w:b/>
          <w:i/>
          <w:iCs/>
          <w:caps/>
          <w:color w:val="FF0000"/>
          <w:sz w:val="20"/>
          <w:szCs w:val="20"/>
        </w:rPr>
        <w:t xml:space="preserve"> </w:t>
      </w:r>
      <w:r>
        <w:rPr>
          <w:rFonts w:ascii="Arial Narrow" w:hAnsi="Arial Narrow" w:cs="Arial"/>
          <w:b/>
          <w:i/>
          <w:iCs/>
          <w:color w:val="FF0000"/>
        </w:rPr>
        <w:t>KAPITÁLOVÉ VÝDAVKY</w:t>
      </w:r>
      <w:r>
        <w:rPr>
          <w:rFonts w:ascii="Arial Narrow" w:hAnsi="Arial Narrow" w:cs="Arial"/>
          <w:b/>
          <w:i/>
          <w:iCs/>
          <w:caps/>
          <w:color w:val="FF0000"/>
        </w:rPr>
        <w:t xml:space="preserve"> </w:t>
      </w:r>
      <w:r>
        <w:rPr>
          <w:rFonts w:ascii="Arial Narrow" w:hAnsi="Arial Narrow" w:cs="Arial"/>
          <w:b/>
          <w:caps/>
          <w:color w:val="FF0000"/>
          <w:sz w:val="20"/>
          <w:szCs w:val="20"/>
        </w:rPr>
        <w:t xml:space="preserve"> </w:t>
      </w:r>
    </w:p>
    <w:p w14:paraId="5648BACF">
      <w:pPr>
        <w:ind w:left="709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     </w:t>
      </w:r>
      <w:r>
        <w:rPr>
          <w:rFonts w:ascii="Arial Narrow" w:hAnsi="Arial Narrow" w:cs="Arial"/>
          <w:bCs/>
          <w:sz w:val="20"/>
          <w:szCs w:val="20"/>
        </w:rPr>
        <w:t>V rok 2024 sa čerpali kapitálové výdavky v objeme 122 169,07 eur  čo predstavuje  3,58% plnenie voči rozpočtu.</w:t>
      </w:r>
      <w:r>
        <w:rPr>
          <w:rFonts w:ascii="Arial Narrow" w:hAnsi="Arial Narrow" w:cs="Arial"/>
          <w:b/>
        </w:rPr>
        <w:tab/>
      </w:r>
    </w:p>
    <w:p w14:paraId="4F36995F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tbl>
      <w:tblPr>
        <w:tblStyle w:val="7"/>
        <w:tblW w:w="8222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227"/>
        <w:gridCol w:w="2509"/>
        <w:gridCol w:w="1127"/>
      </w:tblGrid>
      <w:tr w14:paraId="07D9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59" w:type="dxa"/>
            <w:shd w:val="clear" w:color="auto" w:fill="D9D9D9"/>
            <w:vAlign w:val="center"/>
          </w:tcPr>
          <w:p w14:paraId="1A0B99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Rozpočet na rok 2024</w:t>
            </w:r>
          </w:p>
        </w:tc>
        <w:tc>
          <w:tcPr>
            <w:tcW w:w="2227" w:type="dxa"/>
            <w:shd w:val="clear" w:color="auto" w:fill="D9D9D9"/>
          </w:tcPr>
          <w:p w14:paraId="3D48FE88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Upravený</w:t>
            </w:r>
          </w:p>
          <w:p w14:paraId="3CE6CCF0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 rozpočet 2024</w:t>
            </w:r>
          </w:p>
        </w:tc>
        <w:tc>
          <w:tcPr>
            <w:tcW w:w="2509" w:type="dxa"/>
            <w:shd w:val="clear" w:color="auto" w:fill="D9D9D9"/>
            <w:vAlign w:val="center"/>
          </w:tcPr>
          <w:p w14:paraId="1DE49E04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Skutočnosť</w:t>
            </w:r>
          </w:p>
          <w:p w14:paraId="2A2A3E18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 k 31.12.2024</w:t>
            </w:r>
          </w:p>
        </w:tc>
        <w:tc>
          <w:tcPr>
            <w:tcW w:w="1127" w:type="dxa"/>
            <w:shd w:val="clear" w:color="auto" w:fill="D9D9D9"/>
            <w:vAlign w:val="center"/>
          </w:tcPr>
          <w:p w14:paraId="36372169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% skutočné plnenia</w:t>
            </w:r>
          </w:p>
        </w:tc>
      </w:tr>
      <w:tr w14:paraId="0AA9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59" w:type="dxa"/>
            <w:vAlign w:val="center"/>
          </w:tcPr>
          <w:p w14:paraId="279A644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3 352 355,19</w:t>
            </w:r>
          </w:p>
        </w:tc>
        <w:tc>
          <w:tcPr>
            <w:tcW w:w="2227" w:type="dxa"/>
            <w:vAlign w:val="center"/>
          </w:tcPr>
          <w:p w14:paraId="40AB4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3 408 455,19</w:t>
            </w:r>
          </w:p>
        </w:tc>
        <w:tc>
          <w:tcPr>
            <w:tcW w:w="2509" w:type="dxa"/>
            <w:vAlign w:val="center"/>
          </w:tcPr>
          <w:p w14:paraId="14066F6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122 169,07</w:t>
            </w:r>
          </w:p>
        </w:tc>
        <w:tc>
          <w:tcPr>
            <w:tcW w:w="1127" w:type="dxa"/>
            <w:vAlign w:val="center"/>
          </w:tcPr>
          <w:p w14:paraId="5FFF159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3,58</w:t>
            </w:r>
          </w:p>
        </w:tc>
      </w:tr>
    </w:tbl>
    <w:p w14:paraId="44E704E4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29894D73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Kapitálové výdavky: </w:t>
      </w:r>
    </w:p>
    <w:p w14:paraId="1922E1BE">
      <w:pPr>
        <w:pStyle w:val="43"/>
        <w:rPr>
          <w:color w:val="auto"/>
          <w:sz w:val="20"/>
          <w:szCs w:val="20"/>
          <w:highlight w:val="yellow"/>
        </w:rPr>
      </w:pPr>
    </w:p>
    <w:p w14:paraId="6C6BBC95">
      <w:pPr>
        <w:pStyle w:val="43"/>
        <w:rPr>
          <w:color w:val="auto"/>
          <w:sz w:val="20"/>
          <w:szCs w:val="20"/>
        </w:rPr>
      </w:pPr>
    </w:p>
    <w:p w14:paraId="415F7661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Nákup pozemkov – z rozpočtovaných po úprave 5 040,00 eur  bolo čerpanie 6 200,00 eur, to je 123,02% čerpanie</w:t>
      </w:r>
    </w:p>
    <w:p w14:paraId="227DD544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toho:</w:t>
      </w:r>
    </w:p>
    <w:p w14:paraId="21635A21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-nákup pozemkov 6 200,00 eur</w:t>
      </w:r>
    </w:p>
    <w:p w14:paraId="782595B8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470C6B4D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Nehmotné aktíva – z rozpočtovaných 3 500,00 eur  bolo čerpanie 0,00 eur.</w:t>
      </w:r>
    </w:p>
    <w:p w14:paraId="30713B95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-územný plán 0,00 eur</w:t>
      </w:r>
    </w:p>
    <w:p w14:paraId="7B57B799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6E45B27E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Realizácia nových stavieb – z rozpočtovaných 3 368 855,19 eur bolo skutočné čerpanie 0,00 eur</w:t>
      </w:r>
    </w:p>
    <w:p w14:paraId="7A83C760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700D24E6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Modernizácia a rekonštrukcia stavieb- z rozpočtovaných po úprave  0,00 eur bolo čerpanie 8 427,00 eur.</w:t>
      </w:r>
    </w:p>
    <w:p w14:paraId="3807D92A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- Stavebné úpravy podkrovia Kultúrny dom   8 427,08 eur.</w:t>
      </w:r>
    </w:p>
    <w:p w14:paraId="4092563C">
      <w:pPr>
        <w:outlineLvl w:val="0"/>
        <w:rPr>
          <w:rFonts w:ascii="Arial Narrow" w:hAnsi="Arial Narrow" w:cs="Arial"/>
          <w:sz w:val="20"/>
          <w:szCs w:val="20"/>
        </w:rPr>
      </w:pPr>
    </w:p>
    <w:p w14:paraId="50183D22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089ACDB4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Prevádzkové pracovné stroje – z rozpočtovaných po úprave 0,00eur bolo čerpanie 79 872,00 eur.</w:t>
      </w:r>
    </w:p>
    <w:p w14:paraId="3D9A6422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Z toho: </w:t>
      </w:r>
    </w:p>
    <w:p w14:paraId="717D0735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- traktor 79 872,00 eur</w:t>
      </w:r>
    </w:p>
    <w:p w14:paraId="4E96627C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2A1F95D9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Prevádzkové pracovné stroje – z rozpočtovaných po úprave 31 060,00eur bolo čerpanie 27 669,99 eur, to je 89,09  % čerpanie </w:t>
      </w:r>
    </w:p>
    <w:p w14:paraId="3BE358C5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toho:</w:t>
      </w:r>
    </w:p>
    <w:p w14:paraId="276CC3E2">
      <w:pPr>
        <w:ind w:left="709"/>
        <w:outlineLvl w:val="0"/>
        <w:rPr>
          <w:rFonts w:ascii="Arial Narrow" w:hAnsi="Arial Narrow" w:cs="Arial"/>
          <w:color w:val="0000FF"/>
          <w:sz w:val="20"/>
          <w:szCs w:val="20"/>
        </w:rPr>
      </w:pPr>
      <w:r>
        <w:rPr>
          <w:rFonts w:ascii="Arial Narrow" w:hAnsi="Arial Narrow" w:cs="Arial"/>
          <w:color w:val="0000FF"/>
          <w:sz w:val="20"/>
          <w:szCs w:val="20"/>
        </w:rPr>
        <w:t>-</w:t>
      </w:r>
      <w:r>
        <w:rPr>
          <w:rFonts w:ascii="Arial Narrow" w:hAnsi="Arial Narrow" w:cs="Arial"/>
          <w:sz w:val="20"/>
          <w:szCs w:val="20"/>
        </w:rPr>
        <w:t>doplnky traktor 27 669,99 eur</w:t>
      </w:r>
    </w:p>
    <w:p w14:paraId="5E7D8AC3">
      <w:pPr>
        <w:rPr>
          <w:rFonts w:ascii="Arial Narrow" w:hAnsi="Arial Narrow" w:cs="Arial"/>
          <w:b/>
          <w:caps/>
          <w:color w:val="FF0000"/>
          <w:sz w:val="20"/>
          <w:szCs w:val="20"/>
        </w:rPr>
      </w:pPr>
    </w:p>
    <w:p w14:paraId="425CDC2F">
      <w:pPr>
        <w:rPr>
          <w:rFonts w:ascii="Arial Narrow" w:hAnsi="Arial Narrow" w:cs="Arial"/>
          <w:color w:val="FF0000"/>
        </w:rPr>
      </w:pPr>
      <w:r>
        <w:rPr>
          <w:rFonts w:ascii="Arial Narrow" w:hAnsi="Arial Narrow" w:cs="Arial"/>
          <w:b/>
          <w:caps/>
          <w:color w:val="FF0000"/>
          <w:sz w:val="20"/>
          <w:szCs w:val="20"/>
        </w:rPr>
        <w:t xml:space="preserve">    </w:t>
      </w:r>
      <w:bookmarkStart w:id="24" w:name="_Toc74047052"/>
    </w:p>
    <w:p w14:paraId="4DE369E5">
      <w:pPr>
        <w:jc w:val="both"/>
        <w:rPr>
          <w:rFonts w:ascii="Arial Narrow" w:hAnsi="Arial Narrow" w:cs="Arial"/>
          <w:b/>
          <w:bCs/>
          <w:i/>
          <w:iCs/>
          <w:color w:val="FF0000"/>
        </w:rPr>
      </w:pPr>
      <w:r>
        <w:rPr>
          <w:rFonts w:ascii="Arial Narrow" w:hAnsi="Arial Narrow" w:cs="Arial"/>
          <w:b/>
          <w:bCs/>
          <w:i/>
          <w:iCs/>
          <w:color w:val="FF0000"/>
        </w:rPr>
        <w:t>FINANČNÉ VÝDAVKY</w:t>
      </w:r>
    </w:p>
    <w:p w14:paraId="4C5C3C4E">
      <w:pPr>
        <w:outlineLvl w:val="0"/>
        <w:rPr>
          <w:rFonts w:ascii="Arial Narrow" w:hAnsi="Arial Narrow" w:cs="Arial"/>
          <w:b/>
          <w:color w:val="FF0000"/>
          <w:sz w:val="20"/>
          <w:szCs w:val="20"/>
        </w:rPr>
      </w:pPr>
      <w:r>
        <w:rPr>
          <w:rFonts w:ascii="Arial Narrow" w:hAnsi="Arial Narrow" w:cs="Arial"/>
          <w:b/>
          <w:caps/>
          <w:color w:val="FF0000"/>
          <w:sz w:val="18"/>
          <w:szCs w:val="18"/>
        </w:rPr>
        <w:t xml:space="preserve">  </w:t>
      </w:r>
      <w:r>
        <w:rPr>
          <w:rFonts w:ascii="Arial Narrow" w:hAnsi="Arial Narrow" w:cs="Arial"/>
          <w:b/>
          <w:sz w:val="20"/>
          <w:szCs w:val="20"/>
        </w:rPr>
        <w:t>Súčasťou rozpočtu obce sú aj výdavkové operácie ktoré zahrňujú v sume 0,00 eur.:</w:t>
      </w:r>
    </w:p>
    <w:p w14:paraId="56C3133B">
      <w:pPr>
        <w:jc w:val="both"/>
        <w:rPr>
          <w:rFonts w:ascii="Arial Narrow" w:hAnsi="Arial Narrow" w:cs="Arial"/>
          <w:color w:val="FF0000"/>
          <w:sz w:val="18"/>
          <w:szCs w:val="18"/>
        </w:rPr>
      </w:pPr>
      <w:r>
        <w:rPr>
          <w:rFonts w:ascii="Arial Narrow" w:hAnsi="Arial Narrow" w:cs="Arial"/>
          <w:color w:val="FF0000"/>
          <w:sz w:val="20"/>
          <w:szCs w:val="20"/>
        </w:rPr>
        <w:t xml:space="preserve">          </w:t>
      </w:r>
      <w:r>
        <w:rPr>
          <w:rFonts w:ascii="Arial Narrow" w:hAnsi="Arial Narrow" w:cs="Arial"/>
          <w:b/>
          <w:bCs/>
          <w:i/>
          <w:iCs/>
          <w:color w:val="FF0000"/>
          <w:sz w:val="24"/>
          <w:szCs w:val="24"/>
        </w:rPr>
        <w:t xml:space="preserve"> </w:t>
      </w:r>
    </w:p>
    <w:p w14:paraId="4B159C4B">
      <w:pPr>
        <w:jc w:val="both"/>
        <w:rPr>
          <w:rFonts w:ascii="Arial Narrow" w:hAnsi="Arial Narrow" w:cs="Arial"/>
          <w:b/>
          <w:i/>
          <w:iCs/>
          <w:caps/>
          <w:color w:val="FF0000"/>
        </w:rPr>
      </w:pPr>
      <w:r>
        <w:rPr>
          <w:rFonts w:ascii="Arial Narrow" w:hAnsi="Arial Narrow" w:cs="Arial"/>
          <w:b/>
          <w:i/>
          <w:iCs/>
          <w:caps/>
          <w:color w:val="FF0000"/>
        </w:rPr>
        <w:t>7.3. Prebytok/ schodok rozpočtového hospodárenia za rok 202</w:t>
      </w:r>
      <w:bookmarkEnd w:id="24"/>
      <w:r>
        <w:rPr>
          <w:rFonts w:ascii="Arial Narrow" w:hAnsi="Arial Narrow" w:cs="Arial"/>
          <w:b/>
          <w:i/>
          <w:iCs/>
          <w:caps/>
          <w:color w:val="FF0000"/>
        </w:rPr>
        <w:t>4</w:t>
      </w:r>
    </w:p>
    <w:p w14:paraId="31B02D46">
      <w:pPr>
        <w:ind w:left="709"/>
        <w:rPr>
          <w:rFonts w:ascii="Arial Narrow" w:hAnsi="Arial Narrow" w:cs="Arial"/>
          <w:b/>
          <w:i/>
          <w:iCs/>
          <w:caps/>
          <w:color w:val="C00000"/>
        </w:rPr>
      </w:pPr>
    </w:p>
    <w:p w14:paraId="6CC7189F">
      <w:pPr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Style w:val="7"/>
        <w:tblW w:w="8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6"/>
        <w:gridCol w:w="4784"/>
      </w:tblGrid>
      <w:tr w14:paraId="37E7F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476" w:type="dxa"/>
            <w:shd w:val="clear" w:color="auto" w:fill="D9D9D9"/>
            <w:vAlign w:val="center"/>
          </w:tcPr>
          <w:p w14:paraId="485CCDA5">
            <w:pPr>
              <w:jc w:val="center"/>
              <w:rPr>
                <w:rFonts w:ascii="Arial Narrow" w:hAnsi="Arial Narrow" w:cs="Arial"/>
                <w:b/>
                <w:i/>
                <w:iCs/>
              </w:rPr>
            </w:pPr>
            <w:bookmarkStart w:id="25" w:name="_Hlk133227150"/>
            <w:r>
              <w:rPr>
                <w:rFonts w:ascii="Arial Narrow" w:hAnsi="Arial Narrow" w:cs="Arial"/>
                <w:b/>
                <w:i/>
                <w:iCs/>
              </w:rPr>
              <w:t>HOSPODÁRENIE OBCE</w:t>
            </w:r>
          </w:p>
        </w:tc>
        <w:tc>
          <w:tcPr>
            <w:tcW w:w="4784" w:type="dxa"/>
            <w:shd w:val="clear" w:color="auto" w:fill="D9D9D9"/>
            <w:vAlign w:val="center"/>
          </w:tcPr>
          <w:p w14:paraId="1E129936">
            <w:pPr>
              <w:jc w:val="right"/>
              <w:rPr>
                <w:rFonts w:ascii="Arial Narrow" w:hAnsi="Arial Narrow" w:cs="Arial"/>
                <w:b/>
                <w:i/>
                <w:iCs/>
              </w:rPr>
            </w:pPr>
            <w:r>
              <w:rPr>
                <w:rFonts w:ascii="Arial Narrow" w:hAnsi="Arial Narrow" w:cs="Arial"/>
                <w:b/>
                <w:i/>
                <w:iCs/>
              </w:rPr>
              <w:t>Skutočnosť k 31.12.2024</w:t>
            </w:r>
          </w:p>
        </w:tc>
      </w:tr>
      <w:tr w14:paraId="156C1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vAlign w:val="center"/>
          </w:tcPr>
          <w:p w14:paraId="2AC6022C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Bežné príjmy spolu</w:t>
            </w:r>
          </w:p>
        </w:tc>
        <w:tc>
          <w:tcPr>
            <w:tcW w:w="4784" w:type="dxa"/>
            <w:vAlign w:val="center"/>
          </w:tcPr>
          <w:p w14:paraId="35523346">
            <w:pPr>
              <w:wordWrap w:val="0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202 669,77</w:t>
            </w:r>
          </w:p>
        </w:tc>
      </w:tr>
      <w:tr w14:paraId="0CE4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vAlign w:val="center"/>
          </w:tcPr>
          <w:p w14:paraId="393E8CA7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Bežné výdavky spolu</w:t>
            </w:r>
          </w:p>
        </w:tc>
        <w:tc>
          <w:tcPr>
            <w:tcW w:w="4784" w:type="dxa"/>
            <w:vAlign w:val="center"/>
          </w:tcPr>
          <w:p w14:paraId="2F214105">
            <w:pPr>
              <w:wordWrap w:val="0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169 227,41</w:t>
            </w:r>
          </w:p>
        </w:tc>
      </w:tr>
      <w:tr w14:paraId="06FC9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3476" w:type="dxa"/>
            <w:shd w:val="clear" w:color="auto" w:fill="D9E2F3"/>
            <w:vAlign w:val="center"/>
          </w:tcPr>
          <w:p w14:paraId="71C7AE1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Bežný rozpočet</w:t>
            </w:r>
          </w:p>
        </w:tc>
        <w:tc>
          <w:tcPr>
            <w:tcW w:w="4784" w:type="dxa"/>
            <w:shd w:val="clear" w:color="auto" w:fill="D9E2F3"/>
            <w:vAlign w:val="center"/>
          </w:tcPr>
          <w:p w14:paraId="33BE9369">
            <w:pPr>
              <w:wordWrap w:val="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                                                   33 442,36</w:t>
            </w:r>
          </w:p>
        </w:tc>
      </w:tr>
      <w:tr w14:paraId="57458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vAlign w:val="center"/>
          </w:tcPr>
          <w:p w14:paraId="37AFEEB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Kapitálové príjmy spolu</w:t>
            </w:r>
          </w:p>
        </w:tc>
        <w:tc>
          <w:tcPr>
            <w:tcW w:w="4784" w:type="dxa"/>
            <w:vAlign w:val="center"/>
          </w:tcPr>
          <w:p w14:paraId="436F13E5">
            <w:pPr>
              <w:wordWrap w:val="0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4 463,85</w:t>
            </w:r>
          </w:p>
        </w:tc>
      </w:tr>
      <w:tr w14:paraId="07B2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vAlign w:val="center"/>
          </w:tcPr>
          <w:p w14:paraId="687C1C8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Kapitálové výdavky spolu</w:t>
            </w:r>
          </w:p>
        </w:tc>
        <w:tc>
          <w:tcPr>
            <w:tcW w:w="4784" w:type="dxa"/>
            <w:vAlign w:val="center"/>
          </w:tcPr>
          <w:p w14:paraId="44439AEE">
            <w:pPr>
              <w:wordWrap w:val="0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122 169,07</w:t>
            </w:r>
          </w:p>
        </w:tc>
      </w:tr>
      <w:tr w14:paraId="55352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  <w:jc w:val="center"/>
        </w:trPr>
        <w:tc>
          <w:tcPr>
            <w:tcW w:w="3476" w:type="dxa"/>
            <w:shd w:val="clear" w:color="auto" w:fill="D9E2F3"/>
            <w:vAlign w:val="center"/>
          </w:tcPr>
          <w:p w14:paraId="6B3DF91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Kapitálový rozpočet</w:t>
            </w:r>
          </w:p>
        </w:tc>
        <w:tc>
          <w:tcPr>
            <w:tcW w:w="4784" w:type="dxa"/>
            <w:shd w:val="clear" w:color="auto" w:fill="D9E2F3"/>
            <w:vAlign w:val="center"/>
          </w:tcPr>
          <w:p w14:paraId="64C1A716">
            <w:pPr>
              <w:wordWrap w:val="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-107 705,22</w:t>
            </w:r>
          </w:p>
        </w:tc>
      </w:tr>
      <w:tr w14:paraId="07F0E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476" w:type="dxa"/>
            <w:shd w:val="clear" w:color="auto" w:fill="D9E2F3"/>
            <w:vAlign w:val="center"/>
          </w:tcPr>
          <w:p w14:paraId="2EA6E66B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Prebytok/schodok bežného a kapitálového rozpočtu</w:t>
            </w:r>
          </w:p>
        </w:tc>
        <w:tc>
          <w:tcPr>
            <w:tcW w:w="4784" w:type="dxa"/>
            <w:shd w:val="clear" w:color="auto" w:fill="D9E2F3"/>
            <w:vAlign w:val="center"/>
          </w:tcPr>
          <w:p w14:paraId="2D0E9DCE">
            <w:pPr>
              <w:wordWrap w:val="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-84 262,86</w:t>
            </w:r>
          </w:p>
        </w:tc>
      </w:tr>
      <w:tr w14:paraId="72B36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vAlign w:val="center"/>
          </w:tcPr>
          <w:p w14:paraId="47E3AE1B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Úprava schodku</w:t>
            </w:r>
          </w:p>
        </w:tc>
        <w:tc>
          <w:tcPr>
            <w:tcW w:w="4784" w:type="dxa"/>
            <w:vAlign w:val="center"/>
          </w:tcPr>
          <w:p w14:paraId="74AB5331">
            <w:pPr>
              <w:wordWrap w:val="0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0,00</w:t>
            </w:r>
          </w:p>
        </w:tc>
      </w:tr>
      <w:tr w14:paraId="5E76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476" w:type="dxa"/>
            <w:shd w:val="clear" w:color="auto" w:fill="D9E2F3"/>
            <w:vAlign w:val="center"/>
          </w:tcPr>
          <w:p w14:paraId="5118DBE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Upravený prebytok/schodok bežného a kapitálového rozpočtu</w:t>
            </w:r>
          </w:p>
        </w:tc>
        <w:tc>
          <w:tcPr>
            <w:tcW w:w="4784" w:type="dxa"/>
            <w:shd w:val="clear" w:color="auto" w:fill="D9E2F3"/>
            <w:vAlign w:val="center"/>
          </w:tcPr>
          <w:p w14:paraId="7C7E7666">
            <w:pPr>
              <w:wordWrap w:val="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-84 262,86</w:t>
            </w:r>
          </w:p>
          <w:p w14:paraId="51108768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14:paraId="6E66B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  <w:jc w:val="center"/>
        </w:trPr>
        <w:tc>
          <w:tcPr>
            <w:tcW w:w="3476" w:type="dxa"/>
            <w:vAlign w:val="center"/>
          </w:tcPr>
          <w:p w14:paraId="3173FC61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Príjmové finančné operácie</w:t>
            </w:r>
          </w:p>
        </w:tc>
        <w:tc>
          <w:tcPr>
            <w:tcW w:w="4784" w:type="dxa"/>
            <w:vAlign w:val="center"/>
          </w:tcPr>
          <w:p w14:paraId="5448308E">
            <w:pPr>
              <w:wordWrap w:val="0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116 112,00</w:t>
            </w:r>
          </w:p>
        </w:tc>
      </w:tr>
      <w:tr w14:paraId="2C1D8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vAlign w:val="center"/>
          </w:tcPr>
          <w:p w14:paraId="4F2A712F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Výdavkové finančné operácie</w:t>
            </w:r>
          </w:p>
        </w:tc>
        <w:tc>
          <w:tcPr>
            <w:tcW w:w="4784" w:type="dxa"/>
            <w:vAlign w:val="center"/>
          </w:tcPr>
          <w:p w14:paraId="44CE728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0,00</w:t>
            </w:r>
          </w:p>
        </w:tc>
      </w:tr>
      <w:tr w14:paraId="767D6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shd w:val="clear" w:color="auto" w:fill="D9E2F3"/>
            <w:vAlign w:val="center"/>
          </w:tcPr>
          <w:p w14:paraId="63F3739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Rozdiel finančných operácií</w:t>
            </w:r>
          </w:p>
        </w:tc>
        <w:tc>
          <w:tcPr>
            <w:tcW w:w="4784" w:type="dxa"/>
            <w:shd w:val="clear" w:color="auto" w:fill="D9E2F3"/>
            <w:vAlign w:val="center"/>
          </w:tcPr>
          <w:p w14:paraId="1307AC6C">
            <w:pPr>
              <w:wordWrap w:val="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116 112,00</w:t>
            </w:r>
          </w:p>
        </w:tc>
      </w:tr>
      <w:tr w14:paraId="798D9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vAlign w:val="center"/>
          </w:tcPr>
          <w:p w14:paraId="5255BA43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CELKOVÉ PRÍJMY SPOLU</w:t>
            </w:r>
          </w:p>
        </w:tc>
        <w:tc>
          <w:tcPr>
            <w:tcW w:w="4784" w:type="dxa"/>
            <w:vAlign w:val="center"/>
          </w:tcPr>
          <w:p w14:paraId="22390AE0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                                                                        323 245,62</w:t>
            </w:r>
          </w:p>
        </w:tc>
      </w:tr>
      <w:tr w14:paraId="650AD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vAlign w:val="center"/>
          </w:tcPr>
          <w:p w14:paraId="71F8C34B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CELKOVÉ VÝDAVKY SPOLU</w:t>
            </w:r>
          </w:p>
        </w:tc>
        <w:tc>
          <w:tcPr>
            <w:tcW w:w="4784" w:type="dxa"/>
            <w:vAlign w:val="center"/>
          </w:tcPr>
          <w:p w14:paraId="3A971D34">
            <w:pPr>
              <w:wordWrap w:val="0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291 396,48</w:t>
            </w:r>
          </w:p>
        </w:tc>
      </w:tr>
      <w:tr w14:paraId="555F4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476" w:type="dxa"/>
            <w:shd w:val="clear" w:color="auto" w:fill="D9E2F3"/>
            <w:vAlign w:val="center"/>
          </w:tcPr>
          <w:p w14:paraId="285237B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Účtovný prebytok/schodok</w:t>
            </w:r>
          </w:p>
        </w:tc>
        <w:tc>
          <w:tcPr>
            <w:tcW w:w="4784" w:type="dxa"/>
            <w:shd w:val="clear" w:color="auto" w:fill="D9E2F3"/>
            <w:vAlign w:val="center"/>
          </w:tcPr>
          <w:p w14:paraId="08C305CD">
            <w:pPr>
              <w:wordWrap w:val="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31 849,14</w:t>
            </w:r>
          </w:p>
        </w:tc>
      </w:tr>
      <w:tr w14:paraId="25AF3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69C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Vylúčenie z prebytku/ Úprava prebytku</w:t>
            </w: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39290">
            <w:pPr>
              <w:wordWrap w:val="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0,00</w:t>
            </w:r>
          </w:p>
        </w:tc>
      </w:tr>
      <w:tr w14:paraId="4EF5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vAlign w:val="center"/>
          </w:tcPr>
          <w:p w14:paraId="2CA568E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UPRAVENÉ HOSPODÁRENIE OBCE</w:t>
            </w: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vAlign w:val="center"/>
          </w:tcPr>
          <w:p w14:paraId="661C4225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                                      31 849,14                                    </w:t>
            </w:r>
          </w:p>
        </w:tc>
      </w:tr>
    </w:tbl>
    <w:p w14:paraId="01859E87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                                                    </w:t>
      </w:r>
    </w:p>
    <w:p w14:paraId="577D903F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</w:p>
    <w:p w14:paraId="3BBE0FF8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</w:t>
      </w:r>
    </w:p>
    <w:p w14:paraId="6E234778">
      <w:pPr>
        <w:pStyle w:val="14"/>
        <w:ind w:right="500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Bilancia bežných príjmov a bežných výdavkov je dosiahnutý prebytok</w:t>
      </w:r>
      <w:r>
        <w:rPr>
          <w:rFonts w:ascii="Arial Narrow" w:hAnsi="Arial Narrow"/>
          <w:b/>
          <w:bCs/>
          <w:sz w:val="20"/>
          <w:szCs w:val="20"/>
        </w:rPr>
        <w:t xml:space="preserve"> bežného rozpočtu</w:t>
      </w:r>
      <w:r>
        <w:rPr>
          <w:rFonts w:ascii="Arial Narrow" w:hAnsi="Arial Narrow"/>
          <w:sz w:val="20"/>
          <w:szCs w:val="20"/>
        </w:rPr>
        <w:t xml:space="preserve"> vo výške 33 442,36</w:t>
      </w:r>
      <w:r>
        <w:rPr>
          <w:rFonts w:ascii="Arial Narrow" w:hAnsi="Arial Narrow"/>
          <w:b/>
          <w:bCs/>
          <w:sz w:val="20"/>
          <w:szCs w:val="20"/>
        </w:rPr>
        <w:t xml:space="preserve"> €.</w:t>
      </w:r>
    </w:p>
    <w:p w14:paraId="78F9EF70">
      <w:pPr>
        <w:pStyle w:val="14"/>
        <w:ind w:right="50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Bilancia kapitálových príjmov a kapitálových výdavkov </w:t>
      </w:r>
      <w:r>
        <w:rPr>
          <w:rFonts w:ascii="Arial Narrow" w:hAnsi="Arial Narrow"/>
          <w:b/>
          <w:bCs/>
          <w:sz w:val="20"/>
          <w:szCs w:val="20"/>
        </w:rPr>
        <w:t xml:space="preserve">je schodok kapitálového rozpočtu </w:t>
      </w:r>
      <w:r>
        <w:rPr>
          <w:rFonts w:ascii="Arial Narrow" w:hAnsi="Arial Narrow"/>
          <w:sz w:val="20"/>
          <w:szCs w:val="20"/>
        </w:rPr>
        <w:t>vo výške 117 705,22</w:t>
      </w:r>
      <w:r>
        <w:rPr>
          <w:rFonts w:ascii="Arial Narrow" w:hAnsi="Arial Narrow"/>
          <w:b/>
          <w:bCs/>
          <w:sz w:val="20"/>
          <w:szCs w:val="20"/>
        </w:rPr>
        <w:t xml:space="preserve"> €.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48C389E1">
      <w:pPr>
        <w:shd w:val="clear" w:color="auto" w:fill="FFFFFF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Bilancia finančných príjmov a finančných výdavkov je prebytok vo výške  116 112,00 eur.</w:t>
      </w:r>
    </w:p>
    <w:p w14:paraId="6B81713D">
      <w:pPr>
        <w:rPr>
          <w:rFonts w:ascii="Arial Narrow" w:hAnsi="Arial Narrow" w:cs="Arial"/>
          <w:caps/>
          <w:color w:val="C00000"/>
          <w:sz w:val="20"/>
          <w:szCs w:val="20"/>
        </w:rPr>
      </w:pPr>
    </w:p>
    <w:p w14:paraId="4FE759DA">
      <w:pPr>
        <w:pStyle w:val="14"/>
        <w:ind w:right="50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Podľa § 10 ods.6 zákona č. 583/2004 Z.z. o rozpočtových pravidlách územnej samosprávy a o zmene a doplnení niektorých zákonov v znení neskorších predpisov súčasťou rozpočtu sú finančné operácie, ktorými sa vykonávajú prevody prostriedkov peňažných fondov a realizujú sa návratné zdroje financovania a ich splácanie.</w:t>
      </w:r>
    </w:p>
    <w:p w14:paraId="574DFA14">
      <w:pPr>
        <w:pStyle w:val="14"/>
        <w:ind w:right="500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 zmysle ustanovenia § 16 ods. 6 a 7 zákona č. 583/2004 Z.z. o rozpočtových pravidlách územnej samosprávy a o zmene a doplnení niektorých zákonov v znení neskorších predpisov, ak možno použiť v rozpočtovom roku v súlade s osobitným predpisom nevyčerpané účelovo určené prostriedky poskytnuté prostriedky v predchádzajúcom rozpočtovom roku zo štátneho rozpočtu, z rozpočtu EÚ, alebo na základe osobitného predpisu, </w:t>
      </w:r>
      <w:r>
        <w:rPr>
          <w:rFonts w:ascii="Arial Narrow" w:hAnsi="Arial Narrow"/>
          <w:b/>
          <w:bCs/>
          <w:sz w:val="20"/>
          <w:szCs w:val="20"/>
        </w:rPr>
        <w:t>tieto nevyčerpané prostriedky sa na účely tvorby peňažných fondov a pri usporiadaní prebytku/schodku rozpočtu z tohto prebytku/schodku vylučujú.</w:t>
      </w:r>
    </w:p>
    <w:p w14:paraId="0C793274">
      <w:pPr>
        <w:pStyle w:val="14"/>
        <w:ind w:right="50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color w:val="000000"/>
          <w:sz w:val="20"/>
          <w:szCs w:val="20"/>
        </w:rPr>
        <w:t>V roku 2024 – sa prostriedky nevylučujú</w:t>
      </w:r>
      <w:bookmarkEnd w:id="25"/>
    </w:p>
    <w:p w14:paraId="6A40B058">
      <w:pPr>
        <w:pStyle w:val="14"/>
        <w:ind w:right="50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3C3644BB">
      <w:pPr>
        <w:pStyle w:val="2"/>
        <w:rPr>
          <w:rFonts w:ascii="Arial Narrow" w:hAnsi="Arial Narrow" w:cs="Arial"/>
          <w:b w:val="0"/>
          <w:bCs w:val="0"/>
          <w:color w:val="FF0000"/>
          <w:sz w:val="26"/>
          <w:szCs w:val="26"/>
        </w:rPr>
      </w:pPr>
      <w:bookmarkStart w:id="26" w:name="_Toc74047053"/>
      <w:r>
        <w:rPr>
          <w:rFonts w:ascii="Arial Narrow" w:hAnsi="Arial Narrow" w:cs="Arial"/>
          <w:color w:val="FF0000"/>
          <w:sz w:val="26"/>
          <w:szCs w:val="26"/>
        </w:rPr>
        <w:t>8. Vývoj hodnoty majetku a zdrojov jeho krytia za uplynulé roky vyjadrujú nasledovné tabuľky:</w:t>
      </w:r>
      <w:bookmarkEnd w:id="26"/>
    </w:p>
    <w:p w14:paraId="614F371A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F4FD79D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Vývoj hodnoty majetku a zdrojov jeho krytia za uplynulé roky vyjadrujú nasledovné tabuľky:</w:t>
      </w:r>
    </w:p>
    <w:p w14:paraId="72AAA8DB">
      <w:pPr>
        <w:jc w:val="both"/>
        <w:rPr>
          <w:rFonts w:ascii="Arial Narrow" w:hAnsi="Arial Narrow" w:cs="Arial"/>
          <w:b/>
          <w:bCs/>
          <w:color w:val="0000FF"/>
          <w:sz w:val="20"/>
          <w:szCs w:val="20"/>
        </w:rPr>
      </w:pPr>
    </w:p>
    <w:p w14:paraId="40492B59">
      <w:pPr>
        <w:spacing w:before="120"/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A K T Í V A    </w:t>
      </w:r>
    </w:p>
    <w:tbl>
      <w:tblPr>
        <w:tblStyle w:val="7"/>
        <w:tblW w:w="8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6"/>
        <w:gridCol w:w="2126"/>
        <w:gridCol w:w="2126"/>
      </w:tblGrid>
      <w:tr w14:paraId="1F982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shd w:val="clear" w:color="auto" w:fill="D9D9D9"/>
            <w:vAlign w:val="center"/>
          </w:tcPr>
          <w:p w14:paraId="7007B0D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D9D9D9"/>
          </w:tcPr>
          <w:p w14:paraId="2833131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K31.12.2023</w:t>
            </w:r>
          </w:p>
        </w:tc>
        <w:tc>
          <w:tcPr>
            <w:tcW w:w="2126" w:type="dxa"/>
            <w:shd w:val="clear" w:color="auto" w:fill="D9D9D9"/>
          </w:tcPr>
          <w:p w14:paraId="53A8D0D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 31.12.2024</w:t>
            </w:r>
          </w:p>
        </w:tc>
      </w:tr>
      <w:tr w14:paraId="0E980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shd w:val="clear" w:color="auto" w:fill="D9D9D9"/>
            <w:vAlign w:val="center"/>
          </w:tcPr>
          <w:p w14:paraId="001DB96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SPOLU MAJETOK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/>
          </w:tcPr>
          <w:p w14:paraId="2120E625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1 093 231,93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/>
          </w:tcPr>
          <w:p w14:paraId="768128F1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1 078 562,53</w:t>
            </w:r>
          </w:p>
        </w:tc>
      </w:tr>
      <w:tr w14:paraId="4A991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74A0CAA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A. Neobežný majetok spolu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38DD9E4D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925 527,54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04C91FF1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993 844,09</w:t>
            </w:r>
          </w:p>
        </w:tc>
      </w:tr>
      <w:tr w14:paraId="0FF6C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274023CF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A.I  Dlhodobý nehmotný. majetok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569EFBD1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9 464,33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369D1A6E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9 172,66</w:t>
            </w:r>
          </w:p>
        </w:tc>
      </w:tr>
      <w:tr w14:paraId="0CA2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4C946F33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A.II Dlhodobý hmotný majetok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294253E5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843 331,21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629DBCB6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911 939,43</w:t>
            </w:r>
          </w:p>
        </w:tc>
      </w:tr>
      <w:tr w14:paraId="7179D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3EBB1BA1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A.III Dlhodobý finančný majetok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0CB7DA33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72 732,00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6D68B717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72 732,00</w:t>
            </w:r>
          </w:p>
        </w:tc>
      </w:tr>
      <w:tr w14:paraId="326F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1A0DEAC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B. Obežný majetok spolu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48A6DE05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166 600,48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093942EE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83 986,82</w:t>
            </w:r>
          </w:p>
        </w:tc>
      </w:tr>
      <w:tr w14:paraId="6774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224BEE47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  Zásoby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61D5245B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826,51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768A2BD6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1 024,07</w:t>
            </w:r>
          </w:p>
        </w:tc>
      </w:tr>
      <w:tr w14:paraId="4411A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5538200F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B.II zúčtovanie medzi subjektami ver. správy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2AAB0732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1662E7AA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4C8BB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538CB1B0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B.III Dlhodobé pohľadávky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30CFB420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1E1EE774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03D58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4F431E8D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B.IV Krátkodobé pohľadávky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66E40A17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5 348,04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20428612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4 503,15</w:t>
            </w:r>
          </w:p>
        </w:tc>
      </w:tr>
      <w:tr w14:paraId="7723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490DE7B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B.V Finančné účty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1B501DF7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160 425,93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5F3AA50A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78 459,60</w:t>
            </w:r>
          </w:p>
        </w:tc>
      </w:tr>
      <w:tr w14:paraId="34F6F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04910DC7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B.VI Poskytnuté návratné fin. výpomoci dlhodobé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681C6CD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0BC10190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6CFBB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0865794B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 B.VII Poskytnuté návratné fin. výpomoci krátkodobé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4E3211B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5D3A7036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0C535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676C7380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C. Časové rozlíšenie</w:t>
            </w:r>
          </w:p>
        </w:tc>
        <w:tc>
          <w:tcPr>
            <w:tcW w:w="2126" w:type="dxa"/>
          </w:tcPr>
          <w:p w14:paraId="64A5C731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1 103,91</w:t>
            </w:r>
          </w:p>
        </w:tc>
        <w:tc>
          <w:tcPr>
            <w:tcW w:w="2126" w:type="dxa"/>
          </w:tcPr>
          <w:p w14:paraId="1B254670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731,62</w:t>
            </w:r>
          </w:p>
        </w:tc>
      </w:tr>
      <w:tr w14:paraId="3861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vAlign w:val="center"/>
          </w:tcPr>
          <w:p w14:paraId="538C1FD8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D. Vzťahy k účtom klientov štátnej pokladnice</w:t>
            </w:r>
          </w:p>
        </w:tc>
        <w:tc>
          <w:tcPr>
            <w:tcW w:w="2126" w:type="dxa"/>
          </w:tcPr>
          <w:p w14:paraId="03BC8F11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A2F568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</w:p>
        </w:tc>
      </w:tr>
    </w:tbl>
    <w:p w14:paraId="25C6A027">
      <w:pPr>
        <w:spacing w:before="200"/>
        <w:jc w:val="both"/>
        <w:rPr>
          <w:rFonts w:ascii="Arial Narrow" w:hAnsi="Arial Narrow" w:cs="Arial"/>
          <w:b/>
          <w:sz w:val="20"/>
          <w:szCs w:val="20"/>
        </w:rPr>
      </w:pPr>
    </w:p>
    <w:p w14:paraId="71A7CD49">
      <w:pPr>
        <w:spacing w:before="200"/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P A S Í V A  </w:t>
      </w:r>
    </w:p>
    <w:p w14:paraId="0417A557">
      <w:pPr>
        <w:spacing w:before="200"/>
        <w:ind w:left="709"/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Style w:val="7"/>
        <w:tblW w:w="94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6"/>
        <w:gridCol w:w="2410"/>
        <w:gridCol w:w="2410"/>
      </w:tblGrid>
      <w:tr w14:paraId="403E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shd w:val="clear" w:color="auto" w:fill="D9D9D9"/>
            <w:vAlign w:val="center"/>
          </w:tcPr>
          <w:p w14:paraId="13F8493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Názov</w:t>
            </w:r>
          </w:p>
        </w:tc>
        <w:tc>
          <w:tcPr>
            <w:tcW w:w="2410" w:type="dxa"/>
            <w:shd w:val="clear" w:color="auto" w:fill="D9D9D9"/>
          </w:tcPr>
          <w:p w14:paraId="6C5C193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K.31.12.2023</w:t>
            </w:r>
          </w:p>
        </w:tc>
        <w:tc>
          <w:tcPr>
            <w:tcW w:w="2410" w:type="dxa"/>
            <w:shd w:val="clear" w:color="auto" w:fill="D9D9D9"/>
          </w:tcPr>
          <w:p w14:paraId="22495DC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 31.12.2024</w:t>
            </w:r>
          </w:p>
        </w:tc>
      </w:tr>
      <w:tr w14:paraId="6A0E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shd w:val="clear" w:color="auto" w:fill="D9D9D9"/>
            <w:vAlign w:val="center"/>
          </w:tcPr>
          <w:p w14:paraId="60A6D34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VLASTNÉ IMANIE A ZÁVAZKY 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D9D9D9"/>
          </w:tcPr>
          <w:p w14:paraId="46C13637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1 093 231,93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D9D9D9"/>
          </w:tcPr>
          <w:p w14:paraId="4D469DFB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1 078 562,53</w:t>
            </w:r>
          </w:p>
        </w:tc>
      </w:tr>
      <w:tr w14:paraId="4183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4F07FB6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A. Vlastné imanie </w:t>
            </w:r>
          </w:p>
        </w:tc>
        <w:tc>
          <w:tcPr>
            <w:tcW w:w="2410" w:type="dxa"/>
          </w:tcPr>
          <w:p w14:paraId="622506B2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633 369,79</w:t>
            </w:r>
          </w:p>
        </w:tc>
        <w:tc>
          <w:tcPr>
            <w:tcW w:w="2410" w:type="dxa"/>
          </w:tcPr>
          <w:p w14:paraId="0EAC7083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639 952,80</w:t>
            </w:r>
          </w:p>
        </w:tc>
      </w:tr>
      <w:tr w14:paraId="3B9C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712CED27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A.I Oceňované rozdiely</w:t>
            </w:r>
          </w:p>
        </w:tc>
        <w:tc>
          <w:tcPr>
            <w:tcW w:w="2410" w:type="dxa"/>
          </w:tcPr>
          <w:p w14:paraId="726429A0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14:paraId="5879FF29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47CC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1755D6B1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A.II Fondy súčet</w:t>
            </w:r>
          </w:p>
        </w:tc>
        <w:tc>
          <w:tcPr>
            <w:tcW w:w="2410" w:type="dxa"/>
          </w:tcPr>
          <w:p w14:paraId="1B16467C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14:paraId="388D612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6E96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2CD19BCF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A.III Výsledok hospodárenia</w:t>
            </w:r>
          </w:p>
        </w:tc>
        <w:tc>
          <w:tcPr>
            <w:tcW w:w="2410" w:type="dxa"/>
          </w:tcPr>
          <w:p w14:paraId="7A38D96B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633 369,79</w:t>
            </w:r>
          </w:p>
        </w:tc>
        <w:tc>
          <w:tcPr>
            <w:tcW w:w="2410" w:type="dxa"/>
          </w:tcPr>
          <w:p w14:paraId="3EBE2BF1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639 952,80</w:t>
            </w:r>
          </w:p>
        </w:tc>
      </w:tr>
      <w:tr w14:paraId="1A8D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032738E0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A.III.1. Nevypriadaný výsledok hos. minulých rokov</w:t>
            </w:r>
          </w:p>
        </w:tc>
        <w:tc>
          <w:tcPr>
            <w:tcW w:w="2410" w:type="dxa"/>
          </w:tcPr>
          <w:p w14:paraId="6EAF04AB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678 311,14</w:t>
            </w:r>
          </w:p>
        </w:tc>
        <w:tc>
          <w:tcPr>
            <w:tcW w:w="2410" w:type="dxa"/>
          </w:tcPr>
          <w:p w14:paraId="068A2270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633 369,79</w:t>
            </w:r>
          </w:p>
        </w:tc>
      </w:tr>
      <w:tr w14:paraId="1E00E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3965F42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A.III.2 Výsledok hospodárenia  za účtovné obdobie</w:t>
            </w:r>
          </w:p>
        </w:tc>
        <w:tc>
          <w:tcPr>
            <w:tcW w:w="2410" w:type="dxa"/>
          </w:tcPr>
          <w:p w14:paraId="1A0FD8FA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-44 941,35</w:t>
            </w:r>
          </w:p>
        </w:tc>
        <w:tc>
          <w:tcPr>
            <w:tcW w:w="2410" w:type="dxa"/>
          </w:tcPr>
          <w:p w14:paraId="761387F3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6 583,01</w:t>
            </w:r>
          </w:p>
        </w:tc>
      </w:tr>
      <w:tr w14:paraId="296C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671F19C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B. Záväzky </w:t>
            </w:r>
          </w:p>
        </w:tc>
        <w:tc>
          <w:tcPr>
            <w:tcW w:w="2410" w:type="dxa"/>
          </w:tcPr>
          <w:p w14:paraId="191CE8F3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96 107,72</w:t>
            </w:r>
          </w:p>
        </w:tc>
        <w:tc>
          <w:tcPr>
            <w:tcW w:w="2410" w:type="dxa"/>
          </w:tcPr>
          <w:p w14:paraId="0AB6B934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17 702,25</w:t>
            </w:r>
          </w:p>
        </w:tc>
      </w:tr>
      <w:tr w14:paraId="2BAF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441C9ADD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 Rezervy súčet</w:t>
            </w:r>
          </w:p>
        </w:tc>
        <w:tc>
          <w:tcPr>
            <w:tcW w:w="2410" w:type="dxa"/>
          </w:tcPr>
          <w:p w14:paraId="12C2135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800,00</w:t>
            </w:r>
          </w:p>
        </w:tc>
        <w:tc>
          <w:tcPr>
            <w:tcW w:w="2410" w:type="dxa"/>
          </w:tcPr>
          <w:p w14:paraId="5921D3C6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940,00</w:t>
            </w:r>
          </w:p>
        </w:tc>
      </w:tr>
      <w:tr w14:paraId="7AFE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10A0553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B.II Zúčtovanie medzi subjektami verejnej správy</w:t>
            </w:r>
          </w:p>
        </w:tc>
        <w:tc>
          <w:tcPr>
            <w:tcW w:w="2410" w:type="dxa"/>
          </w:tcPr>
          <w:p w14:paraId="642201CC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80 231,07</w:t>
            </w:r>
          </w:p>
        </w:tc>
        <w:tc>
          <w:tcPr>
            <w:tcW w:w="2410" w:type="dxa"/>
          </w:tcPr>
          <w:p w14:paraId="3C50F0F1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239,07</w:t>
            </w:r>
          </w:p>
        </w:tc>
      </w:tr>
      <w:tr w14:paraId="7062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2DCD9DA5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B.III Dlhodobé záväzky </w:t>
            </w:r>
          </w:p>
        </w:tc>
        <w:tc>
          <w:tcPr>
            <w:tcW w:w="2410" w:type="dxa"/>
          </w:tcPr>
          <w:p w14:paraId="31E472BC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569,71</w:t>
            </w:r>
          </w:p>
        </w:tc>
        <w:tc>
          <w:tcPr>
            <w:tcW w:w="2410" w:type="dxa"/>
          </w:tcPr>
          <w:p w14:paraId="06833CAE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2 939,79</w:t>
            </w:r>
          </w:p>
        </w:tc>
      </w:tr>
      <w:tr w14:paraId="1A66D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1D860A5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B.IV Krátkodobé záväzky súčet</w:t>
            </w:r>
          </w:p>
        </w:tc>
        <w:tc>
          <w:tcPr>
            <w:tcW w:w="2410" w:type="dxa"/>
          </w:tcPr>
          <w:p w14:paraId="56916B1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14 506,94</w:t>
            </w:r>
          </w:p>
        </w:tc>
        <w:tc>
          <w:tcPr>
            <w:tcW w:w="2410" w:type="dxa"/>
          </w:tcPr>
          <w:p w14:paraId="1CF7314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13 583,39</w:t>
            </w:r>
          </w:p>
        </w:tc>
      </w:tr>
      <w:tr w14:paraId="1C27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5A3E304E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B.V Bankové úvery</w:t>
            </w:r>
          </w:p>
        </w:tc>
        <w:tc>
          <w:tcPr>
            <w:tcW w:w="2410" w:type="dxa"/>
          </w:tcPr>
          <w:p w14:paraId="6CC7D05B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14:paraId="2F5880FA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19DBF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vAlign w:val="center"/>
          </w:tcPr>
          <w:p w14:paraId="4BA9AD6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C. Časové rozlíšenie</w:t>
            </w:r>
          </w:p>
        </w:tc>
        <w:tc>
          <w:tcPr>
            <w:tcW w:w="2410" w:type="dxa"/>
          </w:tcPr>
          <w:p w14:paraId="19FEFCF6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363 754,42</w:t>
            </w:r>
          </w:p>
        </w:tc>
        <w:tc>
          <w:tcPr>
            <w:tcW w:w="2410" w:type="dxa"/>
          </w:tcPr>
          <w:p w14:paraId="11522F6A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420 907,48</w:t>
            </w:r>
          </w:p>
        </w:tc>
      </w:tr>
    </w:tbl>
    <w:p w14:paraId="5840319D">
      <w:pPr>
        <w:jc w:val="both"/>
        <w:rPr>
          <w:rFonts w:ascii="Arial Narrow" w:hAnsi="Arial Narrow" w:cs="Arial"/>
          <w:bCs/>
          <w:sz w:val="20"/>
          <w:szCs w:val="20"/>
        </w:rPr>
      </w:pPr>
    </w:p>
    <w:p w14:paraId="135AD687">
      <w:pPr>
        <w:spacing w:after="0"/>
        <w:ind w:right="500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  <w:color w:val="FF0000"/>
        </w:rPr>
        <w:t>Vývoj pohľadávok a záväzkov v eurách:</w:t>
      </w:r>
    </w:p>
    <w:p w14:paraId="12EFD473">
      <w:pPr>
        <w:spacing w:after="0"/>
        <w:ind w:right="50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</w:rPr>
        <w:t>-</w:t>
      </w:r>
      <w:r>
        <w:rPr>
          <w:rFonts w:ascii="Arial Narrow" w:hAnsi="Arial Narrow" w:cs="Arial"/>
          <w:sz w:val="20"/>
          <w:szCs w:val="20"/>
        </w:rPr>
        <w:t xml:space="preserve">  Obec k 31.12.2024 eviduje tieto záväzky:</w:t>
      </w:r>
    </w:p>
    <w:p w14:paraId="5D71542A">
      <w:pPr>
        <w:ind w:left="709"/>
        <w:jc w:val="both"/>
        <w:rPr>
          <w:rFonts w:ascii="Arial Narrow" w:hAnsi="Arial Narrow" w:cs="Arial"/>
          <w:b/>
          <w:bCs/>
          <w:color w:val="FF0000"/>
          <w:sz w:val="20"/>
          <w:szCs w:val="20"/>
          <w:u w:val="single"/>
        </w:rPr>
      </w:pPr>
    </w:p>
    <w:p w14:paraId="6BE62BAD">
      <w:pPr>
        <w:ind w:left="709"/>
        <w:jc w:val="both"/>
        <w:rPr>
          <w:rFonts w:ascii="Arial Narrow" w:hAnsi="Arial Narrow" w:cs="Arial"/>
          <w:b/>
          <w:bCs/>
          <w:color w:val="FF0000"/>
          <w:sz w:val="20"/>
          <w:szCs w:val="20"/>
        </w:rPr>
      </w:pPr>
      <w:r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Krátkodobé záväzky </w:t>
      </w:r>
    </w:p>
    <w:p w14:paraId="50F9B99B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Obec k 31.12.2024 eviduje tieto záväzky:</w:t>
      </w:r>
    </w:p>
    <w:p w14:paraId="18655DA7">
      <w:pPr>
        <w:ind w:left="709"/>
        <w:jc w:val="both"/>
        <w:rPr>
          <w:rFonts w:ascii="Arial Narrow" w:hAnsi="Arial Narrow" w:cs="Arial"/>
          <w:b/>
          <w:bCs/>
          <w:sz w:val="20"/>
          <w:szCs w:val="20"/>
          <w:u w:val="single"/>
        </w:rPr>
      </w:pPr>
    </w:p>
    <w:p w14:paraId="2A6973E6">
      <w:pPr>
        <w:ind w:left="709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Krátkodobé záväzky </w:t>
      </w:r>
    </w:p>
    <w:p w14:paraId="49A0CAAB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tbl>
      <w:tblPr>
        <w:tblStyle w:val="7"/>
        <w:tblW w:w="0" w:type="auto"/>
        <w:tblInd w:w="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2183"/>
        <w:gridCol w:w="2183"/>
      </w:tblGrid>
      <w:tr w14:paraId="5BC85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30BF6AF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83" w:type="dxa"/>
          </w:tcPr>
          <w:p w14:paraId="525372BB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K31.12.2023</w:t>
            </w:r>
          </w:p>
        </w:tc>
        <w:tc>
          <w:tcPr>
            <w:tcW w:w="2183" w:type="dxa"/>
          </w:tcPr>
          <w:p w14:paraId="27D24E49">
            <w:pPr>
              <w:wordWrap w:val="0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 31.12.2024</w:t>
            </w:r>
          </w:p>
        </w:tc>
      </w:tr>
      <w:tr w14:paraId="58A2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56B206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Dodávatelia</w:t>
            </w:r>
          </w:p>
        </w:tc>
        <w:tc>
          <w:tcPr>
            <w:tcW w:w="2183" w:type="dxa"/>
          </w:tcPr>
          <w:p w14:paraId="0F00F93C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3 894,83</w:t>
            </w:r>
          </w:p>
        </w:tc>
        <w:tc>
          <w:tcPr>
            <w:tcW w:w="2183" w:type="dxa"/>
          </w:tcPr>
          <w:p w14:paraId="08F6762B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2 201,36</w:t>
            </w:r>
          </w:p>
        </w:tc>
      </w:tr>
      <w:tr w14:paraId="22140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48F3DAF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Prijaté preddavky</w:t>
            </w:r>
          </w:p>
        </w:tc>
        <w:tc>
          <w:tcPr>
            <w:tcW w:w="2183" w:type="dxa"/>
          </w:tcPr>
          <w:p w14:paraId="63B43D51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2 010,74</w:t>
            </w:r>
          </w:p>
        </w:tc>
        <w:tc>
          <w:tcPr>
            <w:tcW w:w="2183" w:type="dxa"/>
          </w:tcPr>
          <w:p w14:paraId="5A6D70D3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</w:tr>
      <w:tr w14:paraId="7640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708675B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Nevyfakturované dodávky</w:t>
            </w:r>
          </w:p>
        </w:tc>
        <w:tc>
          <w:tcPr>
            <w:tcW w:w="2183" w:type="dxa"/>
          </w:tcPr>
          <w:p w14:paraId="0FB1BAE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2183" w:type="dxa"/>
          </w:tcPr>
          <w:p w14:paraId="6CFEEFAD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2 080,00</w:t>
            </w:r>
          </w:p>
        </w:tc>
      </w:tr>
      <w:tr w14:paraId="3F48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3CDA5AA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Iné záväzky</w:t>
            </w:r>
          </w:p>
        </w:tc>
        <w:tc>
          <w:tcPr>
            <w:tcW w:w="2183" w:type="dxa"/>
          </w:tcPr>
          <w:p w14:paraId="361D2640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2,17</w:t>
            </w:r>
          </w:p>
        </w:tc>
        <w:tc>
          <w:tcPr>
            <w:tcW w:w="2183" w:type="dxa"/>
          </w:tcPr>
          <w:p w14:paraId="45D647BE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6,25</w:t>
            </w:r>
          </w:p>
        </w:tc>
      </w:tr>
      <w:tr w14:paraId="7EE8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27F9B0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zamestnanci</w:t>
            </w:r>
          </w:p>
        </w:tc>
        <w:tc>
          <w:tcPr>
            <w:tcW w:w="2183" w:type="dxa"/>
          </w:tcPr>
          <w:p w14:paraId="1C3D4A54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5 062,36</w:t>
            </w:r>
          </w:p>
        </w:tc>
        <w:tc>
          <w:tcPr>
            <w:tcW w:w="2183" w:type="dxa"/>
          </w:tcPr>
          <w:p w14:paraId="1BF05DFC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5 133,15</w:t>
            </w:r>
          </w:p>
        </w:tc>
      </w:tr>
      <w:tr w14:paraId="46C4D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0EA7D8F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Zúčtovanie s orgánmi sociálneho a zdravotného poistenia</w:t>
            </w:r>
          </w:p>
        </w:tc>
        <w:tc>
          <w:tcPr>
            <w:tcW w:w="2183" w:type="dxa"/>
          </w:tcPr>
          <w:p w14:paraId="7CFA4D38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684122D9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1CAD24EF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3 071,41</w:t>
            </w:r>
          </w:p>
        </w:tc>
        <w:tc>
          <w:tcPr>
            <w:tcW w:w="2183" w:type="dxa"/>
          </w:tcPr>
          <w:p w14:paraId="47F604C7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16926EDB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43ADF224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3 340,06</w:t>
            </w:r>
          </w:p>
        </w:tc>
      </w:tr>
      <w:tr w14:paraId="7621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77F813D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Ostatné priame dane</w:t>
            </w:r>
          </w:p>
        </w:tc>
        <w:tc>
          <w:tcPr>
            <w:tcW w:w="2183" w:type="dxa"/>
          </w:tcPr>
          <w:p w14:paraId="57AC325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465,43</w:t>
            </w:r>
          </w:p>
        </w:tc>
        <w:tc>
          <w:tcPr>
            <w:tcW w:w="2183" w:type="dxa"/>
          </w:tcPr>
          <w:p w14:paraId="1F6E80B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822,57</w:t>
            </w:r>
          </w:p>
        </w:tc>
      </w:tr>
      <w:tr w14:paraId="1B04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52693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Transfery a ostatné zúčtovanie so subjektami verejnej správy</w:t>
            </w:r>
          </w:p>
        </w:tc>
        <w:tc>
          <w:tcPr>
            <w:tcW w:w="2183" w:type="dxa"/>
          </w:tcPr>
          <w:p w14:paraId="710461BE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73010A0E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4A2FD07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2183" w:type="dxa"/>
          </w:tcPr>
          <w:p w14:paraId="5C32668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49C1576B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64F54BA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</w:tr>
    </w:tbl>
    <w:p w14:paraId="12A6B5F9">
      <w:pPr>
        <w:ind w:left="709"/>
        <w:rPr>
          <w:rFonts w:ascii="Arial Narrow" w:hAnsi="Arial Narrow" w:cs="Arial"/>
          <w:sz w:val="20"/>
          <w:szCs w:val="20"/>
        </w:rPr>
      </w:pPr>
    </w:p>
    <w:p w14:paraId="4F9450C7">
      <w:pPr>
        <w:ind w:left="709"/>
        <w:rPr>
          <w:rFonts w:ascii="Arial Narrow" w:hAnsi="Arial Narrow" w:cs="Arial"/>
          <w:sz w:val="20"/>
          <w:szCs w:val="20"/>
        </w:rPr>
      </w:pPr>
    </w:p>
    <w:p w14:paraId="158A07CD">
      <w:pPr>
        <w:ind w:left="709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Dlhodobé záväzky </w:t>
      </w:r>
    </w:p>
    <w:p w14:paraId="40CD6557">
      <w:pPr>
        <w:ind w:left="709"/>
        <w:rPr>
          <w:rFonts w:ascii="Arial Narrow" w:hAnsi="Arial Narrow" w:cs="Arial"/>
          <w:sz w:val="20"/>
          <w:szCs w:val="20"/>
        </w:rPr>
      </w:pPr>
    </w:p>
    <w:tbl>
      <w:tblPr>
        <w:tblStyle w:val="7"/>
        <w:tblW w:w="0" w:type="auto"/>
        <w:tblInd w:w="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2183"/>
        <w:gridCol w:w="2183"/>
      </w:tblGrid>
      <w:tr w14:paraId="3BDEE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4" w:type="dxa"/>
          </w:tcPr>
          <w:p w14:paraId="3BA28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Ostatné dlhodobé záväzky </w:t>
            </w:r>
          </w:p>
        </w:tc>
        <w:tc>
          <w:tcPr>
            <w:tcW w:w="2183" w:type="dxa"/>
          </w:tcPr>
          <w:p w14:paraId="0CBB9E8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112,50</w:t>
            </w:r>
          </w:p>
        </w:tc>
        <w:tc>
          <w:tcPr>
            <w:tcW w:w="2183" w:type="dxa"/>
          </w:tcPr>
          <w:p w14:paraId="3A6086C0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515,00</w:t>
            </w:r>
          </w:p>
        </w:tc>
      </w:tr>
      <w:tr w14:paraId="075D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4" w:type="dxa"/>
          </w:tcPr>
          <w:p w14:paraId="18B7E2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Záväzky zo sociálneho fondu</w:t>
            </w:r>
          </w:p>
        </w:tc>
        <w:tc>
          <w:tcPr>
            <w:tcW w:w="2183" w:type="dxa"/>
          </w:tcPr>
          <w:p w14:paraId="3743CC2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50C0572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457,21</w:t>
            </w:r>
          </w:p>
        </w:tc>
        <w:tc>
          <w:tcPr>
            <w:tcW w:w="2183" w:type="dxa"/>
          </w:tcPr>
          <w:p w14:paraId="1407024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4B1661B6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2 424,79</w:t>
            </w:r>
          </w:p>
        </w:tc>
      </w:tr>
    </w:tbl>
    <w:p w14:paraId="2B02CE35">
      <w:pPr>
        <w:ind w:left="709"/>
        <w:rPr>
          <w:rFonts w:ascii="Arial Narrow" w:hAnsi="Arial Narrow" w:cs="Arial"/>
          <w:sz w:val="20"/>
          <w:szCs w:val="20"/>
        </w:rPr>
      </w:pPr>
    </w:p>
    <w:p w14:paraId="2FB3C95D">
      <w:pPr>
        <w:rPr>
          <w:rFonts w:ascii="Arial Narrow" w:hAnsi="Arial Narrow" w:cs="Arial"/>
          <w:sz w:val="20"/>
          <w:szCs w:val="20"/>
        </w:rPr>
      </w:pPr>
    </w:p>
    <w:p w14:paraId="2A3B182C">
      <w:pPr>
        <w:pStyle w:val="2"/>
        <w:rPr>
          <w:rFonts w:ascii="Arial Narrow" w:hAnsi="Arial Narrow"/>
          <w:b w:val="0"/>
          <w:bCs w:val="0"/>
          <w:sz w:val="22"/>
          <w:szCs w:val="22"/>
        </w:rPr>
      </w:pPr>
      <w:bookmarkStart w:id="27" w:name="_Toc74047054"/>
      <w:r>
        <w:rPr>
          <w:rFonts w:ascii="Arial Narrow" w:hAnsi="Arial Narrow"/>
          <w:sz w:val="22"/>
          <w:szCs w:val="22"/>
        </w:rPr>
        <w:t>9. Hospodársky výsledok  za rok 202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– Vývoj nákladov a výnosov</w:t>
      </w:r>
      <w:bookmarkEnd w:id="27"/>
    </w:p>
    <w:p w14:paraId="1C8D972F">
      <w:pPr>
        <w:spacing w:after="0"/>
        <w:ind w:right="500"/>
        <w:jc w:val="both"/>
        <w:rPr>
          <w:rFonts w:ascii="Arial Narrow" w:hAnsi="Arial Narrow"/>
          <w:b/>
          <w:bCs/>
          <w:color w:val="C00000"/>
          <w:sz w:val="24"/>
          <w:szCs w:val="24"/>
        </w:rPr>
      </w:pPr>
    </w:p>
    <w:p w14:paraId="449FF640">
      <w:pPr>
        <w:spacing w:after="0"/>
        <w:ind w:right="500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472580A2">
      <w:pPr>
        <w:spacing w:after="0" w:line="240" w:lineRule="auto"/>
        <w:rPr>
          <w:b/>
          <w:sz w:val="24"/>
          <w:szCs w:val="24"/>
        </w:rPr>
      </w:pPr>
      <w:r>
        <w:rPr>
          <w:b/>
          <w:sz w:val="20"/>
          <w:szCs w:val="20"/>
        </w:rPr>
        <w:t>Výnosy - popis a výška významných položiek výnosov</w:t>
      </w:r>
    </w:p>
    <w:p w14:paraId="461C00B7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Style w:val="7"/>
        <w:tblW w:w="893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1417"/>
        <w:gridCol w:w="1417"/>
      </w:tblGrid>
      <w:tr w14:paraId="2BCB5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7" w:hRule="atLeast"/>
        </w:trPr>
        <w:tc>
          <w:tcPr>
            <w:tcW w:w="6096" w:type="dxa"/>
            <w:shd w:val="clear" w:color="auto" w:fill="E7E6E6"/>
          </w:tcPr>
          <w:p w14:paraId="2C77FBCE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1A13CC37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Suma                                                 k 31.12.2023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694803CB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Suma </w:t>
            </w:r>
          </w:p>
          <w:p w14:paraId="4CD634B4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k 31.12.2024</w:t>
            </w:r>
          </w:p>
        </w:tc>
      </w:tr>
      <w:tr w14:paraId="0C658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665869A0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tržby za vlastné výkony  a tovar 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276B755F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429,78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0E845A3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713,72</w:t>
            </w:r>
          </w:p>
        </w:tc>
      </w:tr>
      <w:tr w14:paraId="63037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022E65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602 - Tržby z predaja služieb</w:t>
            </w:r>
          </w:p>
          <w:p w14:paraId="2A0FDFB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 Nájom kultúrnej sály a kopírovacie služby</w:t>
            </w:r>
          </w:p>
          <w:p w14:paraId="25E0A85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604 -  Tržby za tovar</w:t>
            </w:r>
          </w:p>
        </w:tc>
        <w:tc>
          <w:tcPr>
            <w:tcW w:w="1417" w:type="dxa"/>
            <w:vAlign w:val="bottom"/>
          </w:tcPr>
          <w:p w14:paraId="5F5C336E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177,00</w:t>
            </w:r>
          </w:p>
          <w:p w14:paraId="4FE0A20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252,78</w:t>
            </w:r>
          </w:p>
        </w:tc>
        <w:tc>
          <w:tcPr>
            <w:tcW w:w="1417" w:type="dxa"/>
            <w:vAlign w:val="bottom"/>
          </w:tcPr>
          <w:p w14:paraId="0B9D1B9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128,10</w:t>
            </w:r>
          </w:p>
          <w:p w14:paraId="5C50898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585,62</w:t>
            </w:r>
          </w:p>
        </w:tc>
      </w:tr>
      <w:tr w14:paraId="2095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68FBD74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zmena stavu vnútro-organizačných zásob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36220EAA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13B299E2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14:paraId="67962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5FC1BD38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aktivácia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0FA85C0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74986985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14:paraId="754B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344F9E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624 - Aktivácia DHM</w:t>
            </w:r>
          </w:p>
        </w:tc>
        <w:tc>
          <w:tcPr>
            <w:tcW w:w="1417" w:type="dxa"/>
            <w:vAlign w:val="bottom"/>
          </w:tcPr>
          <w:p w14:paraId="51EF3ED5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bottom"/>
          </w:tcPr>
          <w:p w14:paraId="0D4804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14:paraId="16288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901B983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0BF39C36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4B2C8ED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33C89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2F3A6A13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daňové a colné výnosy a výnosy z poplatkov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607DD65C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169 295,08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15F93FF9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178 877,70</w:t>
            </w:r>
          </w:p>
        </w:tc>
      </w:tr>
      <w:tr w14:paraId="12DAC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49B0FA4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632 - Daňové výnosy samosprávy</w:t>
            </w:r>
          </w:p>
        </w:tc>
        <w:tc>
          <w:tcPr>
            <w:tcW w:w="1417" w:type="dxa"/>
            <w:vAlign w:val="bottom"/>
          </w:tcPr>
          <w:p w14:paraId="72613EE4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159 731,22</w:t>
            </w:r>
          </w:p>
        </w:tc>
        <w:tc>
          <w:tcPr>
            <w:tcW w:w="1417" w:type="dxa"/>
            <w:vAlign w:val="bottom"/>
          </w:tcPr>
          <w:p w14:paraId="0E7FF6EC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166 385,29</w:t>
            </w:r>
          </w:p>
        </w:tc>
      </w:tr>
      <w:tr w14:paraId="33801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25501A1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633 - Výnosy z poplatkov </w:t>
            </w:r>
          </w:p>
          <w:p w14:paraId="392BCC7E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Daň za ubytovanie , Sprav. poplatky ,Triedený komunálny odpad</w:t>
            </w:r>
          </w:p>
        </w:tc>
        <w:tc>
          <w:tcPr>
            <w:tcW w:w="1417" w:type="dxa"/>
            <w:vAlign w:val="bottom"/>
          </w:tcPr>
          <w:p w14:paraId="2E219AAE">
            <w:pPr>
              <w:tabs>
                <w:tab w:val="left" w:pos="825"/>
                <w:tab w:val="right" w:pos="3970"/>
              </w:tabs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9 563,86</w:t>
            </w:r>
          </w:p>
        </w:tc>
        <w:tc>
          <w:tcPr>
            <w:tcW w:w="1417" w:type="dxa"/>
            <w:vAlign w:val="bottom"/>
          </w:tcPr>
          <w:p w14:paraId="6BD20630">
            <w:pPr>
              <w:tabs>
                <w:tab w:val="left" w:pos="825"/>
                <w:tab w:val="right" w:pos="3970"/>
              </w:tabs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12 492,41</w:t>
            </w:r>
          </w:p>
        </w:tc>
      </w:tr>
      <w:tr w14:paraId="4A8C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E7E6E6"/>
          </w:tcPr>
          <w:p w14:paraId="7A1D6D33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Ostatné výnosy z prevádzkovej činnosti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7D847975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9 819,57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6410CDC5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13 202,79</w:t>
            </w:r>
          </w:p>
        </w:tc>
      </w:tr>
      <w:tr w14:paraId="3BC42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17F9D5F1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641- Tržby z predaja dlhodobého nehmotného majetku a dlhodobého hmotného majetku</w:t>
            </w:r>
          </w:p>
        </w:tc>
        <w:tc>
          <w:tcPr>
            <w:tcW w:w="1417" w:type="dxa"/>
            <w:vAlign w:val="bottom"/>
          </w:tcPr>
          <w:p w14:paraId="22F60950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5 660,00</w:t>
            </w:r>
          </w:p>
        </w:tc>
        <w:tc>
          <w:tcPr>
            <w:tcW w:w="1417" w:type="dxa"/>
            <w:vAlign w:val="bottom"/>
          </w:tcPr>
          <w:p w14:paraId="77BE1FB7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4 463,85</w:t>
            </w:r>
          </w:p>
        </w:tc>
      </w:tr>
      <w:tr w14:paraId="7AFB0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78E466E3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642- Tržby z predaja materiálu</w:t>
            </w:r>
          </w:p>
        </w:tc>
        <w:tc>
          <w:tcPr>
            <w:tcW w:w="1417" w:type="dxa"/>
            <w:vAlign w:val="bottom"/>
          </w:tcPr>
          <w:p w14:paraId="23D175D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6E73174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61345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04270E52">
            <w:pPr>
              <w:numPr>
                <w:ilvl w:val="0"/>
                <w:numId w:val="8"/>
              </w:num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Ostatné pokuty, penále a úroky z omeškania</w:t>
            </w:r>
          </w:p>
        </w:tc>
        <w:tc>
          <w:tcPr>
            <w:tcW w:w="1417" w:type="dxa"/>
            <w:vAlign w:val="bottom"/>
          </w:tcPr>
          <w:p w14:paraId="2CAA6DD4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417" w:type="dxa"/>
            <w:vAlign w:val="bottom"/>
          </w:tcPr>
          <w:p w14:paraId="4296821D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1 516,00</w:t>
            </w:r>
            <w:bookmarkStart w:id="36" w:name="_GoBack"/>
            <w:bookmarkEnd w:id="36"/>
          </w:p>
        </w:tc>
      </w:tr>
      <w:tr w14:paraId="204C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6713D1D3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648- Ostatné výnosy z prevádzkovej činnosti</w:t>
            </w:r>
          </w:p>
        </w:tc>
        <w:tc>
          <w:tcPr>
            <w:tcW w:w="1417" w:type="dxa"/>
            <w:vAlign w:val="bottom"/>
          </w:tcPr>
          <w:p w14:paraId="799937C7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4 159,57</w:t>
            </w:r>
          </w:p>
        </w:tc>
        <w:tc>
          <w:tcPr>
            <w:tcW w:w="1417" w:type="dxa"/>
            <w:vAlign w:val="bottom"/>
          </w:tcPr>
          <w:p w14:paraId="21D2AC9C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7 222,94</w:t>
            </w:r>
          </w:p>
        </w:tc>
      </w:tr>
      <w:tr w14:paraId="70DEF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E7E6E6"/>
          </w:tcPr>
          <w:p w14:paraId="02B8EBC0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Zúčtovanie rezerv a opravných 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0D3166C7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600,00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4C1D0B65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1 787,75</w:t>
            </w:r>
          </w:p>
        </w:tc>
      </w:tr>
      <w:tr w14:paraId="1AA88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6F52C040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653- Zúčtovanie ostatných rezerv z prevádzkovej činnosti</w:t>
            </w:r>
          </w:p>
        </w:tc>
        <w:tc>
          <w:tcPr>
            <w:tcW w:w="1417" w:type="dxa"/>
            <w:vAlign w:val="bottom"/>
          </w:tcPr>
          <w:p w14:paraId="624D8E2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vAlign w:val="bottom"/>
          </w:tcPr>
          <w:p w14:paraId="50A23C55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800,00</w:t>
            </w:r>
          </w:p>
        </w:tc>
      </w:tr>
      <w:tr w14:paraId="6B6B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4CC9B30E">
            <w:pPr>
              <w:numPr>
                <w:ilvl w:val="0"/>
                <w:numId w:val="9"/>
              </w:num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Zúčtovanie ostatných opravných položiek z prevádzkovej činnosti</w:t>
            </w:r>
          </w:p>
        </w:tc>
        <w:tc>
          <w:tcPr>
            <w:tcW w:w="1417" w:type="dxa"/>
            <w:vAlign w:val="bottom"/>
          </w:tcPr>
          <w:p w14:paraId="42918AD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bottom"/>
          </w:tcPr>
          <w:p w14:paraId="6591F763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987,75</w:t>
            </w:r>
          </w:p>
        </w:tc>
      </w:tr>
      <w:tr w14:paraId="03813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313CCE4C">
            <w:pPr>
              <w:numPr>
                <w:ilvl w:val="0"/>
                <w:numId w:val="6"/>
              </w:numPr>
              <w:spacing w:line="240" w:lineRule="auto"/>
              <w:ind w:left="185" w:hanging="185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Finančné výnosy</w:t>
            </w:r>
          </w:p>
        </w:tc>
        <w:tc>
          <w:tcPr>
            <w:tcW w:w="1417" w:type="dxa"/>
            <w:vAlign w:val="bottom"/>
          </w:tcPr>
          <w:p w14:paraId="43D6C163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8,45</w:t>
            </w:r>
          </w:p>
        </w:tc>
        <w:tc>
          <w:tcPr>
            <w:tcW w:w="1417" w:type="dxa"/>
            <w:vAlign w:val="bottom"/>
          </w:tcPr>
          <w:p w14:paraId="28ED36B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14:paraId="7776C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9" w:hRule="atLeast"/>
        </w:trPr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4A3B4CC7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mimoriadne výnosy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48128DA5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68D8327D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14:paraId="7D02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FFFFF"/>
          </w:tcPr>
          <w:p w14:paraId="2D7B2860">
            <w:pPr>
              <w:spacing w:line="240" w:lineRule="auto"/>
              <w:ind w:left="185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678-Ostatné mimoriadne výnosy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39F4E733">
            <w:pPr>
              <w:spacing w:line="240" w:lineRule="auto"/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36B6D1E3">
            <w:pPr>
              <w:spacing w:line="240" w:lineRule="auto"/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0,00</w:t>
            </w:r>
          </w:p>
        </w:tc>
      </w:tr>
      <w:tr w14:paraId="37AB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043BAF36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23C07997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31 880,49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421DB3FF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30 843,77</w:t>
            </w:r>
          </w:p>
        </w:tc>
      </w:tr>
      <w:tr w14:paraId="5BFD8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2FB07A44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691 - Výnosy z bežných transferov z rozpočtu obce, VÚC</w:t>
            </w:r>
          </w:p>
          <w:p w14:paraId="14923DFC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bežný transfer na školský klub</w:t>
            </w:r>
          </w:p>
          <w:p w14:paraId="728F90F0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bežný transfer na školskú jedáleň </w:t>
            </w:r>
          </w:p>
        </w:tc>
        <w:tc>
          <w:tcPr>
            <w:tcW w:w="1417" w:type="dxa"/>
            <w:vAlign w:val="bottom"/>
          </w:tcPr>
          <w:p w14:paraId="179FD84F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21903626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18EC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093616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692 - Výnosy z kapitálových transferov z rozpočtu obce, VÚC</w:t>
            </w:r>
          </w:p>
          <w:p w14:paraId="6E063C0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  <w:vAlign w:val="bottom"/>
          </w:tcPr>
          <w:p w14:paraId="11A0EAD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0164602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5E54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C91AF55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693 - Výnosy samosprávy z bežných transferov zo ŠR</w:t>
            </w:r>
          </w:p>
          <w:p w14:paraId="68EE2912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</w:tc>
        <w:tc>
          <w:tcPr>
            <w:tcW w:w="1417" w:type="dxa"/>
            <w:vAlign w:val="bottom"/>
          </w:tcPr>
          <w:p w14:paraId="7F898C92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14 635,81</w:t>
            </w:r>
          </w:p>
        </w:tc>
        <w:tc>
          <w:tcPr>
            <w:tcW w:w="1417" w:type="dxa"/>
            <w:vAlign w:val="bottom"/>
          </w:tcPr>
          <w:p w14:paraId="430BF15A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7 830,79</w:t>
            </w:r>
          </w:p>
        </w:tc>
      </w:tr>
      <w:tr w14:paraId="090C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5202D18B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694 - Výnosy samosprávy z kapitálových transferov zo ŠR</w:t>
            </w:r>
          </w:p>
          <w:p w14:paraId="55E9CB4F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zúčtovanie kapitálového transferu zo ŠR</w:t>
            </w:r>
          </w:p>
        </w:tc>
        <w:tc>
          <w:tcPr>
            <w:tcW w:w="1417" w:type="dxa"/>
            <w:vAlign w:val="bottom"/>
          </w:tcPr>
          <w:p w14:paraId="3D2FA28B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16 744,68</w:t>
            </w:r>
          </w:p>
        </w:tc>
        <w:tc>
          <w:tcPr>
            <w:tcW w:w="1417" w:type="dxa"/>
            <w:vAlign w:val="bottom"/>
          </w:tcPr>
          <w:p w14:paraId="2DF96854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23 012,98</w:t>
            </w:r>
          </w:p>
        </w:tc>
      </w:tr>
      <w:tr w14:paraId="3151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5" w:hRule="atLeast"/>
        </w:trPr>
        <w:tc>
          <w:tcPr>
            <w:tcW w:w="6096" w:type="dxa"/>
            <w:tcBorders>
              <w:left w:val="single" w:color="auto" w:sz="4" w:space="0"/>
            </w:tcBorders>
          </w:tcPr>
          <w:p w14:paraId="74C1EAB0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695 - Výnosy samosprávy z bežných transferov od EÚ</w:t>
            </w:r>
          </w:p>
        </w:tc>
        <w:tc>
          <w:tcPr>
            <w:tcW w:w="1417" w:type="dxa"/>
            <w:vAlign w:val="bottom"/>
          </w:tcPr>
          <w:p w14:paraId="63FF9FD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5C1959B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442CB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4C70FCF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696 - Výnosy samosprávy z kapitálových transferov od EÚ</w:t>
            </w:r>
          </w:p>
          <w:p w14:paraId="6488D898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zúčtovanie kapitálového transferu od EÚ</w:t>
            </w:r>
          </w:p>
        </w:tc>
        <w:tc>
          <w:tcPr>
            <w:tcW w:w="1417" w:type="dxa"/>
            <w:vAlign w:val="bottom"/>
          </w:tcPr>
          <w:p w14:paraId="27E29D00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2DD87DE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0174F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43EDACCD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697 - Výnosy samosprávy z bežných transferov od ostatných subjektov mimo verejnej správy</w:t>
            </w:r>
          </w:p>
        </w:tc>
        <w:tc>
          <w:tcPr>
            <w:tcW w:w="1417" w:type="dxa"/>
            <w:vAlign w:val="bottom"/>
          </w:tcPr>
          <w:p w14:paraId="2E3DCA84">
            <w:pPr>
              <w:spacing w:line="240" w:lineRule="auto"/>
              <w:ind w:left="810" w:hanging="810" w:hangingChars="45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500,00</w:t>
            </w:r>
          </w:p>
        </w:tc>
        <w:tc>
          <w:tcPr>
            <w:tcW w:w="1417" w:type="dxa"/>
            <w:vAlign w:val="bottom"/>
          </w:tcPr>
          <w:p w14:paraId="694C0269">
            <w:pPr>
              <w:spacing w:line="240" w:lineRule="auto"/>
              <w:ind w:left="810" w:hanging="810" w:hangingChars="45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0,00</w:t>
            </w:r>
          </w:p>
        </w:tc>
      </w:tr>
      <w:tr w14:paraId="11CA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A343AC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698 - Výnosy samosprávy z kapitálových transferov od ostatných subjektov mimo verejnej správy</w:t>
            </w:r>
          </w:p>
          <w:p w14:paraId="6CA5A807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zúčtovanie kapitálového transferu od ostatných subjektov mimo verejnej správy</w:t>
            </w:r>
          </w:p>
        </w:tc>
        <w:tc>
          <w:tcPr>
            <w:tcW w:w="1417" w:type="dxa"/>
            <w:vAlign w:val="bottom"/>
          </w:tcPr>
          <w:p w14:paraId="7074959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2F114D9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37AA6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5FE5CCD4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699 - Výnosy samosprávy  z odvodu rozpočtových príjmov</w:t>
            </w:r>
          </w:p>
          <w:p w14:paraId="2523C4EE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zinkasované príjmy RO</w:t>
            </w:r>
          </w:p>
        </w:tc>
        <w:tc>
          <w:tcPr>
            <w:tcW w:w="1417" w:type="dxa"/>
            <w:vAlign w:val="bottom"/>
          </w:tcPr>
          <w:p w14:paraId="4068E15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236C357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BFFA17F">
      <w:pPr>
        <w:spacing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686649CF">
      <w:pPr>
        <w:spacing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4BB3F9D6">
      <w:pPr>
        <w:spacing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78377B49">
      <w:pPr>
        <w:spacing w:after="0" w:line="240" w:lineRule="auto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Náklady - popis a výška významných položiek nákladov</w:t>
      </w:r>
    </w:p>
    <w:p w14:paraId="3D6118CA">
      <w:pPr>
        <w:spacing w:after="0" w:line="240" w:lineRule="auto"/>
        <w:ind w:left="284"/>
        <w:rPr>
          <w:rFonts w:ascii="Arial Narrow" w:hAnsi="Arial Narrow"/>
          <w:b/>
          <w:sz w:val="18"/>
          <w:szCs w:val="18"/>
        </w:rPr>
      </w:pPr>
    </w:p>
    <w:tbl>
      <w:tblPr>
        <w:tblStyle w:val="7"/>
        <w:tblW w:w="893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1417"/>
        <w:gridCol w:w="1417"/>
      </w:tblGrid>
      <w:tr w14:paraId="7585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bottom w:val="single" w:color="auto" w:sz="4" w:space="0"/>
            </w:tcBorders>
          </w:tcPr>
          <w:p w14:paraId="15D467CC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color="auto" w:sz="4" w:space="0"/>
            </w:tcBorders>
          </w:tcPr>
          <w:p w14:paraId="7EE12A50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Suma                                                 k 31.12.2023</w:t>
            </w:r>
          </w:p>
        </w:tc>
        <w:tc>
          <w:tcPr>
            <w:tcW w:w="1417" w:type="dxa"/>
            <w:tcBorders>
              <w:bottom w:val="single" w:color="auto" w:sz="4" w:space="0"/>
            </w:tcBorders>
          </w:tcPr>
          <w:p w14:paraId="629CDD70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Suma k 31.12.2024</w:t>
            </w:r>
          </w:p>
        </w:tc>
      </w:tr>
      <w:tr w14:paraId="3375A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4E103887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Spotrebované nákupy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1E3E6C9B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33 569,14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2EE7B8C8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31 204,43</w:t>
            </w:r>
          </w:p>
        </w:tc>
      </w:tr>
      <w:tr w14:paraId="3806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274B694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501 - Spotreba materiálu 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6260310B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20 796,28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790D0D1D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27 694,04</w:t>
            </w:r>
          </w:p>
        </w:tc>
      </w:tr>
      <w:tr w14:paraId="22258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5271A42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502 - Spotreba energie</w:t>
            </w:r>
          </w:p>
          <w:p w14:paraId="0676BAF3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elektrická energia, voda</w:t>
            </w:r>
          </w:p>
          <w:p w14:paraId="17C34212">
            <w:pPr>
              <w:spacing w:after="0" w:line="240" w:lineRule="auto"/>
              <w:ind w:left="318"/>
              <w:rPr>
                <w:rFonts w:ascii="Arial Narrow" w:hAnsi="Arial Narrow"/>
                <w:sz w:val="18"/>
                <w:szCs w:val="18"/>
              </w:rPr>
            </w:pPr>
          </w:p>
          <w:p w14:paraId="1BE00E6B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504 – Predaný tovar – nádoby na odpad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0D317BD9">
            <w:pPr>
              <w:wordWrap w:val="0"/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12 520,14</w:t>
            </w:r>
          </w:p>
          <w:p w14:paraId="1A38A5E2">
            <w:pPr>
              <w:wordWrap w:val="0"/>
              <w:spacing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252,72</w:t>
            </w:r>
          </w:p>
          <w:p w14:paraId="7FA6427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0B434646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2 933,42</w:t>
            </w:r>
          </w:p>
          <w:p w14:paraId="79728DEB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576,97</w:t>
            </w:r>
          </w:p>
        </w:tc>
      </w:tr>
      <w:tr w14:paraId="28759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6569750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Služby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63CE0A65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95 918,28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2DB57657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53 675,25</w:t>
            </w:r>
          </w:p>
        </w:tc>
      </w:tr>
      <w:tr w14:paraId="5D273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291CAED6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511 - Opravy a udržiavanie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7B99E8D9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46 965,25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7C5C6543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4 582,57</w:t>
            </w:r>
          </w:p>
        </w:tc>
      </w:tr>
      <w:tr w14:paraId="088E0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403196F6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512 - Cestovné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386DD83A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3 210,02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646B423C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2 756,74</w:t>
            </w:r>
          </w:p>
        </w:tc>
      </w:tr>
      <w:tr w14:paraId="30333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0F6D37C7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513 - Náklady na reprezentáciu 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10D61AA9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1 373,33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4248398E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1 367,43</w:t>
            </w:r>
          </w:p>
        </w:tc>
      </w:tr>
      <w:tr w14:paraId="22143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4627185D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518 - Ostatné služby 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337C9EA9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44 369,68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7167A7A4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44 968,51</w:t>
            </w:r>
          </w:p>
        </w:tc>
      </w:tr>
      <w:tr w14:paraId="65F7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37F25835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Osobné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201BC439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69 342,29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3AFD7B2E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67 861,53</w:t>
            </w:r>
          </w:p>
        </w:tc>
      </w:tr>
      <w:tr w14:paraId="65EF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089F4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ABF31BE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49 301,22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BD7958C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47 871,05</w:t>
            </w:r>
          </w:p>
        </w:tc>
      </w:tr>
      <w:tr w14:paraId="1AC52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1359D5B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524 - Zákonné sociálne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158B79B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16 751,95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08C8FDD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16 474,31</w:t>
            </w:r>
          </w:p>
        </w:tc>
      </w:tr>
      <w:tr w14:paraId="5456A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FD3EBAD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525 Ostatné sociálne poistenie</w:t>
            </w:r>
          </w:p>
          <w:p w14:paraId="2549EDB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527 - Zákonné sociálne náklady </w:t>
            </w:r>
          </w:p>
          <w:p w14:paraId="24003147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528-Ostatné sociálne náklady</w:t>
            </w:r>
          </w:p>
          <w:p w14:paraId="5BA7F6BE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B5F97B3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524,80</w:t>
            </w:r>
          </w:p>
          <w:p w14:paraId="79202B45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2 764,32</w:t>
            </w:r>
          </w:p>
          <w:p w14:paraId="12FDFD96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1C72355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572,50</w:t>
            </w:r>
          </w:p>
          <w:p w14:paraId="687D843D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2 943,67</w:t>
            </w:r>
          </w:p>
          <w:p w14:paraId="673455C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14:paraId="520E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33BC3D08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Dane a poplatky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33C7AC03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159,34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2F69BE0D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122,40</w:t>
            </w:r>
          </w:p>
        </w:tc>
      </w:tr>
      <w:tr w14:paraId="5F923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36AD055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538 – Ostatné dane a poplatky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04C44A1D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159,34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19EC212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122,40</w:t>
            </w:r>
          </w:p>
        </w:tc>
      </w:tr>
      <w:tr w14:paraId="26BA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5F7A1DC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Ostatné náklady na prevádzkovú činnosť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74CC1A8F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1 744,86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035B5CA7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3 722,68</w:t>
            </w:r>
          </w:p>
        </w:tc>
      </w:tr>
      <w:tr w14:paraId="448E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1935213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541 – Zostatková cena predaného dlhodobého nehmotného majetku a dlhodobého hmotného majetku</w:t>
            </w:r>
          </w:p>
          <w:p w14:paraId="38BF1647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546 – Odpis pohľadávky</w:t>
            </w:r>
          </w:p>
          <w:p w14:paraId="09DA0164">
            <w:pPr>
              <w:spacing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548 – Ostatné náklady na prevádzkovú činnosť , dobrovoľnícka činnosť, poistenie majetku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3177DE3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3D6550B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184,83</w:t>
            </w:r>
          </w:p>
          <w:p w14:paraId="65F1AD6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  <w:p w14:paraId="575D6EC4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1 560,03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7F1286A5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145,09</w:t>
            </w:r>
          </w:p>
          <w:p w14:paraId="75C96CD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385,73</w:t>
            </w:r>
          </w:p>
          <w:p w14:paraId="33329C0B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3 191,86</w:t>
            </w:r>
          </w:p>
        </w:tc>
      </w:tr>
      <w:tr w14:paraId="6A0D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3C9869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Odpisy, rezervy a opravné položky z prevádzkovej činnosti a finančnej činnosti a zúčtovanie časového rozlíšenia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5BCFF21E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49 038,75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7F2BD014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55 180,33</w:t>
            </w:r>
          </w:p>
        </w:tc>
      </w:tr>
      <w:tr w14:paraId="3EE35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4D69FE5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551 – Odpisy dlhodobého nehmotného majetku a dlhodobého hmotného majetku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71BA4CA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46 748,44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75D8387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53 707,43</w:t>
            </w:r>
          </w:p>
        </w:tc>
      </w:tr>
      <w:tr w14:paraId="6A7B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</w:tcPr>
          <w:p w14:paraId="49B1551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Rezervy a opravné položky z prevádzkovej činnosti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  <w:vAlign w:val="bottom"/>
          </w:tcPr>
          <w:p w14:paraId="46659E10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2 290,31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  <w:vAlign w:val="bottom"/>
          </w:tcPr>
          <w:p w14:paraId="3B6D8EB5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1 472,90</w:t>
            </w:r>
          </w:p>
        </w:tc>
      </w:tr>
      <w:tr w14:paraId="46F9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DB513F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553 - Tvorba ostatných rezerv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936BF40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800,00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277F403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940,00</w:t>
            </w:r>
          </w:p>
        </w:tc>
      </w:tr>
      <w:tr w14:paraId="0AA47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273A01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558-Tvorba ostatných opravných položiek z prev. činnosti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A9234FA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1 490,31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6FD4E06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532,90</w:t>
            </w:r>
          </w:p>
        </w:tc>
      </w:tr>
      <w:tr w14:paraId="7E6EF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555E5793">
            <w:pPr>
              <w:spacing w:after="0" w:line="240" w:lineRule="auto"/>
              <w:ind w:firstLine="180" w:firstLineChars="10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Rezervy a opravné položky z finančnej činnosti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5D7929E6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3D06AAEF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14:paraId="4BB1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5204C648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559- Tvorba opravných položiek z finančnej činnosti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AAA846E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DA3C3D6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14:paraId="1E4D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0AD4DF8E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Finančné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1D4E4742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583,74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7E2E67F9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1 476,10</w:t>
            </w:r>
          </w:p>
        </w:tc>
      </w:tr>
      <w:tr w14:paraId="463B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7F441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568 - Ostatné finančné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654F40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583,74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3945761">
            <w:pPr>
              <w:wordWrap w:val="0"/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1 476,10</w:t>
            </w:r>
          </w:p>
        </w:tc>
      </w:tr>
      <w:tr w14:paraId="40A2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14149447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Mimoriadne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3876D4F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EC6E8CC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06230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501CE1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572 - Škody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E40EA5E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7E034E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6BCD9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19B62D1D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Náklady na transfery a náklady z odvodov príjmov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038ED923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6 618,32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575518F7">
            <w:pPr>
              <w:wordWrap w:val="0"/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5 600,00</w:t>
            </w:r>
          </w:p>
        </w:tc>
      </w:tr>
      <w:tr w14:paraId="1FB92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5DA13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584 - Náklady na transfery z rozpočtu obce, VÚC do RO, PO zriadených obcou alebo VÚC</w:t>
            </w:r>
          </w:p>
          <w:p w14:paraId="361A03F1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  <w:p w14:paraId="6459AE9E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zúčtovanie kapitálového transferu u zriaďovateľa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08F40E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310F83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5F02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2A89968D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585 - Náklady na transfery z rozpočtu obce, VÚC ostatným subjektov verejnej správy</w:t>
            </w:r>
          </w:p>
          <w:p w14:paraId="1F6ED48D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bežný transfer xxx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1E919EE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4BF224F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100,00</w:t>
            </w:r>
          </w:p>
        </w:tc>
      </w:tr>
      <w:tr w14:paraId="2C78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6FF0BEF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586 - Náklady na transfery z rozpočtu obce, VÚC subjektov mimo verejnej správy</w:t>
            </w:r>
          </w:p>
          <w:p w14:paraId="3CF7B09E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7B8F2B36">
            <w:pPr>
              <w:spacing w:line="240" w:lineRule="auto"/>
              <w:ind w:firstLine="720" w:firstLineChars="400"/>
              <w:rPr>
                <w:rFonts w:ascii="Arial Narrow" w:hAnsi="Arial Narrow"/>
                <w:sz w:val="18"/>
                <w:szCs w:val="18"/>
              </w:rPr>
            </w:pPr>
          </w:p>
          <w:p w14:paraId="2B6CD9C4">
            <w:pPr>
              <w:spacing w:line="240" w:lineRule="auto"/>
              <w:ind w:firstLine="630" w:firstLineChars="35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6 618,32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7B2E37CE">
            <w:pPr>
              <w:spacing w:line="240" w:lineRule="auto"/>
              <w:ind w:firstLine="630" w:firstLineChars="35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5 500,00</w:t>
            </w:r>
          </w:p>
        </w:tc>
      </w:tr>
    </w:tbl>
    <w:p w14:paraId="0AE4F518">
      <w:pPr>
        <w:spacing w:after="0"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600EEF2F">
      <w:pPr>
        <w:spacing w:after="0" w:line="240" w:lineRule="auto"/>
        <w:ind w:left="28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Náklady voči audítorovi alebo audítorskej spoločnosti </w:t>
      </w:r>
    </w:p>
    <w:p w14:paraId="2CFF0CEA">
      <w:pPr>
        <w:spacing w:after="0" w:line="240" w:lineRule="auto"/>
        <w:ind w:left="284"/>
        <w:rPr>
          <w:rFonts w:ascii="Arial Narrow" w:hAnsi="Arial Narrow"/>
          <w:b/>
          <w:sz w:val="20"/>
          <w:szCs w:val="20"/>
        </w:rPr>
      </w:pPr>
    </w:p>
    <w:tbl>
      <w:tblPr>
        <w:tblStyle w:val="7"/>
        <w:tblW w:w="91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1626"/>
        <w:gridCol w:w="1417"/>
      </w:tblGrid>
      <w:tr w14:paraId="58CF0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193A680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Osobitné náklady podľa zákona o účtovníctve § 18 ods</w:t>
            </w:r>
            <w:r>
              <w:rPr>
                <w:rFonts w:ascii="Arial Narrow" w:hAnsi="Arial Narrow"/>
                <w:b/>
                <w:sz w:val="18"/>
                <w:szCs w:val="18"/>
                <w:shd w:val="clear" w:color="auto" w:fill="D9D9D9"/>
              </w:rPr>
              <w:t>.</w:t>
            </w:r>
            <w:r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  <w:tc>
          <w:tcPr>
            <w:tcW w:w="1626" w:type="dxa"/>
            <w:tcBorders>
              <w:top w:val="single" w:color="auto" w:sz="4" w:space="0"/>
              <w:bottom w:val="single" w:color="auto" w:sz="4" w:space="0"/>
            </w:tcBorders>
          </w:tcPr>
          <w:p w14:paraId="0A76091D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 w14:paraId="06F25980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3732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64E318B6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Náklady voči audítorovi alebo audítorskej spoločnosti v členení na náklady za:</w:t>
            </w:r>
          </w:p>
        </w:tc>
        <w:tc>
          <w:tcPr>
            <w:tcW w:w="1626" w:type="dxa"/>
            <w:tcBorders>
              <w:top w:val="single" w:color="auto" w:sz="4" w:space="0"/>
            </w:tcBorders>
            <w:vAlign w:val="bottom"/>
          </w:tcPr>
          <w:p w14:paraId="7226D92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52ACBA9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940,00</w:t>
            </w:r>
          </w:p>
        </w:tc>
      </w:tr>
      <w:tr w14:paraId="06AE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1E3BCD50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overenie účtovnej závierky</w:t>
            </w:r>
          </w:p>
        </w:tc>
        <w:tc>
          <w:tcPr>
            <w:tcW w:w="1626" w:type="dxa"/>
            <w:tcBorders>
              <w:top w:val="single" w:color="auto" w:sz="4" w:space="0"/>
            </w:tcBorders>
            <w:vAlign w:val="bottom"/>
          </w:tcPr>
          <w:p w14:paraId="169ACA1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0CFA127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940,00</w:t>
            </w:r>
          </w:p>
        </w:tc>
      </w:tr>
      <w:tr w14:paraId="6DC03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306F6D18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poisťovacie, audítorské služby s výnimkou overenia účtovnej závierky</w:t>
            </w:r>
          </w:p>
        </w:tc>
        <w:tc>
          <w:tcPr>
            <w:tcW w:w="1626" w:type="dxa"/>
            <w:tcBorders>
              <w:top w:val="single" w:color="auto" w:sz="4" w:space="0"/>
            </w:tcBorders>
          </w:tcPr>
          <w:p w14:paraId="497E2F9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13152AB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7DE4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7E488FF9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súvisiace audítorské služby,</w:t>
            </w:r>
          </w:p>
        </w:tc>
        <w:tc>
          <w:tcPr>
            <w:tcW w:w="1626" w:type="dxa"/>
            <w:tcBorders>
              <w:top w:val="single" w:color="auto" w:sz="4" w:space="0"/>
            </w:tcBorders>
          </w:tcPr>
          <w:p w14:paraId="78953F2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1619EC0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066C4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692FEEC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daňové poradenstvo,</w:t>
            </w:r>
          </w:p>
        </w:tc>
        <w:tc>
          <w:tcPr>
            <w:tcW w:w="1626" w:type="dxa"/>
            <w:tcBorders>
              <w:top w:val="single" w:color="auto" w:sz="4" w:space="0"/>
              <w:bottom w:val="single" w:color="auto" w:sz="4" w:space="0"/>
            </w:tcBorders>
          </w:tcPr>
          <w:p w14:paraId="3A83578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 w14:paraId="636D433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50CA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0AEB9920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626" w:type="dxa"/>
            <w:tcBorders>
              <w:top w:val="single" w:color="auto" w:sz="4" w:space="0"/>
            </w:tcBorders>
          </w:tcPr>
          <w:p w14:paraId="2032B57E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35889BD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84D5187">
      <w:pPr>
        <w:pStyle w:val="38"/>
        <w:tabs>
          <w:tab w:val="clear" w:pos="426"/>
        </w:tabs>
        <w:ind w:left="0" w:firstLine="0"/>
        <w:rPr>
          <w:sz w:val="24"/>
          <w:szCs w:val="24"/>
        </w:rPr>
      </w:pPr>
    </w:p>
    <w:p w14:paraId="09D94B75">
      <w:pPr>
        <w:jc w:val="both"/>
        <w:rPr>
          <w:rFonts w:ascii="Arial Narrow" w:hAnsi="Arial Narrow"/>
          <w:sz w:val="20"/>
          <w:szCs w:val="20"/>
        </w:rPr>
      </w:pPr>
    </w:p>
    <w:p w14:paraId="6161E0EE">
      <w:pPr>
        <w:pStyle w:val="38"/>
        <w:tabs>
          <w:tab w:val="clear" w:pos="426"/>
        </w:tabs>
        <w:outlineLvl w:val="0"/>
        <w:rPr>
          <w:rFonts w:ascii="Arial Narrow" w:hAnsi="Arial Narrow"/>
          <w:color w:val="FF0000"/>
          <w:sz w:val="26"/>
          <w:szCs w:val="26"/>
        </w:rPr>
      </w:pPr>
      <w:bookmarkStart w:id="28" w:name="_Toc74047055"/>
      <w:r>
        <w:rPr>
          <w:rFonts w:ascii="Arial Narrow" w:hAnsi="Arial Narrow"/>
          <w:color w:val="FF0000"/>
          <w:sz w:val="26"/>
          <w:szCs w:val="26"/>
        </w:rPr>
        <w:t>10. Ostatné dôležité informácie</w:t>
      </w:r>
      <w:bookmarkEnd w:id="28"/>
    </w:p>
    <w:p w14:paraId="4A596AC5">
      <w:pPr>
        <w:pStyle w:val="38"/>
        <w:tabs>
          <w:tab w:val="clear" w:pos="426"/>
        </w:tabs>
        <w:ind w:left="360" w:firstLine="0"/>
        <w:outlineLvl w:val="0"/>
        <w:rPr>
          <w:rFonts w:ascii="Arial Narrow" w:hAnsi="Arial Narrow"/>
          <w:color w:val="FF0000"/>
          <w:sz w:val="24"/>
          <w:szCs w:val="24"/>
        </w:rPr>
      </w:pPr>
    </w:p>
    <w:p w14:paraId="7A5A699F">
      <w:pPr>
        <w:pStyle w:val="38"/>
        <w:tabs>
          <w:tab w:val="clear" w:pos="426"/>
        </w:tabs>
        <w:ind w:left="360" w:firstLine="0"/>
        <w:rPr>
          <w:rFonts w:ascii="Arial Narrow" w:hAnsi="Arial Narrow"/>
          <w:color w:val="FF0000"/>
          <w:sz w:val="24"/>
          <w:szCs w:val="24"/>
        </w:rPr>
      </w:pPr>
    </w:p>
    <w:p w14:paraId="205C6557">
      <w:pPr>
        <w:pStyle w:val="38"/>
        <w:tabs>
          <w:tab w:val="clear" w:pos="426"/>
        </w:tabs>
        <w:outlineLvl w:val="1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color w:val="FF0000"/>
          <w:sz w:val="24"/>
          <w:szCs w:val="24"/>
        </w:rPr>
        <w:t xml:space="preserve"> </w:t>
      </w:r>
      <w:bookmarkStart w:id="29" w:name="_Toc74047056"/>
      <w:r>
        <w:rPr>
          <w:rFonts w:ascii="Arial Narrow" w:hAnsi="Arial Narrow"/>
          <w:color w:val="FF0000"/>
          <w:sz w:val="24"/>
          <w:szCs w:val="24"/>
        </w:rPr>
        <w:t>10.1 Prijaté granty a transfery</w:t>
      </w:r>
      <w:bookmarkEnd w:id="29"/>
    </w:p>
    <w:p w14:paraId="5DF71D37">
      <w:pPr>
        <w:pStyle w:val="38"/>
        <w:tabs>
          <w:tab w:val="clear" w:pos="426"/>
        </w:tabs>
        <w:outlineLvl w:val="1"/>
        <w:rPr>
          <w:rFonts w:ascii="Arial Narrow" w:hAnsi="Arial Narrow"/>
          <w:color w:val="FF0000"/>
          <w:sz w:val="24"/>
          <w:szCs w:val="24"/>
        </w:rPr>
      </w:pPr>
    </w:p>
    <w:p w14:paraId="1577D625">
      <w:pPr>
        <w:pStyle w:val="38"/>
        <w:tabs>
          <w:tab w:val="clear" w:pos="426"/>
        </w:tabs>
        <w:outlineLvl w:val="1"/>
        <w:rPr>
          <w:rFonts w:ascii="Arial Narrow" w:hAnsi="Arial Narrow"/>
          <w:color w:val="FF0000"/>
          <w:sz w:val="24"/>
          <w:szCs w:val="24"/>
        </w:rPr>
      </w:pPr>
    </w:p>
    <w:p w14:paraId="78252AC2">
      <w:pPr>
        <w:outlineLvl w:val="0"/>
        <w:rPr>
          <w:rFonts w:ascii="Arial Narrow" w:hAnsi="Arial Narrow" w:cs="Arial"/>
          <w:color w:val="FF0000"/>
          <w:sz w:val="20"/>
          <w:szCs w:val="20"/>
        </w:rPr>
      </w:pPr>
      <w:r>
        <w:rPr>
          <w:rFonts w:ascii="Arial Narrow" w:hAnsi="Arial Narrow"/>
          <w:color w:val="FF0000"/>
          <w:sz w:val="18"/>
          <w:szCs w:val="18"/>
        </w:rPr>
        <w:t xml:space="preserve">  </w:t>
      </w:r>
      <w:r>
        <w:rPr>
          <w:rFonts w:ascii="Arial Narrow" w:hAnsi="Arial Narrow" w:cs="Arial"/>
          <w:b/>
          <w:color w:val="FF0000"/>
          <w:sz w:val="18"/>
          <w:szCs w:val="18"/>
        </w:rPr>
        <w:t xml:space="preserve">Obec prijala nasledovné granty a transfery : </w:t>
      </w:r>
    </w:p>
    <w:p w14:paraId="5AFC89D9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- Finančné usporiadanie voči štátnemu rozpočtu:</w:t>
      </w:r>
    </w:p>
    <w:p w14:paraId="3D9E2D18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tbl>
      <w:tblPr>
        <w:tblStyle w:val="7"/>
        <w:tblpPr w:leftFromText="141" w:rightFromText="141" w:vertAnchor="text" w:horzAnchor="margin" w:tblpXSpec="center" w:tblpY="123"/>
        <w:tblW w:w="9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541"/>
        <w:gridCol w:w="1362"/>
        <w:gridCol w:w="1362"/>
        <w:gridCol w:w="1363"/>
      </w:tblGrid>
      <w:tr w14:paraId="203D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tblHeader/>
        </w:trPr>
        <w:tc>
          <w:tcPr>
            <w:tcW w:w="2376" w:type="dxa"/>
            <w:shd w:val="clear" w:color="auto" w:fill="D9D9D9"/>
            <w:vAlign w:val="center"/>
          </w:tcPr>
          <w:p w14:paraId="2E1D3A1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Poskytovateľ</w:t>
            </w:r>
          </w:p>
          <w:p w14:paraId="6EA0564F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08BEE77F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5445C62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541" w:type="dxa"/>
            <w:shd w:val="clear" w:color="auto" w:fill="D9D9D9"/>
            <w:vAlign w:val="center"/>
          </w:tcPr>
          <w:p w14:paraId="7C97096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Účelové určenie grantu, transferu</w:t>
            </w:r>
          </w:p>
          <w:p w14:paraId="6D5FFF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0EC3B52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1362" w:type="dxa"/>
            <w:shd w:val="clear" w:color="auto" w:fill="D9D9D9"/>
            <w:vAlign w:val="center"/>
          </w:tcPr>
          <w:p w14:paraId="29795B5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Suma poskyt. prostr.</w:t>
            </w:r>
          </w:p>
          <w:p w14:paraId="6C0F278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v r. 2024</w:t>
            </w:r>
          </w:p>
          <w:p w14:paraId="11325CA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1362" w:type="dxa"/>
            <w:shd w:val="clear" w:color="auto" w:fill="D9D9D9"/>
            <w:vAlign w:val="center"/>
          </w:tcPr>
          <w:p w14:paraId="344220E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Suma  použ. prostriedkov v roku 2024</w:t>
            </w:r>
          </w:p>
          <w:p w14:paraId="798B972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1363" w:type="dxa"/>
            <w:shd w:val="clear" w:color="auto" w:fill="D9D9D9"/>
            <w:vAlign w:val="center"/>
          </w:tcPr>
          <w:p w14:paraId="4935FDA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Rozdiel</w:t>
            </w:r>
          </w:p>
          <w:p w14:paraId="11F49F6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(stĺ.3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br w:type="textWrapping"/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- stĺ.4 )</w:t>
            </w:r>
          </w:p>
          <w:p w14:paraId="17A118C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</w:tr>
      <w:tr w14:paraId="731DC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vAlign w:val="center"/>
          </w:tcPr>
          <w:p w14:paraId="615F4A2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Ministerstvo vnútra SR</w:t>
            </w:r>
          </w:p>
        </w:tc>
        <w:tc>
          <w:tcPr>
            <w:tcW w:w="2541" w:type="dxa"/>
            <w:vAlign w:val="center"/>
          </w:tcPr>
          <w:p w14:paraId="36B2B4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Prenesený výkon štát. správy na úseku Register adries SR</w:t>
            </w:r>
          </w:p>
        </w:tc>
        <w:tc>
          <w:tcPr>
            <w:tcW w:w="1362" w:type="dxa"/>
            <w:vAlign w:val="center"/>
          </w:tcPr>
          <w:p w14:paraId="550BCDF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26,00</w:t>
            </w:r>
          </w:p>
        </w:tc>
        <w:tc>
          <w:tcPr>
            <w:tcW w:w="1362" w:type="dxa"/>
            <w:vAlign w:val="center"/>
          </w:tcPr>
          <w:p w14:paraId="04EB976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26,00</w:t>
            </w:r>
          </w:p>
        </w:tc>
        <w:tc>
          <w:tcPr>
            <w:tcW w:w="1363" w:type="dxa"/>
            <w:vAlign w:val="center"/>
          </w:tcPr>
          <w:p w14:paraId="5417EA35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</w:tr>
      <w:tr w14:paraId="1F4B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vAlign w:val="center"/>
          </w:tcPr>
          <w:p w14:paraId="1B7C1AD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Ministerstvo vnútra SR</w:t>
            </w:r>
          </w:p>
        </w:tc>
        <w:tc>
          <w:tcPr>
            <w:tcW w:w="2541" w:type="dxa"/>
            <w:vAlign w:val="center"/>
          </w:tcPr>
          <w:p w14:paraId="1943E4F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Prenesený výkon štát. správy na úseku REGOB SR</w:t>
            </w:r>
          </w:p>
        </w:tc>
        <w:tc>
          <w:tcPr>
            <w:tcW w:w="1362" w:type="dxa"/>
            <w:vAlign w:val="center"/>
          </w:tcPr>
          <w:p w14:paraId="156A101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129,69</w:t>
            </w:r>
          </w:p>
        </w:tc>
        <w:tc>
          <w:tcPr>
            <w:tcW w:w="1362" w:type="dxa"/>
            <w:vAlign w:val="center"/>
          </w:tcPr>
          <w:p w14:paraId="1892BEC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129,69</w:t>
            </w:r>
          </w:p>
        </w:tc>
        <w:tc>
          <w:tcPr>
            <w:tcW w:w="1363" w:type="dxa"/>
            <w:vAlign w:val="center"/>
          </w:tcPr>
          <w:p w14:paraId="38D27287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</w:tr>
      <w:tr w14:paraId="34559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vAlign w:val="center"/>
          </w:tcPr>
          <w:p w14:paraId="52FE7C2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Ministerstvo ŽP SR</w:t>
            </w:r>
          </w:p>
        </w:tc>
        <w:tc>
          <w:tcPr>
            <w:tcW w:w="2541" w:type="dxa"/>
            <w:vAlign w:val="center"/>
          </w:tcPr>
          <w:p w14:paraId="695782D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Prenesený výkon št. správy na úseku starostlivosti o život. prostredie</w:t>
            </w:r>
          </w:p>
        </w:tc>
        <w:tc>
          <w:tcPr>
            <w:tcW w:w="1362" w:type="dxa"/>
            <w:vAlign w:val="center"/>
          </w:tcPr>
          <w:p w14:paraId="28D0ADA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47,56</w:t>
            </w:r>
          </w:p>
        </w:tc>
        <w:tc>
          <w:tcPr>
            <w:tcW w:w="1362" w:type="dxa"/>
            <w:vAlign w:val="center"/>
          </w:tcPr>
          <w:p w14:paraId="3B0FFA8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47,56</w:t>
            </w:r>
          </w:p>
        </w:tc>
        <w:tc>
          <w:tcPr>
            <w:tcW w:w="1363" w:type="dxa"/>
            <w:vAlign w:val="center"/>
          </w:tcPr>
          <w:p w14:paraId="70E4C71F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</w:tr>
      <w:tr w14:paraId="2661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vAlign w:val="center"/>
          </w:tcPr>
          <w:p w14:paraId="6D086C7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Ministerstvo vnútra SR</w:t>
            </w:r>
          </w:p>
        </w:tc>
        <w:tc>
          <w:tcPr>
            <w:tcW w:w="2541" w:type="dxa"/>
            <w:vAlign w:val="center"/>
          </w:tcPr>
          <w:p w14:paraId="74EEA18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voľby</w:t>
            </w:r>
          </w:p>
        </w:tc>
        <w:tc>
          <w:tcPr>
            <w:tcW w:w="1362" w:type="dxa"/>
            <w:vAlign w:val="center"/>
          </w:tcPr>
          <w:p w14:paraId="24F50472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2 738,01</w:t>
            </w:r>
          </w:p>
        </w:tc>
        <w:tc>
          <w:tcPr>
            <w:tcW w:w="1362" w:type="dxa"/>
            <w:vAlign w:val="center"/>
          </w:tcPr>
          <w:p w14:paraId="131E78E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2738,01</w:t>
            </w:r>
          </w:p>
        </w:tc>
        <w:tc>
          <w:tcPr>
            <w:tcW w:w="1363" w:type="dxa"/>
            <w:vAlign w:val="center"/>
          </w:tcPr>
          <w:p w14:paraId="6EA6262E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0,00</w:t>
            </w:r>
          </w:p>
        </w:tc>
      </w:tr>
      <w:tr w14:paraId="6F3E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vAlign w:val="center"/>
          </w:tcPr>
          <w:p w14:paraId="399BCDE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Ministerstvo vnútra SR</w:t>
            </w:r>
          </w:p>
        </w:tc>
        <w:tc>
          <w:tcPr>
            <w:tcW w:w="2541" w:type="dxa"/>
            <w:vAlign w:val="center"/>
          </w:tcPr>
          <w:p w14:paraId="314C62E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Energošeky</w:t>
            </w:r>
          </w:p>
        </w:tc>
        <w:tc>
          <w:tcPr>
            <w:tcW w:w="1362" w:type="dxa"/>
            <w:vAlign w:val="center"/>
          </w:tcPr>
          <w:p w14:paraId="3F08996D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188,,52</w:t>
            </w:r>
          </w:p>
        </w:tc>
        <w:tc>
          <w:tcPr>
            <w:tcW w:w="1362" w:type="dxa"/>
            <w:vAlign w:val="center"/>
          </w:tcPr>
          <w:p w14:paraId="7C49B2DF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188,52</w:t>
            </w:r>
          </w:p>
        </w:tc>
        <w:tc>
          <w:tcPr>
            <w:tcW w:w="1363" w:type="dxa"/>
            <w:vAlign w:val="center"/>
          </w:tcPr>
          <w:p w14:paraId="573DFD5E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0,00</w:t>
            </w:r>
          </w:p>
        </w:tc>
      </w:tr>
      <w:tr w14:paraId="4B06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vAlign w:val="center"/>
          </w:tcPr>
          <w:p w14:paraId="23E7718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Úrad práce</w:t>
            </w:r>
          </w:p>
        </w:tc>
        <w:tc>
          <w:tcPr>
            <w:tcW w:w="2541" w:type="dxa"/>
            <w:vAlign w:val="center"/>
          </w:tcPr>
          <w:p w14:paraId="507BD2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Aktivačná činnosť</w:t>
            </w:r>
          </w:p>
        </w:tc>
        <w:tc>
          <w:tcPr>
            <w:tcW w:w="1362" w:type="dxa"/>
            <w:vAlign w:val="center"/>
          </w:tcPr>
          <w:p w14:paraId="50AD8160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17,11</w:t>
            </w:r>
          </w:p>
        </w:tc>
        <w:tc>
          <w:tcPr>
            <w:tcW w:w="1362" w:type="dxa"/>
            <w:vAlign w:val="center"/>
          </w:tcPr>
          <w:p w14:paraId="73B07C8C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17,11</w:t>
            </w:r>
          </w:p>
        </w:tc>
        <w:tc>
          <w:tcPr>
            <w:tcW w:w="1363" w:type="dxa"/>
            <w:vAlign w:val="center"/>
          </w:tcPr>
          <w:p w14:paraId="452B5CCF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148EF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vAlign w:val="center"/>
          </w:tcPr>
          <w:p w14:paraId="5C5D32E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Úrad práce</w:t>
            </w:r>
          </w:p>
        </w:tc>
        <w:tc>
          <w:tcPr>
            <w:tcW w:w="2541" w:type="dxa"/>
            <w:vAlign w:val="center"/>
          </w:tcPr>
          <w:p w14:paraId="47D83DC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Detské prídavky</w:t>
            </w:r>
          </w:p>
        </w:tc>
        <w:tc>
          <w:tcPr>
            <w:tcW w:w="1362" w:type="dxa"/>
            <w:vAlign w:val="center"/>
          </w:tcPr>
          <w:p w14:paraId="418AD56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1 200,00</w:t>
            </w:r>
          </w:p>
        </w:tc>
        <w:tc>
          <w:tcPr>
            <w:tcW w:w="1362" w:type="dxa"/>
            <w:vAlign w:val="center"/>
          </w:tcPr>
          <w:p w14:paraId="04B0CA91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1 200,00</w:t>
            </w:r>
          </w:p>
        </w:tc>
        <w:tc>
          <w:tcPr>
            <w:tcW w:w="1363" w:type="dxa"/>
            <w:vAlign w:val="center"/>
          </w:tcPr>
          <w:p w14:paraId="73FDC9F2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148B5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vAlign w:val="center"/>
          </w:tcPr>
          <w:p w14:paraId="4A05AC3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DPO SR</w:t>
            </w:r>
          </w:p>
        </w:tc>
        <w:tc>
          <w:tcPr>
            <w:tcW w:w="2541" w:type="dxa"/>
            <w:vAlign w:val="center"/>
          </w:tcPr>
          <w:p w14:paraId="6204E34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Dotácia PO</w:t>
            </w:r>
          </w:p>
        </w:tc>
        <w:tc>
          <w:tcPr>
            <w:tcW w:w="1362" w:type="dxa"/>
            <w:vAlign w:val="center"/>
          </w:tcPr>
          <w:p w14:paraId="02B85B98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3000,00</w:t>
            </w:r>
          </w:p>
        </w:tc>
        <w:tc>
          <w:tcPr>
            <w:tcW w:w="1362" w:type="dxa"/>
            <w:vAlign w:val="center"/>
          </w:tcPr>
          <w:p w14:paraId="1CC4B61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2 954,60</w:t>
            </w:r>
          </w:p>
        </w:tc>
        <w:tc>
          <w:tcPr>
            <w:tcW w:w="1363" w:type="dxa"/>
            <w:vAlign w:val="center"/>
          </w:tcPr>
          <w:p w14:paraId="7972BC88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45,40</w:t>
            </w:r>
          </w:p>
        </w:tc>
      </w:tr>
      <w:tr w14:paraId="4605E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376" w:type="dxa"/>
            <w:vAlign w:val="center"/>
          </w:tcPr>
          <w:p w14:paraId="14A6FC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Environmentálny fond</w:t>
            </w:r>
          </w:p>
        </w:tc>
        <w:tc>
          <w:tcPr>
            <w:tcW w:w="2541" w:type="dxa"/>
            <w:vAlign w:val="center"/>
          </w:tcPr>
          <w:p w14:paraId="103100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Uloženie odpadov</w:t>
            </w:r>
          </w:p>
        </w:tc>
        <w:tc>
          <w:tcPr>
            <w:tcW w:w="1362" w:type="dxa"/>
            <w:vAlign w:val="center"/>
          </w:tcPr>
          <w:p w14:paraId="6B8B54C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363,90</w:t>
            </w:r>
          </w:p>
        </w:tc>
        <w:tc>
          <w:tcPr>
            <w:tcW w:w="1362" w:type="dxa"/>
            <w:vAlign w:val="center"/>
          </w:tcPr>
          <w:p w14:paraId="56561AD8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363,90</w:t>
            </w:r>
          </w:p>
        </w:tc>
        <w:tc>
          <w:tcPr>
            <w:tcW w:w="1363" w:type="dxa"/>
            <w:vAlign w:val="center"/>
          </w:tcPr>
          <w:p w14:paraId="15DF6CE5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</w:tr>
      <w:tr w14:paraId="1F49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vAlign w:val="center"/>
          </w:tcPr>
          <w:p w14:paraId="7059E1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Dotácia KSK</w:t>
            </w:r>
          </w:p>
        </w:tc>
        <w:tc>
          <w:tcPr>
            <w:tcW w:w="2541" w:type="dxa"/>
            <w:vAlign w:val="center"/>
          </w:tcPr>
          <w:p w14:paraId="1A86D03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Defibrilátor</w:t>
            </w:r>
          </w:p>
        </w:tc>
        <w:tc>
          <w:tcPr>
            <w:tcW w:w="1362" w:type="dxa"/>
            <w:vAlign w:val="center"/>
          </w:tcPr>
          <w:p w14:paraId="7575CFB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1 000,00</w:t>
            </w:r>
          </w:p>
        </w:tc>
        <w:tc>
          <w:tcPr>
            <w:tcW w:w="1362" w:type="dxa"/>
            <w:vAlign w:val="center"/>
          </w:tcPr>
          <w:p w14:paraId="3E43834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1 000,00</w:t>
            </w:r>
          </w:p>
        </w:tc>
        <w:tc>
          <w:tcPr>
            <w:tcW w:w="1363" w:type="dxa"/>
            <w:vAlign w:val="center"/>
          </w:tcPr>
          <w:p w14:paraId="771BC13B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</w:tr>
    </w:tbl>
    <w:p w14:paraId="44161993">
      <w:pPr>
        <w:ind w:left="709"/>
        <w:jc w:val="center"/>
        <w:rPr>
          <w:rFonts w:ascii="Arial Narrow" w:hAnsi="Arial Narrow" w:cs="Arial"/>
          <w:color w:val="FF0000"/>
          <w:sz w:val="20"/>
          <w:szCs w:val="20"/>
        </w:rPr>
      </w:pPr>
    </w:p>
    <w:p w14:paraId="4091002F">
      <w:pPr>
        <w:numPr>
          <w:ilvl w:val="0"/>
          <w:numId w:val="11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color w:val="FF0000"/>
          <w:sz w:val="20"/>
          <w:szCs w:val="20"/>
        </w:rPr>
        <w:t xml:space="preserve">Finančné usporiadanie voči rozpočtom iných obcí Obec </w:t>
      </w:r>
    </w:p>
    <w:tbl>
      <w:tblPr>
        <w:tblStyle w:val="7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2587"/>
        <w:gridCol w:w="1366"/>
        <w:gridCol w:w="1366"/>
        <w:gridCol w:w="1367"/>
      </w:tblGrid>
      <w:tr w14:paraId="17795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tblHeader/>
          <w:jc w:val="center"/>
        </w:trPr>
        <w:tc>
          <w:tcPr>
            <w:tcW w:w="2345" w:type="dxa"/>
            <w:shd w:val="clear" w:color="auto" w:fill="D9D9D9"/>
            <w:vAlign w:val="center"/>
          </w:tcPr>
          <w:p w14:paraId="2DC3AFB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bookmarkStart w:id="30" w:name="_Hlk133226066"/>
            <w:r>
              <w:rPr>
                <w:rFonts w:ascii="Arial Narrow" w:hAnsi="Arial Narrow" w:cs="Arial"/>
                <w:b/>
                <w:sz w:val="18"/>
                <w:szCs w:val="18"/>
              </w:rPr>
              <w:t>Poskytovateľ</w:t>
            </w:r>
          </w:p>
          <w:p w14:paraId="08847B3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  <w:tc>
          <w:tcPr>
            <w:tcW w:w="2587" w:type="dxa"/>
            <w:shd w:val="clear" w:color="auto" w:fill="D9D9D9"/>
            <w:vAlign w:val="center"/>
          </w:tcPr>
          <w:p w14:paraId="7AC64C9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  <w:p w14:paraId="75520BC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</w:tc>
        <w:tc>
          <w:tcPr>
            <w:tcW w:w="1366" w:type="dxa"/>
            <w:shd w:val="clear" w:color="auto" w:fill="D9D9D9"/>
            <w:vAlign w:val="center"/>
          </w:tcPr>
          <w:p w14:paraId="0F79904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poskyt. prostr.</w:t>
            </w:r>
          </w:p>
          <w:p w14:paraId="5CA7FA9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v r. 2024</w:t>
            </w:r>
          </w:p>
          <w:p w14:paraId="46E1694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  <w:tc>
          <w:tcPr>
            <w:tcW w:w="1366" w:type="dxa"/>
            <w:shd w:val="clear" w:color="auto" w:fill="D9D9D9"/>
            <w:vAlign w:val="center"/>
          </w:tcPr>
          <w:p w14:paraId="41F8960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 použ. prostriedkov v roku 2024</w:t>
            </w:r>
          </w:p>
          <w:p w14:paraId="33395A2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  <w:tc>
          <w:tcPr>
            <w:tcW w:w="1367" w:type="dxa"/>
            <w:shd w:val="clear" w:color="auto" w:fill="D9D9D9"/>
            <w:vAlign w:val="center"/>
          </w:tcPr>
          <w:p w14:paraId="6AC1A52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4B11FED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(stĺ.3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br w:type="textWrapping"/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- stĺ.4 )</w:t>
            </w:r>
          </w:p>
          <w:p w14:paraId="6184C37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</w:t>
            </w:r>
          </w:p>
        </w:tc>
      </w:tr>
      <w:tr w14:paraId="3A295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345" w:type="dxa"/>
            <w:vAlign w:val="center"/>
          </w:tcPr>
          <w:p w14:paraId="61A6AE7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Obec Nižný Klátov </w:t>
            </w:r>
          </w:p>
        </w:tc>
        <w:tc>
          <w:tcPr>
            <w:tcW w:w="2587" w:type="dxa"/>
            <w:vAlign w:val="center"/>
          </w:tcPr>
          <w:p w14:paraId="58C3BF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Činnosť a nákup materiálu</w:t>
            </w:r>
          </w:p>
        </w:tc>
        <w:tc>
          <w:tcPr>
            <w:tcW w:w="1366" w:type="dxa"/>
            <w:vAlign w:val="center"/>
          </w:tcPr>
          <w:p w14:paraId="4CA21F3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1366" w:type="dxa"/>
            <w:vAlign w:val="center"/>
          </w:tcPr>
          <w:p w14:paraId="0DD69AB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1367" w:type="dxa"/>
            <w:vAlign w:val="center"/>
          </w:tcPr>
          <w:p w14:paraId="0C0B3FB9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bookmarkEnd w:id="30"/>
    </w:tbl>
    <w:p w14:paraId="4F0ADC19">
      <w:pPr>
        <w:ind w:left="709"/>
        <w:rPr>
          <w:rFonts w:ascii="Arial Narrow" w:hAnsi="Arial Narrow" w:cs="Arial"/>
          <w:sz w:val="20"/>
          <w:szCs w:val="20"/>
        </w:rPr>
      </w:pPr>
    </w:p>
    <w:p w14:paraId="6677E8C7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Finančné prostriedky uvedené obce zaslala na základe Zmluvy o spolupráci pri plnení úloh na úseku ochrany pred požiarmi uzatvorenej medzi obcou Zlatá Idka a Nižný Klátov dňa 7.7.2020 </w:t>
      </w:r>
    </w:p>
    <w:p w14:paraId="241E3CCD">
      <w:pPr>
        <w:jc w:val="both"/>
        <w:rPr>
          <w:rFonts w:ascii="Arial Narrow" w:hAnsi="Arial Narrow"/>
          <w:color w:val="FF0000"/>
          <w:sz w:val="20"/>
          <w:szCs w:val="20"/>
        </w:rPr>
      </w:pPr>
    </w:p>
    <w:p w14:paraId="1E680B60">
      <w:pPr>
        <w:numPr>
          <w:ilvl w:val="0"/>
          <w:numId w:val="11"/>
        </w:numPr>
        <w:jc w:val="both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/>
          <w:color w:val="FF0000"/>
          <w:sz w:val="20"/>
          <w:szCs w:val="20"/>
        </w:rPr>
        <w:t>Fyzická osoba, právnicke osoby</w:t>
      </w:r>
      <w:bookmarkStart w:id="31" w:name="_Hlk133226018"/>
    </w:p>
    <w:tbl>
      <w:tblPr>
        <w:tblStyle w:val="7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2614"/>
        <w:gridCol w:w="1380"/>
        <w:gridCol w:w="1380"/>
        <w:gridCol w:w="1381"/>
      </w:tblGrid>
      <w:tr w14:paraId="3C73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8" w:hRule="atLeast"/>
          <w:tblHeader/>
          <w:jc w:val="center"/>
        </w:trPr>
        <w:tc>
          <w:tcPr>
            <w:tcW w:w="2370" w:type="dxa"/>
            <w:shd w:val="clear" w:color="auto" w:fill="D9D9D9"/>
            <w:vAlign w:val="center"/>
          </w:tcPr>
          <w:p w14:paraId="4C97F19F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Poskytovateľ</w:t>
            </w:r>
          </w:p>
          <w:p w14:paraId="5B23B33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026389D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B02B5BF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614" w:type="dxa"/>
            <w:shd w:val="clear" w:color="auto" w:fill="D9D9D9"/>
            <w:vAlign w:val="center"/>
          </w:tcPr>
          <w:p w14:paraId="24548BA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Účelové určenie grantu, transferu</w:t>
            </w:r>
          </w:p>
          <w:p w14:paraId="5FE36F5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5BDADB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1380" w:type="dxa"/>
            <w:shd w:val="clear" w:color="auto" w:fill="D9D9D9"/>
            <w:vAlign w:val="center"/>
          </w:tcPr>
          <w:p w14:paraId="6BCB598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Suma poskyt. prostr.</w:t>
            </w:r>
          </w:p>
          <w:p w14:paraId="2A9ADDD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v r. 2024</w:t>
            </w:r>
          </w:p>
          <w:p w14:paraId="62DFA6D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1380" w:type="dxa"/>
            <w:shd w:val="clear" w:color="auto" w:fill="D9D9D9"/>
            <w:vAlign w:val="center"/>
          </w:tcPr>
          <w:p w14:paraId="7374F8C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Suma  použ. prostriedkov v roku 2024</w:t>
            </w:r>
          </w:p>
          <w:p w14:paraId="52BCC7A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shd w:val="clear" w:color="auto" w:fill="D9D9D9"/>
            <w:vAlign w:val="center"/>
          </w:tcPr>
          <w:p w14:paraId="499FFF0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Rozdiel</w:t>
            </w:r>
          </w:p>
          <w:p w14:paraId="5DBFCD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(stĺ.3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br w:type="textWrapping"/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- stĺ.4 )</w:t>
            </w:r>
          </w:p>
          <w:p w14:paraId="70FED0B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</w:tr>
      <w:tr w14:paraId="5F5BF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370" w:type="dxa"/>
            <w:vAlign w:val="center"/>
          </w:tcPr>
          <w:p w14:paraId="54C20F23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Fyz. osoba</w:t>
            </w:r>
          </w:p>
        </w:tc>
        <w:tc>
          <w:tcPr>
            <w:tcW w:w="2614" w:type="dxa"/>
            <w:vAlign w:val="center"/>
          </w:tcPr>
          <w:p w14:paraId="0A4EB9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Dar</w:t>
            </w:r>
          </w:p>
        </w:tc>
        <w:tc>
          <w:tcPr>
            <w:tcW w:w="1380" w:type="dxa"/>
            <w:vAlign w:val="center"/>
          </w:tcPr>
          <w:p w14:paraId="31131C7C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2 900,00</w:t>
            </w:r>
          </w:p>
        </w:tc>
        <w:tc>
          <w:tcPr>
            <w:tcW w:w="1380" w:type="dxa"/>
            <w:vAlign w:val="center"/>
          </w:tcPr>
          <w:p w14:paraId="5307150F">
            <w:pPr>
              <w:wordWrap w:val="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2 900,00</w:t>
            </w:r>
          </w:p>
        </w:tc>
        <w:tc>
          <w:tcPr>
            <w:tcW w:w="1381" w:type="dxa"/>
            <w:vAlign w:val="center"/>
          </w:tcPr>
          <w:p w14:paraId="053545A4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bookmarkEnd w:id="31"/>
    </w:tbl>
    <w:p w14:paraId="36AEC247">
      <w:pPr>
        <w:pStyle w:val="38"/>
        <w:tabs>
          <w:tab w:val="clear" w:pos="426"/>
        </w:tabs>
        <w:ind w:left="0" w:firstLine="0"/>
        <w:rPr>
          <w:rFonts w:ascii="Arial Narrow" w:hAnsi="Arial Narrow"/>
          <w:color w:val="FF0000"/>
          <w:szCs w:val="18"/>
        </w:rPr>
      </w:pPr>
    </w:p>
    <w:p w14:paraId="14F1C77C">
      <w:pPr>
        <w:pStyle w:val="3"/>
        <w:rPr>
          <w:rFonts w:ascii="Arial Narrow" w:hAnsi="Arial Narrow"/>
          <w:b/>
          <w:color w:val="FF0000"/>
          <w:sz w:val="24"/>
          <w:szCs w:val="24"/>
        </w:rPr>
      </w:pPr>
      <w:bookmarkStart w:id="32" w:name="_Toc74047057"/>
      <w:r>
        <w:rPr>
          <w:rFonts w:ascii="Arial Narrow" w:hAnsi="Arial Narrow"/>
          <w:b/>
          <w:color w:val="FF0000"/>
          <w:sz w:val="24"/>
          <w:szCs w:val="24"/>
        </w:rPr>
        <w:t>10.2 Poskytnuté dotácie</w:t>
      </w:r>
      <w:bookmarkEnd w:id="32"/>
    </w:p>
    <w:p w14:paraId="69916606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Obec v roku 2024 poskytla z rozpočtu dotáciu v súlade na  rozvoj športu a pre občianske združenia . </w:t>
      </w:r>
    </w:p>
    <w:p w14:paraId="0B6375C0">
      <w:pPr>
        <w:ind w:left="1069" w:hanging="360"/>
        <w:rPr>
          <w:rFonts w:ascii="Arial Narrow" w:hAnsi="Arial Narrow" w:cs="Arial"/>
          <w:b/>
          <w:sz w:val="20"/>
          <w:szCs w:val="20"/>
        </w:rPr>
      </w:pPr>
    </w:p>
    <w:tbl>
      <w:tblPr>
        <w:tblStyle w:val="7"/>
        <w:tblW w:w="9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8"/>
        <w:gridCol w:w="16"/>
        <w:gridCol w:w="1606"/>
        <w:gridCol w:w="1606"/>
        <w:gridCol w:w="1562"/>
      </w:tblGrid>
      <w:tr w14:paraId="3AC6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464" w:type="dxa"/>
            <w:gridSpan w:val="2"/>
            <w:shd w:val="clear" w:color="auto" w:fill="D9D9D9"/>
            <w:vAlign w:val="center"/>
          </w:tcPr>
          <w:p w14:paraId="5240506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Žiadateľ dotácie</w:t>
            </w:r>
          </w:p>
          <w:p w14:paraId="38BAA09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Účelové určenie dotácie</w:t>
            </w:r>
          </w:p>
          <w:p w14:paraId="7AF5EA1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5B43BBB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1606" w:type="dxa"/>
            <w:shd w:val="clear" w:color="auto" w:fill="D9D9D9"/>
            <w:vAlign w:val="center"/>
          </w:tcPr>
          <w:p w14:paraId="1FFC5E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Suma poskyt. prostr.</w:t>
            </w:r>
          </w:p>
          <w:p w14:paraId="0AFA072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v r. 2024</w:t>
            </w:r>
          </w:p>
          <w:p w14:paraId="719D712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1606" w:type="dxa"/>
            <w:shd w:val="clear" w:color="auto" w:fill="D9D9D9"/>
            <w:vAlign w:val="center"/>
          </w:tcPr>
          <w:p w14:paraId="1A77BB2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Suma  použ. prostriedkov v roku 2024</w:t>
            </w:r>
          </w:p>
          <w:p w14:paraId="140E48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1562" w:type="dxa"/>
            <w:shd w:val="clear" w:color="auto" w:fill="D9D9D9"/>
            <w:vAlign w:val="center"/>
          </w:tcPr>
          <w:p w14:paraId="056E7F7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Rozdiel</w:t>
            </w:r>
          </w:p>
          <w:p w14:paraId="42E50C4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(stĺ.2 - stĺ.3 )</w:t>
            </w:r>
          </w:p>
          <w:p w14:paraId="5392436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55C823D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</w:tr>
      <w:tr w14:paraId="33E31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3" w:hRule="atLeast"/>
          <w:jc w:val="center"/>
        </w:trPr>
        <w:tc>
          <w:tcPr>
            <w:tcW w:w="4464" w:type="dxa"/>
            <w:gridSpan w:val="2"/>
            <w:vAlign w:val="center"/>
          </w:tcPr>
          <w:p w14:paraId="6DB55111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Dobrovoľný hasičský zbor. Činnosť a nákup materiálu.</w:t>
            </w:r>
          </w:p>
        </w:tc>
        <w:tc>
          <w:tcPr>
            <w:tcW w:w="1606" w:type="dxa"/>
            <w:vAlign w:val="center"/>
          </w:tcPr>
          <w:p w14:paraId="49AD2430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3 500,00</w:t>
            </w:r>
          </w:p>
        </w:tc>
        <w:tc>
          <w:tcPr>
            <w:tcW w:w="1606" w:type="dxa"/>
            <w:vAlign w:val="center"/>
          </w:tcPr>
          <w:p w14:paraId="64EEFE2C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3 499,75</w:t>
            </w:r>
          </w:p>
        </w:tc>
        <w:tc>
          <w:tcPr>
            <w:tcW w:w="1562" w:type="dxa"/>
            <w:vAlign w:val="center"/>
          </w:tcPr>
          <w:p w14:paraId="4342C1A8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0,25</w:t>
            </w:r>
          </w:p>
        </w:tc>
      </w:tr>
      <w:tr w14:paraId="7988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9" w:hRule="atLeast"/>
          <w:jc w:val="center"/>
        </w:trPr>
        <w:tc>
          <w:tcPr>
            <w:tcW w:w="4448" w:type="dxa"/>
            <w:vAlign w:val="center"/>
          </w:tcPr>
          <w:p w14:paraId="63F24936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FO TJ Pokrok. Činnosť a nákup materiálu.</w:t>
            </w:r>
          </w:p>
        </w:tc>
        <w:tc>
          <w:tcPr>
            <w:tcW w:w="1622" w:type="dxa"/>
            <w:gridSpan w:val="2"/>
            <w:vAlign w:val="center"/>
          </w:tcPr>
          <w:p w14:paraId="5CB95A85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3 000,00</w:t>
            </w:r>
          </w:p>
        </w:tc>
        <w:tc>
          <w:tcPr>
            <w:tcW w:w="1606" w:type="dxa"/>
            <w:vAlign w:val="center"/>
          </w:tcPr>
          <w:p w14:paraId="6AA3BF2D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3 000,00</w:t>
            </w:r>
          </w:p>
        </w:tc>
        <w:tc>
          <w:tcPr>
            <w:tcW w:w="1562" w:type="dxa"/>
            <w:vAlign w:val="center"/>
          </w:tcPr>
          <w:p w14:paraId="4DB84FB3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14:paraId="7C7A4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1" w:hRule="atLeast"/>
          <w:jc w:val="center"/>
        </w:trPr>
        <w:tc>
          <w:tcPr>
            <w:tcW w:w="4448" w:type="dxa"/>
            <w:vAlign w:val="center"/>
          </w:tcPr>
          <w:p w14:paraId="73D6F32C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Rímskokatolícka cirkev Zlatá Idka.</w:t>
            </w:r>
          </w:p>
        </w:tc>
        <w:tc>
          <w:tcPr>
            <w:tcW w:w="1622" w:type="dxa"/>
            <w:gridSpan w:val="2"/>
            <w:vAlign w:val="center"/>
          </w:tcPr>
          <w:p w14:paraId="267906ED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606" w:type="dxa"/>
            <w:vAlign w:val="center"/>
          </w:tcPr>
          <w:p w14:paraId="538420C0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562" w:type="dxa"/>
            <w:vAlign w:val="center"/>
          </w:tcPr>
          <w:p w14:paraId="643C0504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  <w:p w14:paraId="13CA1FD4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14:paraId="77E6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4" w:hRule="atLeast"/>
          <w:jc w:val="center"/>
        </w:trPr>
        <w:tc>
          <w:tcPr>
            <w:tcW w:w="4448" w:type="dxa"/>
            <w:vAlign w:val="center"/>
          </w:tcPr>
          <w:p w14:paraId="48C483DB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Centrum voľného času - činnosť krúžkov</w:t>
            </w:r>
          </w:p>
        </w:tc>
        <w:tc>
          <w:tcPr>
            <w:tcW w:w="1622" w:type="dxa"/>
            <w:gridSpan w:val="2"/>
            <w:vAlign w:val="center"/>
          </w:tcPr>
          <w:p w14:paraId="027F009D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300,00</w:t>
            </w:r>
          </w:p>
        </w:tc>
        <w:tc>
          <w:tcPr>
            <w:tcW w:w="1606" w:type="dxa"/>
            <w:vAlign w:val="center"/>
          </w:tcPr>
          <w:p w14:paraId="06AD39F8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300,00</w:t>
            </w:r>
          </w:p>
        </w:tc>
        <w:tc>
          <w:tcPr>
            <w:tcW w:w="1562" w:type="dxa"/>
            <w:vAlign w:val="center"/>
          </w:tcPr>
          <w:p w14:paraId="7F275CCD">
            <w:pPr>
              <w:tabs>
                <w:tab w:val="left" w:pos="3060"/>
                <w:tab w:val="left" w:pos="5400"/>
                <w:tab w:val="left" w:pos="7560"/>
              </w:tabs>
              <w:ind w:left="468" w:firstLine="100" w:firstLineChars="5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14:paraId="588BC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1" w:hRule="atLeast"/>
          <w:jc w:val="center"/>
        </w:trPr>
        <w:tc>
          <w:tcPr>
            <w:tcW w:w="4448" w:type="dxa"/>
            <w:vAlign w:val="center"/>
          </w:tcPr>
          <w:p w14:paraId="720FC764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Obec Hýľov - škôlka</w:t>
            </w:r>
          </w:p>
        </w:tc>
        <w:tc>
          <w:tcPr>
            <w:tcW w:w="1622" w:type="dxa"/>
            <w:gridSpan w:val="2"/>
            <w:vAlign w:val="center"/>
          </w:tcPr>
          <w:p w14:paraId="42ECB056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100,00</w:t>
            </w:r>
          </w:p>
        </w:tc>
        <w:tc>
          <w:tcPr>
            <w:tcW w:w="1606" w:type="dxa"/>
            <w:vAlign w:val="center"/>
          </w:tcPr>
          <w:p w14:paraId="1D68038D">
            <w:pPr>
              <w:tabs>
                <w:tab w:val="left" w:pos="3060"/>
                <w:tab w:val="left" w:pos="5400"/>
                <w:tab w:val="left" w:pos="756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100,00</w:t>
            </w:r>
          </w:p>
        </w:tc>
        <w:tc>
          <w:tcPr>
            <w:tcW w:w="1562" w:type="dxa"/>
            <w:vAlign w:val="center"/>
          </w:tcPr>
          <w:p w14:paraId="3999960E">
            <w:pPr>
              <w:tabs>
                <w:tab w:val="left" w:pos="3060"/>
                <w:tab w:val="left" w:pos="5400"/>
                <w:tab w:val="left" w:pos="7560"/>
              </w:tabs>
              <w:ind w:left="468" w:firstLine="100" w:firstLineChars="5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</w:tbl>
    <w:p w14:paraId="6A7D0A70">
      <w:pPr>
        <w:rPr>
          <w:color w:val="FF0000"/>
        </w:rPr>
      </w:pPr>
    </w:p>
    <w:p w14:paraId="197C5CDB">
      <w:pPr>
        <w:rPr>
          <w:rFonts w:ascii="Arial Narrow" w:hAnsi="Arial Narrow" w:cs="Arial"/>
          <w:b/>
          <w:sz w:val="20"/>
          <w:szCs w:val="20"/>
        </w:rPr>
      </w:pPr>
    </w:p>
    <w:p w14:paraId="6D99586A">
      <w:pPr>
        <w:pStyle w:val="3"/>
        <w:rPr>
          <w:rFonts w:ascii="Arial Narrow" w:hAnsi="Arial Narrow"/>
          <w:b/>
          <w:color w:val="FF0000"/>
          <w:sz w:val="24"/>
          <w:szCs w:val="24"/>
        </w:rPr>
      </w:pPr>
      <w:bookmarkStart w:id="33" w:name="_Toc74047058"/>
      <w:r>
        <w:rPr>
          <w:rFonts w:ascii="Arial Narrow" w:hAnsi="Arial Narrow"/>
          <w:b/>
          <w:color w:val="FF0000"/>
          <w:sz w:val="24"/>
          <w:szCs w:val="24"/>
        </w:rPr>
        <w:t>10.3 Významné investičné akcie v roku 202</w:t>
      </w:r>
      <w:bookmarkEnd w:id="33"/>
      <w:r>
        <w:rPr>
          <w:rFonts w:ascii="Arial Narrow" w:hAnsi="Arial Narrow"/>
          <w:b/>
          <w:color w:val="FF0000"/>
          <w:sz w:val="24"/>
          <w:szCs w:val="24"/>
        </w:rPr>
        <w:t>4</w:t>
      </w:r>
    </w:p>
    <w:p w14:paraId="32C1CBDE"/>
    <w:p w14:paraId="3EA76754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- Nákup traktora a doplnkov k nemu</w:t>
      </w:r>
    </w:p>
    <w:p w14:paraId="72951BC6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61D5624F">
      <w:pPr>
        <w:pStyle w:val="3"/>
        <w:rPr>
          <w:rFonts w:ascii="Arial Narrow" w:hAnsi="Arial Narrow"/>
          <w:b/>
          <w:color w:val="auto"/>
          <w:sz w:val="24"/>
          <w:szCs w:val="24"/>
        </w:rPr>
      </w:pPr>
      <w:bookmarkStart w:id="34" w:name="_Toc74047059"/>
      <w:r>
        <w:rPr>
          <w:rFonts w:ascii="Arial Narrow" w:hAnsi="Arial Narrow"/>
          <w:b/>
          <w:color w:val="auto"/>
          <w:sz w:val="24"/>
          <w:szCs w:val="24"/>
        </w:rPr>
        <w:t>10.4 Predpokladaný budúci vývoj činností</w:t>
      </w:r>
      <w:bookmarkEnd w:id="34"/>
    </w:p>
    <w:p w14:paraId="5788EA67"/>
    <w:p w14:paraId="10FD53FE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 xml:space="preserve">- rozšírenie obecnej kanalizácie </w:t>
      </w:r>
    </w:p>
    <w:p w14:paraId="6C0AF87D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- zmena územného plánu</w:t>
      </w:r>
    </w:p>
    <w:p w14:paraId="2587E8D5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1A3144B9">
      <w:pPr>
        <w:pStyle w:val="3"/>
        <w:rPr>
          <w:rFonts w:ascii="Arial Narrow" w:hAnsi="Arial Narrow"/>
          <w:b/>
          <w:color w:val="auto"/>
          <w:sz w:val="24"/>
          <w:szCs w:val="24"/>
        </w:rPr>
      </w:pPr>
      <w:bookmarkStart w:id="35" w:name="_Toc74047060"/>
      <w:r>
        <w:rPr>
          <w:rFonts w:ascii="Arial Narrow" w:hAnsi="Arial Narrow"/>
          <w:b/>
          <w:color w:val="auto"/>
          <w:sz w:val="24"/>
          <w:szCs w:val="24"/>
        </w:rPr>
        <w:t>10.5 Udalosti osobitného významu po ukončení účtovného obdobia</w:t>
      </w:r>
      <w:bookmarkEnd w:id="35"/>
    </w:p>
    <w:p w14:paraId="6B317B50"/>
    <w:p w14:paraId="278B8C9B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- obec nezaznamenala žiadnu udalosť osobitného významu po skončení účtovného obdobia, za ktoré sa vyhotovuje výročná správa</w:t>
      </w:r>
    </w:p>
    <w:p w14:paraId="140B8376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 xml:space="preserve">- </w:t>
      </w:r>
      <w:r>
        <w:rPr>
          <w:rFonts w:ascii="Arial Narrow" w:hAnsi="Arial Narrow"/>
          <w:sz w:val="20"/>
          <w:szCs w:val="20"/>
        </w:rPr>
        <w:t>Riziká obce: Obec momentálne nevedie žiaden súdny spor.</w:t>
      </w:r>
    </w:p>
    <w:p w14:paraId="63DE6BA8">
      <w:pPr>
        <w:pStyle w:val="14"/>
        <w:spacing w:before="30" w:beforeAutospacing="0" w:after="0" w:afterAutospacing="0"/>
        <w:ind w:right="234"/>
        <w:jc w:val="both"/>
        <w:rPr>
          <w:rFonts w:ascii="Arial Narrow" w:hAnsi="Arial Narrow"/>
          <w:color w:val="000000"/>
          <w:sz w:val="20"/>
          <w:szCs w:val="20"/>
        </w:rPr>
      </w:pPr>
    </w:p>
    <w:p w14:paraId="0CA2CC4F">
      <w:pPr>
        <w:pStyle w:val="14"/>
        <w:spacing w:before="30" w:beforeAutospacing="0" w:after="0" w:afterAutospacing="0"/>
        <w:ind w:right="23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                         </w:t>
      </w:r>
      <w:r>
        <w:rPr>
          <w:rFonts w:ascii="Arial Narrow" w:hAnsi="Arial Narrow"/>
          <w:b/>
          <w:bCs/>
          <w:color w:val="000000"/>
          <w:sz w:val="20"/>
          <w:szCs w:val="20"/>
        </w:rPr>
        <w:t>Schválil: Roman Beličák- starosta</w:t>
      </w:r>
    </w:p>
    <w:p w14:paraId="20D8EACF">
      <w:pPr>
        <w:pStyle w:val="14"/>
        <w:spacing w:before="860" w:beforeAutospacing="0" w:after="0" w:afterAutospacing="0" w:line="720" w:lineRule="auto"/>
        <w:ind w:right="1786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V Zlatej Idke dňa: </w:t>
      </w:r>
    </w:p>
    <w:p w14:paraId="6FA40A79">
      <w:pPr>
        <w:pStyle w:val="14"/>
        <w:spacing w:before="860" w:beforeAutospacing="0" w:after="0" w:afterAutospacing="0" w:line="720" w:lineRule="auto"/>
        <w:ind w:left="115" w:right="1786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>Prílohy: </w:t>
      </w:r>
    </w:p>
    <w:p w14:paraId="1E5BE3D5">
      <w:pPr>
        <w:pStyle w:val="14"/>
        <w:spacing w:before="10" w:beforeAutospacing="0" w:after="0" w:afterAutospacing="0"/>
        <w:ind w:left="485" w:right="1782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>
        <w:rPr>
          <w:rFonts w:ascii="Arial Narrow" w:hAnsi="Arial Narrow"/>
          <w:color w:val="000000"/>
          <w:sz w:val="20"/>
          <w:szCs w:val="20"/>
        </w:rPr>
        <w:t xml:space="preserve">Individuálna účtovná závierka: Súvaha, Výkaz ziskov a strát, Poznámky, </w:t>
      </w:r>
    </w:p>
    <w:p w14:paraId="22323BB8">
      <w:pPr>
        <w:pStyle w:val="14"/>
        <w:spacing w:before="10" w:beforeAutospacing="0" w:after="0" w:afterAutospacing="0"/>
        <w:ind w:left="485" w:right="1782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>
        <w:rPr>
          <w:rFonts w:ascii="Arial Narrow" w:hAnsi="Arial Narrow"/>
          <w:color w:val="000000"/>
          <w:sz w:val="20"/>
          <w:szCs w:val="20"/>
        </w:rPr>
        <w:t>Výrok audítora k individuálnej účtovnej závierke.</w:t>
      </w:r>
    </w:p>
    <w:p w14:paraId="03FD3A17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59197846">
      <w:pPr>
        <w:ind w:left="709"/>
        <w:rPr>
          <w:rFonts w:ascii="Arial Narrow" w:hAnsi="Arial Narrow" w:cs="Arial"/>
          <w:b/>
          <w:i/>
          <w:sz w:val="20"/>
          <w:szCs w:val="20"/>
        </w:rPr>
      </w:pPr>
    </w:p>
    <w:p w14:paraId="2281A2EA">
      <w:pPr>
        <w:spacing w:before="526" w:after="0" w:line="240" w:lineRule="auto"/>
        <w:ind w:left="115" w:right="231" w:firstLine="714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398F36C3">
      <w:pPr>
        <w:spacing w:before="3336" w:after="0" w:line="240" w:lineRule="auto"/>
        <w:ind w:left="113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vertAlign w:val="subscript"/>
          <w:lang w:eastAsia="sk-SK"/>
        </w:rPr>
        <w:t> </w:t>
      </w: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 </w:t>
      </w:r>
    </w:p>
    <w:p w14:paraId="761A4EE2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3691CBB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CF41C82">
      <w:pPr>
        <w:jc w:val="center"/>
        <w:rPr>
          <w:rFonts w:ascii="Arial Narrow" w:hAnsi="Arial Narrow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55225">
    <w:pPr>
      <w:pBdr>
        <w:left w:val="single" w:color="4472C4" w:themeColor="accent1" w:sz="12" w:space="11"/>
      </w:pBdr>
      <w:tabs>
        <w:tab w:val="left" w:pos="622"/>
      </w:tabs>
      <w:spacing w:after="0"/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</w:pP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begin"/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instrText xml:space="preserve">PAGE   \* MERGEFORMAT</w:instrText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separate"/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t>25</w:t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end"/>
    </w:r>
  </w:p>
  <w:p w14:paraId="6191132F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6DD0F">
    <w:pPr>
      <w:jc w:val="center"/>
      <w:rPr>
        <w:i/>
        <w:iCs/>
        <w:color w:val="4472C4" w:themeColor="accent1"/>
        <w:sz w:val="16"/>
        <w:szCs w:val="16"/>
        <w14:textFill>
          <w14:solidFill>
            <w14:schemeClr w14:val="accent1"/>
          </w14:solidFill>
        </w14:textFill>
      </w:rPr>
    </w:pPr>
    <w:r>
      <w:rPr>
        <w:i/>
        <w:iCs/>
        <w:color w:val="4472C4" w:themeColor="accent1"/>
        <w:sz w:val="16"/>
        <w:szCs w:val="16"/>
        <w14:textFill>
          <w14:solidFill>
            <w14:schemeClr w14:val="accent1"/>
          </w14:solidFill>
        </w14:textFill>
      </w:rPr>
      <w:t xml:space="preserve">INDIVIDUÁLNA VÝROČNÁ SPRÁVA </w:t>
    </w:r>
  </w:p>
  <w:p w14:paraId="28D7F567">
    <w:pPr>
      <w:jc w:val="center"/>
      <w:rPr>
        <w:i/>
        <w:iCs/>
        <w:color w:val="4472C4" w:themeColor="accent1"/>
        <w:sz w:val="16"/>
        <w:szCs w:val="16"/>
        <w14:textFill>
          <w14:solidFill>
            <w14:schemeClr w14:val="accent1"/>
          </w14:solidFill>
        </w14:textFill>
      </w:rPr>
    </w:pPr>
    <w:r>
      <w:rPr>
        <w:i/>
        <w:iCs/>
        <w:color w:val="4472C4" w:themeColor="accent1"/>
        <w:sz w:val="16"/>
        <w:szCs w:val="16"/>
        <w14:textFill>
          <w14:solidFill>
            <w14:schemeClr w14:val="accent1"/>
          </w14:solidFill>
        </w14:textFill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912A37"/>
    <w:multiLevelType w:val="multilevel"/>
    <w:tmpl w:val="02912A37"/>
    <w:lvl w:ilvl="0" w:tentative="0">
      <w:start w:val="0"/>
      <w:numFmt w:val="bullet"/>
      <w:lvlText w:val="-"/>
      <w:lvlJc w:val="left"/>
      <w:pPr>
        <w:ind w:left="482" w:hanging="360"/>
      </w:pPr>
      <w:rPr>
        <w:rFonts w:hint="default" w:ascii="Arial Narrow" w:hAnsi="Arial Narrow" w:eastAsiaTheme="minorHAnsi" w:cstheme="minorBidi"/>
      </w:rPr>
    </w:lvl>
    <w:lvl w:ilvl="1" w:tentative="0">
      <w:start w:val="1"/>
      <w:numFmt w:val="bullet"/>
      <w:lvlText w:val="o"/>
      <w:lvlJc w:val="left"/>
      <w:pPr>
        <w:ind w:left="120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92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64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6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8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80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52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242" w:hanging="360"/>
      </w:pPr>
      <w:rPr>
        <w:rFonts w:hint="default" w:ascii="Wingdings" w:hAnsi="Wingdings"/>
      </w:rPr>
    </w:lvl>
  </w:abstractNum>
  <w:abstractNum w:abstractNumId="1">
    <w:nsid w:val="0A8677C9"/>
    <w:multiLevelType w:val="multilevel"/>
    <w:tmpl w:val="0A8677C9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F66AB"/>
    <w:multiLevelType w:val="multilevel"/>
    <w:tmpl w:val="0FEF66AB"/>
    <w:lvl w:ilvl="0" w:tentative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6FE6F"/>
    <w:multiLevelType w:val="singleLevel"/>
    <w:tmpl w:val="2C26FE6F"/>
    <w:lvl w:ilvl="0" w:tentative="0">
      <w:start w:val="658"/>
      <w:numFmt w:val="decimal"/>
      <w:suff w:val="space"/>
      <w:lvlText w:val="%1-"/>
      <w:lvlJc w:val="left"/>
    </w:lvl>
  </w:abstractNum>
  <w:abstractNum w:abstractNumId="4">
    <w:nsid w:val="37B725D1"/>
    <w:multiLevelType w:val="multilevel"/>
    <w:tmpl w:val="37B725D1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3B392B86"/>
    <w:multiLevelType w:val="multilevel"/>
    <w:tmpl w:val="3B392B86"/>
    <w:lvl w:ilvl="0" w:tentative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65CF4"/>
    <w:multiLevelType w:val="multilevel"/>
    <w:tmpl w:val="56B65CF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ms sans serif" w:hAnsi="ms sans serif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F7437"/>
    <w:multiLevelType w:val="multilevel"/>
    <w:tmpl w:val="580F7437"/>
    <w:lvl w:ilvl="0" w:tentative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8130B7"/>
    <w:multiLevelType w:val="singleLevel"/>
    <w:tmpl w:val="608130B7"/>
    <w:lvl w:ilvl="0" w:tentative="0">
      <w:start w:val="645"/>
      <w:numFmt w:val="decimal"/>
      <w:suff w:val="space"/>
      <w:lvlText w:val="%1-"/>
      <w:lvlJc w:val="left"/>
    </w:lvl>
  </w:abstractNum>
  <w:abstractNum w:abstractNumId="9">
    <w:nsid w:val="68EE47B4"/>
    <w:multiLevelType w:val="multilevel"/>
    <w:tmpl w:val="68EE47B4"/>
    <w:lvl w:ilvl="0" w:tentative="0">
      <w:start w:val="1"/>
      <w:numFmt w:val="bullet"/>
      <w:lvlText w:val="-"/>
      <w:lvlJc w:val="left"/>
      <w:pPr>
        <w:ind w:left="678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39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1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3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5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7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9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1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38" w:hanging="360"/>
      </w:pPr>
      <w:rPr>
        <w:rFonts w:hint="default" w:ascii="Wingdings" w:hAnsi="Wingdings"/>
      </w:rPr>
    </w:lvl>
  </w:abstractNum>
  <w:abstractNum w:abstractNumId="10">
    <w:nsid w:val="78553304"/>
    <w:multiLevelType w:val="multilevel"/>
    <w:tmpl w:val="78553304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mbria" w:hAnsi="Cambria" w:eastAsia="Times New Roman" w:cs="Aria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94"/>
    <w:rsid w:val="0000661A"/>
    <w:rsid w:val="00041F19"/>
    <w:rsid w:val="00043766"/>
    <w:rsid w:val="0006058C"/>
    <w:rsid w:val="00066842"/>
    <w:rsid w:val="0008229F"/>
    <w:rsid w:val="000A54A6"/>
    <w:rsid w:val="000B2B7A"/>
    <w:rsid w:val="000B70F7"/>
    <w:rsid w:val="000C016B"/>
    <w:rsid w:val="000C4D45"/>
    <w:rsid w:val="000D075C"/>
    <w:rsid w:val="000D4943"/>
    <w:rsid w:val="000D7CE7"/>
    <w:rsid w:val="000E6C9D"/>
    <w:rsid w:val="000F1B3D"/>
    <w:rsid w:val="000F36CC"/>
    <w:rsid w:val="000F5DBA"/>
    <w:rsid w:val="00101B4A"/>
    <w:rsid w:val="00121408"/>
    <w:rsid w:val="0012543C"/>
    <w:rsid w:val="001405A8"/>
    <w:rsid w:val="00161DFA"/>
    <w:rsid w:val="001737BD"/>
    <w:rsid w:val="001A07C3"/>
    <w:rsid w:val="001A1432"/>
    <w:rsid w:val="001A58CA"/>
    <w:rsid w:val="001A5A69"/>
    <w:rsid w:val="001E3F3C"/>
    <w:rsid w:val="001E61FF"/>
    <w:rsid w:val="00202A1D"/>
    <w:rsid w:val="00212EB9"/>
    <w:rsid w:val="00214B54"/>
    <w:rsid w:val="002157E1"/>
    <w:rsid w:val="00221998"/>
    <w:rsid w:val="0022580B"/>
    <w:rsid w:val="00232853"/>
    <w:rsid w:val="0024443E"/>
    <w:rsid w:val="0026311A"/>
    <w:rsid w:val="00280FE6"/>
    <w:rsid w:val="002815D2"/>
    <w:rsid w:val="00282A32"/>
    <w:rsid w:val="00283781"/>
    <w:rsid w:val="00286881"/>
    <w:rsid w:val="0029004F"/>
    <w:rsid w:val="00290766"/>
    <w:rsid w:val="00297DE0"/>
    <w:rsid w:val="002A5FE7"/>
    <w:rsid w:val="002B4E8B"/>
    <w:rsid w:val="002C1600"/>
    <w:rsid w:val="002C4705"/>
    <w:rsid w:val="002D3A29"/>
    <w:rsid w:val="002E468A"/>
    <w:rsid w:val="002F2B7C"/>
    <w:rsid w:val="002F2BFA"/>
    <w:rsid w:val="002F382F"/>
    <w:rsid w:val="00300DF0"/>
    <w:rsid w:val="00306C62"/>
    <w:rsid w:val="00312196"/>
    <w:rsid w:val="00313BF6"/>
    <w:rsid w:val="00314AFF"/>
    <w:rsid w:val="00331DA0"/>
    <w:rsid w:val="00336096"/>
    <w:rsid w:val="00337D53"/>
    <w:rsid w:val="00376B4D"/>
    <w:rsid w:val="003778BC"/>
    <w:rsid w:val="00386570"/>
    <w:rsid w:val="00386714"/>
    <w:rsid w:val="003A0CA5"/>
    <w:rsid w:val="003A3CF2"/>
    <w:rsid w:val="003C5331"/>
    <w:rsid w:val="003E27C4"/>
    <w:rsid w:val="003F2B36"/>
    <w:rsid w:val="003F705D"/>
    <w:rsid w:val="004135F8"/>
    <w:rsid w:val="004249CF"/>
    <w:rsid w:val="004415C8"/>
    <w:rsid w:val="004418C3"/>
    <w:rsid w:val="00446986"/>
    <w:rsid w:val="0045289C"/>
    <w:rsid w:val="00452D41"/>
    <w:rsid w:val="004561CF"/>
    <w:rsid w:val="0046099F"/>
    <w:rsid w:val="00461C22"/>
    <w:rsid w:val="0048066A"/>
    <w:rsid w:val="004815AB"/>
    <w:rsid w:val="00484CFC"/>
    <w:rsid w:val="004916CB"/>
    <w:rsid w:val="004A591C"/>
    <w:rsid w:val="004A75D0"/>
    <w:rsid w:val="004B0C2C"/>
    <w:rsid w:val="004B64D4"/>
    <w:rsid w:val="004C6842"/>
    <w:rsid w:val="004D4723"/>
    <w:rsid w:val="00500C81"/>
    <w:rsid w:val="005011A3"/>
    <w:rsid w:val="005029EE"/>
    <w:rsid w:val="0050503E"/>
    <w:rsid w:val="005144E6"/>
    <w:rsid w:val="00531FA8"/>
    <w:rsid w:val="00540AB4"/>
    <w:rsid w:val="0054140C"/>
    <w:rsid w:val="00546D52"/>
    <w:rsid w:val="0054737E"/>
    <w:rsid w:val="005561F3"/>
    <w:rsid w:val="00560790"/>
    <w:rsid w:val="00574FC6"/>
    <w:rsid w:val="00581B8C"/>
    <w:rsid w:val="00592425"/>
    <w:rsid w:val="00593323"/>
    <w:rsid w:val="005A39AB"/>
    <w:rsid w:val="005A7848"/>
    <w:rsid w:val="005B33C8"/>
    <w:rsid w:val="005B62EE"/>
    <w:rsid w:val="005B7C87"/>
    <w:rsid w:val="005C1D15"/>
    <w:rsid w:val="005C4869"/>
    <w:rsid w:val="005E16E4"/>
    <w:rsid w:val="005E1F83"/>
    <w:rsid w:val="005E2717"/>
    <w:rsid w:val="005F0854"/>
    <w:rsid w:val="005F32AF"/>
    <w:rsid w:val="005F354A"/>
    <w:rsid w:val="005F5DF7"/>
    <w:rsid w:val="00606834"/>
    <w:rsid w:val="00612F79"/>
    <w:rsid w:val="006335F5"/>
    <w:rsid w:val="00633C4F"/>
    <w:rsid w:val="006347FC"/>
    <w:rsid w:val="00643889"/>
    <w:rsid w:val="00645B59"/>
    <w:rsid w:val="00651D77"/>
    <w:rsid w:val="00676D0F"/>
    <w:rsid w:val="006908C7"/>
    <w:rsid w:val="00691D98"/>
    <w:rsid w:val="00691ECD"/>
    <w:rsid w:val="006A39BD"/>
    <w:rsid w:val="006A5A04"/>
    <w:rsid w:val="006A6A69"/>
    <w:rsid w:val="006B1603"/>
    <w:rsid w:val="006B4964"/>
    <w:rsid w:val="006C44C0"/>
    <w:rsid w:val="006D5BE7"/>
    <w:rsid w:val="006E40D0"/>
    <w:rsid w:val="006E76A8"/>
    <w:rsid w:val="0070005C"/>
    <w:rsid w:val="00711BD0"/>
    <w:rsid w:val="0072622C"/>
    <w:rsid w:val="00750783"/>
    <w:rsid w:val="00750CD1"/>
    <w:rsid w:val="00751652"/>
    <w:rsid w:val="0075592B"/>
    <w:rsid w:val="007571B1"/>
    <w:rsid w:val="0075778D"/>
    <w:rsid w:val="00765DBA"/>
    <w:rsid w:val="0077212C"/>
    <w:rsid w:val="00775B24"/>
    <w:rsid w:val="00776A9E"/>
    <w:rsid w:val="0077783D"/>
    <w:rsid w:val="0078193A"/>
    <w:rsid w:val="007829B1"/>
    <w:rsid w:val="00786483"/>
    <w:rsid w:val="007B0D1A"/>
    <w:rsid w:val="007B23F2"/>
    <w:rsid w:val="007B5A74"/>
    <w:rsid w:val="007C0A82"/>
    <w:rsid w:val="007C3E6A"/>
    <w:rsid w:val="007C49CA"/>
    <w:rsid w:val="007E0243"/>
    <w:rsid w:val="007E11E9"/>
    <w:rsid w:val="007F0CD5"/>
    <w:rsid w:val="007F5D3D"/>
    <w:rsid w:val="00801E0E"/>
    <w:rsid w:val="00805122"/>
    <w:rsid w:val="00805FD3"/>
    <w:rsid w:val="008116BF"/>
    <w:rsid w:val="00836A3B"/>
    <w:rsid w:val="00836DEB"/>
    <w:rsid w:val="008417EF"/>
    <w:rsid w:val="00853BD9"/>
    <w:rsid w:val="00853EAF"/>
    <w:rsid w:val="00857A43"/>
    <w:rsid w:val="008600AE"/>
    <w:rsid w:val="008607CA"/>
    <w:rsid w:val="00864621"/>
    <w:rsid w:val="00876B73"/>
    <w:rsid w:val="00886D3D"/>
    <w:rsid w:val="00894DF6"/>
    <w:rsid w:val="008A3D48"/>
    <w:rsid w:val="008A6FAC"/>
    <w:rsid w:val="008B74D3"/>
    <w:rsid w:val="008D3192"/>
    <w:rsid w:val="008E4EE2"/>
    <w:rsid w:val="008E7BA0"/>
    <w:rsid w:val="008F77CA"/>
    <w:rsid w:val="00910D9C"/>
    <w:rsid w:val="00913659"/>
    <w:rsid w:val="00915692"/>
    <w:rsid w:val="009203DC"/>
    <w:rsid w:val="0092260F"/>
    <w:rsid w:val="009301D6"/>
    <w:rsid w:val="0095077C"/>
    <w:rsid w:val="009514E8"/>
    <w:rsid w:val="00964881"/>
    <w:rsid w:val="00966618"/>
    <w:rsid w:val="00985AAE"/>
    <w:rsid w:val="009866A1"/>
    <w:rsid w:val="00994321"/>
    <w:rsid w:val="009A0991"/>
    <w:rsid w:val="009A0FE3"/>
    <w:rsid w:val="009A7A98"/>
    <w:rsid w:val="009B43C9"/>
    <w:rsid w:val="009C2F71"/>
    <w:rsid w:val="009E3001"/>
    <w:rsid w:val="009F060D"/>
    <w:rsid w:val="009F49C1"/>
    <w:rsid w:val="00A05DF0"/>
    <w:rsid w:val="00A06E12"/>
    <w:rsid w:val="00A11B58"/>
    <w:rsid w:val="00A23407"/>
    <w:rsid w:val="00A24411"/>
    <w:rsid w:val="00A346FC"/>
    <w:rsid w:val="00A34C57"/>
    <w:rsid w:val="00A40FCE"/>
    <w:rsid w:val="00A46161"/>
    <w:rsid w:val="00A5392D"/>
    <w:rsid w:val="00A62377"/>
    <w:rsid w:val="00A65D4E"/>
    <w:rsid w:val="00A71600"/>
    <w:rsid w:val="00A86E68"/>
    <w:rsid w:val="00AA3561"/>
    <w:rsid w:val="00AB48F3"/>
    <w:rsid w:val="00AC0AA1"/>
    <w:rsid w:val="00AC3171"/>
    <w:rsid w:val="00AD01AA"/>
    <w:rsid w:val="00AD1528"/>
    <w:rsid w:val="00AE3751"/>
    <w:rsid w:val="00AE657E"/>
    <w:rsid w:val="00B0026F"/>
    <w:rsid w:val="00B0091E"/>
    <w:rsid w:val="00B0614E"/>
    <w:rsid w:val="00B06CDE"/>
    <w:rsid w:val="00B11764"/>
    <w:rsid w:val="00B14D7A"/>
    <w:rsid w:val="00B2675B"/>
    <w:rsid w:val="00B27945"/>
    <w:rsid w:val="00B321A7"/>
    <w:rsid w:val="00B403C7"/>
    <w:rsid w:val="00B45091"/>
    <w:rsid w:val="00B51C94"/>
    <w:rsid w:val="00B6447E"/>
    <w:rsid w:val="00B66CE3"/>
    <w:rsid w:val="00B77E7F"/>
    <w:rsid w:val="00B809C0"/>
    <w:rsid w:val="00B934CD"/>
    <w:rsid w:val="00BB1E69"/>
    <w:rsid w:val="00BB75BB"/>
    <w:rsid w:val="00BC19FE"/>
    <w:rsid w:val="00BE2E85"/>
    <w:rsid w:val="00BE3268"/>
    <w:rsid w:val="00BF5892"/>
    <w:rsid w:val="00C02A15"/>
    <w:rsid w:val="00C11899"/>
    <w:rsid w:val="00C11D47"/>
    <w:rsid w:val="00C478B0"/>
    <w:rsid w:val="00C52672"/>
    <w:rsid w:val="00C57BA1"/>
    <w:rsid w:val="00C701A2"/>
    <w:rsid w:val="00C70546"/>
    <w:rsid w:val="00C77E99"/>
    <w:rsid w:val="00C9529F"/>
    <w:rsid w:val="00CE718C"/>
    <w:rsid w:val="00D05D69"/>
    <w:rsid w:val="00D13DF6"/>
    <w:rsid w:val="00D21E55"/>
    <w:rsid w:val="00D555A9"/>
    <w:rsid w:val="00D62427"/>
    <w:rsid w:val="00D626EB"/>
    <w:rsid w:val="00D642C3"/>
    <w:rsid w:val="00D75E01"/>
    <w:rsid w:val="00D770E6"/>
    <w:rsid w:val="00DA12B6"/>
    <w:rsid w:val="00DB7BDB"/>
    <w:rsid w:val="00DC0EE1"/>
    <w:rsid w:val="00DC19C0"/>
    <w:rsid w:val="00DC595F"/>
    <w:rsid w:val="00DC5CF2"/>
    <w:rsid w:val="00DE3289"/>
    <w:rsid w:val="00E0342D"/>
    <w:rsid w:val="00E229A6"/>
    <w:rsid w:val="00E24BEA"/>
    <w:rsid w:val="00E2701A"/>
    <w:rsid w:val="00E37AEA"/>
    <w:rsid w:val="00E43C41"/>
    <w:rsid w:val="00E57B53"/>
    <w:rsid w:val="00E66CBE"/>
    <w:rsid w:val="00E74130"/>
    <w:rsid w:val="00E9414A"/>
    <w:rsid w:val="00EA1881"/>
    <w:rsid w:val="00EB2A41"/>
    <w:rsid w:val="00EB5911"/>
    <w:rsid w:val="00EC7840"/>
    <w:rsid w:val="00ED55B2"/>
    <w:rsid w:val="00EE4791"/>
    <w:rsid w:val="00EF4196"/>
    <w:rsid w:val="00F00A85"/>
    <w:rsid w:val="00F02B4E"/>
    <w:rsid w:val="00F26690"/>
    <w:rsid w:val="00F433B3"/>
    <w:rsid w:val="00F4567A"/>
    <w:rsid w:val="00F84280"/>
    <w:rsid w:val="00F85010"/>
    <w:rsid w:val="00F96012"/>
    <w:rsid w:val="00F97C5F"/>
    <w:rsid w:val="00FB48BA"/>
    <w:rsid w:val="00FC5FFE"/>
    <w:rsid w:val="00FD621C"/>
    <w:rsid w:val="0A9E0640"/>
    <w:rsid w:val="0B1E059C"/>
    <w:rsid w:val="1688387D"/>
    <w:rsid w:val="1C3245D0"/>
    <w:rsid w:val="29275DD6"/>
    <w:rsid w:val="3A7E2841"/>
    <w:rsid w:val="3A815804"/>
    <w:rsid w:val="5F0E5991"/>
    <w:rsid w:val="726C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paragraph" w:styleId="3">
    <w:name w:val="heading 2"/>
    <w:basedOn w:val="1"/>
    <w:next w:val="1"/>
    <w:link w:val="41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link w:val="22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sk-SK"/>
    </w:rPr>
  </w:style>
  <w:style w:type="paragraph" w:styleId="5">
    <w:name w:val="heading 5"/>
    <w:basedOn w:val="1"/>
    <w:next w:val="1"/>
    <w:link w:val="44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33"/>
    <w:qFormat/>
    <w:uiPriority w:val="0"/>
    <w:pPr>
      <w:spacing w:after="0" w:line="240" w:lineRule="auto"/>
    </w:pPr>
    <w:rPr>
      <w:rFonts w:ascii="Tahoma" w:hAnsi="Tahoma" w:eastAsia="Times New Roman" w:cs="Times New Roman"/>
      <w:sz w:val="16"/>
      <w:szCs w:val="16"/>
      <w:lang w:val="zh-CN" w:eastAsia="zh-CN"/>
    </w:rPr>
  </w:style>
  <w:style w:type="paragraph" w:styleId="9">
    <w:name w:val="Body Text"/>
    <w:basedOn w:val="1"/>
    <w:link w:val="39"/>
    <w:semiHidden/>
    <w:unhideWhenUsed/>
    <w:qFormat/>
    <w:uiPriority w:val="99"/>
  </w:style>
  <w:style w:type="paragraph" w:styleId="10">
    <w:name w:val="footer"/>
    <w:basedOn w:val="1"/>
    <w:link w:val="24"/>
    <w:unhideWhenUsed/>
    <w:qFormat/>
    <w:uiPriority w:val="0"/>
    <w:pPr>
      <w:tabs>
        <w:tab w:val="center" w:pos="4536"/>
        <w:tab w:val="right" w:pos="9072"/>
      </w:tabs>
      <w:spacing w:after="0" w:line="240" w:lineRule="auto"/>
    </w:pPr>
  </w:style>
  <w:style w:type="paragraph" w:styleId="11">
    <w:name w:val="footnote text"/>
    <w:basedOn w:val="1"/>
    <w:link w:val="32"/>
    <w:semiHidden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12">
    <w:name w:val="header"/>
    <w:basedOn w:val="1"/>
    <w:link w:val="2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3">
    <w:name w:val="Hyperlink"/>
    <w:basedOn w:val="6"/>
    <w:unhideWhenUsed/>
    <w:qFormat/>
    <w:uiPriority w:val="99"/>
    <w:rPr>
      <w:color w:val="0000FF"/>
      <w:u w:val="single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15">
    <w:name w:val="page number"/>
    <w:basedOn w:val="6"/>
    <w:qFormat/>
    <w:uiPriority w:val="0"/>
  </w:style>
  <w:style w:type="table" w:styleId="16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34"/>
    <w:qFormat/>
    <w:uiPriority w:val="0"/>
    <w:pPr>
      <w:spacing w:before="240" w:after="60" w:line="240" w:lineRule="auto"/>
      <w:jc w:val="center"/>
      <w:outlineLvl w:val="0"/>
    </w:pPr>
    <w:rPr>
      <w:rFonts w:ascii="Cambria" w:hAnsi="Cambria" w:eastAsia="Times New Roman" w:cs="Times New Roman"/>
      <w:b/>
      <w:bCs/>
      <w:kern w:val="28"/>
      <w:sz w:val="32"/>
      <w:szCs w:val="32"/>
      <w:lang w:val="zh-CN" w:eastAsia="zh-CN"/>
    </w:rPr>
  </w:style>
  <w:style w:type="paragraph" w:styleId="18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19">
    <w:name w:val="toc 2"/>
    <w:basedOn w:val="1"/>
    <w:next w:val="1"/>
    <w:autoRedefine/>
    <w:unhideWhenUsed/>
    <w:qFormat/>
    <w:uiPriority w:val="39"/>
    <w:pPr>
      <w:spacing w:after="100" w:line="259" w:lineRule="auto"/>
      <w:ind w:left="220"/>
    </w:pPr>
    <w:rPr>
      <w:rFonts w:cs="Times New Roman" w:eastAsiaTheme="minorEastAsia"/>
      <w:lang w:eastAsia="sk-SK"/>
    </w:rPr>
  </w:style>
  <w:style w:type="paragraph" w:styleId="20">
    <w:name w:val="toc 3"/>
    <w:basedOn w:val="1"/>
    <w:next w:val="1"/>
    <w:autoRedefine/>
    <w:unhideWhenUsed/>
    <w:qFormat/>
    <w:uiPriority w:val="39"/>
    <w:pPr>
      <w:spacing w:after="100" w:line="259" w:lineRule="auto"/>
      <w:ind w:left="440"/>
    </w:pPr>
    <w:rPr>
      <w:rFonts w:cs="Times New Roman" w:eastAsiaTheme="minorEastAsia"/>
      <w:lang w:eastAsia="sk-SK"/>
    </w:rPr>
  </w:style>
  <w:style w:type="character" w:customStyle="1" w:styleId="21">
    <w:name w:val="Nadpis 1 Char"/>
    <w:basedOn w:val="6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character" w:customStyle="1" w:styleId="22">
    <w:name w:val="Nadpis 3 Char"/>
    <w:basedOn w:val="6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sk-SK"/>
    </w:rPr>
  </w:style>
  <w:style w:type="character" w:customStyle="1" w:styleId="23">
    <w:name w:val="Hlavička Char"/>
    <w:basedOn w:val="6"/>
    <w:link w:val="12"/>
    <w:qFormat/>
    <w:uiPriority w:val="99"/>
  </w:style>
  <w:style w:type="character" w:customStyle="1" w:styleId="24">
    <w:name w:val="Päta Char"/>
    <w:basedOn w:val="6"/>
    <w:link w:val="10"/>
    <w:qFormat/>
    <w:uiPriority w:val="99"/>
  </w:style>
  <w:style w:type="paragraph" w:customStyle="1" w:styleId="25">
    <w:name w:val="Normálny1"/>
    <w:qFormat/>
    <w:uiPriority w:val="0"/>
    <w:pPr>
      <w:spacing w:line="276" w:lineRule="auto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customStyle="1" w:styleId="26">
    <w:name w:val="Normálny2"/>
    <w:qFormat/>
    <w:uiPriority w:val="0"/>
    <w:pPr>
      <w:spacing w:line="276" w:lineRule="auto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character" w:customStyle="1" w:styleId="27">
    <w:name w:val="mw-headline"/>
    <w:basedOn w:val="6"/>
    <w:qFormat/>
    <w:uiPriority w:val="0"/>
  </w:style>
  <w:style w:type="character" w:customStyle="1" w:styleId="28">
    <w:name w:val="mw-editsection"/>
    <w:basedOn w:val="6"/>
    <w:qFormat/>
    <w:uiPriority w:val="0"/>
  </w:style>
  <w:style w:type="character" w:customStyle="1" w:styleId="29">
    <w:name w:val="mw-editsection-bracket"/>
    <w:basedOn w:val="6"/>
    <w:qFormat/>
    <w:uiPriority w:val="0"/>
  </w:style>
  <w:style w:type="character" w:customStyle="1" w:styleId="30">
    <w:name w:val="mw-editsection-divider"/>
    <w:basedOn w:val="6"/>
    <w:qFormat/>
    <w:uiPriority w:val="0"/>
  </w:style>
  <w:style w:type="character" w:customStyle="1" w:styleId="31">
    <w:name w:val="Nevyriešená zmienka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2">
    <w:name w:val="Text poznámky pod čiarou Char"/>
    <w:basedOn w:val="6"/>
    <w:link w:val="11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customStyle="1" w:styleId="33">
    <w:name w:val="Text bubliny Char"/>
    <w:basedOn w:val="6"/>
    <w:link w:val="8"/>
    <w:qFormat/>
    <w:uiPriority w:val="0"/>
    <w:rPr>
      <w:rFonts w:ascii="Tahoma" w:hAnsi="Tahoma" w:eastAsia="Times New Roman" w:cs="Times New Roman"/>
      <w:sz w:val="16"/>
      <w:szCs w:val="16"/>
      <w:lang w:val="zh-CN" w:eastAsia="zh-CN"/>
    </w:rPr>
  </w:style>
  <w:style w:type="character" w:customStyle="1" w:styleId="34">
    <w:name w:val="Názov Char"/>
    <w:basedOn w:val="6"/>
    <w:link w:val="17"/>
    <w:qFormat/>
    <w:uiPriority w:val="0"/>
    <w:rPr>
      <w:rFonts w:ascii="Cambria" w:hAnsi="Cambria" w:eastAsia="Times New Roman" w:cs="Times New Roman"/>
      <w:b/>
      <w:bCs/>
      <w:kern w:val="28"/>
      <w:sz w:val="32"/>
      <w:szCs w:val="32"/>
      <w:lang w:val="zh-CN" w:eastAsia="zh-CN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4472C4" w:sz="4" w:space="10"/>
        <w:bottom w:val="single" w:color="4472C4" w:sz="4" w:space="10"/>
      </w:pBdr>
      <w:spacing w:before="360" w:after="360" w:line="240" w:lineRule="auto"/>
      <w:ind w:left="864" w:right="864"/>
      <w:jc w:val="center"/>
    </w:pPr>
    <w:rPr>
      <w:rFonts w:ascii="Times New Roman" w:hAnsi="Times New Roman" w:eastAsia="Times New Roman" w:cs="Times New Roman"/>
      <w:i/>
      <w:iCs/>
      <w:color w:val="4472C4"/>
      <w:sz w:val="24"/>
      <w:szCs w:val="24"/>
      <w:lang w:eastAsia="sk-SK"/>
    </w:rPr>
  </w:style>
  <w:style w:type="character" w:customStyle="1" w:styleId="36">
    <w:name w:val="Zvýraznená citácia Char"/>
    <w:basedOn w:val="6"/>
    <w:link w:val="35"/>
    <w:qFormat/>
    <w:uiPriority w:val="30"/>
    <w:rPr>
      <w:rFonts w:ascii="Times New Roman" w:hAnsi="Times New Roman" w:eastAsia="Times New Roman" w:cs="Times New Roman"/>
      <w:i/>
      <w:iCs/>
      <w:color w:val="4472C4"/>
      <w:sz w:val="24"/>
      <w:szCs w:val="24"/>
      <w:lang w:eastAsia="sk-SK"/>
    </w:rPr>
  </w:style>
  <w:style w:type="paragraph" w:styleId="37">
    <w:name w:val="List Paragraph"/>
    <w:basedOn w:val="1"/>
    <w:qFormat/>
    <w:uiPriority w:val="34"/>
    <w:pPr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customStyle="1" w:styleId="38">
    <w:name w:val="Pismenka"/>
    <w:basedOn w:val="9"/>
    <w:qFormat/>
    <w:uiPriority w:val="0"/>
    <w:pPr>
      <w:tabs>
        <w:tab w:val="left" w:pos="426"/>
      </w:tabs>
      <w:spacing w:after="0" w:line="240" w:lineRule="auto"/>
      <w:ind w:left="426" w:hanging="426"/>
      <w:jc w:val="both"/>
    </w:pPr>
    <w:rPr>
      <w:rFonts w:ascii="Times New Roman" w:hAnsi="Times New Roman" w:eastAsia="Times New Roman" w:cs="Times New Roman"/>
      <w:b/>
      <w:sz w:val="18"/>
      <w:szCs w:val="20"/>
      <w:lang w:eastAsia="sk-SK"/>
    </w:rPr>
  </w:style>
  <w:style w:type="character" w:customStyle="1" w:styleId="39">
    <w:name w:val="Základný text Char"/>
    <w:basedOn w:val="6"/>
    <w:link w:val="9"/>
    <w:semiHidden/>
    <w:qFormat/>
    <w:uiPriority w:val="99"/>
  </w:style>
  <w:style w:type="paragraph" w:customStyle="1" w:styleId="40">
    <w:name w:val="Hlavička obsahu1"/>
    <w:basedOn w:val="2"/>
    <w:next w:val="1"/>
    <w:unhideWhenUsed/>
    <w:qFormat/>
    <w:uiPriority w:val="39"/>
    <w:pPr>
      <w:keepLines/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lang w:val="sk-SK" w:eastAsia="sk-SK"/>
    </w:rPr>
  </w:style>
  <w:style w:type="character" w:customStyle="1" w:styleId="41">
    <w:name w:val="Nadpis 2 Char"/>
    <w:basedOn w:val="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styleId="42">
    <w:name w:val="Placeholder Text"/>
    <w:basedOn w:val="6"/>
    <w:semiHidden/>
    <w:uiPriority w:val="99"/>
    <w:rPr>
      <w:color w:val="808080"/>
    </w:rPr>
  </w:style>
  <w:style w:type="paragraph" w:customStyle="1" w:styleId="43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44">
    <w:name w:val="Nadpis 5 Char"/>
    <w:basedOn w:val="6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2"/>
      <w:szCs w:val="22"/>
      <w:lang w:eastAsia="en-US"/>
    </w:rPr>
  </w:style>
  <w:style w:type="character" w:customStyle="1" w:styleId="45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5713</Words>
  <Characters>32566</Characters>
  <Lines>271</Lines>
  <Paragraphs>76</Paragraphs>
  <TotalTime>190</TotalTime>
  <ScaleCrop>false</ScaleCrop>
  <LinksUpToDate>false</LinksUpToDate>
  <CharactersWithSpaces>38203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2021-05-19T07:00:00Z</dcterms:created>
  <dc:creator>Jan Rusnak</dc:creator>
  <cp:lastModifiedBy>N Romanovova</cp:lastModifiedBy>
  <cp:lastPrinted>2024-05-31T17:03:00Z</cp:lastPrinted>
  <dcterms:modified xsi:type="dcterms:W3CDTF">2025-12-22T10:12:55Z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04B2C9A35286407F9C6152DCA72E466A_13</vt:lpwstr>
  </property>
</Properties>
</file>