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7" w:after="0"/>
        <w:rPr>
          <w:sz w:val="26"/>
        </w:rPr>
      </w:pPr>
      <w:r>
        <w:rPr>
          <w:sz w:val="26"/>
        </w:rPr>
      </w:r>
    </w:p>
    <w:p>
      <w:pPr>
        <w:pStyle w:val="Title"/>
        <w:spacing w:before="78" w:after="0"/>
        <w:rPr/>
      </w:pPr>
      <w:r>
        <w:rPr/>
        <w:t>Individuálna</w:t>
      </w:r>
      <w:r>
        <w:rPr>
          <w:spacing w:val="-6"/>
        </w:rPr>
        <w:t xml:space="preserve"> </w:t>
      </w:r>
      <w:r>
        <w:rPr/>
        <w:t>výročná</w:t>
      </w:r>
      <w:r>
        <w:rPr>
          <w:spacing w:val="-8"/>
        </w:rPr>
        <w:t xml:space="preserve"> </w:t>
      </w:r>
      <w:r>
        <w:rPr/>
        <w:t>správa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3" w:after="0"/>
        <w:rPr>
          <w:b/>
          <w:sz w:val="16"/>
        </w:rPr>
      </w:pPr>
      <w:r>
        <w:rPr>
          <w:b/>
          <w:sz w:val="16"/>
        </w:rPr>
        <w:drawing>
          <wp:anchor behindDoc="0" distT="0" distB="0" distL="0" distR="0" simplePos="0" locked="0" layoutInCell="0" allowOverlap="1" relativeHeight="5">
            <wp:simplePos x="0" y="0"/>
            <wp:positionH relativeFrom="page">
              <wp:posOffset>2067560</wp:posOffset>
            </wp:positionH>
            <wp:positionV relativeFrom="paragraph">
              <wp:posOffset>143510</wp:posOffset>
            </wp:positionV>
            <wp:extent cx="3436620" cy="1962150"/>
            <wp:effectExtent l="0" t="0" r="0" b="0"/>
            <wp:wrapTopAndBottom/>
            <wp:docPr id="1" name="image1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1962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58"/>
        </w:rPr>
      </w:pPr>
      <w:r>
        <w:rPr>
          <w:b/>
          <w:sz w:val="58"/>
        </w:rPr>
      </w:r>
    </w:p>
    <w:p>
      <w:pPr>
        <w:pStyle w:val="BodyText"/>
        <w:spacing w:before="5" w:after="0"/>
        <w:rPr>
          <w:b/>
          <w:sz w:val="59"/>
        </w:rPr>
      </w:pPr>
      <w:r>
        <w:rPr>
          <w:b/>
          <w:sz w:val="59"/>
        </w:rPr>
      </w:r>
    </w:p>
    <w:p>
      <w:pPr>
        <w:pStyle w:val="Title"/>
        <w:spacing w:lineRule="auto" w:line="480"/>
        <w:ind w:left="2564" w:right="2668"/>
        <w:rPr/>
      </w:pPr>
      <w:r>
        <w:rPr/>
        <w:t>Obce Suchá Dolina</w:t>
      </w:r>
      <w:r>
        <w:rPr>
          <w:spacing w:val="-127"/>
        </w:rPr>
        <w:t xml:space="preserve"> </w:t>
      </w:r>
      <w:r>
        <w:rPr/>
        <w:t>za</w:t>
      </w:r>
      <w:r>
        <w:rPr>
          <w:spacing w:val="-1"/>
        </w:rPr>
        <w:t xml:space="preserve"> </w:t>
      </w:r>
      <w:r>
        <w:rPr/>
        <w:t>rok</w:t>
      </w:r>
      <w:r>
        <w:rPr>
          <w:spacing w:val="-2"/>
        </w:rPr>
        <w:t xml:space="preserve"> </w:t>
      </w:r>
      <w:r>
        <w:rPr/>
        <w:t>2024</w:t>
      </w:r>
    </w:p>
    <w:p>
      <w:pPr>
        <w:pStyle w:val="BodyText"/>
        <w:rPr>
          <w:b/>
          <w:sz w:val="58"/>
        </w:rPr>
      </w:pPr>
      <w:r>
        <w:rPr>
          <w:b/>
          <w:sz w:val="58"/>
        </w:rPr>
      </w:r>
    </w:p>
    <w:p>
      <w:pPr>
        <w:pStyle w:val="BodyText"/>
        <w:rPr>
          <w:b/>
          <w:sz w:val="58"/>
        </w:rPr>
      </w:pPr>
      <w:r>
        <w:rPr>
          <w:b/>
          <w:sz w:val="58"/>
        </w:rPr>
      </w:r>
    </w:p>
    <w:p>
      <w:pPr>
        <w:pStyle w:val="BodyText"/>
        <w:rPr>
          <w:b/>
          <w:sz w:val="58"/>
        </w:rPr>
      </w:pPr>
      <w:r>
        <w:rPr>
          <w:b/>
          <w:sz w:val="58"/>
        </w:rPr>
      </w:r>
    </w:p>
    <w:p>
      <w:pPr>
        <w:pStyle w:val="BodyText"/>
        <w:spacing w:before="5" w:after="0"/>
        <w:rPr>
          <w:b/>
          <w:sz w:val="52"/>
        </w:rPr>
      </w:pPr>
      <w:r>
        <w:rPr>
          <w:b/>
          <w:sz w:val="52"/>
        </w:rPr>
      </w:r>
    </w:p>
    <w:p>
      <w:pPr>
        <w:pStyle w:val="Normal"/>
        <w:ind w:left="4954"/>
        <w:rPr>
          <w:b/>
          <w:sz w:val="36"/>
        </w:rPr>
      </w:pPr>
      <w:r>
        <w:rPr>
          <w:b/>
          <w:sz w:val="36"/>
        </w:rPr>
        <w:t>Ing.</w:t>
      </w:r>
      <w:r>
        <w:rPr>
          <w:b/>
          <w:spacing w:val="-13"/>
          <w:sz w:val="36"/>
        </w:rPr>
        <w:t xml:space="preserve"> </w:t>
      </w:r>
      <w:r>
        <w:rPr>
          <w:b/>
          <w:sz w:val="36"/>
        </w:rPr>
        <w:t>Katarína</w:t>
      </w:r>
      <w:r>
        <w:rPr>
          <w:b/>
          <w:spacing w:val="-10"/>
          <w:sz w:val="36"/>
        </w:rPr>
        <w:t xml:space="preserve"> </w:t>
      </w:r>
      <w:r>
        <w:rPr>
          <w:b/>
          <w:sz w:val="36"/>
        </w:rPr>
        <w:t>Petrenčáková</w:t>
      </w:r>
    </w:p>
    <w:p>
      <w:pPr>
        <w:sectPr>
          <w:type w:val="nextPage"/>
          <w:pgSz w:w="11906" w:h="16838"/>
          <w:pgMar w:left="1280" w:right="1160" w:gutter="0" w:header="0" w:top="160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90" w:after="0"/>
        <w:ind w:left="4966"/>
        <w:rPr>
          <w:sz w:val="36"/>
        </w:rPr>
      </w:pPr>
      <w:r>
        <w:rPr>
          <w:sz w:val="36"/>
        </w:rPr>
        <w:t>starostka</w:t>
      </w:r>
      <w:r>
        <w:rPr>
          <w:spacing w:val="-9"/>
          <w:sz w:val="36"/>
        </w:rPr>
        <w:t xml:space="preserve"> </w:t>
      </w:r>
      <w:r>
        <w:rPr>
          <w:sz w:val="36"/>
        </w:rPr>
        <w:t>obce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1" w:after="0"/>
        <w:rPr>
          <w:sz w:val="28"/>
        </w:rPr>
      </w:pPr>
      <w:r>
        <w:rPr>
          <w:sz w:val="28"/>
        </w:rPr>
      </w:r>
    </w:p>
    <w:p>
      <w:pPr>
        <w:pStyle w:val="Normal"/>
        <w:spacing w:before="90" w:after="0"/>
        <w:ind w:left="140"/>
        <w:rPr>
          <w:b/>
          <w:sz w:val="24"/>
        </w:rPr>
      </w:pPr>
      <w:bookmarkStart w:id="0" w:name="OBSAH"/>
      <w:bookmarkEnd w:id="0"/>
      <w:r>
        <w:rPr>
          <w:b/>
          <w:sz w:val="24"/>
        </w:rPr>
        <w:t>OBSAH</w:t>
      </w:r>
    </w:p>
    <w:sdt>
      <w:sdtPr>
        <w:docPartObj>
          <w:docPartGallery w:val="Table of Contents"/>
          <w:docPartUnique w:val="true"/>
        </w:docPartObj>
        <w:id w:val="-1761369268"/>
      </w:sdtPr>
      <w:sdtContent>
        <w:p>
          <w:pPr>
            <w:pStyle w:val="TOC1"/>
            <w:numPr>
              <w:ilvl w:val="0"/>
              <w:numId w:val="9"/>
            </w:numPr>
            <w:tabs>
              <w:tab w:val="clear" w:pos="720"/>
              <w:tab w:val="left" w:pos="320" w:leader="none"/>
              <w:tab w:val="right" w:pos="8931" w:leader="dot"/>
            </w:tabs>
            <w:spacing w:before="138" w:after="0"/>
            <w:rPr/>
          </w:pPr>
          <w:hyperlink w:anchor="_TOC_250004">
            <w:r>
              <w:rPr>
                <w:rStyle w:val="Style6"/>
              </w:rPr>
              <w:t>Úvodné slovo starostu</w:t>
            </w:r>
            <w:r>
              <w:rPr>
                <w:rStyle w:val="Style6"/>
                <w:spacing w:val="1"/>
              </w:rPr>
              <w:t xml:space="preserve"> </w:t>
            </w:r>
            <w:r>
              <w:rPr>
                <w:rStyle w:val="Style6"/>
              </w:rPr>
              <w:t>obce</w:t>
              <w:tab/>
              <w:t>3</w:t>
            </w:r>
          </w:hyperlink>
        </w:p>
        <w:p>
          <w:pPr>
            <w:pStyle w:val="TOC1"/>
            <w:numPr>
              <w:ilvl w:val="0"/>
              <w:numId w:val="9"/>
            </w:numPr>
            <w:tabs>
              <w:tab w:val="clear" w:pos="720"/>
              <w:tab w:val="left" w:pos="320" w:leader="none"/>
              <w:tab w:val="right" w:pos="8931" w:leader="dot"/>
            </w:tabs>
            <w:spacing w:before="138" w:after="0"/>
            <w:rPr/>
          </w:pPr>
          <w:r>
            <w:rPr/>
            <w:t>Identifikačné</w:t>
          </w:r>
          <w:r>
            <w:rPr>
              <w:spacing w:val="-2"/>
            </w:rPr>
            <w:t xml:space="preserve"> </w:t>
          </w:r>
          <w:r>
            <w:rPr/>
            <w:t>údaje</w:t>
          </w:r>
          <w:r>
            <w:rPr>
              <w:spacing w:val="1"/>
            </w:rPr>
            <w:t xml:space="preserve"> </w:t>
          </w:r>
          <w:r>
            <w:rPr/>
            <w:t>obce</w:t>
            <w:tab/>
            <w:t>3</w:t>
          </w:r>
        </w:p>
        <w:p>
          <w:pPr>
            <w:pStyle w:val="TOC1"/>
            <w:numPr>
              <w:ilvl w:val="0"/>
              <w:numId w:val="9"/>
            </w:numPr>
            <w:tabs>
              <w:tab w:val="clear" w:pos="720"/>
              <w:tab w:val="left" w:pos="320" w:leader="none"/>
              <w:tab w:val="right" w:pos="8931" w:leader="dot"/>
            </w:tabs>
            <w:spacing w:before="139" w:after="0"/>
            <w:rPr/>
          </w:pPr>
          <w:r>
            <w:rPr/>
            <w:t>Organizačná</w:t>
          </w:r>
          <w:r>
            <w:rPr>
              <w:spacing w:val="-1"/>
            </w:rPr>
            <w:t xml:space="preserve"> </w:t>
          </w:r>
          <w:r>
            <w:rPr/>
            <w:t>štruktúra</w:t>
          </w:r>
          <w:r>
            <w:rPr>
              <w:spacing w:val="-2"/>
            </w:rPr>
            <w:t xml:space="preserve"> </w:t>
          </w:r>
          <w:r>
            <w:rPr/>
            <w:t>obce a</w:t>
          </w:r>
          <w:r>
            <w:rPr>
              <w:spacing w:val="-2"/>
            </w:rPr>
            <w:t xml:space="preserve"> </w:t>
          </w:r>
          <w:r>
            <w:rPr/>
            <w:t>identifikácia vedúcich</w:t>
          </w:r>
          <w:r>
            <w:rPr>
              <w:spacing w:val="-2"/>
            </w:rPr>
            <w:t xml:space="preserve"> </w:t>
          </w:r>
          <w:r>
            <w:rPr/>
            <w:t>predstaviteľov</w:t>
            <w:tab/>
            <w:t>4</w:t>
          </w:r>
        </w:p>
        <w:p>
          <w:pPr>
            <w:pStyle w:val="TOC1"/>
            <w:numPr>
              <w:ilvl w:val="0"/>
              <w:numId w:val="9"/>
            </w:numPr>
            <w:tabs>
              <w:tab w:val="clear" w:pos="720"/>
              <w:tab w:val="left" w:pos="320" w:leader="none"/>
              <w:tab w:val="right" w:pos="8931" w:leader="dot"/>
            </w:tabs>
            <w:spacing w:before="138" w:after="0"/>
            <w:rPr/>
          </w:pPr>
          <w:r>
            <w:rPr/>
            <w:t>Základná charakteristika</w:t>
          </w:r>
          <w:r>
            <w:rPr>
              <w:spacing w:val="-1"/>
            </w:rPr>
            <w:t xml:space="preserve"> </w:t>
          </w:r>
          <w:r>
            <w:rPr/>
            <w:t>obce</w:t>
            <w:tab/>
            <w:t>5</w:t>
          </w:r>
        </w:p>
        <w:p>
          <w:pPr>
            <w:pStyle w:val="TOC2"/>
            <w:numPr>
              <w:ilvl w:val="1"/>
              <w:numId w:val="9"/>
            </w:numPr>
            <w:tabs>
              <w:tab w:val="clear" w:pos="720"/>
              <w:tab w:val="left" w:pos="688" w:leader="none"/>
              <w:tab w:val="right" w:pos="8931" w:leader="dot"/>
            </w:tabs>
            <w:spacing w:before="138" w:after="0"/>
            <w:rPr/>
          </w:pPr>
          <w:r>
            <w:rPr/>
            <w:t>Geografické</w:t>
          </w:r>
          <w:r>
            <w:rPr>
              <w:spacing w:val="-2"/>
            </w:rPr>
            <w:t xml:space="preserve"> </w:t>
          </w:r>
          <w:r>
            <w:rPr/>
            <w:t>údaje</w:t>
            <w:tab/>
            <w:t>5</w:t>
          </w:r>
        </w:p>
        <w:p>
          <w:pPr>
            <w:pStyle w:val="TOC2"/>
            <w:ind w:hanging="0" w:left="324"/>
            <w:rPr/>
          </w:pPr>
          <w:r>
            <w:rPr/>
            <w:t>4.2</w:t>
          </w:r>
          <w:r>
            <w:rPr>
              <w:spacing w:val="2"/>
            </w:rPr>
            <w:t xml:space="preserve"> </w:t>
          </w:r>
          <w:r>
            <w:rPr/>
            <w:t>Symboly</w:t>
          </w:r>
          <w:r>
            <w:rPr>
              <w:spacing w:val="1"/>
            </w:rPr>
            <w:t xml:space="preserve"> </w:t>
          </w:r>
          <w:r>
            <w:rPr/>
            <w:t>obce..................................................................................................................</w:t>
          </w:r>
        </w:p>
        <w:p>
          <w:pPr>
            <w:pStyle w:val="TOC2"/>
            <w:numPr>
              <w:ilvl w:val="1"/>
              <w:numId w:val="8"/>
            </w:numPr>
            <w:tabs>
              <w:tab w:val="clear" w:pos="720"/>
              <w:tab w:val="left" w:pos="688" w:leader="none"/>
              <w:tab w:val="right" w:pos="8931" w:leader="dot"/>
            </w:tabs>
            <w:spacing w:before="136" w:after="0"/>
            <w:rPr/>
          </w:pPr>
          <w:r>
            <w:rPr/>
            <w:t>História</w:t>
          </w:r>
          <w:r>
            <w:rPr>
              <w:spacing w:val="1"/>
            </w:rPr>
            <w:t xml:space="preserve"> </w:t>
          </w:r>
          <w:r>
            <w:rPr/>
            <w:t>obce</w:t>
            <w:tab/>
            <w:t>6</w:t>
          </w:r>
        </w:p>
        <w:p>
          <w:pPr>
            <w:pStyle w:val="TOC2"/>
            <w:numPr>
              <w:ilvl w:val="1"/>
              <w:numId w:val="8"/>
            </w:numPr>
            <w:tabs>
              <w:tab w:val="clear" w:pos="720"/>
              <w:tab w:val="left" w:pos="688" w:leader="none"/>
              <w:tab w:val="right" w:pos="8931" w:leader="dot"/>
            </w:tabs>
            <w:rPr/>
          </w:pPr>
          <w:r>
            <w:rPr/>
            <w:t>Pamiatky</w:t>
          </w:r>
          <w:r>
            <w:rPr>
              <w:spacing w:val="1"/>
            </w:rPr>
            <w:t xml:space="preserve"> </w:t>
          </w:r>
          <w:r>
            <w:rPr/>
            <w:t>a</w:t>
          </w:r>
          <w:r>
            <w:rPr>
              <w:spacing w:val="-1"/>
            </w:rPr>
            <w:t xml:space="preserve"> </w:t>
          </w:r>
          <w:r>
            <w:rPr/>
            <w:t>významné</w:t>
          </w:r>
          <w:r>
            <w:rPr>
              <w:spacing w:val="-1"/>
            </w:rPr>
            <w:t xml:space="preserve"> </w:t>
          </w:r>
          <w:r>
            <w:rPr/>
            <w:t>osobnosti obce</w:t>
            <w:tab/>
            <w:t>5</w:t>
          </w:r>
        </w:p>
        <w:p>
          <w:pPr>
            <w:pStyle w:val="TOC1"/>
            <w:numPr>
              <w:ilvl w:val="0"/>
              <w:numId w:val="9"/>
            </w:numPr>
            <w:tabs>
              <w:tab w:val="clear" w:pos="720"/>
              <w:tab w:val="left" w:pos="320" w:leader="none"/>
              <w:tab w:val="right" w:pos="8931" w:leader="dot"/>
            </w:tabs>
            <w:rPr/>
          </w:pPr>
          <w:hyperlink w:anchor="_TOC_250003">
            <w:r>
              <w:rPr>
                <w:rStyle w:val="Style6"/>
              </w:rPr>
              <w:t>Financovanie obce, majetok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obce,</w:t>
            </w:r>
            <w:r>
              <w:rPr>
                <w:rStyle w:val="Style6"/>
                <w:spacing w:val="1"/>
              </w:rPr>
              <w:t xml:space="preserve"> </w:t>
            </w:r>
            <w:r>
              <w:rPr>
                <w:rStyle w:val="Style6"/>
              </w:rPr>
              <w:t>rozpočet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obce</w:t>
              <w:tab/>
              <w:t>6</w:t>
            </w:r>
          </w:hyperlink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434" w:leader="none"/>
              <w:tab w:val="right" w:pos="8931" w:leader="dot"/>
            </w:tabs>
            <w:spacing w:before="140" w:after="0"/>
            <w:rPr/>
          </w:pPr>
          <w:r>
            <w:rPr/>
            <w:t>Rozpočet</w:t>
          </w:r>
          <w:r>
            <w:rPr>
              <w:spacing w:val="-2"/>
            </w:rPr>
            <w:t xml:space="preserve"> </w:t>
          </w:r>
          <w:r>
            <w:rPr/>
            <w:t>obce</w:t>
          </w:r>
          <w:r>
            <w:rPr>
              <w:spacing w:val="-1"/>
            </w:rPr>
            <w:t xml:space="preserve"> </w:t>
          </w:r>
          <w:r>
            <w:rPr/>
            <w:t>na</w:t>
          </w:r>
          <w:r>
            <w:rPr>
              <w:spacing w:val="1"/>
            </w:rPr>
            <w:t xml:space="preserve"> </w:t>
          </w:r>
          <w:r>
            <w:rPr/>
            <w:t>rok</w:t>
          </w:r>
          <w:r>
            <w:rPr>
              <w:spacing w:val="2"/>
            </w:rPr>
            <w:t xml:space="preserve"> </w:t>
          </w:r>
          <w:r>
            <w:rPr/>
            <w:t>2024</w:t>
            <w:tab/>
            <w:t>6</w:t>
          </w:r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420" w:leader="none"/>
              <w:tab w:val="right" w:pos="8931" w:leader="dot"/>
            </w:tabs>
            <w:ind w:hanging="282" w:left="420"/>
            <w:rPr/>
          </w:pPr>
          <w:r>
            <w:rPr/>
            <w:t>Rozbor</w:t>
          </w:r>
          <w:r>
            <w:rPr>
              <w:spacing w:val="1"/>
            </w:rPr>
            <w:t xml:space="preserve"> </w:t>
          </w:r>
          <w:r>
            <w:rPr/>
            <w:t>plnenia</w:t>
          </w:r>
          <w:r>
            <w:rPr>
              <w:spacing w:val="-1"/>
            </w:rPr>
            <w:t xml:space="preserve"> </w:t>
          </w:r>
          <w:r>
            <w:rPr/>
            <w:t>príjmov za</w:t>
          </w:r>
          <w:r>
            <w:rPr>
              <w:spacing w:val="1"/>
            </w:rPr>
            <w:t xml:space="preserve"> </w:t>
          </w:r>
          <w:r>
            <w:rPr/>
            <w:t>rok</w:t>
          </w:r>
          <w:r>
            <w:rPr>
              <w:spacing w:val="-1"/>
            </w:rPr>
            <w:t xml:space="preserve"> </w:t>
          </w:r>
          <w:r>
            <w:rPr/>
            <w:t>2024 v</w:t>
          </w:r>
          <w:r>
            <w:rPr>
              <w:spacing w:val="-6"/>
            </w:rPr>
            <w:t xml:space="preserve"> </w:t>
          </w:r>
          <w:r>
            <w:rPr/>
            <w:t>EUR</w:t>
            <w:tab/>
            <w:t>7</w:t>
          </w:r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420" w:leader="none"/>
              <w:tab w:val="right" w:pos="8929" w:leader="dot"/>
            </w:tabs>
            <w:spacing w:before="140" w:after="0"/>
            <w:ind w:hanging="282" w:left="420"/>
            <w:rPr/>
          </w:pPr>
          <w:r>
            <w:rPr/>
            <w:t>Rozbor</w:t>
          </w:r>
          <w:r>
            <w:rPr>
              <w:spacing w:val="-1"/>
            </w:rPr>
            <w:t xml:space="preserve"> </w:t>
          </w:r>
          <w:r>
            <w:rPr/>
            <w:t>čerpania</w:t>
          </w:r>
          <w:r>
            <w:rPr>
              <w:spacing w:val="1"/>
            </w:rPr>
            <w:t xml:space="preserve"> </w:t>
          </w:r>
          <w:r>
            <w:rPr/>
            <w:t>výdavkov</w:t>
          </w:r>
          <w:r>
            <w:rPr>
              <w:spacing w:val="2"/>
            </w:rPr>
            <w:t xml:space="preserve"> </w:t>
          </w:r>
          <w:r>
            <w:rPr/>
            <w:t>za</w:t>
          </w:r>
          <w:r>
            <w:rPr>
              <w:spacing w:val="-1"/>
            </w:rPr>
            <w:t xml:space="preserve"> </w:t>
          </w:r>
          <w:r>
            <w:rPr/>
            <w:t>rok 2024</w:t>
          </w:r>
          <w:r>
            <w:rPr>
              <w:spacing w:val="-1"/>
            </w:rPr>
            <w:t xml:space="preserve"> </w:t>
          </w:r>
          <w:r>
            <w:rPr/>
            <w:t>v EUR</w:t>
            <w:tab/>
            <w:t>10</w:t>
          </w:r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434" w:leader="none"/>
              <w:tab w:val="right" w:pos="8929" w:leader="dot"/>
            </w:tabs>
            <w:rPr/>
          </w:pPr>
          <w:hyperlink w:anchor="_TOC_250002">
            <w:r>
              <w:rPr>
                <w:rStyle w:val="Style6"/>
              </w:rPr>
              <w:t>Prebytok/schodok</w:t>
            </w:r>
            <w:r>
              <w:rPr>
                <w:rStyle w:val="Style6"/>
                <w:spacing w:val="-2"/>
              </w:rPr>
              <w:t xml:space="preserve"> </w:t>
            </w:r>
            <w:r>
              <w:rPr>
                <w:rStyle w:val="Style6"/>
              </w:rPr>
              <w:t>rozpočtového hospodárenia</w:t>
            </w:r>
            <w:r>
              <w:rPr>
                <w:rStyle w:val="Style6"/>
                <w:spacing w:val="1"/>
              </w:rPr>
              <w:t xml:space="preserve"> </w:t>
            </w:r>
            <w:r>
              <w:rPr>
                <w:rStyle w:val="Style6"/>
              </w:rPr>
              <w:t>za rok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2024</w:t>
              <w:tab/>
              <w:t>12</w:t>
            </w:r>
          </w:hyperlink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410" w:leader="none"/>
              <w:tab w:val="right" w:pos="8929" w:leader="dot"/>
            </w:tabs>
            <w:spacing w:before="140" w:after="0"/>
            <w:ind w:hanging="272" w:left="410"/>
            <w:rPr/>
          </w:pPr>
          <w:hyperlink w:anchor="_TOC_250001">
            <w:r>
              <w:rPr>
                <w:rStyle w:val="Style6"/>
              </w:rPr>
              <w:t>Bilancia aktív a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pasív k 31. 12.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2024</w:t>
              <w:tab/>
              <w:t>16</w:t>
            </w:r>
          </w:hyperlink>
        </w:p>
        <w:p>
          <w:pPr>
            <w:pStyle w:val="TOC1"/>
            <w:numPr>
              <w:ilvl w:val="0"/>
              <w:numId w:val="7"/>
            </w:numPr>
            <w:tabs>
              <w:tab w:val="clear" w:pos="720"/>
              <w:tab w:val="left" w:pos="392" w:leader="none"/>
              <w:tab w:val="right" w:pos="8929" w:leader="dot"/>
            </w:tabs>
            <w:ind w:hanging="254" w:left="392"/>
            <w:rPr/>
          </w:pPr>
          <w:hyperlink w:anchor="_TOC_250000">
            <w:r>
              <w:rPr>
                <w:rStyle w:val="Style6"/>
              </w:rPr>
              <w:t>Prehľad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o stave a</w:t>
            </w:r>
            <w:r>
              <w:rPr>
                <w:rStyle w:val="Style6"/>
                <w:spacing w:val="1"/>
              </w:rPr>
              <w:t xml:space="preserve"> </w:t>
            </w:r>
            <w:r>
              <w:rPr>
                <w:rStyle w:val="Style6"/>
              </w:rPr>
              <w:t>vývoji</w:t>
            </w:r>
            <w:r>
              <w:rPr>
                <w:rStyle w:val="Style6"/>
                <w:spacing w:val="1"/>
              </w:rPr>
              <w:t xml:space="preserve"> </w:t>
            </w:r>
            <w:r>
              <w:rPr>
                <w:rStyle w:val="Style6"/>
              </w:rPr>
              <w:t>dlhu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k</w:t>
            </w:r>
            <w:r>
              <w:rPr>
                <w:rStyle w:val="Style6"/>
                <w:spacing w:val="3"/>
              </w:rPr>
              <w:t xml:space="preserve"> </w:t>
            </w:r>
            <w:r>
              <w:rPr>
                <w:rStyle w:val="Style6"/>
              </w:rPr>
              <w:t>31. 12.</w:t>
            </w:r>
            <w:r>
              <w:rPr>
                <w:rStyle w:val="Style6"/>
                <w:spacing w:val="-1"/>
              </w:rPr>
              <w:t xml:space="preserve"> </w:t>
            </w:r>
            <w:r>
              <w:rPr>
                <w:rStyle w:val="Style6"/>
              </w:rPr>
              <w:t>2024</w:t>
              <w:tab/>
              <w:t>17</w:t>
            </w:r>
          </w:hyperlink>
        </w:p>
        <w:p>
          <w:pPr>
            <w:sectPr>
              <w:type w:val="nextPage"/>
              <w:pgSz w:w="11906" w:h="16838"/>
              <w:pgMar w:left="1280" w:right="1160" w:gutter="0" w:header="0" w:top="1600" w:footer="0" w:bottom="280"/>
              <w:pgNumType w:fmt="decimal"/>
              <w:formProt w:val="false"/>
              <w:textDirection w:val="lrTb"/>
              <w:docGrid w:type="default" w:linePitch="100" w:charSpace="0"/>
            </w:sectPr>
            <w:pStyle w:val="TOC1"/>
            <w:numPr>
              <w:ilvl w:val="0"/>
              <w:numId w:val="9"/>
            </w:numPr>
            <w:tabs>
              <w:tab w:val="clear" w:pos="720"/>
              <w:tab w:val="left" w:pos="318" w:leader="none"/>
              <w:tab w:val="right" w:pos="8929" w:leader="dot"/>
            </w:tabs>
            <w:spacing w:before="138" w:after="0"/>
            <w:ind w:hanging="180" w:left="318"/>
            <w:rPr/>
          </w:pPr>
          <w:r>
            <w:rPr/>
            <w:t>Udalosti osobitného</w:t>
          </w:r>
          <w:r>
            <w:rPr>
              <w:spacing w:val="-2"/>
            </w:rPr>
            <w:t xml:space="preserve"> </w:t>
          </w:r>
          <w:r>
            <w:rPr/>
            <w:t>významu</w:t>
          </w:r>
          <w:r>
            <w:rPr>
              <w:spacing w:val="-1"/>
            </w:rPr>
            <w:t xml:space="preserve"> </w:t>
          </w:r>
          <w:r>
            <w:rPr/>
            <w:t>po</w:t>
          </w:r>
          <w:r>
            <w:rPr>
              <w:spacing w:val="-1"/>
            </w:rPr>
            <w:t xml:space="preserve"> </w:t>
          </w:r>
          <w:r>
            <w:rPr/>
            <w:t>skončení účtovného</w:t>
          </w:r>
          <w:r>
            <w:rPr>
              <w:spacing w:val="-1"/>
            </w:rPr>
            <w:t xml:space="preserve"> </w:t>
          </w:r>
          <w:r>
            <w:rPr/>
            <w:t>obdobia</w:t>
            <w:tab/>
            <w:t>17</w:t>
          </w:r>
        </w:p>
      </w:sdtContent>
    </w:sdt>
    <w:p>
      <w:pPr>
        <w:pStyle w:val="Heading2"/>
        <w:numPr>
          <w:ilvl w:val="0"/>
          <w:numId w:val="6"/>
        </w:numPr>
        <w:tabs>
          <w:tab w:val="clear" w:pos="720"/>
          <w:tab w:val="left" w:pos="338" w:leader="none"/>
        </w:tabs>
        <w:rPr/>
      </w:pPr>
      <w:bookmarkStart w:id="1" w:name="_TOC_250004"/>
      <w:r>
        <w:rPr/>
        <w:t>Úvodné</w:t>
      </w:r>
      <w:r>
        <w:rPr>
          <w:spacing w:val="-6"/>
        </w:rPr>
        <w:t xml:space="preserve"> </w:t>
      </w:r>
      <w:r>
        <w:rPr/>
        <w:t>slovo</w:t>
      </w:r>
      <w:r>
        <w:rPr>
          <w:spacing w:val="-5"/>
        </w:rPr>
        <w:t xml:space="preserve"> </w:t>
      </w:r>
      <w:r>
        <w:rPr/>
        <w:t>starostu</w:t>
      </w:r>
      <w:r>
        <w:rPr>
          <w:spacing w:val="-6"/>
        </w:rPr>
        <w:t xml:space="preserve"> </w:t>
      </w:r>
      <w:bookmarkEnd w:id="1"/>
      <w:r>
        <w:rPr/>
        <w:t>obce</w:t>
      </w:r>
    </w:p>
    <w:p>
      <w:pPr>
        <w:pStyle w:val="BodyText"/>
        <w:spacing w:before="7" w:after="0"/>
        <w:rPr>
          <w:b/>
          <w:sz w:val="33"/>
        </w:rPr>
      </w:pPr>
      <w:r>
        <w:rPr>
          <w:b/>
          <w:sz w:val="33"/>
        </w:rPr>
      </w:r>
    </w:p>
    <w:p>
      <w:pPr>
        <w:pStyle w:val="Normal"/>
        <w:ind w:left="510"/>
        <w:jc w:val="both"/>
        <w:rPr>
          <w:sz w:val="26"/>
        </w:rPr>
      </w:pPr>
      <w:r>
        <w:rPr>
          <w:sz w:val="26"/>
        </w:rPr>
        <w:t>Vážení</w:t>
      </w:r>
      <w:r>
        <w:rPr>
          <w:spacing w:val="-15"/>
          <w:sz w:val="26"/>
        </w:rPr>
        <w:t xml:space="preserve"> </w:t>
      </w:r>
      <w:r>
        <w:rPr>
          <w:sz w:val="26"/>
        </w:rPr>
        <w:t>spoluobčania,</w:t>
      </w:r>
    </w:p>
    <w:p>
      <w:pPr>
        <w:pStyle w:val="BodyText"/>
        <w:spacing w:before="10" w:after="0"/>
        <w:rPr>
          <w:sz w:val="33"/>
        </w:rPr>
      </w:pPr>
      <w:r>
        <w:rPr>
          <w:sz w:val="33"/>
        </w:rPr>
      </w:r>
    </w:p>
    <w:p>
      <w:pPr>
        <w:sectPr>
          <w:type w:val="nextPage"/>
          <w:pgSz w:w="11906" w:h="16838"/>
          <w:pgMar w:left="1280" w:right="1160" w:gutter="0" w:header="0" w:top="126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lineRule="auto" w:line="360"/>
        <w:ind w:left="510" w:right="114"/>
        <w:jc w:val="both"/>
        <w:rPr>
          <w:sz w:val="26"/>
        </w:rPr>
      </w:pPr>
      <w:r>
        <w:rPr>
          <w:sz w:val="26"/>
        </w:rPr>
        <w:t>dostáva</w:t>
      </w:r>
      <w:r>
        <w:rPr>
          <w:spacing w:val="1"/>
          <w:sz w:val="26"/>
        </w:rPr>
        <w:t xml:space="preserve"> </w:t>
      </w:r>
      <w:r>
        <w:rPr>
          <w:sz w:val="26"/>
        </w:rPr>
        <w:t>sa</w:t>
      </w:r>
      <w:r>
        <w:rPr>
          <w:spacing w:val="1"/>
          <w:sz w:val="26"/>
        </w:rPr>
        <w:t xml:space="preserve"> </w:t>
      </w:r>
      <w:r>
        <w:rPr>
          <w:sz w:val="26"/>
        </w:rPr>
        <w:t>Vám</w:t>
      </w:r>
      <w:r>
        <w:rPr>
          <w:spacing w:val="1"/>
          <w:sz w:val="26"/>
        </w:rPr>
        <w:t xml:space="preserve"> </w:t>
      </w:r>
      <w:r>
        <w:rPr>
          <w:sz w:val="26"/>
        </w:rPr>
        <w:t>do</w:t>
      </w:r>
      <w:r>
        <w:rPr>
          <w:spacing w:val="1"/>
          <w:sz w:val="26"/>
        </w:rPr>
        <w:t xml:space="preserve"> </w:t>
      </w:r>
      <w:r>
        <w:rPr>
          <w:sz w:val="26"/>
        </w:rPr>
        <w:t>rúk</w:t>
      </w:r>
      <w:r>
        <w:rPr>
          <w:spacing w:val="1"/>
          <w:sz w:val="26"/>
        </w:rPr>
        <w:t xml:space="preserve"> </w:t>
      </w:r>
      <w:r>
        <w:rPr>
          <w:sz w:val="26"/>
        </w:rPr>
        <w:t>výročná</w:t>
      </w:r>
      <w:r>
        <w:rPr>
          <w:spacing w:val="1"/>
          <w:sz w:val="26"/>
        </w:rPr>
        <w:t xml:space="preserve"> </w:t>
      </w:r>
      <w:r>
        <w:rPr>
          <w:sz w:val="26"/>
        </w:rPr>
        <w:t>správa</w:t>
      </w:r>
      <w:r>
        <w:rPr>
          <w:spacing w:val="1"/>
          <w:sz w:val="26"/>
        </w:rPr>
        <w:t xml:space="preserve"> </w:t>
      </w:r>
      <w:r>
        <w:rPr>
          <w:sz w:val="26"/>
        </w:rPr>
        <w:t>so</w:t>
      </w:r>
      <w:r>
        <w:rPr>
          <w:spacing w:val="1"/>
          <w:sz w:val="26"/>
        </w:rPr>
        <w:t xml:space="preserve"> </w:t>
      </w:r>
      <w:r>
        <w:rPr>
          <w:sz w:val="26"/>
        </w:rPr>
        <w:t>štandardnou</w:t>
      </w:r>
      <w:r>
        <w:rPr>
          <w:spacing w:val="1"/>
          <w:sz w:val="26"/>
        </w:rPr>
        <w:t xml:space="preserve"> </w:t>
      </w:r>
      <w:r>
        <w:rPr>
          <w:sz w:val="26"/>
        </w:rPr>
        <w:t>štruktúrou</w:t>
      </w:r>
      <w:r>
        <w:rPr>
          <w:spacing w:val="1"/>
          <w:sz w:val="26"/>
        </w:rPr>
        <w:t xml:space="preserve"> </w:t>
      </w:r>
      <w:r>
        <w:rPr>
          <w:sz w:val="26"/>
        </w:rPr>
        <w:t>o</w:t>
      </w:r>
      <w:r>
        <w:rPr>
          <w:spacing w:val="1"/>
          <w:sz w:val="26"/>
        </w:rPr>
        <w:t xml:space="preserve"> </w:t>
      </w:r>
      <w:r>
        <w:rPr>
          <w:sz w:val="26"/>
        </w:rPr>
        <w:t>stave</w:t>
      </w:r>
      <w:r>
        <w:rPr>
          <w:spacing w:val="1"/>
          <w:sz w:val="26"/>
        </w:rPr>
        <w:t xml:space="preserve"> </w:t>
      </w:r>
      <w:r>
        <w:rPr>
          <w:sz w:val="26"/>
        </w:rPr>
        <w:t>a</w:t>
      </w:r>
      <w:r>
        <w:rPr>
          <w:spacing w:val="1"/>
          <w:sz w:val="26"/>
        </w:rPr>
        <w:t xml:space="preserve"> </w:t>
      </w:r>
      <w:r>
        <w:rPr>
          <w:sz w:val="26"/>
        </w:rPr>
        <w:t>hospodárení obce Suchá Dolina, vypracovaná v zmysle zákona č. 431/2002 Z.z. o</w:t>
      </w:r>
      <w:r>
        <w:rPr>
          <w:spacing w:val="1"/>
          <w:sz w:val="26"/>
        </w:rPr>
        <w:t xml:space="preserve"> </w:t>
      </w:r>
      <w:r>
        <w:rPr>
          <w:sz w:val="26"/>
        </w:rPr>
        <w:t>účtovníctve a v znení neskorších predpisov. Obec Suchá Dolina plnila v sledovanom</w:t>
      </w:r>
      <w:r>
        <w:rPr>
          <w:spacing w:val="-62"/>
          <w:sz w:val="26"/>
        </w:rPr>
        <w:t xml:space="preserve"> </w:t>
      </w:r>
      <w:r>
        <w:rPr>
          <w:sz w:val="26"/>
        </w:rPr>
        <w:t>roku úlohy, ktoré jej vyplývajú z ustanovení zákona č. 369/1990 Zb. o obecnom</w:t>
      </w:r>
      <w:r>
        <w:rPr>
          <w:spacing w:val="1"/>
          <w:sz w:val="26"/>
        </w:rPr>
        <w:t xml:space="preserve"> </w:t>
      </w:r>
      <w:r>
        <w:rPr>
          <w:sz w:val="26"/>
        </w:rPr>
        <w:t>zriadení v znení neskorších predpisov a doplnkov, Ústavy Slovenskej republiky a</w:t>
      </w:r>
      <w:r>
        <w:rPr>
          <w:spacing w:val="1"/>
          <w:sz w:val="26"/>
        </w:rPr>
        <w:t xml:space="preserve"> </w:t>
      </w:r>
      <w:r>
        <w:rPr>
          <w:sz w:val="26"/>
        </w:rPr>
        <w:t>ďalších</w:t>
      </w:r>
      <w:r>
        <w:rPr>
          <w:spacing w:val="1"/>
          <w:sz w:val="26"/>
        </w:rPr>
        <w:t xml:space="preserve"> </w:t>
      </w:r>
      <w:r>
        <w:rPr>
          <w:sz w:val="26"/>
        </w:rPr>
        <w:t>zákonov</w:t>
      </w:r>
      <w:r>
        <w:rPr>
          <w:spacing w:val="1"/>
          <w:sz w:val="26"/>
        </w:rPr>
        <w:t xml:space="preserve"> </w:t>
      </w:r>
      <w:r>
        <w:rPr>
          <w:sz w:val="26"/>
        </w:rPr>
        <w:t>a</w:t>
      </w:r>
      <w:r>
        <w:rPr>
          <w:spacing w:val="1"/>
          <w:sz w:val="26"/>
        </w:rPr>
        <w:t xml:space="preserve"> </w:t>
      </w:r>
      <w:r>
        <w:rPr>
          <w:sz w:val="26"/>
        </w:rPr>
        <w:t>ustanovení,</w:t>
      </w:r>
      <w:r>
        <w:rPr>
          <w:spacing w:val="1"/>
          <w:sz w:val="26"/>
        </w:rPr>
        <w:t xml:space="preserve"> </w:t>
      </w:r>
      <w:r>
        <w:rPr>
          <w:sz w:val="26"/>
        </w:rPr>
        <w:t>ktorými</w:t>
      </w:r>
      <w:r>
        <w:rPr>
          <w:spacing w:val="1"/>
          <w:sz w:val="26"/>
        </w:rPr>
        <w:t xml:space="preserve"> </w:t>
      </w:r>
      <w:r>
        <w:rPr>
          <w:sz w:val="26"/>
        </w:rPr>
        <w:t>sa</w:t>
      </w:r>
      <w:r>
        <w:rPr>
          <w:spacing w:val="1"/>
          <w:sz w:val="26"/>
        </w:rPr>
        <w:t xml:space="preserve"> </w:t>
      </w:r>
      <w:r>
        <w:rPr>
          <w:sz w:val="26"/>
        </w:rPr>
        <w:t>obec</w:t>
      </w:r>
      <w:r>
        <w:rPr>
          <w:spacing w:val="1"/>
          <w:sz w:val="26"/>
        </w:rPr>
        <w:t xml:space="preserve"> </w:t>
      </w:r>
      <w:r>
        <w:rPr>
          <w:sz w:val="26"/>
        </w:rPr>
        <w:t>riadi</w:t>
      </w:r>
      <w:r>
        <w:rPr>
          <w:spacing w:val="1"/>
          <w:sz w:val="26"/>
        </w:rPr>
        <w:t xml:space="preserve"> </w:t>
      </w:r>
      <w:r>
        <w:rPr>
          <w:sz w:val="26"/>
        </w:rPr>
        <w:t>pri</w:t>
      </w:r>
      <w:r>
        <w:rPr>
          <w:spacing w:val="1"/>
          <w:sz w:val="26"/>
        </w:rPr>
        <w:t xml:space="preserve"> </w:t>
      </w:r>
      <w:r>
        <w:rPr>
          <w:sz w:val="26"/>
        </w:rPr>
        <w:t>zabezpečovaní</w:t>
      </w:r>
      <w:r>
        <w:rPr>
          <w:spacing w:val="1"/>
          <w:sz w:val="26"/>
        </w:rPr>
        <w:t xml:space="preserve"> </w:t>
      </w:r>
      <w:r>
        <w:rPr>
          <w:sz w:val="26"/>
        </w:rPr>
        <w:t>plnenia</w:t>
      </w:r>
      <w:r>
        <w:rPr>
          <w:spacing w:val="-62"/>
          <w:sz w:val="26"/>
        </w:rPr>
        <w:t xml:space="preserve"> </w:t>
      </w:r>
      <w:r>
        <w:rPr>
          <w:sz w:val="26"/>
        </w:rPr>
        <w:t>základných</w:t>
      </w:r>
      <w:r>
        <w:rPr>
          <w:spacing w:val="1"/>
          <w:sz w:val="26"/>
        </w:rPr>
        <w:t xml:space="preserve"> </w:t>
      </w:r>
      <w:r>
        <w:rPr>
          <w:sz w:val="26"/>
        </w:rPr>
        <w:t>funkcií</w:t>
      </w:r>
      <w:r>
        <w:rPr>
          <w:spacing w:val="1"/>
          <w:sz w:val="26"/>
        </w:rPr>
        <w:t xml:space="preserve"> </w:t>
      </w:r>
      <w:r>
        <w:rPr>
          <w:sz w:val="26"/>
        </w:rPr>
        <w:t>samosprávy,</w:t>
      </w:r>
      <w:r>
        <w:rPr>
          <w:spacing w:val="1"/>
          <w:sz w:val="26"/>
        </w:rPr>
        <w:t xml:space="preserve"> </w:t>
      </w:r>
      <w:r>
        <w:rPr>
          <w:sz w:val="26"/>
        </w:rPr>
        <w:t>ako</w:t>
      </w:r>
      <w:r>
        <w:rPr>
          <w:spacing w:val="1"/>
          <w:sz w:val="26"/>
        </w:rPr>
        <w:t xml:space="preserve"> </w:t>
      </w:r>
      <w:r>
        <w:rPr>
          <w:sz w:val="26"/>
        </w:rPr>
        <w:t>i</w:t>
      </w:r>
      <w:r>
        <w:rPr>
          <w:spacing w:val="1"/>
          <w:sz w:val="26"/>
        </w:rPr>
        <w:t xml:space="preserve"> </w:t>
      </w:r>
      <w:r>
        <w:rPr>
          <w:sz w:val="26"/>
        </w:rPr>
        <w:t>plnení</w:t>
      </w:r>
      <w:r>
        <w:rPr>
          <w:spacing w:val="1"/>
          <w:sz w:val="26"/>
        </w:rPr>
        <w:t xml:space="preserve"> </w:t>
      </w:r>
      <w:r>
        <w:rPr>
          <w:sz w:val="26"/>
        </w:rPr>
        <w:t>kompetencií</w:t>
      </w:r>
      <w:r>
        <w:rPr>
          <w:spacing w:val="1"/>
          <w:sz w:val="26"/>
        </w:rPr>
        <w:t xml:space="preserve"> </w:t>
      </w:r>
      <w:r>
        <w:rPr>
          <w:sz w:val="26"/>
        </w:rPr>
        <w:t>vyplývajúcich</w:t>
      </w:r>
      <w:r>
        <w:rPr>
          <w:spacing w:val="1"/>
          <w:sz w:val="26"/>
        </w:rPr>
        <w:t xml:space="preserve"> </w:t>
      </w:r>
      <w:r>
        <w:rPr>
          <w:sz w:val="26"/>
        </w:rPr>
        <w:t>z</w:t>
      </w:r>
      <w:r>
        <w:rPr>
          <w:spacing w:val="1"/>
          <w:sz w:val="26"/>
        </w:rPr>
        <w:t xml:space="preserve"> </w:t>
      </w:r>
      <w:r>
        <w:rPr>
          <w:sz w:val="26"/>
        </w:rPr>
        <w:t>preneseného výkonu štátnej správy. Výročná správa podrobne opisuje stav a činnosti</w:t>
      </w:r>
      <w:r>
        <w:rPr>
          <w:spacing w:val="-62"/>
          <w:sz w:val="26"/>
        </w:rPr>
        <w:t xml:space="preserve"> </w:t>
      </w:r>
      <w:r>
        <w:rPr>
          <w:sz w:val="26"/>
        </w:rPr>
        <w:t>vykonávané obcou a verne zachytáva stav hospodárenia obce pri zabezpečovaní</w:t>
      </w:r>
      <w:r>
        <w:rPr>
          <w:spacing w:val="1"/>
          <w:sz w:val="26"/>
        </w:rPr>
        <w:t xml:space="preserve"> </w:t>
      </w:r>
      <w:r>
        <w:rPr>
          <w:sz w:val="26"/>
        </w:rPr>
        <w:t>základných</w:t>
      </w:r>
      <w:r>
        <w:rPr>
          <w:spacing w:val="33"/>
          <w:sz w:val="26"/>
        </w:rPr>
        <w:t xml:space="preserve"> </w:t>
      </w:r>
      <w:r>
        <w:rPr>
          <w:sz w:val="26"/>
        </w:rPr>
        <w:t>činností</w:t>
      </w:r>
      <w:r>
        <w:rPr>
          <w:spacing w:val="35"/>
          <w:sz w:val="26"/>
        </w:rPr>
        <w:t xml:space="preserve"> </w:t>
      </w:r>
      <w:r>
        <w:rPr>
          <w:sz w:val="26"/>
        </w:rPr>
        <w:t>a</w:t>
      </w:r>
      <w:r>
        <w:rPr>
          <w:spacing w:val="31"/>
          <w:sz w:val="26"/>
        </w:rPr>
        <w:t xml:space="preserve"> </w:t>
      </w:r>
      <w:r>
        <w:rPr>
          <w:sz w:val="26"/>
        </w:rPr>
        <w:t>uspokojovania</w:t>
      </w:r>
      <w:r>
        <w:rPr>
          <w:spacing w:val="34"/>
          <w:sz w:val="26"/>
        </w:rPr>
        <w:t xml:space="preserve"> </w:t>
      </w:r>
      <w:r>
        <w:rPr>
          <w:sz w:val="26"/>
        </w:rPr>
        <w:t>potrieb</w:t>
      </w:r>
      <w:r>
        <w:rPr>
          <w:spacing w:val="32"/>
          <w:sz w:val="26"/>
        </w:rPr>
        <w:t xml:space="preserve"> </w:t>
      </w:r>
      <w:r>
        <w:rPr>
          <w:sz w:val="26"/>
        </w:rPr>
        <w:t>občanov.</w:t>
      </w:r>
      <w:r>
        <w:rPr>
          <w:spacing w:val="35"/>
          <w:sz w:val="26"/>
        </w:rPr>
        <w:t xml:space="preserve"> </w:t>
      </w:r>
      <w:r>
        <w:rPr>
          <w:sz w:val="26"/>
        </w:rPr>
        <w:t>Tak</w:t>
      </w:r>
      <w:r>
        <w:rPr>
          <w:spacing w:val="33"/>
          <w:sz w:val="26"/>
        </w:rPr>
        <w:t xml:space="preserve"> </w:t>
      </w:r>
      <w:r>
        <w:rPr>
          <w:sz w:val="26"/>
        </w:rPr>
        <w:t>ako</w:t>
      </w:r>
      <w:r>
        <w:rPr>
          <w:spacing w:val="36"/>
          <w:sz w:val="26"/>
        </w:rPr>
        <w:t xml:space="preserve"> </w:t>
      </w:r>
      <w:r>
        <w:rPr>
          <w:sz w:val="26"/>
        </w:rPr>
        <w:t>po</w:t>
      </w:r>
      <w:r>
        <w:rPr>
          <w:spacing w:val="33"/>
          <w:sz w:val="26"/>
        </w:rPr>
        <w:t xml:space="preserve"> </w:t>
      </w:r>
      <w:r>
        <w:rPr>
          <w:sz w:val="26"/>
        </w:rPr>
        <w:t>uplynulé</w:t>
      </w:r>
      <w:r>
        <w:rPr>
          <w:spacing w:val="9"/>
          <w:sz w:val="26"/>
        </w:rPr>
        <w:t xml:space="preserve"> </w:t>
      </w:r>
      <w:r>
        <w:rPr>
          <w:sz w:val="26"/>
        </w:rPr>
        <w:t>roky,</w:t>
      </w:r>
      <w:r>
        <w:rPr>
          <w:spacing w:val="-63"/>
          <w:sz w:val="26"/>
        </w:rPr>
        <w:t xml:space="preserve"> </w:t>
      </w:r>
      <w:r>
        <w:rPr>
          <w:sz w:val="26"/>
        </w:rPr>
        <w:t>tak aj v roku 2024 sme zodpovedne riešili potreby každého občana, hospodárne a</w:t>
      </w:r>
      <w:r>
        <w:rPr>
          <w:spacing w:val="1"/>
          <w:sz w:val="26"/>
        </w:rPr>
        <w:t xml:space="preserve"> </w:t>
      </w:r>
      <w:r>
        <w:rPr>
          <w:sz w:val="26"/>
        </w:rPr>
        <w:t>efektívne vynakladali finančné prostriedky na rozvoj a zveľaďovanie našej obce. V</w:t>
      </w:r>
      <w:r>
        <w:rPr>
          <w:spacing w:val="1"/>
          <w:sz w:val="26"/>
        </w:rPr>
        <w:t xml:space="preserve"> </w:t>
      </w:r>
      <w:r>
        <w:rPr>
          <w:sz w:val="26"/>
        </w:rPr>
        <w:t>ďalšom roku chceme pokračovať v opravách Obecného domu, aby mohol slúžiť</w:t>
      </w:r>
      <w:r>
        <w:rPr>
          <w:spacing w:val="1"/>
          <w:sz w:val="26"/>
        </w:rPr>
        <w:t xml:space="preserve"> </w:t>
      </w:r>
      <w:r>
        <w:rPr>
          <w:sz w:val="26"/>
        </w:rPr>
        <w:t>občanom, v opravách ciest. Chceme pokračovať aj v kultúrnych podujatiach pre</w:t>
      </w:r>
      <w:r>
        <w:rPr>
          <w:spacing w:val="1"/>
          <w:sz w:val="26"/>
        </w:rPr>
        <w:t xml:space="preserve"> </w:t>
      </w:r>
      <w:r>
        <w:rPr>
          <w:sz w:val="26"/>
        </w:rPr>
        <w:t>našich</w:t>
      </w:r>
      <w:r>
        <w:rPr>
          <w:spacing w:val="1"/>
          <w:sz w:val="26"/>
        </w:rPr>
        <w:t xml:space="preserve"> </w:t>
      </w:r>
      <w:r>
        <w:rPr>
          <w:sz w:val="26"/>
        </w:rPr>
        <w:t>občanov.</w:t>
      </w:r>
      <w:r>
        <w:rPr>
          <w:spacing w:val="1"/>
          <w:sz w:val="26"/>
        </w:rPr>
        <w:t xml:space="preserve"> </w:t>
      </w:r>
      <w:r>
        <w:rPr>
          <w:sz w:val="26"/>
        </w:rPr>
        <w:t>Vďaka</w:t>
      </w:r>
      <w:r>
        <w:rPr>
          <w:spacing w:val="1"/>
          <w:sz w:val="26"/>
        </w:rPr>
        <w:t xml:space="preserve"> </w:t>
      </w:r>
      <w:r>
        <w:rPr>
          <w:sz w:val="26"/>
        </w:rPr>
        <w:t>patrí</w:t>
      </w:r>
      <w:r>
        <w:rPr>
          <w:spacing w:val="1"/>
          <w:sz w:val="26"/>
        </w:rPr>
        <w:t xml:space="preserve"> </w:t>
      </w:r>
      <w:r>
        <w:rPr>
          <w:sz w:val="26"/>
        </w:rPr>
        <w:t>všetkým</w:t>
      </w:r>
      <w:r>
        <w:rPr>
          <w:spacing w:val="1"/>
          <w:sz w:val="26"/>
        </w:rPr>
        <w:t xml:space="preserve"> </w:t>
      </w:r>
      <w:r>
        <w:rPr>
          <w:sz w:val="26"/>
        </w:rPr>
        <w:t>občanom,</w:t>
      </w:r>
      <w:r>
        <w:rPr>
          <w:spacing w:val="66"/>
          <w:sz w:val="26"/>
        </w:rPr>
        <w:t xml:space="preserve"> </w:t>
      </w:r>
      <w:r>
        <w:rPr>
          <w:sz w:val="26"/>
        </w:rPr>
        <w:t>poslancom</w:t>
      </w:r>
      <w:r>
        <w:rPr>
          <w:spacing w:val="66"/>
          <w:sz w:val="26"/>
        </w:rPr>
        <w:t xml:space="preserve"> </w:t>
      </w:r>
      <w:r>
        <w:rPr>
          <w:sz w:val="26"/>
        </w:rPr>
        <w:t>obecného</w:t>
      </w:r>
      <w:r>
        <w:rPr>
          <w:spacing w:val="1"/>
          <w:sz w:val="26"/>
        </w:rPr>
        <w:t xml:space="preserve"> </w:t>
      </w:r>
      <w:r>
        <w:rPr>
          <w:sz w:val="26"/>
        </w:rPr>
        <w:t>zastupiteľstva, podnikateľom a iným subjektom, ktorí sa akýmkoľvek spôsobom</w:t>
      </w:r>
      <w:r>
        <w:rPr>
          <w:spacing w:val="1"/>
          <w:sz w:val="26"/>
        </w:rPr>
        <w:t xml:space="preserve"> </w:t>
      </w:r>
      <w:r>
        <w:rPr>
          <w:sz w:val="26"/>
        </w:rPr>
        <w:t>pričinili</w:t>
      </w:r>
      <w:r>
        <w:rPr>
          <w:spacing w:val="-1"/>
          <w:sz w:val="26"/>
        </w:rPr>
        <w:t xml:space="preserve"> </w:t>
      </w:r>
      <w:r>
        <w:rPr>
          <w:sz w:val="26"/>
        </w:rPr>
        <w:t>k</w:t>
      </w:r>
      <w:r>
        <w:rPr>
          <w:spacing w:val="-2"/>
          <w:sz w:val="26"/>
        </w:rPr>
        <w:t xml:space="preserve"> </w:t>
      </w:r>
      <w:r>
        <w:rPr>
          <w:sz w:val="26"/>
        </w:rPr>
        <w:t>napredovaniu a</w:t>
      </w:r>
      <w:r>
        <w:rPr>
          <w:spacing w:val="-2"/>
          <w:sz w:val="26"/>
        </w:rPr>
        <w:t xml:space="preserve"> </w:t>
      </w:r>
      <w:r>
        <w:rPr>
          <w:sz w:val="26"/>
        </w:rPr>
        <w:t>zveľaďovaniu</w:t>
      </w:r>
      <w:r>
        <w:rPr>
          <w:spacing w:val="-2"/>
          <w:sz w:val="26"/>
        </w:rPr>
        <w:t xml:space="preserve"> </w:t>
      </w:r>
      <w:r>
        <w:rPr>
          <w:sz w:val="26"/>
        </w:rPr>
        <w:t>našej obce.</w:t>
      </w:r>
    </w:p>
    <w:p>
      <w:pPr>
        <w:pStyle w:val="Normal"/>
        <w:tabs>
          <w:tab w:val="clear" w:pos="720"/>
          <w:tab w:val="left" w:pos="2125" w:leader="none"/>
        </w:tabs>
        <w:spacing w:before="67" w:after="0"/>
        <w:rPr/>
      </w:pPr>
      <w:r>
        <w:rPr>
          <w:b/>
          <w:i w:val="false"/>
          <w:iCs w:val="false"/>
          <w:sz w:val="24"/>
        </w:rPr>
        <w:t xml:space="preserve">2 </w:t>
      </w:r>
      <w:r>
        <w:rPr>
          <w:b/>
          <w:i w:val="false"/>
          <w:iCs w:val="false"/>
          <w:sz w:val="26"/>
          <w:szCs w:val="26"/>
        </w:rPr>
        <w:t>Identifikačné</w:t>
      </w:r>
      <w:r>
        <w:rPr>
          <w:b/>
          <w:i w:val="false"/>
          <w:iCs w:val="false"/>
          <w:sz w:val="24"/>
        </w:rPr>
        <w:t xml:space="preserve"> údaje obce</w:t>
      </w:r>
    </w:p>
    <w:p>
      <w:pPr>
        <w:pStyle w:val="Normal"/>
        <w:tabs>
          <w:tab w:val="clear" w:pos="720"/>
          <w:tab w:val="left" w:pos="2125" w:leader="none"/>
        </w:tabs>
        <w:spacing w:before="67" w:after="0"/>
        <w:ind w:left="140"/>
        <w:rPr>
          <w:sz w:val="24"/>
        </w:rPr>
      </w:pPr>
      <w:r>
        <w:rPr>
          <w:sz w:val="24"/>
        </w:rPr>
      </w:r>
    </w:p>
    <w:p>
      <w:pPr>
        <w:pStyle w:val="Normal"/>
        <w:tabs>
          <w:tab w:val="clear" w:pos="720"/>
          <w:tab w:val="left" w:pos="2125" w:leader="none"/>
        </w:tabs>
        <w:spacing w:before="67" w:after="0"/>
        <w:ind w:left="140"/>
        <w:rPr>
          <w:sz w:val="24"/>
        </w:rPr>
      </w:pPr>
      <w:r>
        <w:rPr>
          <w:b/>
          <w:i/>
          <w:sz w:val="24"/>
        </w:rPr>
        <w:t>Názov:</w:t>
        <w:tab/>
      </w:r>
      <w:r>
        <w:rPr>
          <w:sz w:val="24"/>
        </w:rPr>
        <w:t>Obec</w:t>
      </w:r>
      <w:r>
        <w:rPr>
          <w:spacing w:val="-6"/>
          <w:sz w:val="24"/>
        </w:rPr>
        <w:t xml:space="preserve"> </w:t>
      </w:r>
      <w:r>
        <w:rPr>
          <w:sz w:val="24"/>
        </w:rPr>
        <w:t>Suchá</w:t>
      </w:r>
      <w:r>
        <w:rPr>
          <w:spacing w:val="-5"/>
          <w:sz w:val="24"/>
        </w:rPr>
        <w:t xml:space="preserve"> </w:t>
      </w:r>
      <w:r>
        <w:rPr>
          <w:sz w:val="24"/>
        </w:rPr>
        <w:t>Dolina</w:t>
      </w:r>
    </w:p>
    <w:p>
      <w:pPr>
        <w:pStyle w:val="BodyText"/>
        <w:tabs>
          <w:tab w:val="clear" w:pos="720"/>
          <w:tab w:val="left" w:pos="2125" w:leader="none"/>
        </w:tabs>
        <w:spacing w:before="140" w:after="0"/>
        <w:ind w:left="140"/>
        <w:rPr/>
      </w:pPr>
      <w:r>
        <w:rPr>
          <w:b/>
          <w:i/>
        </w:rPr>
        <w:t>Sídlo:</w:t>
        <w:tab/>
      </w:r>
      <w:r>
        <w:rPr/>
        <w:t>Suchá</w:t>
      </w:r>
      <w:r>
        <w:rPr>
          <w:spacing w:val="-4"/>
        </w:rPr>
        <w:t xml:space="preserve"> </w:t>
      </w:r>
      <w:r>
        <w:rPr/>
        <w:t>Dolina</w:t>
      </w:r>
      <w:r>
        <w:rPr>
          <w:spacing w:val="-2"/>
        </w:rPr>
        <w:t xml:space="preserve"> </w:t>
      </w:r>
      <w:r>
        <w:rPr/>
        <w:t>68,</w:t>
      </w:r>
      <w:r>
        <w:rPr>
          <w:spacing w:val="-3"/>
        </w:rPr>
        <w:t xml:space="preserve"> </w:t>
      </w:r>
      <w:r>
        <w:rPr/>
        <w:t>082</w:t>
      </w:r>
      <w:r>
        <w:rPr>
          <w:spacing w:val="-2"/>
        </w:rPr>
        <w:t xml:space="preserve"> </w:t>
      </w:r>
      <w:r>
        <w:rPr/>
        <w:t>43</w:t>
      </w:r>
      <w:r>
        <w:rPr>
          <w:spacing w:val="-3"/>
        </w:rPr>
        <w:t xml:space="preserve"> </w:t>
      </w:r>
      <w:r>
        <w:rPr/>
        <w:t>Sedlice</w:t>
      </w:r>
    </w:p>
    <w:p>
      <w:pPr>
        <w:pStyle w:val="Normal"/>
        <w:tabs>
          <w:tab w:val="clear" w:pos="720"/>
          <w:tab w:val="right" w:pos="3072" w:leader="none"/>
        </w:tabs>
        <w:spacing w:before="136" w:after="0"/>
        <w:ind w:left="140"/>
        <w:rPr>
          <w:sz w:val="24"/>
        </w:rPr>
      </w:pPr>
      <w:r>
        <w:rPr>
          <w:b/>
          <w:i/>
          <w:sz w:val="24"/>
        </w:rPr>
        <w:t>IČO:</w:t>
        <w:tab/>
      </w:r>
      <w:r>
        <w:rPr>
          <w:sz w:val="24"/>
        </w:rPr>
        <w:t>00690635</w:t>
      </w:r>
    </w:p>
    <w:p>
      <w:pPr>
        <w:pStyle w:val="Normal"/>
        <w:tabs>
          <w:tab w:val="clear" w:pos="720"/>
          <w:tab w:val="left" w:pos="2185" w:leader="none"/>
        </w:tabs>
        <w:spacing w:before="140" w:after="0"/>
        <w:ind w:left="140"/>
        <w:rPr>
          <w:sz w:val="24"/>
        </w:rPr>
      </w:pPr>
      <w:r>
        <w:rPr>
          <w:b/>
          <w:i/>
          <w:sz w:val="24"/>
        </w:rPr>
        <w:t>Štatutárny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orgán:</w:t>
        <w:tab/>
      </w:r>
      <w:r>
        <w:rPr>
          <w:sz w:val="24"/>
        </w:rPr>
        <w:t>Ing.</w:t>
      </w:r>
      <w:r>
        <w:rPr>
          <w:spacing w:val="-4"/>
          <w:sz w:val="24"/>
        </w:rPr>
        <w:t xml:space="preserve"> </w:t>
      </w:r>
      <w:r>
        <w:rPr>
          <w:sz w:val="24"/>
        </w:rPr>
        <w:t>Katarína</w:t>
      </w:r>
      <w:r>
        <w:rPr>
          <w:spacing w:val="-6"/>
          <w:sz w:val="24"/>
        </w:rPr>
        <w:t xml:space="preserve"> </w:t>
      </w:r>
      <w:r>
        <w:rPr>
          <w:sz w:val="24"/>
        </w:rPr>
        <w:t>Petrenčáková</w:t>
      </w:r>
      <w:r>
        <w:rPr>
          <w:spacing w:val="-5"/>
          <w:sz w:val="24"/>
        </w:rPr>
        <w:t xml:space="preserve"> </w:t>
      </w:r>
      <w:r>
        <w:rPr>
          <w:sz w:val="24"/>
        </w:rPr>
        <w:t>starostka</w:t>
      </w:r>
      <w:r>
        <w:rPr>
          <w:spacing w:val="-2"/>
          <w:sz w:val="24"/>
        </w:rPr>
        <w:t xml:space="preserve"> </w:t>
      </w:r>
      <w:r>
        <w:rPr>
          <w:sz w:val="24"/>
        </w:rPr>
        <w:t>obce</w:t>
      </w:r>
    </w:p>
    <w:p>
      <w:pPr>
        <w:pStyle w:val="Normal"/>
        <w:tabs>
          <w:tab w:val="clear" w:pos="720"/>
          <w:tab w:val="left" w:pos="2125" w:leader="none"/>
        </w:tabs>
        <w:spacing w:before="136" w:after="0"/>
        <w:ind w:left="140"/>
        <w:rPr>
          <w:sz w:val="24"/>
        </w:rPr>
      </w:pPr>
      <w:r>
        <w:rPr>
          <w:b/>
          <w:i/>
          <w:sz w:val="24"/>
        </w:rPr>
        <w:t>Tel.:</w:t>
        <w:tab/>
      </w:r>
      <w:r>
        <w:rPr>
          <w:sz w:val="24"/>
        </w:rPr>
        <w:t>051/7782337</w:t>
      </w:r>
    </w:p>
    <w:p>
      <w:pPr>
        <w:pStyle w:val="Normal"/>
        <w:tabs>
          <w:tab w:val="clear" w:pos="720"/>
          <w:tab w:val="right" w:pos="3405" w:leader="none"/>
        </w:tabs>
        <w:spacing w:before="138" w:after="0"/>
        <w:ind w:left="140"/>
        <w:rPr>
          <w:sz w:val="24"/>
        </w:rPr>
      </w:pPr>
      <w:r>
        <w:rPr>
          <w:b/>
          <w:i/>
          <w:sz w:val="24"/>
        </w:rPr>
        <w:t>Mob.</w:t>
      </w:r>
      <w:r>
        <w:rPr>
          <w:sz w:val="24"/>
        </w:rPr>
        <w:t>:</w:t>
        <w:tab/>
        <w:t>0917</w:t>
      </w:r>
      <w:r>
        <w:rPr>
          <w:spacing w:val="-6"/>
          <w:sz w:val="24"/>
        </w:rPr>
        <w:t xml:space="preserve"> </w:t>
      </w:r>
      <w:r>
        <w:rPr>
          <w:sz w:val="24"/>
        </w:rPr>
        <w:t>464</w:t>
      </w:r>
      <w:r>
        <w:rPr>
          <w:spacing w:val="-11"/>
          <w:sz w:val="24"/>
        </w:rPr>
        <w:t xml:space="preserve"> </w:t>
      </w:r>
      <w:r>
        <w:rPr>
          <w:sz w:val="24"/>
        </w:rPr>
        <w:t>534</w:t>
      </w:r>
    </w:p>
    <w:p>
      <w:pPr>
        <w:pStyle w:val="Normal"/>
        <w:tabs>
          <w:tab w:val="clear" w:pos="720"/>
          <w:tab w:val="left" w:pos="2125" w:leader="none"/>
        </w:tabs>
        <w:spacing w:before="139" w:after="0"/>
        <w:ind w:left="140"/>
        <w:rPr>
          <w:sz w:val="24"/>
        </w:rPr>
      </w:pPr>
      <w:r>
        <w:rPr>
          <w:b/>
          <w:i/>
          <w:sz w:val="24"/>
        </w:rPr>
        <w:t>e-mail:</w:t>
        <w:tab/>
      </w:r>
      <w:hyperlink r:id="rId3">
        <w:r>
          <w:rPr>
            <w:rStyle w:val="Style6"/>
            <w:sz w:val="24"/>
          </w:rPr>
          <w:t>obecsdolina@gmail.com</w:t>
        </w:r>
      </w:hyperlink>
    </w:p>
    <w:p>
      <w:pPr>
        <w:pStyle w:val="BodyText"/>
        <w:tabs>
          <w:tab w:val="clear" w:pos="720"/>
          <w:tab w:val="left" w:pos="2125" w:leader="none"/>
        </w:tabs>
        <w:spacing w:before="138" w:after="0"/>
        <w:ind w:left="140"/>
        <w:rPr/>
      </w:pPr>
      <w:r>
        <w:rPr>
          <w:b/>
          <w:i/>
        </w:rPr>
        <w:t>web:</w:t>
        <w:tab/>
      </w:r>
      <w:r>
        <w:rPr/>
        <w:t>w</w:t>
      </w:r>
      <w:hyperlink r:id="rId4">
        <w:r>
          <w:rPr>
            <w:rStyle w:val="Style6"/>
          </w:rPr>
          <w:t>www.suchadolina.dcom.sk</w:t>
        </w:r>
      </w:hyperlink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3" w:after="0"/>
        <w:rPr>
          <w:sz w:val="22"/>
        </w:rPr>
      </w:pPr>
      <w:r>
        <w:rPr>
          <w:sz w:val="22"/>
        </w:rPr>
      </w:r>
    </w:p>
    <w:p>
      <w:pPr>
        <w:pStyle w:val="Heading2"/>
        <w:numPr>
          <w:ilvl w:val="0"/>
          <w:numId w:val="0"/>
        </w:numPr>
        <w:tabs>
          <w:tab w:val="clear" w:pos="720"/>
          <w:tab w:val="left" w:pos="338" w:leader="none"/>
        </w:tabs>
        <w:spacing w:before="0" w:after="0"/>
        <w:ind w:hanging="0" w:left="138"/>
        <w:rPr/>
      </w:pPr>
      <w:r>
        <w:rPr/>
        <w:t>3 Organizačná</w:t>
      </w:r>
      <w:r>
        <w:rPr>
          <w:spacing w:val="-9"/>
        </w:rPr>
        <w:t xml:space="preserve"> </w:t>
      </w:r>
      <w:r>
        <w:rPr/>
        <w:t>štruktúra</w:t>
      </w:r>
      <w:r>
        <w:rPr>
          <w:spacing w:val="-6"/>
        </w:rPr>
        <w:t xml:space="preserve"> </w:t>
      </w:r>
      <w:r>
        <w:rPr/>
        <w:t>obce</w:t>
      </w:r>
      <w:r>
        <w:rPr>
          <w:spacing w:val="-9"/>
        </w:rPr>
        <w:t xml:space="preserve"> </w:t>
      </w:r>
      <w:r>
        <w:rPr/>
        <w:t>a</w:t>
      </w:r>
      <w:r>
        <w:rPr>
          <w:spacing w:val="-6"/>
        </w:rPr>
        <w:t xml:space="preserve"> </w:t>
      </w:r>
      <w:r>
        <w:rPr/>
        <w:t>identifikácia</w:t>
      </w:r>
      <w:r>
        <w:rPr>
          <w:spacing w:val="-8"/>
        </w:rPr>
        <w:t xml:space="preserve"> </w:t>
      </w:r>
      <w:r>
        <w:rPr/>
        <w:t>vedúcich</w:t>
      </w:r>
      <w:r>
        <w:rPr>
          <w:spacing w:val="-8"/>
        </w:rPr>
        <w:t xml:space="preserve"> </w:t>
      </w:r>
      <w:r>
        <w:rPr/>
        <w:t>predstaviteľov</w:t>
      </w:r>
    </w:p>
    <w:p>
      <w:pPr>
        <w:pStyle w:val="BodyText"/>
        <w:spacing w:before="9" w:after="0"/>
        <w:rPr>
          <w:b/>
          <w:sz w:val="32"/>
        </w:rPr>
      </w:pPr>
      <w:r>
        <w:rPr>
          <w:b/>
          <w:sz w:val="32"/>
        </w:rPr>
      </w:r>
    </w:p>
    <w:p>
      <w:pPr>
        <w:pStyle w:val="Normal"/>
        <w:tabs>
          <w:tab w:val="clear" w:pos="720"/>
          <w:tab w:val="left" w:pos="2977" w:leader="none"/>
        </w:tabs>
        <w:spacing w:before="1" w:after="0"/>
        <w:ind w:left="140"/>
        <w:rPr>
          <w:b/>
          <w:sz w:val="24"/>
        </w:rPr>
      </w:pPr>
      <w:r>
        <w:rPr>
          <w:b/>
          <w:i/>
          <w:sz w:val="24"/>
        </w:rPr>
        <w:t>Starosta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obce:</w:t>
        <w:tab/>
      </w:r>
      <w:r>
        <w:rPr>
          <w:b/>
          <w:sz w:val="24"/>
        </w:rPr>
        <w:t>Katarína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Petrenčáková</w:t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Normal"/>
        <w:tabs>
          <w:tab w:val="clear" w:pos="720"/>
          <w:tab w:val="left" w:pos="2977" w:leader="none"/>
        </w:tabs>
        <w:ind w:left="101"/>
        <w:rPr>
          <w:sz w:val="24"/>
        </w:rPr>
      </w:pPr>
      <w:r>
        <w:rPr>
          <w:b/>
          <w:i/>
          <w:sz w:val="24"/>
        </w:rPr>
        <w:t>Zástupca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starostu:</w:t>
        <w:tab/>
      </w:r>
      <w:r>
        <w:rPr>
          <w:sz w:val="24"/>
        </w:rPr>
        <w:t>Štefan</w:t>
      </w:r>
      <w:r>
        <w:rPr>
          <w:spacing w:val="-13"/>
          <w:sz w:val="24"/>
        </w:rPr>
        <w:t xml:space="preserve"> </w:t>
      </w:r>
      <w:r>
        <w:rPr>
          <w:sz w:val="24"/>
        </w:rPr>
        <w:t>Makara</w:t>
      </w:r>
    </w:p>
    <w:p>
      <w:pPr>
        <w:pStyle w:val="BodyText"/>
        <w:rPr/>
      </w:pPr>
      <w:r>
        <w:rPr/>
      </w:r>
    </w:p>
    <w:p>
      <w:pPr>
        <w:pStyle w:val="Normal"/>
        <w:tabs>
          <w:tab w:val="clear" w:pos="720"/>
          <w:tab w:val="left" w:pos="2999" w:leader="none"/>
        </w:tabs>
        <w:ind w:left="101"/>
        <w:rPr>
          <w:sz w:val="24"/>
        </w:rPr>
      </w:pPr>
      <w:r>
        <w:rPr>
          <w:b/>
          <w:sz w:val="24"/>
        </w:rPr>
        <w:t>Obecné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zastupiteľstvo:</w:t>
        <w:tab/>
      </w:r>
      <w:r>
        <w:rPr>
          <w:sz w:val="24"/>
        </w:rPr>
        <w:t>Štefan</w:t>
      </w:r>
      <w:r>
        <w:rPr>
          <w:spacing w:val="-15"/>
          <w:sz w:val="24"/>
        </w:rPr>
        <w:t xml:space="preserve"> </w:t>
      </w:r>
      <w:r>
        <w:rPr>
          <w:sz w:val="24"/>
        </w:rPr>
        <w:t>Makara</w:t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  <w:t>Ján Petrenčák</w:t>
      </w:r>
      <w:r>
        <w:rPr>
          <w:spacing w:val="-57"/>
        </w:rPr>
        <w:t xml:space="preserve"> </w:t>
      </w:r>
      <w:r>
        <w:rPr/>
        <w:t>Jozef Šebeš</w:t>
      </w:r>
      <w:r>
        <w:rPr>
          <w:spacing w:val="1"/>
        </w:rPr>
        <w:t xml:space="preserve"> </w:t>
      </w:r>
      <w:r>
        <w:rPr/>
        <w:t>Pavol Šebeš</w:t>
      </w:r>
      <w:r>
        <w:rPr>
          <w:spacing w:val="1"/>
        </w:rPr>
        <w:t xml:space="preserve"> </w:t>
      </w:r>
      <w:r>
        <w:rPr/>
        <w:t>Michal</w:t>
      </w:r>
      <w:r>
        <w:rPr>
          <w:spacing w:val="-1"/>
        </w:rPr>
        <w:t xml:space="preserve"> </w:t>
      </w:r>
      <w:r>
        <w:rPr/>
        <w:t>Hric</w:t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BodyText"/>
        <w:spacing w:lineRule="auto" w:line="276" w:before="40" w:after="0"/>
        <w:ind w:hanging="42" w:left="3034" w:right="5151"/>
        <w:rPr/>
      </w:pPr>
      <w:r>
        <w:rPr/>
      </w:r>
    </w:p>
    <w:p>
      <w:pPr>
        <w:pStyle w:val="Heading2"/>
        <w:numPr>
          <w:ilvl w:val="0"/>
          <w:numId w:val="0"/>
        </w:numPr>
        <w:tabs>
          <w:tab w:val="clear" w:pos="720"/>
          <w:tab w:val="left" w:pos="338" w:leader="none"/>
        </w:tabs>
        <w:ind w:hanging="0" w:left="138"/>
        <w:rPr/>
      </w:pPr>
      <w:r>
        <w:rPr>
          <w:w w:val="95"/>
        </w:rPr>
        <w:t>4 Základná charakteristika obce</w:t>
      </w:r>
    </w:p>
    <w:p>
      <w:pPr>
        <w:pStyle w:val="BodyText"/>
        <w:spacing w:lineRule="auto" w:line="360"/>
        <w:ind w:firstLine="710" w:left="140" w:right="117"/>
        <w:jc w:val="both"/>
        <w:rPr>
          <w:w w:val="95"/>
        </w:rPr>
      </w:pPr>
      <w:r>
        <w:rPr>
          <w:w w:val="95"/>
        </w:rPr>
      </w:r>
    </w:p>
    <w:p>
      <w:pPr>
        <w:pStyle w:val="BodyText"/>
        <w:spacing w:lineRule="auto" w:line="360"/>
        <w:ind w:firstLine="710" w:left="140" w:right="117"/>
        <w:jc w:val="both"/>
        <w:rPr/>
      </w:pPr>
      <w:r>
        <w:rPr/>
        <w:t>Obec je samostatný územný samosprávny a správny</w:t>
      </w:r>
      <w:r>
        <w:rPr>
          <w:spacing w:val="60"/>
        </w:rPr>
        <w:t xml:space="preserve"> </w:t>
      </w:r>
      <w:r>
        <w:rPr/>
        <w:t>celok Slovenskej republiky. Obec</w:t>
      </w:r>
      <w:r>
        <w:rPr>
          <w:spacing w:val="1"/>
        </w:rPr>
        <w:t xml:space="preserve"> </w:t>
      </w:r>
      <w:r>
        <w:rPr/>
        <w:t>je právnickou osobou, ktorá za podmienok ustanovených zákonom samostatne hospodári s</w:t>
      </w:r>
      <w:r>
        <w:rPr>
          <w:spacing w:val="1"/>
        </w:rPr>
        <w:t xml:space="preserve"> </w:t>
      </w:r>
      <w:r>
        <w:rPr/>
        <w:t>vlastným majetkom a s vlastnými príjmami. Základnou úlohou obce pri výkone samosprávy je</w:t>
      </w:r>
      <w:r>
        <w:rPr>
          <w:spacing w:val="1"/>
        </w:rPr>
        <w:t xml:space="preserve"> </w:t>
      </w:r>
      <w:r>
        <w:rPr/>
        <w:t>starostlivosť o všestranný rozvoj</w:t>
      </w:r>
      <w:r>
        <w:rPr>
          <w:spacing w:val="-2"/>
        </w:rPr>
        <w:t xml:space="preserve"> </w:t>
      </w:r>
      <w:r>
        <w:rPr/>
        <w:t>jej</w:t>
      </w:r>
      <w:r>
        <w:rPr>
          <w:spacing w:val="-1"/>
        </w:rPr>
        <w:t xml:space="preserve"> </w:t>
      </w:r>
      <w:r>
        <w:rPr/>
        <w:t>územia</w:t>
      </w:r>
      <w:r>
        <w:rPr>
          <w:spacing w:val="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potreby jej</w:t>
      </w:r>
      <w:r>
        <w:rPr>
          <w:spacing w:val="-1"/>
        </w:rPr>
        <w:t xml:space="preserve"> </w:t>
      </w:r>
      <w:r>
        <w:rPr/>
        <w:t>obyvateľov.</w:t>
      </w:r>
    </w:p>
    <w:p>
      <w:pPr>
        <w:pStyle w:val="BodyText"/>
        <w:spacing w:before="2" w:after="0"/>
        <w:rPr>
          <w:sz w:val="21"/>
        </w:rPr>
      </w:pPr>
      <w:r>
        <w:rPr>
          <w:sz w:val="21"/>
        </w:rPr>
      </w:r>
    </w:p>
    <w:p>
      <w:pPr>
        <w:pStyle w:val="Heading3"/>
        <w:numPr>
          <w:ilvl w:val="0"/>
          <w:numId w:val="0"/>
        </w:numPr>
        <w:tabs>
          <w:tab w:val="clear" w:pos="720"/>
          <w:tab w:val="left" w:pos="902" w:leader="none"/>
        </w:tabs>
        <w:ind w:hanging="0" w:left="0"/>
        <w:rPr/>
      </w:pPr>
      <w:bookmarkStart w:id="2" w:name="3.1_Geografické_údaje"/>
      <w:bookmarkEnd w:id="2"/>
      <w:r>
        <w:rPr/>
        <w:t>4.1 Geografické</w:t>
      </w:r>
      <w:r>
        <w:rPr>
          <w:spacing w:val="-14"/>
        </w:rPr>
        <w:t xml:space="preserve"> </w:t>
      </w:r>
      <w:r>
        <w:rPr/>
        <w:t>údaje</w:t>
      </w:r>
    </w:p>
    <w:p>
      <w:pPr>
        <w:pStyle w:val="BodyText"/>
        <w:spacing w:before="6" w:after="0"/>
        <w:rPr>
          <w:b/>
          <w:sz w:val="33"/>
        </w:rPr>
      </w:pPr>
      <w:r>
        <w:rPr>
          <w:b/>
          <w:sz w:val="33"/>
        </w:rPr>
      </w:r>
    </w:p>
    <w:p>
      <w:pPr>
        <w:pStyle w:val="Normal"/>
        <w:spacing w:lineRule="auto" w:line="360"/>
        <w:ind w:firstLine="710" w:left="140" w:right="147"/>
        <w:jc w:val="both"/>
        <w:rPr>
          <w:i/>
          <w:i/>
          <w:sz w:val="24"/>
        </w:rPr>
      </w:pPr>
      <w:r>
        <w:rPr>
          <w:b/>
          <w:i/>
          <w:sz w:val="24"/>
        </w:rPr>
        <w:t xml:space="preserve">Geografická poloha obce: </w:t>
      </w:r>
      <w:r>
        <w:rPr>
          <w:i/>
          <w:sz w:val="24"/>
        </w:rPr>
        <w:t>Suchá Dolina je obec v okrese Prešov, vzdialená 24 km od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Prešova. Obec je rozostavená okolo hlavnej komunikácie, má jednu ulicu, ktorú rozdeľuje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vyregulovaný potok. Susedné mestá a obce : mesto Prešov, obce Sedlice a Ľubovec Celková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rozloha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: 612 ha Nadmorská výška : 445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n. m.</w:t>
      </w:r>
    </w:p>
    <w:p>
      <w:pPr>
        <w:pStyle w:val="BodyText"/>
        <w:rPr>
          <w:i/>
          <w:i/>
          <w:sz w:val="36"/>
        </w:rPr>
      </w:pPr>
      <w:r>
        <w:rPr>
          <w:i/>
          <w:sz w:val="36"/>
        </w:rPr>
      </w:r>
    </w:p>
    <w:p>
      <w:pPr>
        <w:pStyle w:val="Normal"/>
        <w:ind w:left="851"/>
        <w:rPr>
          <w:i/>
          <w:i/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mestá:</w:t>
      </w:r>
      <w:r>
        <w:rPr>
          <w:b/>
          <w:i/>
          <w:spacing w:val="-3"/>
          <w:sz w:val="24"/>
        </w:rPr>
        <w:t xml:space="preserve"> </w:t>
      </w:r>
      <w:r>
        <w:rPr>
          <w:i/>
          <w:sz w:val="24"/>
        </w:rPr>
        <w:t>mesto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Prešov,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obce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Sedlice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Ľubovec</w:t>
      </w:r>
    </w:p>
    <w:p>
      <w:pPr>
        <w:pStyle w:val="Normal"/>
        <w:spacing w:before="140" w:after="0"/>
        <w:ind w:left="851"/>
        <w:rPr>
          <w:sz w:val="24"/>
        </w:rPr>
      </w:pPr>
      <w:r>
        <w:rPr>
          <w:b/>
          <w:i/>
          <w:sz w:val="24"/>
        </w:rPr>
        <w:t>Celková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rozloha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612</w:t>
      </w:r>
      <w:r>
        <w:rPr>
          <w:spacing w:val="-2"/>
          <w:sz w:val="24"/>
        </w:rPr>
        <w:t xml:space="preserve"> </w:t>
      </w:r>
      <w:r>
        <w:rPr>
          <w:sz w:val="24"/>
        </w:rPr>
        <w:t>ha</w:t>
      </w:r>
    </w:p>
    <w:p>
      <w:pPr>
        <w:pStyle w:val="Normal"/>
        <w:spacing w:before="136" w:after="0"/>
        <w:ind w:left="851"/>
        <w:rPr>
          <w:sz w:val="24"/>
        </w:rPr>
      </w:pPr>
      <w:r>
        <w:rPr>
          <w:b/>
          <w:i/>
          <w:sz w:val="24"/>
        </w:rPr>
        <w:t>Nadmorská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výška: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445</w:t>
      </w:r>
      <w:r>
        <w:rPr>
          <w:spacing w:val="-1"/>
          <w:sz w:val="24"/>
        </w:rPr>
        <w:t xml:space="preserve"> </w:t>
      </w:r>
      <w:r>
        <w:rPr>
          <w:sz w:val="24"/>
        </w:rPr>
        <w:t>m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</w:p>
    <w:p>
      <w:pPr>
        <w:pStyle w:val="BodyText"/>
        <w:rPr>
          <w:sz w:val="33"/>
        </w:rPr>
      </w:pPr>
      <w:r>
        <w:rPr>
          <w:sz w:val="33"/>
        </w:rPr>
      </w:r>
    </w:p>
    <w:p>
      <w:pPr>
        <w:pStyle w:val="Heading3"/>
        <w:numPr>
          <w:ilvl w:val="0"/>
          <w:numId w:val="0"/>
        </w:numPr>
        <w:tabs>
          <w:tab w:val="clear" w:pos="720"/>
          <w:tab w:val="left" w:pos="902" w:leader="none"/>
        </w:tabs>
        <w:ind w:hanging="0" w:left="0"/>
        <w:rPr/>
      </w:pPr>
      <w:bookmarkStart w:id="3" w:name="3.2_Symboly_obce"/>
      <w:bookmarkEnd w:id="3"/>
      <w:r>
        <w:rPr/>
        <w:t>4.2 Symboly</w:t>
      </w:r>
      <w:r>
        <w:rPr>
          <w:spacing w:val="-15"/>
        </w:rPr>
        <w:t xml:space="preserve"> </w:t>
      </w:r>
      <w:r>
        <w:rPr/>
        <w:t>obce</w:t>
      </w:r>
    </w:p>
    <w:p>
      <w:pPr>
        <w:pStyle w:val="BodyText"/>
        <w:spacing w:before="2" w:after="0"/>
        <w:rPr>
          <w:b/>
          <w:sz w:val="33"/>
        </w:rPr>
      </w:pPr>
      <w:r>
        <w:rPr>
          <w:b/>
          <w:sz w:val="33"/>
        </w:rPr>
      </w:r>
    </w:p>
    <w:p>
      <w:pPr>
        <w:pStyle w:val="Normal"/>
        <w:tabs>
          <w:tab w:val="clear" w:pos="720"/>
          <w:tab w:val="left" w:pos="4393" w:leader="none"/>
        </w:tabs>
        <w:ind w:left="851"/>
        <w:rPr>
          <w:b/>
          <w:i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obce</w:t>
        <w:tab/>
        <w:t>vlajka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obce</w:t>
      </w:r>
    </w:p>
    <w:p>
      <w:pPr>
        <w:sectPr>
          <w:type w:val="nextPage"/>
          <w:pgSz w:w="11906" w:h="16838"/>
          <w:pgMar w:left="1280" w:right="1160" w:gutter="0" w:header="0" w:top="12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3" w:after="0"/>
        <w:rPr>
          <w:b/>
          <w:i/>
          <w:i/>
          <w:sz w:val="28"/>
        </w:rPr>
      </w:pPr>
      <w:r>
        <w:rPr>
          <w:b/>
          <w:i/>
          <w:sz w:val="28"/>
        </w:rPr>
        <w:drawing>
          <wp:anchor behindDoc="0" distT="0" distB="0" distL="0" distR="0" simplePos="0" locked="0" layoutInCell="0" allowOverlap="1" relativeHeight="2">
            <wp:simplePos x="0" y="0"/>
            <wp:positionH relativeFrom="page">
              <wp:posOffset>3883660</wp:posOffset>
            </wp:positionH>
            <wp:positionV relativeFrom="paragraph">
              <wp:posOffset>260985</wp:posOffset>
            </wp:positionV>
            <wp:extent cx="1477010" cy="1943100"/>
            <wp:effectExtent l="0" t="0" r="0" b="0"/>
            <wp:wrapTopAndBottom/>
            <wp:docPr id="2" name="image3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1943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6">
            <wp:simplePos x="0" y="0"/>
            <wp:positionH relativeFrom="page">
              <wp:posOffset>1064260</wp:posOffset>
            </wp:positionH>
            <wp:positionV relativeFrom="paragraph">
              <wp:posOffset>231775</wp:posOffset>
            </wp:positionV>
            <wp:extent cx="1464945" cy="1708785"/>
            <wp:effectExtent l="0" t="0" r="0" b="0"/>
            <wp:wrapTopAndBottom/>
            <wp:docPr id="3" name="image2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4945" cy="170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Heading3"/>
        <w:numPr>
          <w:ilvl w:val="0"/>
          <w:numId w:val="0"/>
        </w:numPr>
        <w:tabs>
          <w:tab w:val="clear" w:pos="720"/>
          <w:tab w:val="left" w:pos="902" w:leader="none"/>
        </w:tabs>
        <w:spacing w:before="63" w:after="0"/>
        <w:ind w:hanging="0" w:left="0"/>
        <w:rPr/>
      </w:pPr>
      <w:bookmarkStart w:id="4" w:name="3.3_História_obce"/>
      <w:bookmarkEnd w:id="4"/>
      <w:r>
        <w:rPr>
          <w:spacing w:val="-1"/>
        </w:rPr>
        <w:t>4.3 História</w:t>
      </w:r>
      <w:r>
        <w:rPr>
          <w:spacing w:val="-8"/>
        </w:rPr>
        <w:t xml:space="preserve"> </w:t>
      </w:r>
      <w:r>
        <w:rPr/>
        <w:t>obce</w:t>
      </w:r>
    </w:p>
    <w:p>
      <w:pPr>
        <w:pStyle w:val="BodyText"/>
        <w:rPr>
          <w:b/>
          <w:sz w:val="28"/>
        </w:rPr>
      </w:pPr>
      <w:r>
        <w:rPr>
          <w:b/>
          <w:sz w:val="28"/>
        </w:rPr>
      </w:r>
    </w:p>
    <w:p>
      <w:pPr>
        <w:pStyle w:val="BodyText"/>
        <w:spacing w:lineRule="auto" w:line="360" w:before="194" w:after="0"/>
        <w:ind w:firstLine="710" w:left="140" w:right="213"/>
        <w:jc w:val="both"/>
        <w:rPr/>
      </w:pPr>
      <w:r>
        <w:rPr/>
        <w:t>Obec Suchá Dolina sa spomína už v roku 1330 pod názvom Zogdelino, Zuhadelma, Zuhadolina,</w:t>
      </w:r>
      <w:r>
        <w:rPr>
          <w:spacing w:val="1"/>
        </w:rPr>
        <w:t xml:space="preserve"> </w:t>
      </w:r>
      <w:r>
        <w:rPr/>
        <w:t>Sokdelino,</w:t>
      </w:r>
      <w:r>
        <w:rPr>
          <w:spacing w:val="1"/>
        </w:rPr>
        <w:t xml:space="preserve"> </w:t>
      </w:r>
      <w:r>
        <w:rPr/>
        <w:t>no</w:t>
      </w:r>
      <w:r>
        <w:rPr>
          <w:spacing w:val="1"/>
        </w:rPr>
        <w:t xml:space="preserve"> </w:t>
      </w:r>
      <w:r>
        <w:rPr/>
        <w:t>existujú</w:t>
      </w:r>
      <w:r>
        <w:rPr>
          <w:spacing w:val="1"/>
        </w:rPr>
        <w:t xml:space="preserve"> </w:t>
      </w:r>
      <w:r>
        <w:rPr/>
        <w:t>údaje,</w:t>
      </w:r>
      <w:r>
        <w:rPr>
          <w:spacing w:val="1"/>
        </w:rPr>
        <w:t xml:space="preserve"> </w:t>
      </w:r>
      <w:r>
        <w:rPr/>
        <w:t>ktoré</w:t>
      </w:r>
      <w:r>
        <w:rPr>
          <w:spacing w:val="1"/>
        </w:rPr>
        <w:t xml:space="preserve"> </w:t>
      </w:r>
      <w:r>
        <w:rPr/>
        <w:t>Suchú</w:t>
      </w:r>
      <w:r>
        <w:rPr>
          <w:spacing w:val="1"/>
        </w:rPr>
        <w:t xml:space="preserve"> </w:t>
      </w:r>
      <w:r>
        <w:rPr/>
        <w:t>Dolinu</w:t>
      </w:r>
      <w:r>
        <w:rPr>
          <w:spacing w:val="1"/>
        </w:rPr>
        <w:t xml:space="preserve"> </w:t>
      </w:r>
      <w:r>
        <w:rPr/>
        <w:t>uvádzajú</w:t>
      </w:r>
      <w:r>
        <w:rPr>
          <w:spacing w:val="1"/>
        </w:rPr>
        <w:t xml:space="preserve"> </w:t>
      </w:r>
      <w:r>
        <w:rPr/>
        <w:t>už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roku</w:t>
      </w:r>
      <w:r>
        <w:rPr>
          <w:spacing w:val="1"/>
        </w:rPr>
        <w:t xml:space="preserve"> </w:t>
      </w:r>
      <w:r>
        <w:rPr/>
        <w:t>1285</w:t>
      </w:r>
      <w:r>
        <w:rPr>
          <w:spacing w:val="1"/>
        </w:rPr>
        <w:t xml:space="preserve"> </w:t>
      </w:r>
      <w:r>
        <w:rPr/>
        <w:t>pri</w:t>
      </w:r>
      <w:r>
        <w:rPr>
          <w:spacing w:val="1"/>
        </w:rPr>
        <w:t xml:space="preserve"> </w:t>
      </w:r>
      <w:r>
        <w:rPr/>
        <w:t>darovaní</w:t>
      </w:r>
      <w:r>
        <w:rPr>
          <w:spacing w:val="1"/>
        </w:rPr>
        <w:t xml:space="preserve"> </w:t>
      </w:r>
      <w:r>
        <w:rPr/>
        <w:t>Solivaru</w:t>
      </w:r>
      <w:r>
        <w:rPr>
          <w:spacing w:val="1"/>
        </w:rPr>
        <w:t xml:space="preserve"> </w:t>
      </w:r>
      <w:r>
        <w:rPr/>
        <w:t>Šošovcom</w:t>
      </w:r>
      <w:r>
        <w:rPr>
          <w:spacing w:val="1"/>
        </w:rPr>
        <w:t xml:space="preserve"> </w:t>
      </w:r>
      <w:r>
        <w:rPr/>
        <w:t>pod</w:t>
      </w:r>
      <w:r>
        <w:rPr>
          <w:spacing w:val="1"/>
        </w:rPr>
        <w:t xml:space="preserve"> </w:t>
      </w:r>
      <w:r>
        <w:rPr/>
        <w:t>názvom</w:t>
      </w:r>
      <w:r>
        <w:rPr>
          <w:spacing w:val="1"/>
        </w:rPr>
        <w:t xml:space="preserve"> </w:t>
      </w:r>
      <w:r>
        <w:rPr/>
        <w:t>Zaraspotoka.</w:t>
      </w:r>
      <w:r>
        <w:rPr>
          <w:spacing w:val="1"/>
        </w:rPr>
        <w:t xml:space="preserve"> </w:t>
      </w:r>
      <w:r>
        <w:rPr/>
        <w:t>Za</w:t>
      </w:r>
      <w:r>
        <w:rPr>
          <w:spacing w:val="1"/>
        </w:rPr>
        <w:t xml:space="preserve"> </w:t>
      </w:r>
      <w:r>
        <w:rPr/>
        <w:t>názov</w:t>
      </w:r>
      <w:r>
        <w:rPr>
          <w:spacing w:val="1"/>
        </w:rPr>
        <w:t xml:space="preserve"> </w:t>
      </w:r>
      <w:r>
        <w:rPr/>
        <w:t>dediny</w:t>
      </w:r>
      <w:r>
        <w:rPr>
          <w:spacing w:val="1"/>
        </w:rPr>
        <w:t xml:space="preserve"> </w:t>
      </w:r>
      <w:r>
        <w:rPr/>
        <w:t>bol</w:t>
      </w:r>
      <w:r>
        <w:rPr>
          <w:spacing w:val="1"/>
        </w:rPr>
        <w:t xml:space="preserve"> </w:t>
      </w:r>
      <w:r>
        <w:rPr/>
        <w:t>prevzatý</w:t>
      </w:r>
      <w:r>
        <w:rPr>
          <w:spacing w:val="1"/>
        </w:rPr>
        <w:t xml:space="preserve"> </w:t>
      </w:r>
      <w:r>
        <w:rPr/>
        <w:t>starší</w:t>
      </w:r>
      <w:r>
        <w:rPr>
          <w:spacing w:val="1"/>
        </w:rPr>
        <w:t xml:space="preserve"> </w:t>
      </w:r>
      <w:r>
        <w:rPr/>
        <w:t>názov</w:t>
      </w:r>
      <w:r>
        <w:rPr>
          <w:spacing w:val="1"/>
        </w:rPr>
        <w:t xml:space="preserve"> </w:t>
      </w:r>
      <w:r>
        <w:rPr/>
        <w:t>údolia,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ktorom</w:t>
      </w:r>
      <w:r>
        <w:rPr>
          <w:spacing w:val="1"/>
        </w:rPr>
        <w:t xml:space="preserve"> </w:t>
      </w:r>
      <w:r>
        <w:rPr/>
        <w:t>vybudovali miestne sídlisko. V 14. – 16. storočí sa už pravidelne vyskytuje pod slovenským názvom</w:t>
      </w:r>
      <w:r>
        <w:rPr>
          <w:spacing w:val="1"/>
        </w:rPr>
        <w:t xml:space="preserve"> </w:t>
      </w:r>
      <w:r>
        <w:rPr/>
        <w:t>Suchá Dolina. V tomto období bola obec súčasťou panstva Kysak, ktorú mali vo vlastníctve šľachtici z</w:t>
      </w:r>
      <w:r>
        <w:rPr>
          <w:spacing w:val="1"/>
        </w:rPr>
        <w:t xml:space="preserve"> </w:t>
      </w:r>
      <w:r>
        <w:rPr/>
        <w:t>Drienova a ich príbuzní z Budimíra, Ploského a Žehne. V druhej štvrtine 16. storočia ju prechodne držalo</w:t>
      </w:r>
      <w:r>
        <w:rPr>
          <w:spacing w:val="1"/>
        </w:rPr>
        <w:t xml:space="preserve"> </w:t>
      </w:r>
      <w:r>
        <w:rPr/>
        <w:t>mesto Košice a druhej polovici 16. storočia patrila šľachticom Karoliovcom. V obci stál kaštieľ, ktorého</w:t>
      </w:r>
      <w:r>
        <w:rPr>
          <w:spacing w:val="1"/>
        </w:rPr>
        <w:t xml:space="preserve"> </w:t>
      </w:r>
      <w:r>
        <w:rPr/>
        <w:t>posledným majiteľom bol 8 Jozef Makara. Ten ho odkúpil od veľkostatkára Michala Štreka okolo roku</w:t>
      </w:r>
      <w:r>
        <w:rPr>
          <w:spacing w:val="1"/>
        </w:rPr>
        <w:t xml:space="preserve"> </w:t>
      </w:r>
      <w:r>
        <w:rPr/>
        <w:t>1895. Z kaštieľa</w:t>
      </w:r>
      <w:r>
        <w:rPr>
          <w:spacing w:val="1"/>
        </w:rPr>
        <w:t xml:space="preserve"> </w:t>
      </w:r>
      <w:r>
        <w:rPr/>
        <w:t>sú už iba ruiny. V roku 1600 obec pozostávala z 11 obývaných poddanských domov,</w:t>
      </w:r>
      <w:r>
        <w:rPr>
          <w:spacing w:val="1"/>
        </w:rPr>
        <w:t xml:space="preserve"> </w:t>
      </w:r>
      <w:r>
        <w:rPr/>
        <w:t>kostola,</w:t>
      </w:r>
      <w:r>
        <w:rPr>
          <w:spacing w:val="-1"/>
        </w:rPr>
        <w:t xml:space="preserve"> </w:t>
      </w:r>
      <w:r>
        <w:rPr/>
        <w:t>fary a</w:t>
      </w:r>
      <w:r>
        <w:rPr>
          <w:spacing w:val="-1"/>
        </w:rPr>
        <w:t xml:space="preserve"> </w:t>
      </w:r>
      <w:r>
        <w:rPr/>
        <w:t>možno i</w:t>
      </w:r>
      <w:r>
        <w:rPr>
          <w:spacing w:val="1"/>
        </w:rPr>
        <w:t xml:space="preserve"> </w:t>
      </w:r>
      <w:r>
        <w:rPr/>
        <w:t>škol</w:t>
      </w:r>
      <w:r>
        <w:rPr>
          <w:spacing w:val="1"/>
        </w:rPr>
        <w:t xml:space="preserve"> </w:t>
      </w:r>
      <w:r>
        <w:rPr/>
        <w:t>klo.</w:t>
      </w:r>
    </w:p>
    <w:p>
      <w:pPr>
        <w:pStyle w:val="BodyText"/>
        <w:rPr>
          <w:sz w:val="21"/>
        </w:rPr>
      </w:pPr>
      <w:r>
        <w:rPr>
          <w:sz w:val="21"/>
        </w:rPr>
      </w:r>
    </w:p>
    <w:p>
      <w:pPr>
        <w:pStyle w:val="Heading3"/>
        <w:numPr>
          <w:ilvl w:val="0"/>
          <w:numId w:val="0"/>
        </w:numPr>
        <w:tabs>
          <w:tab w:val="clear" w:pos="720"/>
          <w:tab w:val="left" w:pos="902" w:leader="none"/>
        </w:tabs>
        <w:ind w:hanging="0" w:left="0"/>
        <w:rPr/>
      </w:pPr>
      <w:bookmarkStart w:id="5" w:name="3.4_Pamiatky_a_významné_osobnosti_obce"/>
      <w:bookmarkEnd w:id="5"/>
      <w:r>
        <w:rPr/>
        <w:t>4.4 Pamiatky</w:t>
      </w:r>
      <w:r>
        <w:rPr>
          <w:spacing w:val="-5"/>
        </w:rPr>
        <w:t xml:space="preserve"> </w:t>
      </w:r>
      <w:r>
        <w:rPr/>
        <w:t>a</w:t>
      </w:r>
      <w:r>
        <w:rPr>
          <w:spacing w:val="-5"/>
        </w:rPr>
        <w:t xml:space="preserve"> </w:t>
      </w:r>
      <w:r>
        <w:rPr/>
        <w:t>významné</w:t>
      </w:r>
      <w:r>
        <w:rPr>
          <w:spacing w:val="-6"/>
        </w:rPr>
        <w:t xml:space="preserve"> </w:t>
      </w:r>
      <w:r>
        <w:rPr/>
        <w:t>osobnosti</w:t>
      </w:r>
      <w:r>
        <w:rPr>
          <w:spacing w:val="-4"/>
        </w:rPr>
        <w:t xml:space="preserve"> </w:t>
      </w:r>
      <w:r>
        <w:rPr/>
        <w:t>obce</w:t>
      </w:r>
    </w:p>
    <w:p>
      <w:pPr>
        <w:pStyle w:val="BodyText"/>
        <w:spacing w:before="4" w:after="0"/>
        <w:rPr>
          <w:b/>
          <w:sz w:val="33"/>
        </w:rPr>
      </w:pPr>
      <w:r>
        <w:rPr>
          <w:b/>
          <w:sz w:val="33"/>
        </w:rPr>
      </w:r>
    </w:p>
    <w:p>
      <w:pPr>
        <w:sectPr>
          <w:type w:val="nextPage"/>
          <w:pgSz w:w="11906" w:h="16838"/>
          <w:pgMar w:left="1200" w:right="120" w:gutter="0" w:header="0" w:top="14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360"/>
        <w:ind w:firstLine="710" w:left="140" w:right="217"/>
        <w:jc w:val="both"/>
        <w:rPr/>
      </w:pPr>
      <w:r>
        <w:rPr/>
        <w:t>Kultúrnou pamiatkou v obci je Rímskokatolícky kostol sv. Cyrila a Metoda, postavený</w:t>
      </w:r>
      <w:r>
        <w:rPr>
          <w:spacing w:val="1"/>
        </w:rPr>
        <w:t xml:space="preserve"> </w:t>
      </w:r>
      <w:r>
        <w:rPr/>
        <w:t>v roku</w:t>
      </w:r>
      <w:r>
        <w:rPr>
          <w:spacing w:val="1"/>
        </w:rPr>
        <w:t xml:space="preserve"> </w:t>
      </w:r>
      <w:r>
        <w:rPr/>
        <w:t>1925.</w:t>
      </w:r>
      <w:r>
        <w:rPr>
          <w:spacing w:val="1"/>
        </w:rPr>
        <w:t xml:space="preserve"> </w:t>
      </w:r>
      <w:r>
        <w:rPr/>
        <w:t>Pamiatkou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obci</w:t>
      </w:r>
      <w:r>
        <w:rPr>
          <w:spacing w:val="1"/>
        </w:rPr>
        <w:t xml:space="preserve"> </w:t>
      </w:r>
      <w:r>
        <w:rPr/>
        <w:t>je</w:t>
      </w:r>
      <w:r>
        <w:rPr>
          <w:spacing w:val="1"/>
        </w:rPr>
        <w:t xml:space="preserve"> </w:t>
      </w:r>
      <w:r>
        <w:rPr/>
        <w:t>aj</w:t>
      </w:r>
      <w:r>
        <w:rPr>
          <w:spacing w:val="1"/>
        </w:rPr>
        <w:t xml:space="preserve"> </w:t>
      </w:r>
      <w:r>
        <w:rPr/>
        <w:t>Kaplička</w:t>
      </w:r>
      <w:r>
        <w:rPr>
          <w:spacing w:val="1"/>
        </w:rPr>
        <w:t xml:space="preserve"> </w:t>
      </w:r>
      <w:r>
        <w:rPr/>
        <w:t>pri</w:t>
      </w:r>
      <w:r>
        <w:rPr>
          <w:spacing w:val="1"/>
        </w:rPr>
        <w:t xml:space="preserve"> </w:t>
      </w:r>
      <w:r>
        <w:rPr/>
        <w:t>cintoríne,</w:t>
      </w:r>
      <w:r>
        <w:rPr>
          <w:spacing w:val="1"/>
        </w:rPr>
        <w:t xml:space="preserve"> </w:t>
      </w:r>
      <w:r>
        <w:rPr/>
        <w:t>ktorej</w:t>
      </w:r>
      <w:r>
        <w:rPr>
          <w:spacing w:val="1"/>
        </w:rPr>
        <w:t xml:space="preserve"> </w:t>
      </w:r>
      <w:r>
        <w:rPr/>
        <w:t>rok</w:t>
      </w:r>
      <w:r>
        <w:rPr>
          <w:spacing w:val="1"/>
        </w:rPr>
        <w:t xml:space="preserve"> </w:t>
      </w:r>
      <w:r>
        <w:rPr/>
        <w:t>postavenia</w:t>
      </w:r>
      <w:r>
        <w:rPr>
          <w:spacing w:val="1"/>
        </w:rPr>
        <w:t xml:space="preserve"> </w:t>
      </w:r>
      <w:r>
        <w:rPr/>
        <w:t>nie</w:t>
      </w:r>
      <w:r>
        <w:rPr>
          <w:spacing w:val="1"/>
        </w:rPr>
        <w:t xml:space="preserve"> </w:t>
      </w:r>
      <w:r>
        <w:rPr/>
        <w:t>je</w:t>
      </w:r>
      <w:r>
        <w:rPr>
          <w:spacing w:val="1"/>
        </w:rPr>
        <w:t xml:space="preserve"> </w:t>
      </w:r>
      <w:r>
        <w:rPr/>
        <w:t>známy,</w:t>
      </w:r>
      <w:r>
        <w:rPr>
          <w:spacing w:val="1"/>
        </w:rPr>
        <w:t xml:space="preserve"> </w:t>
      </w:r>
      <w:r>
        <w:rPr/>
        <w:t>ale</w:t>
      </w:r>
      <w:r>
        <w:rPr>
          <w:spacing w:val="1"/>
        </w:rPr>
        <w:t xml:space="preserve"> </w:t>
      </w:r>
      <w:r>
        <w:rPr/>
        <w:t>pri</w:t>
      </w:r>
      <w:r>
        <w:rPr>
          <w:spacing w:val="1"/>
        </w:rPr>
        <w:t xml:space="preserve"> </w:t>
      </w:r>
      <w:r>
        <w:rPr/>
        <w:t>rekonštrukcii v roku 2017 bol odkrytý nápis s datovaním okolo roku 1400. Na mieste, kde stal pôvodný</w:t>
      </w:r>
      <w:r>
        <w:rPr>
          <w:spacing w:val="1"/>
        </w:rPr>
        <w:t xml:space="preserve"> </w:t>
      </w:r>
      <w:r>
        <w:rPr/>
        <w:t>kostol</w:t>
      </w:r>
      <w:r>
        <w:rPr>
          <w:spacing w:val="-2"/>
        </w:rPr>
        <w:t xml:space="preserve"> </w:t>
      </w:r>
      <w:r>
        <w:rPr/>
        <w:t>je</w:t>
      </w:r>
      <w:r>
        <w:rPr>
          <w:spacing w:val="1"/>
        </w:rPr>
        <w:t xml:space="preserve"> </w:t>
      </w:r>
      <w:r>
        <w:rPr/>
        <w:t>dnes drevený kríž, pri</w:t>
      </w:r>
      <w:r>
        <w:rPr>
          <w:spacing w:val="-1"/>
        </w:rPr>
        <w:t xml:space="preserve"> </w:t>
      </w:r>
      <w:r>
        <w:rPr/>
        <w:t>rodinnom</w:t>
      </w:r>
      <w:r>
        <w:rPr>
          <w:spacing w:val="1"/>
        </w:rPr>
        <w:t xml:space="preserve"> </w:t>
      </w:r>
      <w:r>
        <w:rPr/>
        <w:t>dome</w:t>
      </w:r>
      <w:r>
        <w:rPr>
          <w:spacing w:val="-1"/>
        </w:rPr>
        <w:t xml:space="preserve"> </w:t>
      </w:r>
      <w:r>
        <w:rPr/>
        <w:t>sup. č. 24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422" w:leader="none"/>
        </w:tabs>
        <w:spacing w:before="73" w:after="0"/>
        <w:ind w:hanging="321" w:left="422"/>
        <w:rPr>
          <w:b/>
          <w:sz w:val="32"/>
        </w:rPr>
      </w:pPr>
      <w:bookmarkStart w:id="6" w:name="_TOC_250003"/>
      <w:r>
        <w:rPr>
          <w:b/>
          <w:sz w:val="32"/>
        </w:rPr>
        <w:t>Financovanie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obce,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majetok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obce,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rozpočet</w:t>
      </w:r>
      <w:r>
        <w:rPr>
          <w:b/>
          <w:spacing w:val="-4"/>
          <w:sz w:val="32"/>
        </w:rPr>
        <w:t xml:space="preserve"> </w:t>
      </w:r>
      <w:bookmarkEnd w:id="6"/>
      <w:r>
        <w:rPr>
          <w:b/>
          <w:sz w:val="32"/>
        </w:rPr>
        <w:t>obce</w:t>
      </w:r>
    </w:p>
    <w:p>
      <w:pPr>
        <w:pStyle w:val="Heading1"/>
        <w:numPr>
          <w:ilvl w:val="1"/>
          <w:numId w:val="5"/>
        </w:numPr>
        <w:tabs>
          <w:tab w:val="clear" w:pos="720"/>
          <w:tab w:val="left" w:pos="462" w:leader="none"/>
        </w:tabs>
        <w:spacing w:before="240" w:after="0"/>
        <w:ind w:hanging="361" w:left="462"/>
        <w:rPr/>
      </w:pPr>
      <w:r>
        <w:rPr>
          <w:shd w:fill="BFBFBF" w:val="clear"/>
        </w:rPr>
        <w:t>Rozbor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plnenia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príjmov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za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rok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2024</w:t>
      </w:r>
    </w:p>
    <w:p>
      <w:pPr>
        <w:pStyle w:val="BodyText"/>
        <w:spacing w:before="239" w:after="0"/>
        <w:ind w:left="101" w:right="1030"/>
        <w:rPr/>
      </w:pPr>
      <w:r>
        <w:rPr/>
        <w:t>Rozpočet obce na rok 2024 bol zostavený ako vyrovnaný a po zmene ako vyrovnaný. Bežný</w:t>
      </w:r>
      <w:r>
        <w:rPr>
          <w:spacing w:val="1"/>
        </w:rPr>
        <w:t xml:space="preserve"> </w:t>
      </w:r>
      <w:r>
        <w:rPr/>
        <w:t>rozpočet</w:t>
      </w:r>
      <w:r>
        <w:rPr>
          <w:spacing w:val="-3"/>
        </w:rPr>
        <w:t xml:space="preserve"> </w:t>
      </w:r>
      <w:r>
        <w:rPr/>
        <w:t>bol</w:t>
      </w:r>
      <w:r>
        <w:rPr>
          <w:spacing w:val="-2"/>
        </w:rPr>
        <w:t xml:space="preserve"> </w:t>
      </w:r>
      <w:r>
        <w:rPr/>
        <w:t>zostavený</w:t>
      </w:r>
      <w:r>
        <w:rPr>
          <w:spacing w:val="-1"/>
        </w:rPr>
        <w:t xml:space="preserve"> </w:t>
      </w:r>
      <w:r>
        <w:rPr/>
        <w:t>po</w:t>
      </w:r>
      <w:r>
        <w:rPr>
          <w:spacing w:val="-1"/>
        </w:rPr>
        <w:t xml:space="preserve"> </w:t>
      </w:r>
      <w:r>
        <w:rPr/>
        <w:t>poslednej zmene</w:t>
      </w:r>
      <w:r>
        <w:rPr>
          <w:spacing w:val="-2"/>
        </w:rPr>
        <w:t xml:space="preserve"> </w:t>
      </w:r>
      <w:r>
        <w:rPr/>
        <w:t>ako</w:t>
      </w:r>
      <w:r>
        <w:rPr>
          <w:spacing w:val="-1"/>
        </w:rPr>
        <w:t xml:space="preserve"> </w:t>
      </w:r>
      <w:r>
        <w:rPr/>
        <w:t>prebytkový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kapitálový</w:t>
      </w:r>
      <w:r>
        <w:rPr>
          <w:spacing w:val="-1"/>
        </w:rPr>
        <w:t xml:space="preserve"> </w:t>
      </w:r>
      <w:r>
        <w:rPr/>
        <w:t>rozpočet ako</w:t>
      </w:r>
      <w:r>
        <w:rPr>
          <w:spacing w:val="-1"/>
        </w:rPr>
        <w:t xml:space="preserve"> </w:t>
      </w:r>
      <w:r>
        <w:rPr/>
        <w:t>schodkový.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</w:r>
    </w:p>
    <w:p>
      <w:pPr>
        <w:pStyle w:val="BodyText"/>
        <w:ind w:left="101"/>
        <w:rPr/>
      </w:pPr>
      <w:r>
        <w:rPr/>
        <w:t>Hospodárenie</w:t>
      </w:r>
      <w:r>
        <w:rPr>
          <w:spacing w:val="-3"/>
        </w:rPr>
        <w:t xml:space="preserve"> </w:t>
      </w:r>
      <w:r>
        <w:rPr/>
        <w:t>obce sa riadilo</w:t>
      </w:r>
      <w:r>
        <w:rPr>
          <w:spacing w:val="-1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schváleného</w:t>
      </w:r>
      <w:r>
        <w:rPr>
          <w:spacing w:val="-1"/>
        </w:rPr>
        <w:t xml:space="preserve"> </w:t>
      </w:r>
      <w:r>
        <w:rPr/>
        <w:t>rozpočtu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rok</w:t>
      </w:r>
      <w:r>
        <w:rPr>
          <w:spacing w:val="-1"/>
        </w:rPr>
        <w:t xml:space="preserve"> </w:t>
      </w:r>
      <w:r>
        <w:rPr/>
        <w:t>2024.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</w:r>
    </w:p>
    <w:p>
      <w:pPr>
        <w:pStyle w:val="BodyText"/>
        <w:spacing w:lineRule="auto" w:line="449"/>
        <w:ind w:left="101" w:right="1360"/>
        <w:rPr/>
      </w:pPr>
      <w:r>
        <w:rPr/>
        <w:t>Rozpočet obce bol schválený obecným zastupiteľstvom dňa 14. 12. 2023 uznesením č. 8/2023.</w:t>
      </w:r>
      <w:r>
        <w:rPr>
          <w:spacing w:val="-57"/>
        </w:rPr>
        <w:t xml:space="preserve"> </w:t>
      </w:r>
      <w:r>
        <w:rPr/>
        <w:t>Zmeny</w:t>
      </w:r>
      <w:r>
        <w:rPr>
          <w:spacing w:val="-1"/>
        </w:rPr>
        <w:t xml:space="preserve"> </w:t>
      </w:r>
      <w:r>
        <w:rPr/>
        <w:t>rozpočtu:</w:t>
      </w:r>
    </w:p>
    <w:p>
      <w:pPr>
        <w:pStyle w:val="BodyText"/>
        <w:ind w:left="101"/>
        <w:rPr/>
      </w:pPr>
      <w:r>
        <w:rPr/>
        <w:t>·</w:t>
      </w:r>
      <w:r>
        <w:rPr>
          <w:spacing w:val="-1"/>
        </w:rPr>
        <w:t xml:space="preserve"> prvá zmena schválená dňa 21.09.2024 uznesením č. 37/2024</w:t>
      </w:r>
      <w:r>
        <w:rPr/>
        <w:t>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9" w:after="0"/>
        <w:rPr>
          <w:sz w:val="37"/>
        </w:rPr>
      </w:pPr>
      <w:r>
        <w:rPr>
          <w:sz w:val="37"/>
        </w:rPr>
      </w:r>
    </w:p>
    <w:p>
      <w:pPr>
        <w:pStyle w:val="Normal"/>
        <w:ind w:left="3434"/>
        <w:rPr>
          <w:b/>
          <w:sz w:val="24"/>
        </w:rPr>
      </w:pPr>
      <w:r>
        <w:rPr>
          <w:b/>
          <w:sz w:val="24"/>
        </w:rPr>
        <w:t>Rozpočet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 31.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2024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2" w:after="1"/>
        <w:rPr>
          <w:b/>
          <w:sz w:val="20"/>
        </w:rPr>
      </w:pPr>
      <w:r>
        <w:rPr>
          <w:b/>
          <w:sz w:val="20"/>
        </w:rPr>
      </w:r>
    </w:p>
    <w:tbl>
      <w:tblPr>
        <w:tblStyle w:val="TableNormal"/>
        <w:tblW w:w="8892" w:type="dxa"/>
        <w:jc w:val="left"/>
        <w:tblInd w:w="68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828"/>
        <w:gridCol w:w="2511"/>
        <w:gridCol w:w="2553"/>
      </w:tblGrid>
      <w:tr>
        <w:trPr>
          <w:trHeight w:val="707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ECECEC" w:val="clear"/>
          </w:tcPr>
          <w:p>
            <w:pPr>
              <w:pStyle w:val="Normal"/>
              <w:suppressAutoHyphens w:val="tru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ECECEC" w:val="clear"/>
          </w:tcPr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Schválený rozpočet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ECECEC" w:val="clear"/>
          </w:tcPr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Schválený rozpočet</w:t>
            </w:r>
          </w:p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po poslednej zmene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suppressAutoHyphens w:val="true"/>
              <w:rPr/>
            </w:pPr>
            <w:r>
              <w:rPr>
                <w:b/>
              </w:rPr>
              <w:t>Príjmy celkom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82 780,00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85 425,00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z toho :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Bežné príjmy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82 780,00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81 595,00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Kapitálové príjmy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2 500,00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Finančné príjmy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1 330,00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Príjmy RO s právnou subjektivitou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suppressAutoHyphens w:val="true"/>
              <w:rPr/>
            </w:pPr>
            <w:r>
              <w:rPr>
                <w:b/>
              </w:rPr>
              <w:t>Výdavky celkom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82 780,00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85 425,00</w:t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z toho :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37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Bežné výdavky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82 780,00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79 395,00</w:t>
            </w:r>
          </w:p>
        </w:tc>
      </w:tr>
      <w:tr>
        <w:trPr>
          <w:trHeight w:val="437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Kapitálové výdavky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3 830,00</w:t>
            </w:r>
          </w:p>
        </w:tc>
      </w:tr>
      <w:tr>
        <w:trPr>
          <w:trHeight w:val="44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Finančné výdavky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  <w:t>2 200,00</w:t>
            </w:r>
          </w:p>
        </w:tc>
      </w:tr>
      <w:tr>
        <w:trPr>
          <w:trHeight w:val="438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suppressAutoHyphens w:val="true"/>
              <w:rPr/>
            </w:pPr>
            <w:r>
              <w:rPr/>
              <w:t>Výdavky RO s právnou subjektivitou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440" w:hRule="atLeast"/>
        </w:trPr>
        <w:tc>
          <w:tcPr>
            <w:tcW w:w="382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suppressAutoHyphens w:val="true"/>
              <w:rPr/>
            </w:pPr>
            <w:r>
              <w:rPr>
                <w:b/>
              </w:rPr>
              <w:t>Rozpočtové hospodárenie obce</w:t>
            </w:r>
          </w:p>
        </w:tc>
        <w:tc>
          <w:tcPr>
            <w:tcW w:w="251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224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255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color="auto" w:fill="CFCDCD" w:val="clear"/>
          </w:tcPr>
          <w:p>
            <w:pPr>
              <w:pStyle w:val="Normal"/>
              <w:tabs>
                <w:tab w:val="clear" w:pos="720"/>
                <w:tab w:val="decimal" w:pos="1433" w:leader="none"/>
              </w:tabs>
              <w:suppressAutoHyphens w:val="true"/>
              <w:snapToGrid w:val="false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</w:tbl>
    <w:p>
      <w:pPr>
        <w:sectPr>
          <w:type w:val="nextPage"/>
          <w:pgSz w:w="11906" w:h="16838"/>
          <w:pgMar w:left="1200" w:right="120" w:gutter="0" w:header="0" w:top="136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Heading1"/>
        <w:numPr>
          <w:ilvl w:val="1"/>
          <w:numId w:val="5"/>
        </w:numPr>
        <w:tabs>
          <w:tab w:val="clear" w:pos="720"/>
          <w:tab w:val="left" w:pos="462" w:leader="none"/>
        </w:tabs>
        <w:spacing w:before="61" w:after="0"/>
        <w:ind w:hanging="361" w:left="462"/>
        <w:rPr/>
      </w:pPr>
      <w:bookmarkStart w:id="7" w:name="B._Rozbor_plnenia_príjmov_za_rok_2023"/>
      <w:bookmarkEnd w:id="7"/>
      <w:r>
        <w:rPr>
          <w:shd w:fill="BFBFBF" w:val="clear"/>
        </w:rPr>
        <w:t>Rozbor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plnenia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príjmov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za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rok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2024</w:t>
      </w:r>
    </w:p>
    <w:p>
      <w:pPr>
        <w:pStyle w:val="Normal"/>
        <w:rPr>
          <w:b/>
          <w:color w:val="0000FF"/>
          <w:u w:val="single"/>
        </w:rPr>
      </w:pPr>
      <w:r>
        <w:rPr>
          <w:b/>
          <w:color w:val="0000FF"/>
          <w:u w:val="single"/>
        </w:rPr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686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85 425,00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117 387,23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137,42 %</w:t>
            </w:r>
          </w:p>
        </w:tc>
      </w:tr>
    </w:tbl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ind w:firstLine="720"/>
        <w:jc w:val="both"/>
        <w:rPr/>
      </w:pPr>
      <w:r>
        <w:rPr/>
        <w:t xml:space="preserve">Z rozpočtovaných celkových príjmov 85 425,00 EUR bol skutočný príjem </w:t>
        <w:br/>
        <w:t>k </w:t>
      </w:r>
      <w:r>
        <w:rPr>
          <w:color w:val="000000"/>
        </w:rPr>
        <w:t xml:space="preserve">31. 12. 2024 </w:t>
      </w:r>
      <w:r>
        <w:rPr/>
        <w:t xml:space="preserve">v sume 117 387,23 EUR, čo predstavuje   137,42 %  plnenie. 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6"/>
        </w:numPr>
        <w:ind w:hanging="284" w:left="284"/>
        <w:rPr/>
      </w:pPr>
      <w:r>
        <w:rPr>
          <w:b/>
        </w:rPr>
        <w:t>Bežné príjmy</w:t>
      </w:r>
    </w:p>
    <w:p>
      <w:pPr>
        <w:pStyle w:val="Normal"/>
        <w:rPr>
          <w:b/>
          <w:color w:val="FF0000"/>
        </w:rPr>
      </w:pPr>
      <w:r>
        <w:rPr>
          <w:b/>
          <w:color w:val="FF0000"/>
        </w:rPr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738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81 595,00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93 324,45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114,38 %</w:t>
            </w:r>
          </w:p>
        </w:tc>
      </w:tr>
    </w:tbl>
    <w:p>
      <w:pPr>
        <w:pStyle w:val="Normal"/>
        <w:rPr>
          <w:b/>
          <w:color w:val="FF0000"/>
        </w:rPr>
      </w:pPr>
      <w:r>
        <w:rPr>
          <w:b/>
          <w:color w:val="FF0000"/>
        </w:rPr>
      </w:r>
    </w:p>
    <w:p>
      <w:pPr>
        <w:pStyle w:val="Normal"/>
        <w:ind w:firstLine="720"/>
        <w:jc w:val="both"/>
        <w:rPr/>
      </w:pPr>
      <w:r>
        <w:rPr/>
        <w:t>Z rozpočtovaných bežných príjmov 81 595,00 EUR bol skutočný príjem k </w:t>
      </w:r>
      <w:r>
        <w:rPr>
          <w:color w:val="000000"/>
        </w:rPr>
        <w:t xml:space="preserve">31. 12. 2024 </w:t>
      </w:r>
      <w:r>
        <w:rPr/>
        <w:t xml:space="preserve">v sume 93 324,45 EUR, čo predstavuje 114,38 %  plnenie. </w:t>
      </w:r>
    </w:p>
    <w:p>
      <w:pPr>
        <w:pStyle w:val="Normal"/>
        <w:ind w:left="284"/>
        <w:rPr/>
      </w:pPr>
      <w:r>
        <w:rPr/>
      </w:r>
    </w:p>
    <w:p>
      <w:pPr>
        <w:pStyle w:val="Normal"/>
        <w:numPr>
          <w:ilvl w:val="0"/>
          <w:numId w:val="2"/>
        </w:numPr>
        <w:ind w:hanging="284" w:left="284"/>
        <w:rPr/>
      </w:pPr>
      <w:r>
        <w:rPr>
          <w:b/>
        </w:rPr>
        <w:t xml:space="preserve">daňové príjmy </w:t>
      </w:r>
    </w:p>
    <w:p>
      <w:pPr>
        <w:pStyle w:val="Normal"/>
        <w:rPr>
          <w:b/>
        </w:rPr>
      </w:pPr>
      <w:r>
        <w:rPr>
          <w:b/>
        </w:rPr>
      </w:r>
    </w:p>
    <w:tbl>
      <w:tblPr>
        <w:tblW w:w="934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44"/>
        <w:gridCol w:w="3058"/>
        <w:gridCol w:w="3347"/>
      </w:tblGrid>
      <w:tr>
        <w:trPr>
          <w:trHeight w:val="378" w:hRule="atLeast"/>
        </w:trPr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>
          <w:trHeight w:val="378" w:hRule="atLeast"/>
        </w:trPr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72 795,00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72 397,54</w:t>
            </w:r>
          </w:p>
        </w:tc>
        <w:tc>
          <w:tcPr>
            <w:tcW w:w="3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99,45 %</w:t>
            </w:r>
          </w:p>
        </w:tc>
      </w:tr>
    </w:tbl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>
      <w:pPr>
        <w:pStyle w:val="Normal"/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 predpokladanej finančnej čiastky v sume 62 620,00 EUR z výnosu dane z príjmov boli k </w:t>
      </w:r>
      <w:r>
        <w:rPr>
          <w:color w:val="000000"/>
        </w:rPr>
        <w:t xml:space="preserve">31. 12. 2024 </w:t>
      </w:r>
      <w:r>
        <w:rPr/>
        <w:t xml:space="preserve">poukázané finančné prostriedky zo ŠR v sume 61 606,65 EUR, čo predstavuje plnenie na  98,38 %. 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  <w:t>Daň z nehnuteľností</w:t>
      </w:r>
    </w:p>
    <w:p>
      <w:pPr>
        <w:pStyle w:val="Normal"/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Daň z pozemkov</w:t>
      </w:r>
    </w:p>
    <w:p>
      <w:pPr>
        <w:pStyle w:val="Normal"/>
        <w:ind w:firstLine="720"/>
        <w:jc w:val="both"/>
        <w:rPr/>
      </w:pPr>
      <w:r>
        <w:rPr/>
        <w:t>Z rozpočtovaných 5 034,00 EUR bol skutočný príjem k </w:t>
      </w:r>
      <w:r>
        <w:rPr>
          <w:color w:val="000000"/>
        </w:rPr>
        <w:t xml:space="preserve">31. 12. 2024 </w:t>
      </w:r>
      <w:r>
        <w:rPr/>
        <w:t xml:space="preserve">v sume </w:t>
        <w:br/>
        <w:t xml:space="preserve">6 123,06 EUR, čo predstavuje plnenie na  121,63 % plnenie. </w:t>
      </w:r>
    </w:p>
    <w:p>
      <w:pPr>
        <w:pStyle w:val="Normal"/>
        <w:ind w:firstLine="720"/>
        <w:jc w:val="both"/>
        <w:rPr/>
      </w:pPr>
      <w:r>
        <w:rPr/>
      </w:r>
    </w:p>
    <w:p>
      <w:pPr>
        <w:pStyle w:val="Normal"/>
        <w:ind w:firstLine="720"/>
        <w:jc w:val="both"/>
        <w:rPr/>
      </w:pPr>
      <w:r>
        <w:rPr/>
        <w:t>Daň zo stavieb</w:t>
      </w:r>
    </w:p>
    <w:p>
      <w:pPr>
        <w:pStyle w:val="Normal"/>
        <w:ind w:firstLine="720"/>
        <w:jc w:val="both"/>
        <w:rPr/>
      </w:pPr>
      <w:r>
        <w:rPr/>
        <w:t>Z rozpočtovaných 1 806,00 EUR bol skutočný príjem k </w:t>
      </w:r>
      <w:r>
        <w:rPr>
          <w:color w:val="000000"/>
        </w:rPr>
        <w:t xml:space="preserve">31. 12. 2024 </w:t>
      </w:r>
      <w:r>
        <w:rPr/>
        <w:t xml:space="preserve">v sume </w:t>
        <w:br/>
        <w:t xml:space="preserve">1 522,10 EUR, čo predstavuje plnenie na  84,28 % plnenie. 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  <w:t xml:space="preserve">Daň za psa  </w:t>
      </w:r>
    </w:p>
    <w:p>
      <w:pPr>
        <w:pStyle w:val="Normal"/>
        <w:jc w:val="both"/>
        <w:rPr>
          <w:b/>
          <w:sz w:val="12"/>
          <w:szCs w:val="12"/>
        </w:rPr>
      </w:pPr>
      <w:r>
        <w:rPr>
          <w:b/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 rozpočtovaných 420,00 EUR bol skutočný príjem k </w:t>
      </w:r>
      <w:r>
        <w:rPr>
          <w:color w:val="000000"/>
        </w:rPr>
        <w:t xml:space="preserve">31. 12. 2024 </w:t>
      </w:r>
      <w:r>
        <w:rPr/>
        <w:t xml:space="preserve">v sume </w:t>
        <w:br/>
        <w:t xml:space="preserve">305,03 EUR, čo predstavuje plnenie na 72,63 % plnenie.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</w:rPr>
      </w:pPr>
      <w:r>
        <w:rPr>
          <w:b/>
        </w:rPr>
        <w:t xml:space="preserve">Poplatok za komunálny odpad a drobný stavebný odpad </w:t>
      </w:r>
    </w:p>
    <w:p>
      <w:pPr>
        <w:pStyle w:val="Normal"/>
        <w:jc w:val="both"/>
        <w:rPr>
          <w:b/>
          <w:sz w:val="12"/>
          <w:szCs w:val="12"/>
        </w:rPr>
      </w:pPr>
      <w:r>
        <w:rPr>
          <w:b/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 rozpočtovaných 2 915,00 EUR bol skutočný príjem k </w:t>
      </w:r>
      <w:r>
        <w:rPr>
          <w:color w:val="000000"/>
        </w:rPr>
        <w:t xml:space="preserve">31. 12. 2024 </w:t>
      </w:r>
      <w:r>
        <w:rPr/>
        <w:t xml:space="preserve">v sume </w:t>
        <w:br/>
      </w:r>
      <w:r>
        <w:rPr>
          <w:bCs/>
        </w:rPr>
        <w:t xml:space="preserve">2 840,70 </w:t>
      </w:r>
      <w:r>
        <w:rPr/>
        <w:t xml:space="preserve">EUR, čo predstavuje plnenie na 97,45 % plnenie. </w:t>
      </w:r>
    </w:p>
    <w:p>
      <w:pPr>
        <w:pStyle w:val="Normal"/>
        <w:jc w:val="both"/>
        <w:rPr>
          <w:bCs/>
        </w:rPr>
      </w:pPr>
      <w:r>
        <w:rPr>
          <w:bCs/>
        </w:rPr>
      </w:r>
    </w:p>
    <w:p>
      <w:pPr>
        <w:pStyle w:val="Normal"/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jc w:val="both"/>
        <w:rPr>
          <w:b/>
          <w:i/>
          <w:i/>
        </w:rPr>
      </w:pPr>
      <w:r>
        <w:rPr>
          <w:b/>
          <w:i/>
        </w:rPr>
      </w:r>
    </w:p>
    <w:p>
      <w:pPr>
        <w:pStyle w:val="Normal"/>
        <w:numPr>
          <w:ilvl w:val="0"/>
          <w:numId w:val="2"/>
        </w:numPr>
        <w:spacing w:before="0" w:after="0"/>
        <w:ind w:hanging="284" w:left="284"/>
        <w:rPr/>
      </w:pPr>
      <w:r>
        <w:br w:type="column"/>
      </w:r>
      <w:r>
        <w:rPr>
          <w:b/>
        </w:rPr>
        <w:t xml:space="preserve">nedaňové príjmy: </w:t>
      </w:r>
    </w:p>
    <w:p>
      <w:pPr>
        <w:pStyle w:val="Normal"/>
        <w:rPr/>
      </w:pPr>
      <w:r>
        <w:rPr/>
        <w:t xml:space="preserve"> </w:t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725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7 400,00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14 628,14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bCs/>
              </w:rPr>
            </w:pPr>
            <w:r>
              <w:rPr>
                <w:bCs/>
              </w:rPr>
              <w:t>197,68 %</w:t>
            </w:r>
          </w:p>
        </w:tc>
      </w:tr>
    </w:tbl>
    <w:p>
      <w:pPr>
        <w:pStyle w:val="Normal"/>
        <w:tabs>
          <w:tab w:val="clear" w:pos="720"/>
          <w:tab w:val="right" w:pos="284" w:leader="none"/>
        </w:tabs>
        <w:jc w:val="both"/>
        <w:rPr>
          <w:b/>
        </w:rPr>
      </w:pPr>
      <w:r>
        <w:rPr>
          <w:b/>
        </w:rPr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</w:rPr>
      </w:pPr>
      <w:r>
        <w:rPr>
          <w:b/>
        </w:rPr>
        <w:t>Príjmy z podnikania a z vlastníctva majetku</w:t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  <w:sz w:val="12"/>
          <w:szCs w:val="12"/>
        </w:rPr>
      </w:pPr>
      <w:r>
        <w:rPr>
          <w:b/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 rozpočtovaných 3 450,00 EUR bol skutočný príjem k </w:t>
      </w:r>
      <w:r>
        <w:rPr>
          <w:color w:val="000000"/>
        </w:rPr>
        <w:t xml:space="preserve">31. 12. 2024 </w:t>
      </w:r>
      <w:r>
        <w:rPr/>
        <w:t xml:space="preserve">v sume </w:t>
        <w:br/>
        <w:t xml:space="preserve">9 026,17 EUR, čo je 261,63 % plnenie. </w:t>
      </w:r>
    </w:p>
    <w:p>
      <w:pPr>
        <w:pStyle w:val="Normal"/>
        <w:ind w:firstLine="720"/>
        <w:jc w:val="both"/>
        <w:rPr/>
      </w:pPr>
      <w:r>
        <w:rPr/>
        <w:t>Uvedený príjem predstavuje príjem z prenajatých budov, priestorov a objektov v sume 9 026,17 EUR.</w:t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</w:rPr>
      </w:pPr>
      <w:r>
        <w:rPr>
          <w:b/>
        </w:rPr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</w:rPr>
      </w:pPr>
      <w:r>
        <w:rPr>
          <w:b/>
        </w:rPr>
        <w:t>Administratívne poplatky a iné poplatky a platby</w:t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jc w:val="both"/>
        <w:rPr/>
      </w:pPr>
      <w:r>
        <w:rPr/>
        <w:t>Administratívne poplatky - správne poplatky:</w:t>
      </w:r>
    </w:p>
    <w:p>
      <w:pPr>
        <w:pStyle w:val="Normal"/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ind w:firstLine="644"/>
        <w:jc w:val="both"/>
        <w:rPr/>
      </w:pPr>
      <w:r>
        <w:rPr/>
        <w:t>Z rozpočtovaných 3 950,00 € bol skutočný príjem k </w:t>
      </w:r>
      <w:r>
        <w:rPr>
          <w:color w:val="000000"/>
        </w:rPr>
        <w:t xml:space="preserve">31. 12. 2024 </w:t>
      </w:r>
      <w:r>
        <w:rPr/>
        <w:t xml:space="preserve">v sume 5 601,97 EUR, čo je 141,82 % plnenie. 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"/>
        </w:numPr>
        <w:rPr/>
      </w:pPr>
      <w:r>
        <w:rPr>
          <w:b/>
        </w:rPr>
        <w:t xml:space="preserve">iné nedaňové príjmy: </w:t>
      </w:r>
    </w:p>
    <w:p>
      <w:pPr>
        <w:pStyle w:val="Normal"/>
        <w:rPr/>
      </w:pPr>
      <w:r>
        <w:rPr/>
        <w:t xml:space="preserve"> </w:t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681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182,08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firstLine="720"/>
        <w:jc w:val="both"/>
        <w:rPr/>
      </w:pPr>
      <w:r>
        <w:rPr/>
        <w:t xml:space="preserve">Z rozpočtovaných iných nedaňových príjmov 0,00 EUR, bol skutočný príjem vo výške  </w:t>
        <w:br/>
        <w:t xml:space="preserve">182,08 EUR, čo predstavuje - %  plnenie. </w:t>
      </w:r>
    </w:p>
    <w:p>
      <w:pPr>
        <w:pStyle w:val="Normal"/>
        <w:ind w:firstLine="720"/>
        <w:jc w:val="both"/>
        <w:rPr/>
      </w:pPr>
      <w:r>
        <w:rPr/>
        <w:t xml:space="preserve">Medzi iné nedaňové príjmy boli rozpočtované príjmy z dobropisov a z vratiek. 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"/>
        </w:numPr>
        <w:ind w:hanging="284" w:left="284"/>
        <w:rPr/>
      </w:pPr>
      <w:r>
        <w:rPr>
          <w:b/>
        </w:rPr>
        <w:t>prijaté granty a transfery</w:t>
      </w:r>
    </w:p>
    <w:p>
      <w:pPr>
        <w:pStyle w:val="Normal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 rozpočtovaných grantov a transferov v sume 1 650,00 EUR bol skutočný príjem vo výške 6 116,69 EUR, čo predstavuje 370,71 % plnenie.</w:t>
      </w:r>
    </w:p>
    <w:p>
      <w:pPr>
        <w:pStyle w:val="Normal"/>
        <w:jc w:val="both"/>
        <w:rPr/>
      </w:pPr>
      <w:r>
        <w:rPr/>
      </w:r>
    </w:p>
    <w:tbl>
      <w:tblPr>
        <w:tblW w:w="9419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973"/>
        <w:gridCol w:w="1847"/>
        <w:gridCol w:w="3599"/>
      </w:tblGrid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MF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1 160,00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Dotácia na bežné výdavky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MV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1 245,98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Dotácia na voľby do EP</w:t>
            </w:r>
          </w:p>
        </w:tc>
      </w:tr>
      <w:tr>
        <w:trPr>
          <w:trHeight w:val="267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MV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68,64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Register obyvateľstva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MV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21,20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Register adries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MV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25,16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Dotácia na ŽP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DPO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1 400,00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Dotácia na DHZ</w:t>
            </w:r>
          </w:p>
        </w:tc>
      </w:tr>
      <w:tr>
        <w:trPr>
          <w:trHeight w:val="279" w:hRule="atLeast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MV SR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tabs>
                <w:tab w:val="clear" w:pos="720"/>
                <w:tab w:val="decimal" w:pos="883" w:leader="none"/>
              </w:tabs>
              <w:snapToGrid w:val="false"/>
              <w:rPr/>
            </w:pPr>
            <w:r>
              <w:rPr/>
              <w:t>2 195,71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  <w:t>Dotácia voľby prezidenta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both"/>
        <w:rPr>
          <w:lang w:eastAsia="ja-JP"/>
        </w:rPr>
      </w:pPr>
      <w:r>
        <w:rPr>
          <w:lang w:eastAsia="ja-JP"/>
        </w:rPr>
        <w:t>Granty a transfery boli účelovo učené a boli použité v súlade s ich účelom.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BodyText"/>
        <w:rPr>
          <w:sz w:val="34"/>
        </w:rPr>
      </w:pPr>
      <w:r>
        <w:rPr>
          <w:sz w:val="34"/>
        </w:rPr>
      </w:r>
    </w:p>
    <w:p>
      <w:pPr>
        <w:pStyle w:val="Heading3"/>
        <w:numPr>
          <w:ilvl w:val="0"/>
          <w:numId w:val="2"/>
        </w:numPr>
        <w:tabs>
          <w:tab w:val="clear" w:pos="720"/>
          <w:tab w:val="left" w:pos="504" w:leader="none"/>
        </w:tabs>
        <w:rPr/>
      </w:pPr>
      <w:bookmarkStart w:id="8" w:name="2._Kapitálové_príjmy%25253A"/>
      <w:bookmarkEnd w:id="8"/>
      <w:r>
        <w:rPr/>
        <w:t>Kapitálové</w:t>
      </w:r>
      <w:r>
        <w:rPr>
          <w:spacing w:val="-3"/>
        </w:rPr>
        <w:t xml:space="preserve"> </w:t>
      </w:r>
      <w:r>
        <w:rPr/>
        <w:t>príjmy</w:t>
      </w:r>
    </w:p>
    <w:p>
      <w:pPr>
        <w:pStyle w:val="Normal"/>
        <w:rPr>
          <w:b/>
          <w:bCs/>
          <w:color w:val="FF0000"/>
        </w:rPr>
      </w:pPr>
      <w:r>
        <w:rPr>
          <w:b/>
          <w:bCs/>
          <w:color w:val="FF0000"/>
        </w:rPr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725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center"/>
              <w:rPr>
                <w:b/>
                <w:bCs/>
                <w:color w:themeColor="text1" w:val="000000"/>
              </w:rPr>
            </w:pPr>
            <w:r>
              <w:rPr>
                <w:b/>
                <w:bCs/>
                <w:color w:themeColor="text1" w:val="000000"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center"/>
              <w:rPr>
                <w:b/>
                <w:bCs/>
                <w:color w:themeColor="text1" w:val="000000"/>
              </w:rPr>
            </w:pPr>
            <w:r>
              <w:rPr>
                <w:b/>
                <w:bCs/>
                <w:color w:themeColor="text1" w:val="000000"/>
              </w:rPr>
              <w:t>Skutočnosť k 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center"/>
              <w:rPr>
                <w:b/>
                <w:bCs/>
                <w:color w:themeColor="text1" w:val="000000"/>
              </w:rPr>
            </w:pPr>
            <w:r>
              <w:rPr>
                <w:b/>
                <w:bCs/>
                <w:color w:themeColor="text1" w:val="000000"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color w:themeColor="text1" w:val="000000"/>
              </w:rPr>
            </w:pPr>
            <w:r>
              <w:rPr>
                <w:color w:themeColor="text1" w:val="000000"/>
              </w:rPr>
              <w:t>2 500,00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color w:themeColor="text1" w:val="000000"/>
              </w:rPr>
            </w:pPr>
            <w:r>
              <w:rPr>
                <w:color w:themeColor="text1" w:val="000000"/>
              </w:rPr>
              <w:t>2 500,00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color w:themeColor="text1" w:val="000000"/>
              </w:rPr>
            </w:pPr>
            <w:r>
              <w:rPr>
                <w:color w:themeColor="text1" w:val="000000"/>
              </w:rPr>
              <w:t>100,00</w:t>
            </w:r>
          </w:p>
        </w:tc>
      </w:tr>
    </w:tbl>
    <w:p>
      <w:pPr>
        <w:pStyle w:val="Normal"/>
        <w:rPr>
          <w:color w:themeColor="text1" w:val="000000"/>
        </w:rPr>
      </w:pPr>
      <w:r>
        <w:rPr>
          <w:color w:themeColor="text1" w:val="000000"/>
        </w:rPr>
      </w:r>
    </w:p>
    <w:p>
      <w:pPr>
        <w:pStyle w:val="Normal"/>
        <w:ind w:firstLine="720"/>
        <w:jc w:val="both"/>
        <w:rPr>
          <w:color w:themeColor="text1" w:val="000000"/>
        </w:rPr>
      </w:pPr>
      <w:r>
        <w:rPr>
          <w:color w:themeColor="text1" w:val="000000"/>
        </w:rPr>
        <w:t xml:space="preserve">Z rozpočtovaných kapitálových príjmov 1 600,00 EUR bol skutočný príjem </w:t>
      </w:r>
      <w:r>
        <w:rPr/>
        <w:br/>
      </w:r>
      <w:r>
        <w:rPr>
          <w:color w:themeColor="text1" w:val="000000"/>
        </w:rPr>
        <w:t xml:space="preserve">k 31. 12. 2024 v sume 0,00 EUR, čo predstavuje  0,00 %  plnenie. </w:t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  <w:bCs/>
          <w:color w:themeColor="text1" w:val="000000"/>
        </w:rPr>
      </w:pPr>
      <w:r>
        <w:rPr>
          <w:b/>
          <w:bCs/>
          <w:color w:themeColor="text1" w:val="000000"/>
        </w:rPr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b/>
        </w:rPr>
      </w:pPr>
      <w:r>
        <w:rPr>
          <w:b/>
        </w:rPr>
        <w:t>Granty a transfery</w:t>
      </w:r>
    </w:p>
    <w:p>
      <w:pPr>
        <w:pStyle w:val="Normal"/>
        <w:tabs>
          <w:tab w:val="clear" w:pos="720"/>
          <w:tab w:val="right" w:pos="284" w:leader="none"/>
        </w:tabs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ind w:firstLine="720"/>
        <w:jc w:val="both"/>
        <w:rPr/>
      </w:pPr>
      <w:r>
        <w:rPr/>
        <w:t>Z rozpočtovaných 2 500,00 EUR bol skutočný príjem k </w:t>
      </w:r>
      <w:r>
        <w:rPr>
          <w:color w:val="000000"/>
        </w:rPr>
        <w:t xml:space="preserve">31. 12. 2024 </w:t>
      </w:r>
      <w:r>
        <w:rPr/>
        <w:t>v sume 2 500,00 EUR, čo predstavuje 100 % plnenie.</w:t>
      </w:r>
    </w:p>
    <w:p>
      <w:pPr>
        <w:pStyle w:val="Normal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6"/>
        </w:numPr>
        <w:ind w:hanging="284" w:left="284"/>
        <w:rPr/>
      </w:pPr>
      <w:r>
        <w:rPr>
          <w:b/>
        </w:rPr>
        <w:t xml:space="preserve">Príjmové finančné operácie: </w:t>
      </w:r>
    </w:p>
    <w:p>
      <w:pPr>
        <w:pStyle w:val="Normal"/>
        <w:rPr/>
      </w:pPr>
      <w:r>
        <w:rPr/>
        <w:t xml:space="preserve"> </w:t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704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plnenia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1 330,00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21 562,78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1 621,26%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 xml:space="preserve">Z rozpočtovaných príjmových finančných operácií 1 330,00 EUR bol skutočný príjem </w:t>
        <w:br/>
        <w:t>k 31. 12. 2024 v sume 21 562,78 EUR, čo predstavuje  1 621,26 %  plnenie.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6"/>
        </w:numPr>
        <w:ind w:hanging="284" w:left="284"/>
        <w:rPr/>
      </w:pPr>
      <w:r>
        <w:rPr>
          <w:b/>
        </w:rPr>
        <w:t>Príjmy rozpočtových organizácií s právnou subjektivitou:</w:t>
      </w:r>
    </w:p>
    <w:p>
      <w:pPr>
        <w:pStyle w:val="Normal"/>
        <w:jc w:val="both"/>
        <w:rPr>
          <w:b/>
          <w:shd w:fill="C0C0C0" w:val="clear"/>
        </w:rPr>
      </w:pPr>
      <w:r>
        <w:rPr>
          <w:b/>
          <w:shd w:fill="C0C0C0" w:val="clear"/>
        </w:rPr>
      </w:r>
    </w:p>
    <w:p>
      <w:pPr>
        <w:pStyle w:val="Normal"/>
        <w:rPr>
          <w:b/>
        </w:rPr>
      </w:pPr>
      <w:r>
        <w:rPr>
          <w:b/>
        </w:rPr>
        <w:t>Obec Suchá Dolina nemá rozpočtovú organizáciu.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Heading1"/>
        <w:numPr>
          <w:ilvl w:val="1"/>
          <w:numId w:val="5"/>
        </w:numPr>
        <w:tabs>
          <w:tab w:val="clear" w:pos="720"/>
          <w:tab w:val="left" w:pos="462" w:leader="none"/>
        </w:tabs>
        <w:ind w:hanging="361" w:left="462"/>
        <w:rPr/>
      </w:pPr>
      <w:bookmarkStart w:id="9" w:name="C._Rozbor_čerpania_výdavkov_za_rok_2023"/>
      <w:bookmarkEnd w:id="9"/>
      <w:r>
        <w:rPr>
          <w:shd w:fill="BFBFBF" w:val="clear"/>
        </w:rPr>
        <w:t>Rozbor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čerpania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výdavkov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za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rok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2024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rPr/>
      </w:pPr>
      <w:r>
        <w:rPr/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683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čerpania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  <w:t>3 830,00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15 706,61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410,09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ind w:firstLine="720"/>
        <w:jc w:val="both"/>
        <w:rPr/>
      </w:pPr>
      <w:r>
        <w:rPr/>
        <w:t xml:space="preserve">Z rozpočtovaných kapitálových výdavkov 3 830,00 EUR bolo skutočne čerpané  </w:t>
        <w:br/>
        <w:t>k </w:t>
      </w:r>
      <w:r>
        <w:rPr>
          <w:color w:val="000000"/>
        </w:rPr>
        <w:t xml:space="preserve">31. 12. 2024 </w:t>
      </w:r>
      <w:r>
        <w:rPr/>
        <w:t xml:space="preserve">v sume  15 706,61 EUR, čo predstavuje  410,09 %  čerpanie. </w:t>
      </w:r>
    </w:p>
    <w:p>
      <w:pPr>
        <w:pStyle w:val="Normal"/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jc w:val="both"/>
        <w:rPr/>
      </w:pPr>
      <w:r>
        <w:rPr>
          <w:b/>
        </w:rPr>
        <w:t xml:space="preserve">Medzi významné položky kapitálového rozpočtu patrí: </w:t>
      </w:r>
    </w:p>
    <w:p>
      <w:pPr>
        <w:pStyle w:val="Normal"/>
        <w:jc w:val="both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Normal"/>
        <w:numPr>
          <w:ilvl w:val="0"/>
          <w:numId w:val="3"/>
        </w:numPr>
        <w:ind w:hanging="0" w:left="0"/>
        <w:jc w:val="both"/>
        <w:rPr/>
      </w:pPr>
      <w:r>
        <w:rPr>
          <w:b/>
        </w:rPr>
        <w:t>Obstaranie kapitálových aktív</w:t>
      </w:r>
    </w:p>
    <w:p>
      <w:pPr>
        <w:pStyle w:val="Normal"/>
        <w:ind w:firstLine="720"/>
        <w:jc w:val="both"/>
        <w:rPr/>
      </w:pPr>
      <w:r>
        <w:rPr/>
        <w:t xml:space="preserve">Z rozpočtovaných kapitálových výdavkov 3 830,00 EUR bolo skutočne čerpané  </w:t>
        <w:br/>
        <w:t>k </w:t>
      </w:r>
      <w:r>
        <w:rPr>
          <w:color w:val="000000"/>
        </w:rPr>
        <w:t xml:space="preserve">31. 12. 2024 </w:t>
      </w:r>
      <w:r>
        <w:rPr/>
        <w:t>v sume 15 706,61 EUR, čo predstavuje   410,09 %  čerpanie.</w:t>
      </w:r>
    </w:p>
    <w:p>
      <w:pPr>
        <w:pStyle w:val="Normal"/>
        <w:ind w:left="360"/>
        <w:jc w:val="both"/>
        <w:rPr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numPr>
          <w:ilvl w:val="0"/>
          <w:numId w:val="11"/>
        </w:numPr>
        <w:rPr/>
      </w:pPr>
      <w:r>
        <w:rPr>
          <w:b/>
        </w:rPr>
        <w:t xml:space="preserve">Výdavkové finančné operácie </w:t>
      </w:r>
    </w:p>
    <w:p>
      <w:pPr>
        <w:pStyle w:val="Normal"/>
        <w:rPr/>
      </w:pPr>
      <w:r>
        <w:rPr>
          <w:b/>
        </w:rPr>
        <w:t xml:space="preserve"> </w:t>
      </w:r>
    </w:p>
    <w:tbl>
      <w:tblPr>
        <w:tblW w:w="939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7"/>
        <w:gridCol w:w="3363"/>
      </w:tblGrid>
      <w:tr>
        <w:trPr>
          <w:trHeight w:val="743" w:hRule="atLeast"/>
        </w:trPr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Schválený rozpočet na rok 2024 po poslednej zmene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Skutočnosť k </w:t>
            </w:r>
            <w:r>
              <w:rPr>
                <w:b/>
                <w:color w:val="000000"/>
              </w:rPr>
              <w:t>31. 12. 2024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% čerpania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ind w:left="720"/>
              <w:jc w:val="center"/>
              <w:rPr/>
            </w:pPr>
            <w:r>
              <w:rPr/>
              <w:t>2 200,00</w:t>
            </w:r>
          </w:p>
        </w:tc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left="720"/>
              <w:jc w:val="center"/>
              <w:rPr/>
            </w:pPr>
            <w:r>
              <w:rPr/>
              <w:t>6 200,00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left="72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281,82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firstLine="720"/>
        <w:jc w:val="both"/>
        <w:rPr/>
      </w:pPr>
      <w:r>
        <w:rPr/>
        <w:t>Z rozpočtovaných výdavkových finančných operácií 2 200,00 EUR bolo skutočne čerpané  k </w:t>
      </w:r>
      <w:r>
        <w:rPr>
          <w:color w:val="000000"/>
        </w:rPr>
        <w:t xml:space="preserve">31. 12. 2024 </w:t>
      </w:r>
      <w:r>
        <w:rPr/>
        <w:t xml:space="preserve">v sume 6 200,00 EUR, čo predstavuje 281,82 %  čerpanie. </w:t>
      </w:r>
    </w:p>
    <w:p>
      <w:pPr>
        <w:pStyle w:val="Normal"/>
        <w:ind w:firstLine="720"/>
        <w:jc w:val="both"/>
        <w:rPr/>
      </w:pPr>
      <w:r>
        <w:rPr/>
      </w:r>
    </w:p>
    <w:p>
      <w:pPr>
        <w:pStyle w:val="Normal"/>
        <w:ind w:firstLine="720"/>
        <w:jc w:val="both"/>
        <w:rPr/>
      </w:pPr>
      <w:r>
        <w:rPr/>
        <w:t xml:space="preserve">Z rozpočtovaných výdavkových finančných operácií  2 200,00 EUR na splácanie istiny z prijatých úverov a z leasingu bolo skutočné čerpanie k 31. 12. 2024 v sume 6 2000,00 EUR, čo predstavuje 281,82 %. 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2"/>
        </w:numPr>
        <w:rPr/>
      </w:pPr>
      <w:r>
        <w:rPr>
          <w:b/>
        </w:rPr>
        <w:t xml:space="preserve"> </w:t>
      </w:r>
      <w:r>
        <w:rPr>
          <w:b/>
        </w:rPr>
        <w:t>Výdavky rozpočtových organizácií s právnou subjektivitou: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/>
      </w:pPr>
      <w:r>
        <w:rPr/>
        <w:t>Obec Suchá Dolina nemá rozpočtovú organizáciu.</w:t>
      </w:r>
    </w:p>
    <w:p>
      <w:pPr>
        <w:pStyle w:val="BodyText"/>
        <w:spacing w:before="10" w:after="0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6" w:after="0"/>
        <w:rPr>
          <w:sz w:val="19"/>
        </w:rPr>
      </w:pPr>
      <w:r>
        <w:rPr>
          <w:sz w:val="19"/>
        </w:rPr>
      </w:r>
    </w:p>
    <w:p>
      <w:pPr>
        <w:pStyle w:val="Heading1"/>
        <w:numPr>
          <w:ilvl w:val="1"/>
          <w:numId w:val="5"/>
        </w:numPr>
        <w:tabs>
          <w:tab w:val="clear" w:pos="720"/>
          <w:tab w:val="left" w:pos="462" w:leader="none"/>
        </w:tabs>
        <w:ind w:hanging="361" w:left="462"/>
        <w:jc w:val="both"/>
        <w:rPr/>
      </w:pPr>
      <w:bookmarkStart w:id="10" w:name="_TOC_250002"/>
      <w:bookmarkStart w:id="11" w:name="D._Prebytok_%25252F_schodok_rozpočtového"/>
      <w:bookmarkEnd w:id="11"/>
      <w:r>
        <w:rPr>
          <w:shd w:fill="BFBFBF" w:val="clear"/>
        </w:rPr>
        <w:t>Prebytok</w:t>
      </w:r>
      <w:r>
        <w:rPr>
          <w:spacing w:val="-5"/>
          <w:shd w:fill="BFBFBF" w:val="clear"/>
        </w:rPr>
        <w:t xml:space="preserve"> </w:t>
      </w:r>
      <w:r>
        <w:rPr>
          <w:shd w:fill="BFBFBF" w:val="clear"/>
        </w:rPr>
        <w:t>/</w:t>
      </w:r>
      <w:r>
        <w:rPr>
          <w:spacing w:val="-4"/>
          <w:shd w:fill="BFBFBF" w:val="clear"/>
        </w:rPr>
        <w:t xml:space="preserve"> </w:t>
      </w:r>
      <w:r>
        <w:rPr>
          <w:shd w:fill="BFBFBF" w:val="clear"/>
        </w:rPr>
        <w:t>schodok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rozpočtového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hospodárenia</w:t>
      </w:r>
      <w:r>
        <w:rPr>
          <w:spacing w:val="-4"/>
          <w:shd w:fill="BFBFBF" w:val="clear"/>
        </w:rPr>
        <w:t xml:space="preserve"> </w:t>
      </w:r>
      <w:r>
        <w:rPr>
          <w:shd w:fill="BFBFBF" w:val="clear"/>
        </w:rPr>
        <w:t>za</w:t>
      </w:r>
      <w:r>
        <w:rPr>
          <w:spacing w:val="-5"/>
          <w:shd w:fill="BFBFBF" w:val="clear"/>
        </w:rPr>
        <w:t xml:space="preserve"> </w:t>
      </w:r>
      <w:r>
        <w:rPr>
          <w:shd w:fill="BFBFBF" w:val="clear"/>
        </w:rPr>
        <w:t>rok</w:t>
      </w:r>
      <w:r>
        <w:rPr>
          <w:spacing w:val="-4"/>
          <w:shd w:fill="BFBFBF" w:val="clear"/>
        </w:rPr>
        <w:t xml:space="preserve"> </w:t>
      </w:r>
      <w:bookmarkEnd w:id="10"/>
      <w:r>
        <w:rPr>
          <w:shd w:fill="BFBFBF" w:val="clear"/>
        </w:rPr>
        <w:t>2024</w:t>
      </w:r>
    </w:p>
    <w:p>
      <w:pPr>
        <w:pStyle w:val="Normal"/>
        <w:tabs>
          <w:tab w:val="clear" w:pos="720"/>
          <w:tab w:val="right" w:pos="5040" w:leader="none"/>
        </w:tabs>
        <w:jc w:val="both"/>
        <w:rPr>
          <w:b/>
          <w:color w:val="0000FF"/>
          <w:sz w:val="12"/>
          <w:szCs w:val="12"/>
        </w:rPr>
      </w:pPr>
      <w:r>
        <w:rPr>
          <w:b/>
          <w:color w:val="0000FF"/>
          <w:sz w:val="12"/>
          <w:szCs w:val="12"/>
        </w:rPr>
      </w:r>
    </w:p>
    <w:tbl>
      <w:tblPr>
        <w:tblW w:w="9612" w:type="dxa"/>
        <w:jc w:val="left"/>
        <w:tblInd w:w="-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70"/>
        <w:gridCol w:w="3905"/>
        <w:gridCol w:w="37"/>
      </w:tblGrid>
      <w:tr>
        <w:trPr>
          <w:trHeight w:val="681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right" w:pos="8820" w:leader="none"/>
              </w:tabs>
              <w:jc w:val="center"/>
              <w:rPr/>
            </w:pPr>
            <w:r>
              <w:rPr>
                <w:b/>
              </w:rPr>
              <w:t>Skutočnosť k 31. 12. 2024 v 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93 324,45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left" w:pos="615" w:leader="none"/>
              </w:tabs>
              <w:rPr/>
            </w:pPr>
            <w:r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93 324,45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left" w:pos="690" w:leader="none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Príjmy nezahrnuté z dôsledku technických príčin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0,00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>bežné príjmy RO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0,00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93 926,28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z toho : bežné výdavky  obce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93 926,28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>bežné výdavky  RO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ListParagraph"/>
              <w:tabs>
                <w:tab w:val="clear" w:pos="720"/>
                <w:tab w:val="decimal" w:pos="2027" w:leader="none"/>
              </w:tabs>
              <w:spacing w:before="0" w:after="200"/>
              <w:jc w:val="right"/>
              <w:rPr>
                <w:color w:val="000000"/>
                <w:sz w:val="24"/>
                <w:szCs w:val="24"/>
              </w:rPr>
            </w:pPr>
            <w:r>
              <w:rPr>
                <w:rFonts w:cs="Times New Roman"/>
                <w:b/>
                <w:color w:val="000000"/>
                <w:sz w:val="24"/>
                <w:szCs w:val="24"/>
              </w:rPr>
              <w:t>-601,83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2 500,00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z toho : kapitálové  príjmy obce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2 500,00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>kapitálové  príjmy RO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tabs>
                <w:tab w:val="clear" w:pos="720"/>
                <w:tab w:val="decimal" w:pos="2027" w:leader="none"/>
              </w:tabs>
              <w:suppressAutoHyphens w:val="true"/>
              <w:bidi w:val="0"/>
              <w:spacing w:before="0" w:after="0"/>
              <w:ind w:hanging="0" w:left="113" w:right="0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15 706,61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z toho : kapitálové  výdavky  obce</w:t>
            </w:r>
          </w:p>
        </w:tc>
        <w:tc>
          <w:tcPr>
            <w:tcW w:w="3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</w:t>
            </w:r>
            <w:r>
              <w:rPr>
                <w:color w:val="000000"/>
                <w:sz w:val="24"/>
                <w:szCs w:val="24"/>
              </w:rPr>
              <w:t>15 706,61</w:t>
            </w:r>
          </w:p>
        </w:tc>
        <w:tc>
          <w:tcPr>
            <w:tcW w:w="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snapToGrid w:val="false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>kapitálové  výdavky  RO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-13 206,61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-13 808,44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Emphasis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left="720"/>
              <w:jc w:val="right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3 614,62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Príjmové finančné operácie s výnimkou cudzích prostriedkov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21 562,78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6 200,00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jc w:val="right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17 422,96</w:t>
            </w:r>
          </w:p>
        </w:tc>
      </w:tr>
      <w:tr>
        <w:trPr>
          <w:trHeight w:val="404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ind w:left="-85"/>
              <w:rPr/>
            </w:pPr>
            <w:r>
              <w:rPr>
                <w:caps/>
                <w:sz w:val="20"/>
                <w:szCs w:val="20"/>
              </w:rPr>
              <w:t>Príjmy spolu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right="-108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117 387,23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ind w:left="-85"/>
              <w:rPr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right="-108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115 832,89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ind w:left="-85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right="-108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1 554,34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ind w:left="-85"/>
              <w:rPr/>
            </w:pPr>
            <w:r>
              <w:rPr>
                <w:rStyle w:val="Emphasis"/>
                <w:b/>
                <w:color w:val="000000"/>
                <w:sz w:val="20"/>
                <w:szCs w:val="20"/>
                <w:shd w:fill="auto" w:val="clear"/>
              </w:rPr>
              <w:t>Vylúčenie z prebytku/ Úprava schodku</w:t>
            </w:r>
          </w:p>
        </w:tc>
        <w:tc>
          <w:tcPr>
            <w:tcW w:w="3942" w:type="dxa"/>
            <w:gridSpan w:val="2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right="-108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shd w:fill="auto" w:val="clear"/>
              </w:rPr>
              <w:t>3 614,52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DEDED" w:val="clear"/>
            <w:vAlign w:val="center"/>
          </w:tcPr>
          <w:p>
            <w:pPr>
              <w:pStyle w:val="Normal"/>
              <w:ind w:left="-85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tabs>
                <w:tab w:val="clear" w:pos="720"/>
                <w:tab w:val="decimal" w:pos="2027" w:leader="none"/>
              </w:tabs>
              <w:ind w:right="-108"/>
              <w:jc w:val="right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- 2 060,18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tabs>
          <w:tab w:val="clear" w:pos="720"/>
          <w:tab w:val="right" w:pos="7740" w:leader="none"/>
        </w:tabs>
        <w:jc w:val="both"/>
        <w:rPr>
          <w:highlight w:val="red"/>
        </w:rPr>
      </w:pPr>
      <w:r>
        <w:rPr>
          <w:b/>
        </w:rPr>
        <w:t>Schodok rozpočtu v sume – 2 060,18 EUR</w:t>
      </w:r>
      <w:r>
        <w:rPr/>
        <w:t xml:space="preserve"> zistený podľa ustanovenia § 10 ods. 3 písm. a) a b) zákona č. 583/2004 Z.z. o rozpočtových pravidlách územnej samosprávy a o zmene a doplnení n</w:t>
      </w:r>
      <w:r>
        <w:rPr>
          <w:shd w:fill="auto" w:val="clear"/>
        </w:rPr>
        <w:t>iektorých zákonov v z.n.p. bol v rozpočtovom roku 2024 vysporiadaný :</w:t>
        <w:tab/>
      </w:r>
    </w:p>
    <w:p>
      <w:pPr>
        <w:pStyle w:val="Normal"/>
        <w:numPr>
          <w:ilvl w:val="0"/>
          <w:numId w:val="13"/>
        </w:numPr>
        <w:tabs>
          <w:tab w:val="clear" w:pos="720"/>
          <w:tab w:val="right" w:pos="5580" w:leader="none"/>
        </w:tabs>
        <w:suppressAutoHyphens w:val="false"/>
        <w:jc w:val="both"/>
        <w:rPr>
          <w:highlight w:val="none"/>
          <w:shd w:fill="auto" w:val="clear"/>
        </w:rPr>
      </w:pPr>
      <w:r>
        <w:rPr>
          <w:shd w:fill="auto" w:val="clear"/>
        </w:rPr>
        <w:t xml:space="preserve">z finančných operácií </w:t>
        <w:tab/>
        <w:t>2 060,18</w:t>
      </w:r>
      <w:r>
        <w:rPr>
          <w:iCs/>
          <w:shd w:fill="auto" w:val="clear"/>
        </w:rPr>
        <w:t xml:space="preserve"> </w:t>
      </w:r>
      <w:r>
        <w:rPr>
          <w:shd w:fill="auto" w:val="clear"/>
        </w:rPr>
        <w:t>EUR</w:t>
      </w:r>
    </w:p>
    <w:p>
      <w:pPr>
        <w:pStyle w:val="Normal"/>
        <w:tabs>
          <w:tab w:val="clear" w:pos="720"/>
          <w:tab w:val="right" w:pos="5580" w:leader="none"/>
        </w:tabs>
        <w:jc w:val="both"/>
        <w:rPr>
          <w:b/>
        </w:rPr>
      </w:pPr>
      <w:r>
        <w:rPr>
          <w:b/>
        </w:rPr>
      </w:r>
    </w:p>
    <w:p>
      <w:pPr>
        <w:pStyle w:val="Normal"/>
        <w:tabs>
          <w:tab w:val="clear" w:pos="720"/>
          <w:tab w:val="right" w:pos="5580" w:leader="none"/>
        </w:tabs>
        <w:jc w:val="both"/>
        <w:rPr>
          <w:i/>
          <w:i/>
        </w:rPr>
      </w:pPr>
      <w:r>
        <w:rPr>
          <w:i/>
        </w:rPr>
      </w:r>
    </w:p>
    <w:p>
      <w:pPr>
        <w:pStyle w:val="Normal"/>
        <w:tabs>
          <w:tab w:val="clear" w:pos="720"/>
          <w:tab w:val="right" w:pos="5580" w:leader="none"/>
        </w:tabs>
        <w:jc w:val="both"/>
        <w:rPr/>
      </w:pPr>
      <w:r>
        <w:rPr/>
        <w:t>Na základe uvedených skutočností navrhujeme nevytvárať rezervný fond za rok 2024.</w:t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Heading3"/>
        <w:spacing w:before="90" w:after="0"/>
        <w:rPr/>
      </w:pPr>
      <w:bookmarkStart w:id="12" w:name="Tvorba_a_použitie_peňažných_fondov_a_iný"/>
      <w:bookmarkEnd w:id="12"/>
      <w:r>
        <w:rPr>
          <w:shd w:fill="BFBFBF" w:val="clear"/>
        </w:rPr>
        <w:t>Tvorba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použitie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peňažných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fondov 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iných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fondov</w:t>
      </w:r>
    </w:p>
    <w:p>
      <w:pPr>
        <w:pStyle w:val="Normal"/>
        <w:jc w:val="both"/>
        <w:rPr/>
      </w:pPr>
      <w:r>
        <w:rPr>
          <w:b/>
        </w:rPr>
        <w:t>Peňažný fond</w:t>
      </w:r>
    </w:p>
    <w:p>
      <w:pPr>
        <w:pStyle w:val="Normal"/>
        <w:jc w:val="both"/>
        <w:rPr/>
      </w:pPr>
      <w:r>
        <w:rPr/>
        <w:t>Obec nevytvára peňažný fond v zmysle ustanovenia § 15 zákona č. 583/2004 Z. z. v z. n. p.. O použití peňažného fondu rozhoduje obecné zastupiteľstvo.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Cs/>
        </w:rPr>
      </w:pPr>
      <w:r>
        <w:rPr>
          <w:b/>
          <w:bCs/>
        </w:rPr>
        <w:t>Rezervný fond + sociálny fond</w:t>
      </w:r>
    </w:p>
    <w:p>
      <w:pPr>
        <w:pStyle w:val="Normal"/>
        <w:jc w:val="both"/>
        <w:rPr/>
      </w:pPr>
      <w:r>
        <w:rPr/>
        <w:t>Obec vytvára rezervný fond v zmysle ustanovenia § 15 zákona č.583/2004 Z. z. v z. n. p.. O použití rezervného fondu rozhoduje obecné zastupiteľstvo.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Obec vytvára sociálny fond v zmysle zákona č. 152/1994 Z. z. v z. n. p.. Tvorbu a použitie sociálneho fondu upravuje kolektívna zmluva.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Obec má vedený jeden účet v banke kde tvorí rezervný fond spolu so sociálnym fondom. </w:t>
      </w:r>
    </w:p>
    <w:p>
      <w:pPr>
        <w:pStyle w:val="Normal"/>
        <w:jc w:val="both"/>
        <w:rPr/>
      </w:pPr>
      <w:r>
        <w:rPr/>
      </w:r>
    </w:p>
    <w:tbl>
      <w:tblPr>
        <w:tblW w:w="9923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103"/>
        <w:gridCol w:w="4819"/>
      </w:tblGrid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Rezervný fond+sociálny fond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ZS k 1.1.2024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15 605,23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Prírastky - z prebytku rozpočtu za uplynulý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>rozpočtový rok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22 909,41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>- z rozdielu medzi výnosmi a nákladmi</w:t>
            </w:r>
          </w:p>
          <w:p>
            <w:pPr>
              <w:pStyle w:val="Normal"/>
              <w:rPr/>
            </w:pPr>
            <w:r>
              <w:rPr/>
              <w:t xml:space="preserve">                  </w:t>
            </w:r>
            <w:r>
              <w:rPr/>
              <w:t>z podnikateľskej činnosti po zdanení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 </w:t>
            </w:r>
            <w:r>
              <w:rPr/>
              <w:t>- z finančných operácií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Úbytky   - použitie rezervného fondu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11 000,00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- krytie schodku rozpočtu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               </w:t>
            </w:r>
            <w:r>
              <w:rPr/>
              <w:t>- ostatné úbytky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24 195,90</w:t>
            </w:r>
          </w:p>
        </w:tc>
      </w:tr>
      <w:tr>
        <w:trPr/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rPr/>
            </w:pPr>
            <w:r>
              <w:rPr/>
              <w:t>KZ k 31.12.2024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jc w:val="right"/>
              <w:rPr/>
            </w:pPr>
            <w:r>
              <w:rPr/>
              <w:t>3 318,74</w:t>
            </w:r>
          </w:p>
        </w:tc>
      </w:tr>
    </w:tbl>
    <w:p>
      <w:pPr>
        <w:pStyle w:val="Normal"/>
        <w:tabs>
          <w:tab w:val="clear" w:pos="720"/>
          <w:tab w:val="right" w:pos="7560" w:leader="none"/>
        </w:tabs>
        <w:rPr>
          <w:b/>
        </w:rPr>
      </w:pPr>
      <w:r>
        <w:rPr>
          <w:b/>
        </w:rPr>
      </w:r>
    </w:p>
    <w:p>
      <w:pPr>
        <w:pStyle w:val="Normal"/>
        <w:rPr>
          <w:b w:val="false"/>
        </w:rPr>
      </w:pPr>
      <w:r>
        <w:rPr>
          <w:b w:val="false"/>
          <w:bCs w:val="false"/>
        </w:rPr>
        <w:t xml:space="preserve">Hodnoty v tabuľke sú zhodné s bankovým výpisom za rok 2024. 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b/>
        </w:rPr>
        <w:t xml:space="preserve">Fond prevádzky, údržby a opráv </w:t>
      </w:r>
    </w:p>
    <w:p>
      <w:pPr>
        <w:pStyle w:val="Normal"/>
        <w:jc w:val="both"/>
        <w:rPr/>
      </w:pPr>
      <w:r>
        <w:rPr/>
        <w:t>Obec nevytvára fond prevádzky, údržby a opráv v zmysle ustanovenia § 18 zákona č. 443/2010 Z. z. v z. n. p.. O použití fondu prevádzky, údržby a opráv rozhoduje obecné zastupiteľstvo v súlade s vnútorným predpisom na použitie fondu prevádzky, údržby a opráv.</w:t>
      </w:r>
    </w:p>
    <w:p>
      <w:pPr>
        <w:pStyle w:val="Normal"/>
        <w:tabs>
          <w:tab w:val="clear" w:pos="720"/>
          <w:tab w:val="right" w:pos="7560" w:leader="none"/>
        </w:tabs>
        <w:rPr/>
      </w:pPr>
      <w:r>
        <w:rPr/>
        <w:tab/>
        <w:tab/>
        <w:tab/>
        <w:t xml:space="preserve">          </w:t>
      </w:r>
    </w:p>
    <w:p>
      <w:pPr>
        <w:pStyle w:val="Normal"/>
        <w:jc w:val="both"/>
        <w:rPr/>
      </w:pPr>
      <w:r>
        <w:rPr>
          <w:b/>
        </w:rPr>
        <w:t xml:space="preserve">Fond rozvoja bývania </w:t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  <w:t>Obec nevytvára fond rozvoja bývania v zmysle zákona č. 182/1993 Z. z. v z. n. p..</w:t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Normal"/>
        <w:jc w:val="both"/>
        <w:rPr>
          <w:b/>
          <w:sz w:val="24"/>
        </w:rPr>
      </w:pPr>
      <w:r>
        <w:rPr>
          <w:b/>
          <w:sz w:val="24"/>
        </w:rPr>
      </w:r>
    </w:p>
    <w:p>
      <w:pPr>
        <w:pStyle w:val="BodyText"/>
        <w:spacing w:before="1" w:after="0"/>
        <w:rPr>
          <w:sz w:val="21"/>
        </w:rPr>
      </w:pPr>
      <w:r>
        <w:rPr>
          <w:sz w:val="21"/>
        </w:rPr>
      </w:r>
    </w:p>
    <w:p>
      <w:pPr>
        <w:pStyle w:val="Heading1"/>
        <w:ind w:hanging="0" w:left="101"/>
        <w:rPr/>
      </w:pPr>
      <w:bookmarkStart w:id="13" w:name="_TOC_250001"/>
      <w:r>
        <w:rPr>
          <w:shd w:fill="BFBFBF" w:val="clear"/>
        </w:rPr>
        <w:t>E</w:t>
      </w:r>
      <w:bookmarkStart w:id="14" w:name="E._Bilancia_aktív_a_pasív_k_31._12._2023"/>
      <w:bookmarkEnd w:id="14"/>
      <w:r>
        <w:rPr>
          <w:shd w:fill="BFBFBF" w:val="clear"/>
        </w:rPr>
        <w:t>.</w:t>
      </w:r>
      <w:r>
        <w:rPr>
          <w:spacing w:val="32"/>
          <w:shd w:fill="BFBFBF" w:val="clear"/>
        </w:rPr>
        <w:t xml:space="preserve"> </w:t>
      </w:r>
      <w:r>
        <w:rPr>
          <w:shd w:fill="BFBFBF" w:val="clear"/>
        </w:rPr>
        <w:t>Bilancia aktív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a</w:t>
      </w:r>
      <w:r>
        <w:rPr>
          <w:spacing w:val="1"/>
          <w:shd w:fill="BFBFBF" w:val="clear"/>
        </w:rPr>
        <w:t xml:space="preserve"> </w:t>
      </w:r>
      <w:r>
        <w:rPr>
          <w:shd w:fill="BFBFBF" w:val="clear"/>
        </w:rPr>
        <w:t>pasív k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31.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12.</w:t>
      </w:r>
      <w:r>
        <w:rPr>
          <w:spacing w:val="-1"/>
          <w:shd w:fill="BFBFBF" w:val="clear"/>
        </w:rPr>
        <w:t xml:space="preserve"> </w:t>
      </w:r>
      <w:bookmarkEnd w:id="13"/>
      <w:r>
        <w:rPr>
          <w:shd w:fill="BFBFBF" w:val="clear"/>
        </w:rPr>
        <w:t>2024</w:t>
      </w:r>
    </w:p>
    <w:p>
      <w:pPr>
        <w:sectPr>
          <w:type w:val="nextPage"/>
          <w:pgSz w:w="11906" w:h="16838"/>
          <w:pgMar w:left="1200" w:right="120" w:gutter="0" w:header="0" w:top="860" w:footer="0" w:bottom="0"/>
          <w:pgNumType w:fmt="decimal"/>
          <w:formProt w:val="false"/>
          <w:textDirection w:val="lrTb"/>
          <w:docGrid w:type="default" w:linePitch="100" w:charSpace="0"/>
        </w:sectPr>
        <w:pStyle w:val="Heading3"/>
        <w:spacing w:before="25" w:after="0"/>
        <w:rPr/>
      </w:pPr>
      <w:bookmarkStart w:id="15" w:name="A_K_T_Í_V_A"/>
      <w:bookmarkEnd w:id="15"/>
      <w:r>
        <w:rPr/>
        <w:t>A</w:t>
      </w:r>
      <w:r>
        <w:rPr>
          <w:spacing w:val="-13"/>
        </w:rPr>
        <w:t xml:space="preserve"> </w:t>
      </w:r>
      <w:r>
        <w:rPr/>
        <w:t>K</w:t>
      </w:r>
      <w:r>
        <w:rPr>
          <w:spacing w:val="-7"/>
        </w:rPr>
        <w:t xml:space="preserve"> </w:t>
      </w:r>
      <w:r>
        <w:rPr/>
        <w:t>T</w:t>
      </w:r>
      <w:r>
        <w:rPr>
          <w:spacing w:val="-7"/>
        </w:rPr>
        <w:t xml:space="preserve"> </w:t>
      </w:r>
      <w:r>
        <w:rPr/>
        <w:t>Í</w:t>
      </w:r>
      <w:r>
        <w:rPr>
          <w:spacing w:val="-7"/>
        </w:rPr>
        <w:t xml:space="preserve"> </w:t>
      </w:r>
      <w:r>
        <w:rPr/>
        <w:t>V</w:t>
      </w:r>
      <w:r>
        <w:rPr>
          <w:spacing w:val="-12"/>
        </w:rPr>
        <w:t xml:space="preserve"> </w:t>
      </w:r>
      <w:r>
        <w:rPr/>
        <w:t>A</w:t>
      </w:r>
    </w:p>
    <w:tbl>
      <w:tblPr>
        <w:tblStyle w:val="TableNormal"/>
        <w:tblW w:w="9450" w:type="dxa"/>
        <w:jc w:val="left"/>
        <w:tblInd w:w="115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3745"/>
        <w:gridCol w:w="2869"/>
        <w:gridCol w:w="2836"/>
      </w:tblGrid>
      <w:tr>
        <w:trPr>
          <w:trHeight w:val="541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Názov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ZS k 01. 01. 2024 v EUR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jc w:val="center"/>
              <w:rPr/>
            </w:pPr>
            <w:r>
              <w:rPr>
                <w:b/>
              </w:rPr>
              <w:t>KZ k 31. 12. 2024 v EUR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suppressAutoHyphens w:val="true"/>
              <w:rPr/>
            </w:pPr>
            <w:r>
              <w:rPr>
                <w:b/>
              </w:rPr>
              <w:t>Majetok spolu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324 074,77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324 738,45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309 288,24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309 383,45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260 498,94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260 594,15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48 789,30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48 789,30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14 684,26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15 355,00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2 054,84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10 718,57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12 629,42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4 636,43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284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51" w:leader="none"/>
              </w:tabs>
              <w:suppressAutoHyphens w:val="true"/>
              <w:snapToGrid w:val="false"/>
              <w:rPr/>
            </w:pPr>
            <w:r>
              <w:rPr/>
              <w:t>102,27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616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</w:tbl>
    <w:p>
      <w:pPr>
        <w:pStyle w:val="BodyText"/>
        <w:spacing w:before="10" w:after="0"/>
        <w:rPr>
          <w:b/>
          <w:sz w:val="7"/>
        </w:rPr>
      </w:pPr>
      <w:r>
        <w:rPr>
          <w:b/>
          <w:sz w:val="7"/>
        </w:rPr>
      </w:r>
    </w:p>
    <w:p>
      <w:pPr>
        <w:pStyle w:val="Normal"/>
        <w:spacing w:before="90" w:after="0"/>
        <w:ind w:left="220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 Í 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</w:p>
    <w:p>
      <w:pPr>
        <w:pStyle w:val="BodyText"/>
        <w:spacing w:before="2" w:after="0"/>
        <w:rPr>
          <w:b/>
          <w:sz w:val="15"/>
        </w:rPr>
      </w:pPr>
      <w:r>
        <w:rPr>
          <w:b/>
          <w:sz w:val="15"/>
        </w:rPr>
      </w:r>
    </w:p>
    <w:tbl>
      <w:tblPr>
        <w:tblStyle w:val="TableNormal"/>
        <w:tblW w:w="9450" w:type="dxa"/>
        <w:jc w:val="left"/>
        <w:tblInd w:w="115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3745"/>
        <w:gridCol w:w="2869"/>
        <w:gridCol w:w="2836"/>
      </w:tblGrid>
      <w:tr>
        <w:trPr>
          <w:trHeight w:val="540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 01. 2024 v EUR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Normal"/>
              <w:suppressAutoHyphens w:val="true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 12. 2024 v EUR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suppressAutoHyphens w:val="true"/>
              <w:rPr>
                <w:b/>
                <w:bCs/>
              </w:rPr>
            </w:pPr>
            <w:r>
              <w:rPr>
                <w:b/>
                <w:bCs/>
              </w:rPr>
              <w:t>Vlastné imanie a záväzky spolu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324 074,77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shd w:color="auto" w:fill="E6E5E5" w:val="clear"/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324 738,45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 imanie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135 593,99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144 934,08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135 593,99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144 934,08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15 216,79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15 342,89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800,00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800,00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0,00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291,46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479,60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4 213,33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3 098,51</w:t>
            </w:r>
          </w:p>
        </w:tc>
      </w:tr>
      <w:tr>
        <w:trPr>
          <w:trHeight w:val="315" w:hRule="atLeast"/>
        </w:trPr>
        <w:tc>
          <w:tcPr>
            <w:tcW w:w="3745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 xml:space="preserve"> </w:t>
            </w:r>
            <w:r>
              <w:rPr/>
              <w:t>9 912,00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 xml:space="preserve"> </w:t>
            </w:r>
            <w:r>
              <w:rPr/>
              <w:t>10 849,78</w:t>
            </w:r>
          </w:p>
        </w:tc>
      </w:tr>
      <w:tr>
        <w:trPr>
          <w:trHeight w:val="285" w:hRule="atLeast"/>
        </w:trPr>
        <w:tc>
          <w:tcPr>
            <w:tcW w:w="3745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uppressAutoHyphens w:val="true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2869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173 263,99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tabs>
                <w:tab w:val="clear" w:pos="720"/>
                <w:tab w:val="decimal" w:pos="1474" w:leader="none"/>
              </w:tabs>
              <w:suppressAutoHyphens w:val="true"/>
              <w:snapToGrid w:val="false"/>
              <w:rPr/>
            </w:pPr>
            <w:r>
              <w:rPr/>
              <w:t>164 461,48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Heading1"/>
        <w:spacing w:before="0" w:after="0"/>
        <w:ind w:hanging="0" w:left="220"/>
        <w:rPr/>
      </w:pPr>
      <w:r>
        <w:rPr/>
      </w:r>
    </w:p>
    <w:p>
      <w:pPr>
        <w:pStyle w:val="Heading1"/>
        <w:spacing w:before="0" w:after="0"/>
        <w:ind w:hanging="0" w:left="220"/>
        <w:rPr/>
      </w:pPr>
      <w:r>
        <w:rPr/>
      </w:r>
    </w:p>
    <w:p>
      <w:pPr>
        <w:pStyle w:val="Heading1"/>
        <w:spacing w:before="0" w:after="0"/>
        <w:ind w:hanging="0" w:left="220"/>
        <w:rPr/>
      </w:pPr>
      <w:r>
        <w:rPr/>
      </w:r>
    </w:p>
    <w:p>
      <w:pPr>
        <w:pStyle w:val="Heading1"/>
        <w:spacing w:before="0" w:after="0"/>
        <w:ind w:hanging="0" w:left="220"/>
        <w:rPr/>
      </w:pPr>
      <w:r>
        <w:rPr/>
      </w:r>
    </w:p>
    <w:p>
      <w:pPr>
        <w:pStyle w:val="Heading1"/>
        <w:spacing w:before="0" w:after="0"/>
        <w:ind w:hanging="0" w:left="220"/>
        <w:rPr>
          <w:color w:val="FF3838"/>
        </w:rPr>
      </w:pPr>
      <w:r>
        <w:rPr>
          <w:color w:val="FF3838"/>
        </w:rPr>
      </w:r>
    </w:p>
    <w:p>
      <w:pPr>
        <w:pStyle w:val="Heading1"/>
        <w:spacing w:before="0" w:after="0"/>
        <w:ind w:hanging="0" w:left="220"/>
        <w:rPr>
          <w:color w:val="000000"/>
        </w:rPr>
      </w:pPr>
      <w:r>
        <w:rPr>
          <w:color w:val="000000"/>
        </w:rPr>
        <w:t>Prehľad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nákladov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 výnosov</w:t>
      </w:r>
    </w:p>
    <w:tbl>
      <w:tblPr>
        <w:tblStyle w:val="TableNormal"/>
        <w:tblW w:w="9320" w:type="dxa"/>
        <w:jc w:val="left"/>
        <w:tblInd w:w="120" w:type="dxa"/>
        <w:tblLayout w:type="fixed"/>
        <w:tblCellMar>
          <w:top w:w="0" w:type="dxa"/>
          <w:left w:w="10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879"/>
        <w:gridCol w:w="1466"/>
        <w:gridCol w:w="1467"/>
        <w:gridCol w:w="1507"/>
      </w:tblGrid>
      <w:tr>
        <w:trPr>
          <w:trHeight w:val="290" w:hRule="atLeast"/>
        </w:trPr>
        <w:tc>
          <w:tcPr>
            <w:tcW w:w="48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350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ÚČET</w:t>
            </w:r>
            <w:r>
              <w:rPr>
                <w:b/>
                <w:spacing w:val="5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NÁKLADOV</w:t>
            </w:r>
          </w:p>
        </w:tc>
        <w:tc>
          <w:tcPr>
            <w:tcW w:w="293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64" w:before="7" w:after="0"/>
              <w:ind w:left="1238" w:right="1214"/>
              <w:jc w:val="center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kern w:val="0"/>
                <w:sz w:val="24"/>
                <w:szCs w:val="22"/>
                <w:lang w:eastAsia="en-US" w:bidi="ar-SA"/>
              </w:rPr>
              <w:t>ROK</w:t>
            </w:r>
          </w:p>
        </w:tc>
        <w:tc>
          <w:tcPr>
            <w:tcW w:w="1507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206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ROZDIEL</w:t>
            </w:r>
          </w:p>
        </w:tc>
      </w:tr>
      <w:tr>
        <w:trPr>
          <w:trHeight w:val="617" w:hRule="atLeast"/>
        </w:trPr>
        <w:tc>
          <w:tcPr>
            <w:tcW w:w="4879" w:type="dxa"/>
            <w:vMerge w:val="continue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5" w:after="0"/>
              <w:ind w:left="501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2024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5" w:after="0"/>
              <w:ind w:left="501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2023</w:t>
            </w:r>
          </w:p>
        </w:tc>
        <w:tc>
          <w:tcPr>
            <w:tcW w:w="1507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</w:tbl>
    <w:p>
      <w:pPr>
        <w:sectPr>
          <w:type w:val="nextPage"/>
          <w:pgSz w:w="11906" w:h="16838"/>
          <w:pgMar w:left="1200" w:right="120" w:gutter="0" w:header="0" w:top="84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Style w:val="TableNormal"/>
        <w:tblW w:w="9320" w:type="dxa"/>
        <w:jc w:val="left"/>
        <w:tblInd w:w="120" w:type="dxa"/>
        <w:tblLayout w:type="fixed"/>
        <w:tblCellMar>
          <w:top w:w="0" w:type="dxa"/>
          <w:left w:w="10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879"/>
        <w:gridCol w:w="1466"/>
        <w:gridCol w:w="1467"/>
        <w:gridCol w:w="1507"/>
      </w:tblGrid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501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Spotreba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materiálu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10 543,10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10 077,88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465,22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502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Spotreba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energie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11 907,58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13 159,98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-1252,4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50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Spotrebované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nákupy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22 450,68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23 237,86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b/>
                <w:bCs/>
              </w:rPr>
              <w:t>-787,18</w:t>
            </w:r>
          </w:p>
        </w:tc>
      </w:tr>
      <w:tr>
        <w:trPr>
          <w:trHeight w:val="290" w:hRule="atLeast"/>
        </w:trPr>
        <w:tc>
          <w:tcPr>
            <w:tcW w:w="931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1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511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Opravy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udržiavanie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392,90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1 111,19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-718,29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512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Cestovné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1 368,69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1 392,64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-23,95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513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reprezentáciu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2 192,28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727,68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1464,6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518</w:t>
            </w:r>
            <w:r>
              <w:rPr>
                <w:spacing w:val="5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 služby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21 701,07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18 470,47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3230,6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51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Služby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25 654,94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21 701,98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b/>
                <w:bCs/>
              </w:rPr>
              <w:t>3952,96</w:t>
            </w:r>
          </w:p>
        </w:tc>
      </w:tr>
      <w:tr>
        <w:trPr>
          <w:trHeight w:val="290" w:hRule="atLeast"/>
        </w:trPr>
        <w:tc>
          <w:tcPr>
            <w:tcW w:w="931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521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Mzdové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31 608,18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25 452,16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6156,02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524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Zákonné sociálne 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10 580,74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8 359,88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2220,86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527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sociálne 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868,89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1 287,35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ind w:hanging="0" w:left="0" w:right="0"/>
              <w:jc w:val="right"/>
              <w:rPr>
                <w:rFonts w:ascii="Times New Roman" w:hAnsi="Times New Roman"/>
              </w:rPr>
            </w:pPr>
            <w:r>
              <w:rPr/>
              <w:t>-418,46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52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Osobné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43 057,81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35 099,39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Obsahtabukyuser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b/>
                <w:bCs/>
              </w:rPr>
              <w:t>7958,42</w:t>
            </w:r>
          </w:p>
        </w:tc>
      </w:tr>
      <w:tr>
        <w:trPr>
          <w:trHeight w:val="291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538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dane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poplatky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511,91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511,91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53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Dane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a poplatky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511,91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511,91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545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pokuty,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penále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18,00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6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18,00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548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 na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prev.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činnosť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1 879,41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1 796,46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6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82,95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54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náklady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na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prev.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činnosť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1 897,41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1 796,46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6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100,95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1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551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Odpisy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dlhodobého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HaN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majetku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12 228,00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12 228,00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553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Tvorba ostatných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rezerv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400,00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-400,00</w:t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55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Odpisy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dlhodobého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HaN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majetku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+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rezervy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12 228,00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12 628,00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-400,00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562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Úroky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673,93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79,56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594,37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568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finančné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763,92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454,00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309,92</w:t>
            </w:r>
          </w:p>
        </w:tc>
      </w:tr>
      <w:tr>
        <w:trPr>
          <w:trHeight w:val="291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56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Finančné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náklady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1 437,85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533,56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904,29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2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8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585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transfery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subjektom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ver.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správy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1 531,31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6" w:after="0"/>
              <w:ind w:right="47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-1 531,31</w:t>
            </w:r>
          </w:p>
        </w:tc>
      </w:tr>
      <w:tr>
        <w:trPr>
          <w:trHeight w:val="290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586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Náklady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transfery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mimo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verejnú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správu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6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</w:tr>
      <w:tr>
        <w:trPr>
          <w:trHeight w:val="306" w:hRule="atLeast"/>
        </w:trPr>
        <w:tc>
          <w:tcPr>
            <w:tcW w:w="48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52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58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na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transfery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30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30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1 531,31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30" w:after="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904,29</w:t>
            </w:r>
          </w:p>
        </w:tc>
      </w:tr>
      <w:tr>
        <w:trPr>
          <w:trHeight w:val="913" w:hRule="atLeast"/>
        </w:trPr>
        <w:tc>
          <w:tcPr>
            <w:tcW w:w="4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11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Účtové</w:t>
            </w:r>
            <w:r>
              <w:rPr>
                <w:b/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skupiny</w:t>
            </w:r>
            <w:r>
              <w:rPr>
                <w:b/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50-56</w:t>
            </w:r>
            <w:r>
              <w:rPr>
                <w:b/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súčet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85" w:after="28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107 202,60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11" w:after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50"/>
              <w:jc w:val="right"/>
              <w:rPr>
                <w:sz w:val="24"/>
                <w:szCs w:val="24"/>
              </w:rPr>
            </w:pPr>
            <w:r>
              <w:rPr>
                <w:b/>
                <w:kern w:val="0"/>
                <w:sz w:val="24"/>
                <w:szCs w:val="24"/>
                <w:lang w:eastAsia="en-US" w:bidi="ar-SA"/>
              </w:rPr>
              <w:t>96 528,56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11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10 674,04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9" w:after="0"/>
        <w:rPr>
          <w:b/>
          <w:sz w:val="14"/>
        </w:rPr>
      </w:pPr>
      <w:r>
        <w:rPr>
          <w:b/>
          <w:sz w:val="14"/>
        </w:rPr>
      </w:r>
    </w:p>
    <w:tbl>
      <w:tblPr>
        <w:tblStyle w:val="TableNormal"/>
        <w:tblW w:w="8900" w:type="dxa"/>
        <w:jc w:val="left"/>
        <w:tblInd w:w="120" w:type="dxa"/>
        <w:tblLayout w:type="fixed"/>
        <w:tblCellMar>
          <w:top w:w="0" w:type="dxa"/>
          <w:left w:w="10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60"/>
        <w:gridCol w:w="1400"/>
        <w:gridCol w:w="1399"/>
        <w:gridCol w:w="1440"/>
      </w:tblGrid>
      <w:tr>
        <w:trPr>
          <w:trHeight w:val="296" w:hRule="atLeast"/>
        </w:trPr>
        <w:tc>
          <w:tcPr>
            <w:tcW w:w="46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340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ÚČET</w:t>
            </w:r>
            <w:r>
              <w:rPr>
                <w:b/>
                <w:spacing w:val="5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VÝNOSOV</w:t>
            </w:r>
          </w:p>
        </w:tc>
        <w:tc>
          <w:tcPr>
            <w:tcW w:w="279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69" w:before="7" w:after="0"/>
              <w:ind w:left="1172" w:right="1148"/>
              <w:jc w:val="center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kern w:val="0"/>
                <w:sz w:val="24"/>
                <w:szCs w:val="22"/>
                <w:lang w:eastAsia="en-US" w:bidi="ar-SA"/>
              </w:rPr>
              <w:t>ROK</w:t>
            </w:r>
          </w:p>
        </w:tc>
        <w:tc>
          <w:tcPr>
            <w:tcW w:w="144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72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ROZDIEL</w:t>
            </w:r>
          </w:p>
        </w:tc>
      </w:tr>
      <w:tr>
        <w:trPr>
          <w:trHeight w:val="603" w:hRule="atLeast"/>
        </w:trPr>
        <w:tc>
          <w:tcPr>
            <w:tcW w:w="4660" w:type="dxa"/>
            <w:vMerge w:val="continue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8" w:after="0"/>
              <w:ind w:left="467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2024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8" w:after="0"/>
              <w:ind w:left="467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2023</w:t>
            </w:r>
          </w:p>
        </w:tc>
        <w:tc>
          <w:tcPr>
            <w:tcW w:w="1440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602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Tržby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predaja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služieb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10 737,64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4 720,43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4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6 017,21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604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Tržby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tovar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predaj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nehnuteľnosti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60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Tržba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za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vlastné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výkony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10 737,64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4 720,43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4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6 017,21</w:t>
            </w:r>
          </w:p>
        </w:tc>
      </w:tr>
      <w:tr>
        <w:trPr>
          <w:trHeight w:val="290" w:hRule="atLeast"/>
        </w:trPr>
        <w:tc>
          <w:tcPr>
            <w:tcW w:w="889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632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Daňové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samosprávy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69 426,84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66 410,88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3 015,96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633</w:t>
            </w:r>
            <w:r>
              <w:rPr>
                <w:spacing w:val="5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Výnosy z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7 876,72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4 519,57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3 357,15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63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Daňové,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colné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77 303,56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70 930,45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6 373,11</w:t>
            </w:r>
          </w:p>
        </w:tc>
      </w:tr>
      <w:tr>
        <w:trPr>
          <w:trHeight w:val="290" w:hRule="atLeast"/>
        </w:trPr>
        <w:tc>
          <w:tcPr>
            <w:tcW w:w="889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9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648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prevádzkovej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6 380,12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958,62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4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5 421,50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64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prevádzkovej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6 380,12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958,62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4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5 421,50</w:t>
            </w:r>
          </w:p>
        </w:tc>
      </w:tr>
      <w:tr>
        <w:trPr>
          <w:trHeight w:val="289" w:hRule="atLeast"/>
        </w:trPr>
        <w:tc>
          <w:tcPr>
            <w:tcW w:w="8899" w:type="dxa"/>
            <w:gridSpan w:val="4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sectPr>
          <w:type w:val="nextPage"/>
          <w:pgSz w:w="11906" w:h="16838"/>
          <w:pgMar w:left="1200" w:right="120" w:gutter="0" w:header="0" w:top="84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Style w:val="TableNormal"/>
        <w:tblW w:w="8900" w:type="dxa"/>
        <w:jc w:val="left"/>
        <w:tblInd w:w="12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60"/>
        <w:gridCol w:w="1400"/>
        <w:gridCol w:w="1399"/>
        <w:gridCol w:w="1440"/>
      </w:tblGrid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6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653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Zúčtovanie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ostatných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rezerv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4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6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65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Zúčtovanie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rezerv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opravných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položiek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90" w:hRule="atLeast"/>
        </w:trPr>
        <w:tc>
          <w:tcPr>
            <w:tcW w:w="889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693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samosprávy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bež.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6 903,22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5 356,74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1 546,48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694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samosprávy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kap.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8 802,51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9 536,07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-733,56</w:t>
            </w:r>
          </w:p>
        </w:tc>
      </w:tr>
      <w:tr>
        <w:trPr>
          <w:trHeight w:val="2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3" w:before="36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69</w:t>
            </w:r>
            <w:r>
              <w:rPr>
                <w:b/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Výnosy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samosprávy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15 705,73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14 892,81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56" w:before="14" w:after="0"/>
              <w:ind w:right="45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812,92</w:t>
            </w:r>
          </w:p>
        </w:tc>
      </w:tr>
      <w:tr>
        <w:trPr>
          <w:trHeight w:val="890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Účtová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trieda</w:t>
            </w:r>
            <w:r>
              <w:rPr>
                <w:b/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6</w:t>
            </w:r>
            <w:r>
              <w:rPr>
                <w:b/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b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súčet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45" w:after="342"/>
              <w:jc w:val="right"/>
              <w:rPr>
                <w:b/>
                <w:sz w:val="27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110 127,05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91 502,31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45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18 625,19</w:t>
            </w:r>
          </w:p>
        </w:tc>
      </w:tr>
      <w:tr>
        <w:trPr>
          <w:trHeight w:val="905" w:hRule="atLeast"/>
        </w:trPr>
        <w:tc>
          <w:tcPr>
            <w:tcW w:w="4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9"/>
              </w:rPr>
            </w:pPr>
            <w:r>
              <w:rPr>
                <w:b/>
                <w:sz w:val="29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71"/>
              <w:jc w:val="lef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VÝSLEDOK</w:t>
            </w:r>
            <w:r>
              <w:rPr>
                <w:b/>
                <w:spacing w:val="47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HOSPODÁRENIA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2 924,45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-5 026,25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3" w:after="0"/>
              <w:jc w:val="left"/>
              <w:rPr>
                <w:b/>
                <w:sz w:val="27"/>
              </w:rPr>
            </w:pPr>
            <w:r>
              <w:rPr>
                <w:b/>
                <w:sz w:val="27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right="44"/>
              <w:jc w:val="righ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7 950,70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before="249" w:after="0"/>
        <w:ind w:left="101"/>
        <w:rPr>
          <w:b/>
          <w:sz w:val="28"/>
        </w:rPr>
      </w:pPr>
      <w:bookmarkStart w:id="16" w:name="_TOC_250000"/>
      <w:r>
        <w:rPr>
          <w:b/>
          <w:sz w:val="28"/>
          <w:shd w:fill="BFBFBF" w:val="clear"/>
        </w:rPr>
        <w:t>F</w:t>
      </w:r>
      <w:bookmarkStart w:id="17" w:name="F._Prehľad_o_stave_a_vývoji_dlhu_k_31._1"/>
      <w:bookmarkEnd w:id="17"/>
      <w:r>
        <w:rPr>
          <w:b/>
          <w:sz w:val="28"/>
          <w:shd w:fill="BFBFBF" w:val="clear"/>
        </w:rPr>
        <w:t>.</w:t>
      </w:r>
      <w:r>
        <w:rPr>
          <w:b/>
          <w:spacing w:val="48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Prehľad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o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stave a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vývoji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dlhu</w:t>
      </w:r>
      <w:r>
        <w:rPr>
          <w:b/>
          <w:spacing w:val="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k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31.</w:t>
      </w:r>
      <w:r>
        <w:rPr>
          <w:b/>
          <w:spacing w:val="-1"/>
          <w:sz w:val="28"/>
          <w:shd w:fill="BFBFBF" w:val="clear"/>
        </w:rPr>
        <w:t xml:space="preserve"> </w:t>
      </w:r>
      <w:r>
        <w:rPr>
          <w:b/>
          <w:sz w:val="28"/>
          <w:shd w:fill="BFBFBF" w:val="clear"/>
        </w:rPr>
        <w:t>12.</w:t>
      </w:r>
      <w:r>
        <w:rPr>
          <w:b/>
          <w:spacing w:val="-1"/>
          <w:sz w:val="28"/>
          <w:shd w:fill="BFBFBF" w:val="clear"/>
        </w:rPr>
        <w:t xml:space="preserve"> </w:t>
      </w:r>
      <w:bookmarkEnd w:id="16"/>
      <w:r>
        <w:rPr>
          <w:b/>
          <w:sz w:val="28"/>
          <w:shd w:fill="BFBFBF" w:val="clear"/>
        </w:rPr>
        <w:t>2024</w:t>
      </w:r>
    </w:p>
    <w:p>
      <w:pPr>
        <w:pStyle w:val="BodyText"/>
        <w:spacing w:before="3" w:after="0"/>
        <w:rPr>
          <w:b/>
          <w:sz w:val="28"/>
        </w:rPr>
      </w:pPr>
      <w:r>
        <w:rPr>
          <w:b/>
          <w:sz w:val="28"/>
        </w:rPr>
      </w:r>
    </w:p>
    <w:p>
      <w:pPr>
        <w:pStyle w:val="Heading3"/>
        <w:rPr>
          <w:color w:val="000000"/>
        </w:rPr>
      </w:pPr>
      <w:bookmarkStart w:id="18" w:name="Stav_záväzkov_k_31._12._2023"/>
      <w:bookmarkEnd w:id="18"/>
      <w:r>
        <w:rPr>
          <w:color w:val="000000"/>
        </w:rPr>
        <w:t>Stav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záväzkov k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31. 12. 2024</w:t>
      </w:r>
    </w:p>
    <w:p>
      <w:pPr>
        <w:pStyle w:val="BodyText"/>
        <w:rPr>
          <w:b/>
          <w:color w:val="FF3838"/>
          <w:sz w:val="20"/>
        </w:rPr>
      </w:pPr>
      <w:r>
        <w:rPr>
          <w:b/>
          <w:color w:val="FF3838"/>
          <w:sz w:val="20"/>
        </w:rPr>
      </w:r>
    </w:p>
    <w:p>
      <w:pPr>
        <w:pStyle w:val="BodyText"/>
        <w:spacing w:before="9" w:after="0"/>
        <w:rPr>
          <w:b/>
          <w:sz w:val="21"/>
        </w:rPr>
      </w:pPr>
      <w:r>
        <w:rPr>
          <w:b/>
          <w:sz w:val="21"/>
        </w:rPr>
      </w:r>
    </w:p>
    <w:tbl>
      <w:tblPr>
        <w:tblStyle w:val="TableNormal"/>
        <w:tblW w:w="9346" w:type="dxa"/>
        <w:jc w:val="left"/>
        <w:tblInd w:w="218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6375"/>
        <w:gridCol w:w="2970"/>
      </w:tblGrid>
      <w:tr>
        <w:trPr>
          <w:trHeight w:val="284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ind w:left="2995" w:right="2975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Text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left="93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finančného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výkazu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1-12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31.12.2023: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81 023,64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bežné príjmy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81 023,64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 príjmy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a RO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81 023,64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31.12.2024: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9 912,00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pôžičiek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návratných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výpomocí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investičných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dodávateľských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predfinancovanie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projektov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 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 ŠFRB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 obecné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nájomné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byty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Environmentálneho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 z ........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9 912,00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celkovej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nezapočítavajú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záväzky: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 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ŠFRB obecné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nájomné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byty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Environmentálneho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predfinancovanie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projektov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 ................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záväzkov,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ktorá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nezapočíta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celkovej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285" w:hRule="atLeast"/>
        </w:trPr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upravená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9 912,00</w:t>
            </w:r>
          </w:p>
        </w:tc>
      </w:tr>
    </w:tbl>
    <w:p>
      <w:pPr>
        <w:pStyle w:val="BodyText"/>
        <w:rPr>
          <w:b/>
          <w:sz w:val="26"/>
        </w:rPr>
      </w:pPr>
      <w:r>
        <w:rPr>
          <w:b/>
          <w:sz w:val="26"/>
        </w:rPr>
      </w:r>
    </w:p>
    <w:tbl>
      <w:tblPr>
        <w:tblStyle w:val="TableNormal"/>
        <w:tblW w:w="9376" w:type="dxa"/>
        <w:jc w:val="left"/>
        <w:tblInd w:w="218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3106"/>
        <w:gridCol w:w="3251"/>
        <w:gridCol w:w="3019"/>
      </w:tblGrid>
      <w:tr>
        <w:trPr>
          <w:trHeight w:val="463" w:hRule="atLeast"/>
        </w:trPr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46" w:right="32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3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2" w:before="0" w:after="0"/>
              <w:ind w:hanging="452" w:left="1098" w:right="623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b/>
                <w:spacing w:val="-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b/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31.12.2023</w:t>
            </w:r>
          </w:p>
        </w:tc>
        <w:tc>
          <w:tcPr>
            <w:tcW w:w="3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701" w:right="68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§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17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ods.6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písm.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a)</w:t>
            </w:r>
          </w:p>
        </w:tc>
      </w:tr>
      <w:tr>
        <w:trPr>
          <w:trHeight w:val="284" w:hRule="atLeast"/>
        </w:trPr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346" w:right="325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9 912,00</w:t>
            </w:r>
          </w:p>
        </w:tc>
        <w:tc>
          <w:tcPr>
            <w:tcW w:w="3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1130" w:right="1109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81 023,64</w:t>
            </w:r>
          </w:p>
        </w:tc>
        <w:tc>
          <w:tcPr>
            <w:tcW w:w="3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703" w:right="685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12,23 %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before="206" w:after="0"/>
        <w:ind w:left="220"/>
        <w:jc w:val="both"/>
        <w:rPr>
          <w:b/>
          <w:sz w:val="24"/>
        </w:rPr>
      </w:pPr>
      <w:r>
        <w:rPr>
          <w:b/>
          <w:sz w:val="24"/>
        </w:rPr>
        <w:t>Dodržiavanie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pravidiel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používania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zdrojov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financovania:</w:t>
      </w:r>
    </w:p>
    <w:p>
      <w:pPr>
        <w:pStyle w:val="BodyText"/>
        <w:spacing w:lineRule="auto" w:line="259" w:before="24" w:after="0"/>
        <w:ind w:firstLine="340" w:left="220" w:right="1018"/>
        <w:jc w:val="both"/>
        <w:rPr/>
      </w:pPr>
      <w:r>
        <w:rPr/>
        <w:t>Obec v zmysle ustanovenia § 17 ods. 6 zákona č. 583/2004 Z. z. o rozpočtových pravidlách</w:t>
      </w:r>
      <w:r>
        <w:rPr>
          <w:spacing w:val="1"/>
        </w:rPr>
        <w:t xml:space="preserve"> </w:t>
      </w:r>
      <w:r>
        <w:rPr/>
        <w:t>územnej</w:t>
      </w:r>
      <w:r>
        <w:rPr>
          <w:spacing w:val="43"/>
        </w:rPr>
        <w:t xml:space="preserve"> </w:t>
      </w:r>
      <w:r>
        <w:rPr/>
        <w:t>samosprávy</w:t>
      </w:r>
      <w:r>
        <w:rPr>
          <w:spacing w:val="44"/>
        </w:rPr>
        <w:t xml:space="preserve"> </w:t>
      </w:r>
      <w:r>
        <w:rPr/>
        <w:t>a</w:t>
      </w:r>
      <w:r>
        <w:rPr>
          <w:spacing w:val="46"/>
        </w:rPr>
        <w:t xml:space="preserve"> </w:t>
      </w:r>
      <w:r>
        <w:rPr/>
        <w:t>o</w:t>
      </w:r>
      <w:r>
        <w:rPr>
          <w:spacing w:val="44"/>
        </w:rPr>
        <w:t xml:space="preserve"> </w:t>
      </w:r>
      <w:r>
        <w:rPr/>
        <w:t>zmene</w:t>
      </w:r>
      <w:r>
        <w:rPr>
          <w:spacing w:val="46"/>
        </w:rPr>
        <w:t xml:space="preserve"> </w:t>
      </w:r>
      <w:r>
        <w:rPr/>
        <w:t>a</w:t>
      </w:r>
      <w:r>
        <w:rPr>
          <w:spacing w:val="43"/>
        </w:rPr>
        <w:t xml:space="preserve"> </w:t>
      </w:r>
      <w:r>
        <w:rPr/>
        <w:t>doplnení</w:t>
      </w:r>
      <w:r>
        <w:rPr>
          <w:spacing w:val="44"/>
        </w:rPr>
        <w:t xml:space="preserve"> </w:t>
      </w:r>
      <w:r>
        <w:rPr/>
        <w:t>niektorých</w:t>
      </w:r>
      <w:r>
        <w:rPr>
          <w:spacing w:val="44"/>
        </w:rPr>
        <w:t xml:space="preserve"> </w:t>
      </w:r>
      <w:r>
        <w:rPr/>
        <w:t>zákonov</w:t>
      </w:r>
      <w:r>
        <w:rPr>
          <w:spacing w:val="44"/>
        </w:rPr>
        <w:t xml:space="preserve"> </w:t>
      </w:r>
      <w:r>
        <w:rPr/>
        <w:t>v</w:t>
      </w:r>
      <w:r>
        <w:rPr>
          <w:spacing w:val="44"/>
        </w:rPr>
        <w:t xml:space="preserve"> </w:t>
      </w:r>
      <w:r>
        <w:rPr/>
        <w:t>z.</w:t>
      </w:r>
      <w:r>
        <w:rPr>
          <w:spacing w:val="44"/>
        </w:rPr>
        <w:t xml:space="preserve"> </w:t>
      </w:r>
      <w:r>
        <w:rPr/>
        <w:t>n.</w:t>
      </w:r>
      <w:r>
        <w:rPr>
          <w:spacing w:val="45"/>
        </w:rPr>
        <w:t xml:space="preserve"> </w:t>
      </w:r>
      <w:r>
        <w:rPr/>
        <w:t>p.,</w:t>
      </w:r>
      <w:r>
        <w:rPr>
          <w:spacing w:val="44"/>
        </w:rPr>
        <w:t xml:space="preserve"> </w:t>
      </w:r>
      <w:r>
        <w:rPr/>
        <w:t>môže</w:t>
      </w:r>
      <w:r>
        <w:rPr>
          <w:spacing w:val="46"/>
        </w:rPr>
        <w:t xml:space="preserve"> </w:t>
      </w:r>
      <w:r>
        <w:rPr/>
        <w:t>na</w:t>
      </w:r>
      <w:r>
        <w:rPr>
          <w:spacing w:val="44"/>
        </w:rPr>
        <w:t xml:space="preserve"> </w:t>
      </w:r>
      <w:r>
        <w:rPr/>
        <w:t>plnenie</w:t>
      </w:r>
      <w:r>
        <w:rPr>
          <w:spacing w:val="-58"/>
        </w:rPr>
        <w:t xml:space="preserve"> </w:t>
      </w:r>
      <w:r>
        <w:rPr/>
        <w:t>svojich</w:t>
      </w:r>
      <w:r>
        <w:rPr>
          <w:spacing w:val="1"/>
        </w:rPr>
        <w:t xml:space="preserve"> </w:t>
      </w:r>
      <w:r>
        <w:rPr/>
        <w:t>úloh prijať</w:t>
      </w:r>
      <w:r>
        <w:rPr>
          <w:spacing w:val="-1"/>
        </w:rPr>
        <w:t xml:space="preserve"> </w:t>
      </w:r>
      <w:r>
        <w:rPr/>
        <w:t>návratné</w:t>
      </w:r>
      <w:r>
        <w:rPr>
          <w:spacing w:val="-1"/>
        </w:rPr>
        <w:t xml:space="preserve"> </w:t>
      </w:r>
      <w:r>
        <w:rPr/>
        <w:t>zdroje</w:t>
      </w:r>
      <w:r>
        <w:rPr>
          <w:spacing w:val="1"/>
        </w:rPr>
        <w:t xml:space="preserve"> </w:t>
      </w:r>
      <w:r>
        <w:rPr/>
        <w:t>financovania,</w:t>
      </w:r>
      <w:r>
        <w:rPr>
          <w:spacing w:val="-1"/>
        </w:rPr>
        <w:t xml:space="preserve"> </w:t>
      </w:r>
      <w:r>
        <w:rPr/>
        <w:t>len ak:</w:t>
      </w:r>
    </w:p>
    <w:p>
      <w:pPr>
        <w:sectPr>
          <w:type w:val="nextPage"/>
          <w:pgSz w:w="11906" w:h="16838"/>
          <w:pgMar w:left="1200" w:right="120" w:gutter="0" w:header="0" w:top="840" w:footer="0" w:bottom="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3"/>
        </w:numPr>
        <w:tabs>
          <w:tab w:val="clear" w:pos="720"/>
          <w:tab w:val="left" w:pos="504" w:leader="none"/>
        </w:tabs>
        <w:spacing w:lineRule="auto" w:line="259"/>
        <w:ind w:hanging="284" w:left="504" w:right="1009"/>
        <w:jc w:val="both"/>
        <w:rPr>
          <w:sz w:val="24"/>
        </w:rPr>
      </w:pPr>
      <w:r>
        <w:rPr>
          <w:sz w:val="24"/>
        </w:rPr>
        <w:t>celková suma dlhu obce neprekročí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 xml:space="preserve">60% </w:t>
      </w:r>
      <w:r>
        <w:rPr>
          <w:sz w:val="24"/>
        </w:rPr>
        <w:t>skutočných bežných príjmov predchádzajúceho</w:t>
      </w:r>
      <w:r>
        <w:rPr>
          <w:spacing w:val="1"/>
          <w:sz w:val="24"/>
        </w:rPr>
        <w:t xml:space="preserve"> </w:t>
      </w:r>
      <w:r>
        <w:rPr>
          <w:sz w:val="24"/>
        </w:rPr>
        <w:t>rozpočtového</w:t>
      </w:r>
      <w:r>
        <w:rPr>
          <w:spacing w:val="-2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04" w:leader="none"/>
        </w:tabs>
        <w:spacing w:lineRule="auto" w:line="259" w:before="62" w:after="0"/>
        <w:ind w:hanging="284" w:left="504" w:right="1010"/>
        <w:jc w:val="both"/>
        <w:rPr>
          <w:sz w:val="24"/>
        </w:rPr>
      </w:pPr>
      <w:r>
        <w:rPr>
          <w:sz w:val="24"/>
        </w:rPr>
        <w:t>suma</w:t>
      </w:r>
      <w:r>
        <w:rPr>
          <w:spacing w:val="1"/>
          <w:sz w:val="24"/>
        </w:rPr>
        <w:t xml:space="preserve"> </w:t>
      </w:r>
      <w:r>
        <w:rPr>
          <w:sz w:val="24"/>
        </w:rPr>
        <w:t>splátok</w:t>
      </w:r>
      <w:r>
        <w:rPr>
          <w:spacing w:val="1"/>
          <w:sz w:val="24"/>
        </w:rPr>
        <w:t xml:space="preserve"> </w:t>
      </w:r>
      <w:r>
        <w:rPr>
          <w:sz w:val="24"/>
        </w:rPr>
        <w:t>návratných</w:t>
      </w:r>
      <w:r>
        <w:rPr>
          <w:spacing w:val="1"/>
          <w:sz w:val="24"/>
        </w:rPr>
        <w:t xml:space="preserve"> </w:t>
      </w:r>
      <w:r>
        <w:rPr>
          <w:sz w:val="24"/>
        </w:rPr>
        <w:t>zdrojov</w:t>
      </w:r>
      <w:r>
        <w:rPr>
          <w:spacing w:val="1"/>
          <w:sz w:val="24"/>
        </w:rPr>
        <w:t xml:space="preserve"> </w:t>
      </w:r>
      <w:r>
        <w:rPr>
          <w:sz w:val="24"/>
        </w:rPr>
        <w:t>financovania,</w:t>
      </w:r>
      <w:r>
        <w:rPr>
          <w:spacing w:val="1"/>
          <w:sz w:val="24"/>
        </w:rPr>
        <w:t xml:space="preserve"> </w:t>
      </w:r>
      <w:r>
        <w:rPr>
          <w:sz w:val="24"/>
        </w:rPr>
        <w:t>vrátane</w:t>
      </w:r>
      <w:r>
        <w:rPr>
          <w:spacing w:val="1"/>
          <w:sz w:val="24"/>
        </w:rPr>
        <w:t xml:space="preserve"> </w:t>
      </w:r>
      <w:r>
        <w:rPr>
          <w:sz w:val="24"/>
        </w:rPr>
        <w:t>úhrady</w:t>
      </w:r>
      <w:r>
        <w:rPr>
          <w:spacing w:val="1"/>
          <w:sz w:val="24"/>
        </w:rPr>
        <w:t xml:space="preserve"> </w:t>
      </w:r>
      <w:r>
        <w:rPr>
          <w:sz w:val="24"/>
        </w:rPr>
        <w:t>výnosov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suma</w:t>
      </w:r>
      <w:r>
        <w:rPr>
          <w:spacing w:val="1"/>
          <w:sz w:val="24"/>
        </w:rPr>
        <w:t xml:space="preserve"> </w:t>
      </w:r>
      <w:r>
        <w:rPr>
          <w:sz w:val="24"/>
        </w:rPr>
        <w:t>splátok</w:t>
      </w:r>
      <w:r>
        <w:rPr>
          <w:spacing w:val="1"/>
          <w:sz w:val="24"/>
        </w:rPr>
        <w:t xml:space="preserve"> </w:t>
      </w:r>
      <w:r>
        <w:rPr>
          <w:sz w:val="24"/>
        </w:rPr>
        <w:t>záväzkov</w:t>
      </w:r>
      <w:r>
        <w:rPr>
          <w:spacing w:val="15"/>
          <w:sz w:val="24"/>
        </w:rPr>
        <w:t xml:space="preserve"> </w:t>
      </w:r>
      <w:r>
        <w:rPr>
          <w:sz w:val="24"/>
        </w:rPr>
        <w:t>z</w:t>
      </w:r>
      <w:r>
        <w:rPr>
          <w:spacing w:val="18"/>
          <w:sz w:val="24"/>
        </w:rPr>
        <w:t xml:space="preserve"> </w:t>
      </w:r>
      <w:r>
        <w:rPr>
          <w:sz w:val="24"/>
        </w:rPr>
        <w:t>investičných</w:t>
      </w:r>
      <w:r>
        <w:rPr>
          <w:spacing w:val="17"/>
          <w:sz w:val="24"/>
        </w:rPr>
        <w:t xml:space="preserve"> </w:t>
      </w:r>
      <w:r>
        <w:rPr>
          <w:sz w:val="24"/>
        </w:rPr>
        <w:t>dodávateľských</w:t>
      </w:r>
      <w:r>
        <w:rPr>
          <w:spacing w:val="19"/>
          <w:sz w:val="24"/>
        </w:rPr>
        <w:t xml:space="preserve"> </w:t>
      </w:r>
      <w:r>
        <w:rPr>
          <w:sz w:val="24"/>
        </w:rPr>
        <w:t>úverov</w:t>
      </w:r>
      <w:r>
        <w:rPr>
          <w:spacing w:val="17"/>
          <w:sz w:val="24"/>
        </w:rPr>
        <w:t xml:space="preserve"> </w:t>
      </w:r>
      <w:r>
        <w:rPr>
          <w:sz w:val="24"/>
        </w:rPr>
        <w:t>neprekročí</w:t>
      </w:r>
      <w:r>
        <w:rPr>
          <w:spacing w:val="15"/>
          <w:sz w:val="24"/>
        </w:rPr>
        <w:t xml:space="preserve"> </w:t>
      </w:r>
      <w:r>
        <w:rPr>
          <w:sz w:val="24"/>
        </w:rPr>
        <w:t>v</w:t>
      </w:r>
      <w:r>
        <w:rPr>
          <w:spacing w:val="18"/>
          <w:sz w:val="24"/>
        </w:rPr>
        <w:t xml:space="preserve"> </w:t>
      </w:r>
      <w:r>
        <w:rPr>
          <w:sz w:val="24"/>
        </w:rPr>
        <w:t>príslušnom</w:t>
      </w:r>
      <w:r>
        <w:rPr>
          <w:spacing w:val="16"/>
          <w:sz w:val="24"/>
        </w:rPr>
        <w:t xml:space="preserve"> </w:t>
      </w:r>
      <w:r>
        <w:rPr>
          <w:sz w:val="24"/>
        </w:rPr>
        <w:t>rozpočtovom</w:t>
      </w:r>
      <w:r>
        <w:rPr>
          <w:spacing w:val="15"/>
          <w:sz w:val="24"/>
        </w:rPr>
        <w:t xml:space="preserve"> </w:t>
      </w:r>
      <w:r>
        <w:rPr>
          <w:sz w:val="24"/>
        </w:rPr>
        <w:t>roku</w:t>
      </w:r>
    </w:p>
    <w:p>
      <w:pPr>
        <w:pStyle w:val="BodyText"/>
        <w:spacing w:lineRule="auto" w:line="259"/>
        <w:ind w:left="504" w:right="1012"/>
        <w:jc w:val="both"/>
        <w:rPr/>
      </w:pPr>
      <w:r>
        <w:rPr>
          <w:b/>
        </w:rPr>
        <w:t>25</w:t>
      </w:r>
      <w:r>
        <w:rPr>
          <w:b/>
          <w:spacing w:val="1"/>
        </w:rPr>
        <w:t xml:space="preserve"> </w:t>
      </w:r>
      <w:r>
        <w:rPr>
          <w:b/>
        </w:rPr>
        <w:t>%</w:t>
      </w:r>
      <w:r>
        <w:rPr>
          <w:b/>
          <w:spacing w:val="1"/>
        </w:rPr>
        <w:t xml:space="preserve"> </w:t>
      </w:r>
      <w:r>
        <w:rPr/>
        <w:t>skutočných</w:t>
      </w:r>
      <w:r>
        <w:rPr>
          <w:spacing w:val="1"/>
        </w:rPr>
        <w:t xml:space="preserve"> </w:t>
      </w:r>
      <w:r>
        <w:rPr/>
        <w:t>bežných</w:t>
      </w:r>
      <w:r>
        <w:rPr>
          <w:spacing w:val="1"/>
        </w:rPr>
        <w:t xml:space="preserve"> </w:t>
      </w:r>
      <w:r>
        <w:rPr/>
        <w:t>príjmov</w:t>
      </w:r>
      <w:r>
        <w:rPr>
          <w:spacing w:val="1"/>
        </w:rPr>
        <w:t xml:space="preserve"> </w:t>
      </w:r>
      <w:r>
        <w:rPr/>
        <w:t>predchádzajúceho</w:t>
      </w:r>
      <w:r>
        <w:rPr>
          <w:spacing w:val="1"/>
        </w:rPr>
        <w:t xml:space="preserve"> </w:t>
      </w:r>
      <w:r>
        <w:rPr/>
        <w:t>rozpočtového</w:t>
      </w:r>
      <w:r>
        <w:rPr>
          <w:spacing w:val="1"/>
        </w:rPr>
        <w:t xml:space="preserve"> </w:t>
      </w:r>
      <w:r>
        <w:rPr/>
        <w:t>roka</w:t>
      </w:r>
      <w:r>
        <w:rPr>
          <w:spacing w:val="1"/>
        </w:rPr>
        <w:t xml:space="preserve"> </w:t>
      </w:r>
      <w:r>
        <w:rPr/>
        <w:t>znížených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prostriedky</w:t>
      </w:r>
      <w:r>
        <w:rPr>
          <w:spacing w:val="1"/>
        </w:rPr>
        <w:t xml:space="preserve"> </w:t>
      </w:r>
      <w:r>
        <w:rPr/>
        <w:t>poskytnuté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príslušnom</w:t>
      </w:r>
      <w:r>
        <w:rPr>
          <w:spacing w:val="1"/>
        </w:rPr>
        <w:t xml:space="preserve"> </w:t>
      </w:r>
      <w:r>
        <w:rPr/>
        <w:t>rozpočtovom</w:t>
      </w:r>
      <w:r>
        <w:rPr>
          <w:spacing w:val="1"/>
        </w:rPr>
        <w:t xml:space="preserve"> </w:t>
      </w:r>
      <w:r>
        <w:rPr/>
        <w:t>roku</w:t>
      </w:r>
      <w:r>
        <w:rPr>
          <w:spacing w:val="1"/>
        </w:rPr>
        <w:t xml:space="preserve"> </w:t>
      </w:r>
      <w:r>
        <w:rPr/>
        <w:t>obci</w:t>
      </w:r>
      <w:r>
        <w:rPr>
          <w:spacing w:val="1"/>
        </w:rPr>
        <w:t xml:space="preserve"> </w:t>
      </w:r>
      <w:r>
        <w:rPr/>
        <w:t>z</w:t>
      </w:r>
      <w:r>
        <w:rPr>
          <w:spacing w:val="1"/>
        </w:rPr>
        <w:t xml:space="preserve"> </w:t>
      </w:r>
      <w:r>
        <w:rPr/>
        <w:t>rozpočtu</w:t>
      </w:r>
      <w:r>
        <w:rPr>
          <w:spacing w:val="1"/>
        </w:rPr>
        <w:t xml:space="preserve"> </w:t>
      </w:r>
      <w:r>
        <w:rPr/>
        <w:t>iného</w:t>
      </w:r>
      <w:r>
        <w:rPr>
          <w:spacing w:val="1"/>
        </w:rPr>
        <w:t xml:space="preserve"> </w:t>
      </w:r>
      <w:r>
        <w:rPr/>
        <w:t>subjektu</w:t>
      </w:r>
      <w:r>
        <w:rPr>
          <w:spacing w:val="1"/>
        </w:rPr>
        <w:t xml:space="preserve"> </w:t>
      </w:r>
      <w:r>
        <w:rPr/>
        <w:t>verejnej správy, prostriedky poskytnuté z Európskej únie a iné prostriedky zo zahraničia alebo</w:t>
      </w:r>
      <w:r>
        <w:rPr>
          <w:spacing w:val="-57"/>
        </w:rPr>
        <w:t xml:space="preserve"> </w:t>
      </w:r>
      <w:r>
        <w:rPr/>
        <w:t>prostriedky</w:t>
      </w:r>
      <w:r>
        <w:rPr>
          <w:spacing w:val="-1"/>
        </w:rPr>
        <w:t xml:space="preserve"> </w:t>
      </w:r>
      <w:r>
        <w:rPr/>
        <w:t>získané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základe</w:t>
      </w:r>
      <w:r>
        <w:rPr>
          <w:spacing w:val="-1"/>
        </w:rPr>
        <w:t xml:space="preserve"> </w:t>
      </w:r>
      <w:r>
        <w:rPr/>
        <w:t>osobitného predpisu.</w:t>
      </w:r>
    </w:p>
    <w:p>
      <w:pPr>
        <w:pStyle w:val="BodyText"/>
        <w:spacing w:before="4" w:after="0"/>
        <w:rPr>
          <w:sz w:val="25"/>
        </w:rPr>
      </w:pPr>
      <w:r>
        <w:rPr>
          <w:sz w:val="25"/>
        </w:rPr>
      </w:r>
    </w:p>
    <w:p>
      <w:pPr>
        <w:pStyle w:val="Heading3"/>
        <w:numPr>
          <w:ilvl w:val="0"/>
          <w:numId w:val="1"/>
        </w:numPr>
        <w:tabs>
          <w:tab w:val="clear" w:pos="720"/>
          <w:tab w:val="left" w:pos="504" w:leader="none"/>
        </w:tabs>
        <w:rPr/>
      </w:pPr>
      <w:bookmarkStart w:id="19" w:name="a)_Výpočet_podľa_§_17_ods.6_písm._a)%252"/>
      <w:bookmarkEnd w:id="19"/>
      <w:r>
        <w:rPr/>
        <w:t>Výpočet</w:t>
      </w:r>
      <w:r>
        <w:rPr>
          <w:spacing w:val="-1"/>
        </w:rPr>
        <w:t xml:space="preserve"> </w:t>
      </w:r>
      <w:r>
        <w:rPr/>
        <w:t>podľa</w:t>
      </w:r>
      <w:r>
        <w:rPr>
          <w:spacing w:val="-1"/>
        </w:rPr>
        <w:t xml:space="preserve"> </w:t>
      </w:r>
      <w:r>
        <w:rPr/>
        <w:t>§</w:t>
      </w:r>
      <w:r>
        <w:rPr>
          <w:spacing w:val="-1"/>
        </w:rPr>
        <w:t xml:space="preserve"> </w:t>
      </w:r>
      <w:r>
        <w:rPr/>
        <w:t>17</w:t>
      </w:r>
      <w:r>
        <w:rPr>
          <w:spacing w:val="-1"/>
        </w:rPr>
        <w:t xml:space="preserve"> </w:t>
      </w:r>
      <w:r>
        <w:rPr/>
        <w:t>ods.6</w:t>
      </w:r>
      <w:r>
        <w:rPr>
          <w:spacing w:val="1"/>
        </w:rPr>
        <w:t xml:space="preserve"> </w:t>
      </w:r>
      <w:r>
        <w:rPr/>
        <w:t>písm. a):</w:t>
      </w:r>
    </w:p>
    <w:tbl>
      <w:tblPr>
        <w:tblStyle w:val="TableNormal"/>
        <w:tblW w:w="9390" w:type="dxa"/>
        <w:jc w:val="left"/>
        <w:tblInd w:w="218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6373"/>
        <w:gridCol w:w="3016"/>
      </w:tblGrid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ind w:left="2993" w:right="2975"/>
              <w:jc w:val="center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Text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left="98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ind w:left="2993" w:right="2975"/>
              <w:jc w:val="center"/>
              <w:rPr>
                <w:b/>
                <w:sz w:val="18"/>
              </w:rPr>
            </w:pPr>
            <w:r>
              <w:rPr>
                <w:b/>
                <w:kern w:val="0"/>
                <w:sz w:val="18"/>
                <w:szCs w:val="22"/>
                <w:lang w:eastAsia="en-US" w:bidi="ar-SA"/>
              </w:rPr>
              <w:t>Text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left="95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finančného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výkazu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1-12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31.12.2023: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85 891,16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bežné príjmy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85 891,16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 príjmy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a RO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31.12.2023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85 891,16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31.12.2024: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10 849,78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pôžičiek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návratných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finančných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výpomocí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investičných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dodávateľských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4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predfinancovanie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projektov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 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 ŠFRB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 obecné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nájomné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byty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Environmentálneho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istiny z ........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10 849,78</w:t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celkovej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nezapočítavajú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záväzky: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 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ŠFRB obecné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nájomné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byty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Environmentálneho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bankových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predfinancovanie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projektov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EÚ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28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2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úverov ................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záväzkov,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ktorá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nezapočíta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celkovej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</w:tc>
      </w:tr>
      <w:tr>
        <w:trPr>
          <w:trHeight w:val="285" w:hRule="atLeast"/>
        </w:trPr>
        <w:tc>
          <w:tcPr>
            <w:tcW w:w="6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upravená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celková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dlhu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obce 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3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before="27" w:after="0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10 849,78</w:t>
            </w:r>
          </w:p>
        </w:tc>
      </w:tr>
    </w:tbl>
    <w:p>
      <w:pPr>
        <w:pStyle w:val="BodyText"/>
        <w:spacing w:before="9" w:after="0"/>
        <w:rPr>
          <w:b/>
          <w:sz w:val="28"/>
        </w:rPr>
      </w:pPr>
      <w:r>
        <w:rPr>
          <w:b/>
          <w:sz w:val="28"/>
        </w:rPr>
      </w:r>
    </w:p>
    <w:tbl>
      <w:tblPr>
        <w:tblStyle w:val="TableNormal"/>
        <w:tblW w:w="9376" w:type="dxa"/>
        <w:jc w:val="left"/>
        <w:tblInd w:w="218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0" w:lastRow="1" w:firstColumn="1" w:lastColumn="1" w:noHBand="0" w:val="01e0"/>
      </w:tblPr>
      <w:tblGrid>
        <w:gridCol w:w="3106"/>
        <w:gridCol w:w="3251"/>
        <w:gridCol w:w="3019"/>
      </w:tblGrid>
      <w:tr>
        <w:trPr>
          <w:trHeight w:val="463" w:hRule="atLeast"/>
        </w:trPr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46" w:right="32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istiny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3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2" w:before="0" w:after="0"/>
              <w:ind w:hanging="452" w:left="1098" w:right="623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Skutočné</w:t>
            </w:r>
            <w:r>
              <w:rPr>
                <w:b/>
                <w:spacing w:val="-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bežné</w:t>
            </w:r>
            <w:r>
              <w:rPr>
                <w:b/>
                <w:spacing w:val="-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31.12.2023</w:t>
            </w:r>
          </w:p>
        </w:tc>
        <w:tc>
          <w:tcPr>
            <w:tcW w:w="3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8D8D8" w:val="clear"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701" w:right="68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§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17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ods.6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písm.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a)</w:t>
            </w:r>
          </w:p>
        </w:tc>
      </w:tr>
      <w:tr>
        <w:trPr>
          <w:trHeight w:val="284" w:hRule="atLeast"/>
        </w:trPr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346" w:right="325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10 849,78</w:t>
            </w:r>
          </w:p>
        </w:tc>
        <w:tc>
          <w:tcPr>
            <w:tcW w:w="3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1130" w:right="1109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85 891,16</w:t>
            </w:r>
          </w:p>
        </w:tc>
        <w:tc>
          <w:tcPr>
            <w:tcW w:w="30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64" w:before="0" w:after="0"/>
              <w:ind w:left="703" w:right="685"/>
              <w:jc w:val="center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12,63 %</w:t>
            </w:r>
          </w:p>
        </w:tc>
      </w:tr>
    </w:tbl>
    <w:p>
      <w:pPr>
        <w:pStyle w:val="BodyText"/>
        <w:spacing w:before="10" w:after="0"/>
        <w:rPr>
          <w:b/>
          <w:sz w:val="28"/>
        </w:rPr>
      </w:pPr>
      <w:r>
        <w:rPr>
          <w:b/>
          <w:sz w:val="28"/>
        </w:rPr>
      </w:r>
    </w:p>
    <w:p>
      <w:pPr>
        <w:pStyle w:val="BodyText"/>
        <w:ind w:left="220"/>
        <w:rPr/>
      </w:pPr>
      <w:r>
        <w:rPr/>
        <w:t>Zákonná</w:t>
      </w:r>
      <w:r>
        <w:rPr>
          <w:spacing w:val="-1"/>
        </w:rPr>
        <w:t xml:space="preserve"> </w:t>
      </w:r>
      <w:r>
        <w:rPr/>
        <w:t>podmienka</w:t>
      </w:r>
      <w:r>
        <w:rPr>
          <w:spacing w:val="-2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§</w:t>
      </w:r>
      <w:r>
        <w:rPr>
          <w:spacing w:val="-1"/>
        </w:rPr>
        <w:t xml:space="preserve"> </w:t>
      </w:r>
      <w:r>
        <w:rPr/>
        <w:t>17</w:t>
      </w:r>
      <w:r>
        <w:rPr>
          <w:spacing w:val="-1"/>
        </w:rPr>
        <w:t xml:space="preserve"> </w:t>
      </w:r>
      <w:r>
        <w:rPr/>
        <w:t>ods.6 písm.</w:t>
      </w:r>
      <w:r>
        <w:rPr>
          <w:spacing w:val="-2"/>
        </w:rPr>
        <w:t xml:space="preserve"> </w:t>
      </w:r>
      <w:r>
        <w:rPr/>
        <w:t>a)</w:t>
      </w:r>
      <w:r>
        <w:rPr>
          <w:spacing w:val="1"/>
        </w:rPr>
        <w:t xml:space="preserve"> </w:t>
      </w:r>
      <w:r>
        <w:rPr/>
        <w:t>zákona č.583/2004</w:t>
      </w:r>
      <w:r>
        <w:rPr>
          <w:spacing w:val="-2"/>
        </w:rPr>
        <w:t xml:space="preserve"> </w:t>
      </w:r>
      <w:r>
        <w:rPr/>
        <w:t>Z. z.</w:t>
      </w:r>
      <w:r>
        <w:rPr>
          <w:spacing w:val="-2"/>
        </w:rPr>
        <w:t xml:space="preserve"> </w:t>
      </w:r>
      <w:r>
        <w:rPr/>
        <w:t>bola splnená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BodyText"/>
        <w:spacing w:before="10" w:after="0"/>
        <w:rPr>
          <w:sz w:val="36"/>
        </w:rPr>
      </w:pPr>
      <w:r>
        <w:rPr>
          <w:sz w:val="36"/>
        </w:rPr>
      </w:r>
    </w:p>
    <w:p>
      <w:pPr>
        <w:pStyle w:val="Heading3"/>
        <w:numPr>
          <w:ilvl w:val="0"/>
          <w:numId w:val="1"/>
        </w:numPr>
        <w:tabs>
          <w:tab w:val="clear" w:pos="720"/>
          <w:tab w:val="left" w:pos="504" w:leader="none"/>
        </w:tabs>
        <w:rPr/>
      </w:pPr>
      <w:bookmarkStart w:id="20" w:name="b)_Výpočet_podľa_§_17_ods.6_písm._b)_%25"/>
      <w:bookmarkEnd w:id="20"/>
      <w:r>
        <w:rPr/>
        <w:t>Výpočet</w:t>
      </w:r>
      <w:r>
        <w:rPr>
          <w:spacing w:val="-1"/>
        </w:rPr>
        <w:t xml:space="preserve"> </w:t>
      </w:r>
      <w:r>
        <w:rPr/>
        <w:t>podľa</w:t>
      </w:r>
      <w:r>
        <w:rPr>
          <w:spacing w:val="-1"/>
        </w:rPr>
        <w:t xml:space="preserve"> </w:t>
      </w:r>
      <w:r>
        <w:rPr/>
        <w:t>§</w:t>
      </w:r>
      <w:r>
        <w:rPr>
          <w:spacing w:val="-1"/>
        </w:rPr>
        <w:t xml:space="preserve"> </w:t>
      </w:r>
      <w:r>
        <w:rPr/>
        <w:t>17 ods.6</w:t>
      </w:r>
      <w:r>
        <w:rPr>
          <w:spacing w:val="-1"/>
        </w:rPr>
        <w:t xml:space="preserve"> </w:t>
      </w:r>
      <w:r>
        <w:rPr/>
        <w:t>písm.</w:t>
      </w:r>
      <w:r>
        <w:rPr>
          <w:spacing w:val="-1"/>
        </w:rPr>
        <w:t xml:space="preserve"> </w:t>
      </w:r>
      <w:r>
        <w:rPr/>
        <w:t>b)</w:t>
      </w:r>
      <w:r>
        <w:rPr>
          <w:spacing w:val="-1"/>
        </w:rPr>
        <w:t xml:space="preserve"> </w:t>
      </w:r>
      <w:r>
        <w:rPr/>
        <w:t>:</w:t>
      </w:r>
    </w:p>
    <w:tbl>
      <w:tblPr>
        <w:tblW w:w="9390" w:type="dxa"/>
        <w:jc w:val="left"/>
        <w:tblInd w:w="105" w:type="dxa"/>
        <w:tblLayout w:type="fixed"/>
        <w:tblCellMar>
          <w:top w:w="0" w:type="dxa"/>
          <w:left w:w="105" w:type="dxa"/>
          <w:bottom w:w="0" w:type="dxa"/>
          <w:right w:w="105" w:type="dxa"/>
        </w:tblCellMar>
        <w:tblLook w:firstRow="0" w:noVBand="0" w:lastRow="0" w:firstColumn="0" w:lastColumn="0" w:noHBand="0" w:val="0000"/>
      </w:tblPr>
      <w:tblGrid>
        <w:gridCol w:w="6374"/>
        <w:gridCol w:w="3015"/>
      </w:tblGrid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Skutočné bežné príjmy z finančného výkazu FIN 1-12 k 31.12.2023: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85 891,16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skutočné bežné príjmy obce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85 891,16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skutočné bežné príjmy RO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bežné príjmy obce a RO k 31.12.2023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85 891,16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príjmy obce a RO znížené o: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3 935,70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 MF SR ....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náhradnej výsadby drevín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účelovo určené peňažné dary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zahraničia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 Eurofondov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......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bežné príjmy obce a RO znížené k 31.12.2023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81 955,46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upravené bežné príjmy k 31.12.2023*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Splátky istiny a úrokov z finančného výkazu FIN 1-12 k 31.12.2024 s výnimkou jednorazového predčasného splatenia: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821004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821007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821009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651002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467,39</w:t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651003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651004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FFFFFF" w:themeFill="background1" w:val="clear"/>
          </w:tcPr>
          <w:p>
            <w:pPr>
              <w:pStyle w:val="ListParagraph"/>
              <w:numPr>
                <w:ilvl w:val="0"/>
                <w:numId w:val="10"/>
              </w:numPr>
              <w:tabs>
                <w:tab w:val="clear" w:pos="720"/>
                <w:tab w:val="left" w:pos="318" w:leader="none"/>
              </w:tabs>
              <w:ind w:hanging="142" w:left="3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themeFill="background1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6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splátky istiny a úrokov k 31.12.2024**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467,39</w:t>
            </w:r>
          </w:p>
        </w:tc>
      </w:tr>
    </w:tbl>
    <w:p>
      <w:pPr>
        <w:pStyle w:val="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sectPr>
          <w:type w:val="nextPage"/>
          <w:pgSz w:w="11906" w:h="16838"/>
          <w:pgMar w:left="1200" w:right="120" w:gutter="0" w:header="0" w:top="780" w:footer="0" w:bottom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1" w:after="0"/>
        <w:rPr>
          <w:b/>
          <w:sz w:val="35"/>
        </w:rPr>
      </w:pPr>
      <w:r>
        <w:rPr>
          <w:b/>
          <w:sz w:val="35"/>
        </w:rPr>
      </w:r>
    </w:p>
    <w:p>
      <w:pPr>
        <w:pStyle w:val="BodyText"/>
        <w:tabs>
          <w:tab w:val="clear" w:pos="720"/>
          <w:tab w:val="left" w:pos="1681" w:leader="none"/>
        </w:tabs>
        <w:ind w:left="101"/>
        <w:rPr/>
      </w:pPr>
      <w:r>
        <mc:AlternateContent>
          <mc:Choice Requires="wps">
            <w:drawing>
              <wp:anchor behindDoc="0" distT="0" distB="4445" distL="0" distR="0" simplePos="0" locked="0" layoutInCell="0" allowOverlap="1" relativeHeight="3" wp14:anchorId="2728D897">
                <wp:simplePos x="0" y="0"/>
                <wp:positionH relativeFrom="page">
                  <wp:posOffset>891540</wp:posOffset>
                </wp:positionH>
                <wp:positionV relativeFrom="paragraph">
                  <wp:posOffset>-677545</wp:posOffset>
                </wp:positionV>
                <wp:extent cx="5968365" cy="503555"/>
                <wp:effectExtent l="0" t="0" r="635" b="4445"/>
                <wp:wrapNone/>
                <wp:docPr id="4" name="Text 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68440" cy="5036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9376" w:type="dxa"/>
                              <w:jc w:val="left"/>
                              <w:tblInd w:w="6" w:type="dxa"/>
                              <w:tblLayout w:type="fixed"/>
                              <w:tblCellMar>
                                <w:top w:w="0" w:type="dxa"/>
                                <w:left w:w="7" w:type="dxa"/>
                                <w:bottom w:w="0" w:type="dxa"/>
                                <w:right w:w="7" w:type="dxa"/>
                              </w:tblCellMar>
                              <w:tblLook w:firstRow="1" w:noVBand="0" w:lastRow="1" w:firstColumn="1" w:lastColumn="1" w:noHBand="0" w:val="01e0"/>
                            </w:tblPr>
                            <w:tblGrid>
                              <w:gridCol w:w="3256"/>
                              <w:gridCol w:w="3101"/>
                              <w:gridCol w:w="3019"/>
                            </w:tblGrid>
                            <w:tr>
                              <w:trPr>
                                <w:trHeight w:val="462" w:hRule="atLeast"/>
                              </w:trPr>
                              <w:tc>
                                <w:tcPr>
                                  <w:tcW w:w="325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color="auto" w:fill="D8D8D8" w:val="clear"/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32" w:before="0" w:after="0"/>
                                    <w:ind w:hanging="2" w:left="330" w:right="297"/>
                                    <w:jc w:val="lef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Suma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ročných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splátok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vrátane</w:t>
                                  </w:r>
                                  <w:r>
                                    <w:rPr>
                                      <w:b/>
                                      <w:spacing w:val="-47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úhrady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výnosov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za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rok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2024**</w:t>
                                  </w:r>
                                </w:p>
                              </w:tc>
                              <w:tc>
                                <w:tcPr>
                                  <w:tcW w:w="3101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color="auto" w:fill="D8D8D8" w:val="clear"/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32" w:before="0" w:after="0"/>
                                    <w:ind w:hanging="828" w:left="974" w:right="118"/>
                                    <w:jc w:val="left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Skutočné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upravené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bežné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príjmy</w:t>
                                  </w:r>
                                  <w:r>
                                    <w:rPr>
                                      <w:b/>
                                      <w:spacing w:val="-47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31.12.2023*</w:t>
                                  </w:r>
                                </w:p>
                              </w:tc>
                              <w:tc>
                                <w:tcPr>
                                  <w:tcW w:w="301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color="auto" w:fill="D8D8D8" w:val="clear"/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30" w:before="0" w:after="0"/>
                                    <w:ind w:left="703" w:right="685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§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17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ods.6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písm.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kern w:val="0"/>
                                      <w:sz w:val="20"/>
                                      <w:szCs w:val="22"/>
                                      <w:lang w:eastAsia="en-US" w:bidi="ar-SA"/>
                                    </w:rPr>
                                    <w:t>b)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4" w:hRule="atLeast"/>
                              </w:trPr>
                              <w:tc>
                                <w:tcPr>
                                  <w:tcW w:w="325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64" w:before="0" w:after="0"/>
                                    <w:ind w:left="1340" w:right="1321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kern w:val="0"/>
                                      <w:sz w:val="24"/>
                                      <w:szCs w:val="22"/>
                                      <w:lang w:eastAsia="en-US" w:bidi="ar-SA"/>
                                    </w:rPr>
                                    <w:t>467,39</w:t>
                                  </w:r>
                                </w:p>
                              </w:tc>
                              <w:tc>
                                <w:tcPr>
                                  <w:tcW w:w="3101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64" w:before="0" w:after="0"/>
                                    <w:ind w:left="1054" w:right="103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kern w:val="0"/>
                                      <w:sz w:val="24"/>
                                      <w:szCs w:val="22"/>
                                      <w:lang w:eastAsia="en-US" w:bidi="ar-SA"/>
                                    </w:rPr>
                                    <w:t>81 955,46</w:t>
                                  </w:r>
                                </w:p>
                              </w:tc>
                              <w:tc>
                                <w:tcPr>
                                  <w:tcW w:w="301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widowControl w:val="false"/>
                                    <w:suppressAutoHyphens w:val="true"/>
                                    <w:spacing w:lineRule="exact" w:line="264" w:before="0" w:after="0"/>
                                    <w:ind w:left="703" w:right="685"/>
                                    <w:jc w:val="center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kern w:val="0"/>
                                      <w:sz w:val="24"/>
                                      <w:szCs w:val="22"/>
                                      <w:lang w:eastAsia="en-US" w:bidi="ar-SA"/>
                                    </w:rPr>
                                    <w:t>0,57 %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2" path="m0,0l-2147483645,0l-2147483645,-2147483646l0,-2147483646xe" stroked="f" o:allowincell="f" style="position:absolute;margin-left:70.2pt;margin-top:-53.35pt;width:469.9pt;height:39.6pt;mso-wrap-style:none;v-text-anchor:middle;mso-position-horizontal-relative:page" wp14:anchorId="2728D897"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9376" w:type="dxa"/>
                        <w:jc w:val="left"/>
                        <w:tblInd w:w="6" w:type="dxa"/>
                        <w:tblLayout w:type="fixed"/>
                        <w:tblCellMar>
                          <w:top w:w="0" w:type="dxa"/>
                          <w:left w:w="7" w:type="dxa"/>
                          <w:bottom w:w="0" w:type="dxa"/>
                          <w:right w:w="7" w:type="dxa"/>
                        </w:tblCellMar>
                        <w:tblLook w:firstRow="1" w:noVBand="0" w:lastRow="1" w:firstColumn="1" w:lastColumn="1" w:noHBand="0" w:val="01e0"/>
                      </w:tblPr>
                      <w:tblGrid>
                        <w:gridCol w:w="3256"/>
                        <w:gridCol w:w="3101"/>
                        <w:gridCol w:w="3019"/>
                      </w:tblGrid>
                      <w:tr>
                        <w:trPr>
                          <w:trHeight w:val="462" w:hRule="atLeast"/>
                        </w:trPr>
                        <w:tc>
                          <w:tcPr>
                            <w:tcW w:w="325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color="auto" w:fill="D8D8D8" w:val="clear"/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32" w:before="0" w:after="0"/>
                              <w:ind w:hanging="2" w:left="330" w:right="297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Suma</w:t>
                            </w:r>
                            <w:r>
                              <w:rPr>
                                <w:b/>
                                <w:spacing w:val="-4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ročných</w:t>
                            </w:r>
                            <w:r>
                              <w:rPr>
                                <w:b/>
                                <w:spacing w:val="-3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splátok</w:t>
                            </w:r>
                            <w:r>
                              <w:rPr>
                                <w:b/>
                                <w:spacing w:val="-3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vrátane</w:t>
                            </w:r>
                            <w:r>
                              <w:rPr>
                                <w:b/>
                                <w:spacing w:val="-47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úhrady</w:t>
                            </w:r>
                            <w:r>
                              <w:rPr>
                                <w:b/>
                                <w:spacing w:val="-4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výnosov</w:t>
                            </w:r>
                            <w:r>
                              <w:rPr>
                                <w:b/>
                                <w:spacing w:val="-4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4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rok</w:t>
                            </w:r>
                            <w:r>
                              <w:rPr>
                                <w:b/>
                                <w:spacing w:val="-3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2024**</w:t>
                            </w:r>
                          </w:p>
                        </w:tc>
                        <w:tc>
                          <w:tcPr>
                            <w:tcW w:w="3101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color="auto" w:fill="D8D8D8" w:val="clear"/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32" w:before="0" w:after="0"/>
                              <w:ind w:hanging="828" w:left="974" w:right="118"/>
                              <w:jc w:val="lef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Skutočné</w:t>
                            </w:r>
                            <w:r>
                              <w:rPr>
                                <w:b/>
                                <w:spacing w:val="-5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upravené</w:t>
                            </w:r>
                            <w:r>
                              <w:rPr>
                                <w:b/>
                                <w:spacing w:val="-4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bežné</w:t>
                            </w:r>
                            <w:r>
                              <w:rPr>
                                <w:b/>
                                <w:spacing w:val="-3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príjmy</w:t>
                            </w:r>
                            <w:r>
                              <w:rPr>
                                <w:b/>
                                <w:spacing w:val="-47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2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31.12.2023*</w:t>
                            </w:r>
                          </w:p>
                        </w:tc>
                        <w:tc>
                          <w:tcPr>
                            <w:tcW w:w="301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color="auto" w:fill="D8D8D8" w:val="clear"/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30" w:before="0" w:after="0"/>
                              <w:ind w:left="703" w:right="68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§</w:t>
                            </w:r>
                            <w:r>
                              <w:rPr>
                                <w:b/>
                                <w:spacing w:val="-2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17</w:t>
                            </w:r>
                            <w:r>
                              <w:rPr>
                                <w:b/>
                                <w:spacing w:val="-2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ods.6</w:t>
                            </w:r>
                            <w:r>
                              <w:rPr>
                                <w:b/>
                                <w:spacing w:val="-2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písm.</w:t>
                            </w:r>
                            <w:r>
                              <w:rPr>
                                <w:b/>
                                <w:spacing w:val="-1"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kern w:val="0"/>
                                <w:sz w:val="20"/>
                                <w:szCs w:val="22"/>
                                <w:lang w:eastAsia="en-US" w:bidi="ar-SA"/>
                              </w:rPr>
                              <w:t>b)</w:t>
                            </w:r>
                          </w:p>
                        </w:tc>
                      </w:tr>
                      <w:tr>
                        <w:trPr>
                          <w:trHeight w:val="284" w:hRule="atLeast"/>
                        </w:trPr>
                        <w:tc>
                          <w:tcPr>
                            <w:tcW w:w="325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64" w:before="0" w:after="0"/>
                              <w:ind w:left="1340" w:right="1321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kern w:val="0"/>
                                <w:sz w:val="24"/>
                                <w:szCs w:val="22"/>
                                <w:lang w:eastAsia="en-US" w:bidi="ar-SA"/>
                              </w:rPr>
                              <w:t>467,39</w:t>
                            </w:r>
                          </w:p>
                        </w:tc>
                        <w:tc>
                          <w:tcPr>
                            <w:tcW w:w="3101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64" w:before="0" w:after="0"/>
                              <w:ind w:left="1054" w:right="103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kern w:val="0"/>
                                <w:sz w:val="24"/>
                                <w:szCs w:val="22"/>
                                <w:lang w:eastAsia="en-US" w:bidi="ar-SA"/>
                              </w:rPr>
                              <w:t>81 955,46</w:t>
                            </w:r>
                          </w:p>
                        </w:tc>
                        <w:tc>
                          <w:tcPr>
                            <w:tcW w:w="301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widowControl w:val="false"/>
                              <w:suppressAutoHyphens w:val="true"/>
                              <w:spacing w:lineRule="exact" w:line="264" w:before="0" w:after="0"/>
                              <w:ind w:left="703" w:right="68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kern w:val="0"/>
                                <w:sz w:val="24"/>
                                <w:szCs w:val="22"/>
                                <w:lang w:eastAsia="en-US" w:bidi="ar-SA"/>
                              </w:rPr>
                              <w:t>0,57 %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/>
        <w:t>Zákonná podmienka</w:t>
      </w:r>
      <w:r>
        <w:rPr>
          <w:spacing w:val="-2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§</w:t>
      </w:r>
      <w:r>
        <w:rPr>
          <w:spacing w:val="-1"/>
        </w:rPr>
        <w:t xml:space="preserve"> </w:t>
      </w:r>
      <w:r>
        <w:rPr/>
        <w:t>17 ods.6</w:t>
      </w:r>
      <w:r>
        <w:rPr>
          <w:spacing w:val="-1"/>
        </w:rPr>
        <w:t xml:space="preserve"> </w:t>
      </w:r>
      <w:r>
        <w:rPr/>
        <w:t>písm.</w:t>
      </w:r>
      <w:r>
        <w:rPr>
          <w:spacing w:val="-1"/>
        </w:rPr>
        <w:t xml:space="preserve"> </w:t>
      </w:r>
      <w:r>
        <w:rPr/>
        <w:t>b) zákona č.583/2004</w:t>
      </w:r>
      <w:r>
        <w:rPr>
          <w:spacing w:val="-1"/>
        </w:rPr>
        <w:t xml:space="preserve"> </w:t>
      </w:r>
      <w:r>
        <w:rPr/>
        <w:t>Z. z.</w:t>
      </w:r>
      <w:r>
        <w:rPr>
          <w:spacing w:val="-1"/>
        </w:rPr>
        <w:t xml:space="preserve"> </w:t>
      </w:r>
      <w:r>
        <w:rPr/>
        <w:t>bola</w:t>
      </w:r>
      <w:r>
        <w:rPr>
          <w:spacing w:val="-2"/>
        </w:rPr>
        <w:t xml:space="preserve"> </w:t>
      </w:r>
      <w:r>
        <w:rPr/>
        <w:t>splnená.</w:t>
      </w:r>
    </w:p>
    <w:p>
      <w:pPr>
        <w:pStyle w:val="BodyText"/>
        <w:spacing w:before="0" w:after="0"/>
        <w:ind w:hanging="5" w:left="106" w:right="419"/>
        <w:jc w:val="both"/>
        <w:rPr/>
      </w:pPr>
      <w:r>
        <w:br w:type="column"/>
      </w:r>
      <w:r>
        <w:rPr/>
      </w:r>
    </w:p>
    <w:p>
      <w:pPr>
        <w:sectPr>
          <w:type w:val="continuous"/>
          <w:pgSz w:w="11906" w:h="16838"/>
          <w:pgMar w:left="1200" w:right="120" w:gutter="0" w:header="0" w:top="780" w:footer="0" w:bottom="0"/>
          <w:cols w:num="2" w:equalWidth="false" w:sep="false">
            <w:col w:w="9001" w:space="502"/>
            <w:col w:w="1082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7"/>
        </w:rPr>
      </w:pPr>
      <w:r>
        <w:rPr>
          <w:sz w:val="27"/>
        </w:rPr>
      </w:r>
    </w:p>
    <w:p>
      <w:pPr>
        <w:pStyle w:val="Heading3"/>
        <w:spacing w:before="90" w:after="0"/>
        <w:rPr/>
      </w:pPr>
      <w:bookmarkStart w:id="21" w:name="Údaje_o_hospodárení_príspevkových_organi"/>
      <w:bookmarkEnd w:id="21"/>
      <w:r>
        <w:rPr>
          <w:shd w:fill="BFBFBF" w:val="clear"/>
        </w:rPr>
        <w:t>Údaje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o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hospodárení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príspevkových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organizácií</w:t>
      </w:r>
    </w:p>
    <w:p>
      <w:pPr>
        <w:pStyle w:val="BodyText"/>
        <w:spacing w:before="3" w:after="0"/>
        <w:rPr>
          <w:b/>
        </w:rPr>
      </w:pPr>
      <w:r>
        <w:rPr>
          <w:b/>
        </w:rPr>
      </w:r>
    </w:p>
    <w:p>
      <w:pPr>
        <w:pStyle w:val="BodyText"/>
        <w:spacing w:before="1" w:after="0"/>
        <w:ind w:left="220"/>
        <w:rPr/>
      </w:pPr>
      <w:r>
        <w:rPr/>
        <w:t>Obec</w:t>
      </w:r>
      <w:r>
        <w:rPr>
          <w:spacing w:val="-4"/>
        </w:rPr>
        <w:t xml:space="preserve"> </w:t>
      </w:r>
      <w:r>
        <w:rPr/>
        <w:t>nie</w:t>
      </w:r>
      <w:r>
        <w:rPr>
          <w:spacing w:val="-1"/>
        </w:rPr>
        <w:t xml:space="preserve"> </w:t>
      </w:r>
      <w:r>
        <w:rPr/>
        <w:t>je</w:t>
      </w:r>
      <w:r>
        <w:rPr>
          <w:spacing w:val="-3"/>
        </w:rPr>
        <w:t xml:space="preserve"> </w:t>
      </w:r>
      <w:r>
        <w:rPr/>
        <w:t>zriaďovateľom</w:t>
      </w:r>
      <w:r>
        <w:rPr>
          <w:spacing w:val="-1"/>
        </w:rPr>
        <w:t xml:space="preserve"> </w:t>
      </w:r>
      <w:r>
        <w:rPr/>
        <w:t>príspevkových</w:t>
      </w:r>
      <w:r>
        <w:rPr>
          <w:spacing w:val="-3"/>
        </w:rPr>
        <w:t xml:space="preserve"> </w:t>
      </w:r>
      <w:r>
        <w:rPr/>
        <w:t>organizácií.</w:t>
      </w:r>
    </w:p>
    <w:p>
      <w:pPr>
        <w:pStyle w:val="BodyText"/>
        <w:spacing w:before="7" w:after="0"/>
        <w:rPr>
          <w:sz w:val="19"/>
        </w:rPr>
      </w:pPr>
      <w:r>
        <w:rPr>
          <w:sz w:val="19"/>
        </w:rPr>
      </w:r>
    </w:p>
    <w:p>
      <w:pPr>
        <w:pStyle w:val="Heading3"/>
        <w:spacing w:before="90" w:after="0"/>
        <w:rPr/>
      </w:pPr>
      <w:bookmarkStart w:id="22" w:name="Prehľad_o_poskytnutých_dotáciách_právnic"/>
      <w:bookmarkEnd w:id="22"/>
      <w:r>
        <w:rPr>
          <w:shd w:fill="BFBFBF" w:val="clear"/>
        </w:rPr>
        <w:t>Prehľad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o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poskytnutých</w:t>
      </w:r>
      <w:r>
        <w:rPr>
          <w:spacing w:val="-4"/>
          <w:shd w:fill="BFBFBF" w:val="clear"/>
        </w:rPr>
        <w:t xml:space="preserve"> </w:t>
      </w:r>
      <w:r>
        <w:rPr>
          <w:shd w:fill="BFBFBF" w:val="clear"/>
        </w:rPr>
        <w:t>dotáciách</w:t>
      </w:r>
      <w:r>
        <w:rPr>
          <w:spacing w:val="2"/>
          <w:shd w:fill="BFBFBF" w:val="clear"/>
        </w:rPr>
        <w:t xml:space="preserve"> </w:t>
      </w:r>
      <w:r>
        <w:rPr>
          <w:shd w:fill="BFBFBF" w:val="clear"/>
        </w:rPr>
        <w:t>právnickým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osobám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a fyzickým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osobám</w:t>
      </w:r>
    </w:p>
    <w:p>
      <w:pPr>
        <w:pStyle w:val="Normal"/>
        <w:spacing w:before="44" w:after="0"/>
        <w:ind w:left="220"/>
        <w:rPr>
          <w:b/>
          <w:sz w:val="24"/>
        </w:rPr>
      </w:pPr>
      <w:r>
        <w:rPr>
          <w:b/>
          <w:sz w:val="24"/>
          <w:shd w:fill="BFBFBF" w:val="clear"/>
        </w:rPr>
        <w:t>-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podnikateľom podľa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§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7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ods.</w:t>
      </w:r>
      <w:r>
        <w:rPr>
          <w:b/>
          <w:spacing w:val="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4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zákona</w:t>
      </w:r>
      <w:r>
        <w:rPr>
          <w:b/>
          <w:spacing w:val="-1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č.</w:t>
      </w:r>
      <w:r>
        <w:rPr>
          <w:b/>
          <w:spacing w:val="-2"/>
          <w:sz w:val="24"/>
          <w:shd w:fill="BFBFBF" w:val="clear"/>
        </w:rPr>
        <w:t xml:space="preserve"> </w:t>
      </w:r>
      <w:r>
        <w:rPr>
          <w:b/>
          <w:sz w:val="24"/>
          <w:shd w:fill="BFBFBF" w:val="clear"/>
        </w:rPr>
        <w:t>583/2004 Z. z.</w:t>
      </w:r>
    </w:p>
    <w:p>
      <w:pPr>
        <w:pStyle w:val="BodyText"/>
        <w:spacing w:before="6" w:after="0"/>
        <w:rPr>
          <w:b/>
          <w:sz w:val="25"/>
        </w:rPr>
      </w:pPr>
      <w:r>
        <w:rPr>
          <w:b/>
          <w:sz w:val="25"/>
        </w:rPr>
      </w:r>
    </w:p>
    <w:p>
      <w:pPr>
        <w:pStyle w:val="BodyText"/>
        <w:spacing w:before="1" w:after="0"/>
        <w:ind w:left="220"/>
        <w:rPr/>
      </w:pPr>
      <w:r>
        <w:rPr/>
        <w:t>Obec</w:t>
      </w:r>
      <w:r>
        <w:rPr>
          <w:spacing w:val="-3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roku</w:t>
      </w:r>
      <w:r>
        <w:rPr>
          <w:spacing w:val="-1"/>
        </w:rPr>
        <w:t xml:space="preserve"> </w:t>
      </w:r>
      <w:r>
        <w:rPr/>
        <w:t>2024</w:t>
      </w:r>
      <w:r>
        <w:rPr>
          <w:spacing w:val="-1"/>
        </w:rPr>
        <w:t xml:space="preserve"> </w:t>
      </w:r>
      <w:r>
        <w:rPr/>
        <w:t>neposkytla dotácie.</w:t>
      </w:r>
    </w:p>
    <w:p>
      <w:pPr>
        <w:pStyle w:val="BodyText"/>
        <w:spacing w:before="10" w:after="0"/>
        <w:rPr>
          <w:sz w:val="16"/>
        </w:rPr>
      </w:pPr>
      <w:r>
        <w:rPr>
          <w:sz w:val="16"/>
        </w:rPr>
      </w:r>
    </w:p>
    <w:p>
      <w:pPr>
        <w:pStyle w:val="Heading3"/>
        <w:spacing w:before="90" w:after="0"/>
        <w:rPr/>
      </w:pPr>
      <w:bookmarkStart w:id="23" w:name="Údaje_o_nákladoch_a_výnosoch_podnikateľs"/>
      <w:bookmarkEnd w:id="23"/>
      <w:r>
        <w:rPr>
          <w:shd w:fill="BFBFBF" w:val="clear"/>
        </w:rPr>
        <w:t>Údaje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o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nákladoch</w:t>
      </w:r>
      <w:r>
        <w:rPr>
          <w:spacing w:val="-3"/>
          <w:shd w:fill="BFBFBF" w:val="clear"/>
        </w:rPr>
        <w:t xml:space="preserve"> </w:t>
      </w:r>
      <w:r>
        <w:rPr>
          <w:shd w:fill="BFBFBF" w:val="clear"/>
        </w:rPr>
        <w:t>a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výnosoch</w:t>
      </w:r>
      <w:r>
        <w:rPr>
          <w:spacing w:val="-1"/>
          <w:shd w:fill="BFBFBF" w:val="clear"/>
        </w:rPr>
        <w:t xml:space="preserve"> </w:t>
      </w:r>
      <w:r>
        <w:rPr>
          <w:shd w:fill="BFBFBF" w:val="clear"/>
        </w:rPr>
        <w:t>podnikateľskej</w:t>
      </w:r>
      <w:r>
        <w:rPr>
          <w:spacing w:val="-2"/>
          <w:shd w:fill="BFBFBF" w:val="clear"/>
        </w:rPr>
        <w:t xml:space="preserve"> </w:t>
      </w:r>
      <w:r>
        <w:rPr>
          <w:shd w:fill="BFBFBF" w:val="clear"/>
        </w:rPr>
        <w:t>činnosti</w:t>
      </w:r>
    </w:p>
    <w:p>
      <w:pPr>
        <w:pStyle w:val="BodyText"/>
        <w:spacing w:before="2" w:after="0"/>
        <w:rPr>
          <w:b/>
        </w:rPr>
      </w:pPr>
      <w:r>
        <w:rPr>
          <w:b/>
        </w:rPr>
      </w:r>
    </w:p>
    <w:p>
      <w:pPr>
        <w:pStyle w:val="BodyText"/>
        <w:ind w:left="220"/>
        <w:rPr/>
      </w:pPr>
      <w:r>
        <w:rPr/>
        <w:t>Obec</w:t>
      </w:r>
      <w:r>
        <w:rPr>
          <w:spacing w:val="-3"/>
        </w:rPr>
        <w:t xml:space="preserve"> </w:t>
      </w:r>
      <w:r>
        <w:rPr/>
        <w:t>nepodniká</w:t>
      </w:r>
      <w:r>
        <w:rPr>
          <w:spacing w:val="-1"/>
        </w:rPr>
        <w:t xml:space="preserve"> </w:t>
      </w:r>
      <w:r>
        <w:rPr/>
        <w:t>na základe</w:t>
      </w:r>
      <w:r>
        <w:rPr>
          <w:spacing w:val="-3"/>
        </w:rPr>
        <w:t xml:space="preserve"> </w:t>
      </w:r>
      <w:r>
        <w:rPr/>
        <w:t>živnostenského</w:t>
      </w:r>
      <w:r>
        <w:rPr>
          <w:spacing w:val="-1"/>
        </w:rPr>
        <w:t xml:space="preserve"> </w:t>
      </w:r>
      <w:r>
        <w:rPr/>
        <w:t>oprávnenia.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Normal"/>
        <w:pBdr/>
        <w:spacing w:lineRule="exact" w:line="266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Obec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dátumu</w:t>
      </w:r>
      <w:r>
        <w:rPr>
          <w:color w:val="000000"/>
          <w:spacing w:val="84"/>
          <w:sz w:val="24"/>
        </w:rPr>
        <w:t xml:space="preserve"> </w:t>
      </w:r>
      <w:r>
        <w:rPr>
          <w:color w:val="000000"/>
          <w:sz w:val="24"/>
        </w:rPr>
        <w:t>zostavenia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individuálnej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výročnej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správy</w:t>
      </w:r>
      <w:r>
        <w:rPr>
          <w:color w:val="000000"/>
          <w:spacing w:val="84"/>
          <w:sz w:val="24"/>
        </w:rPr>
        <w:t xml:space="preserve"> </w:t>
      </w:r>
      <w:r>
        <w:rPr>
          <w:color w:val="000000"/>
          <w:sz w:val="24"/>
        </w:rPr>
        <w:t>posúdila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pacing w:val="-1"/>
          <w:sz w:val="24"/>
        </w:rPr>
        <w:t>špecifické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významné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riziká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a neistoty,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osobitne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zvážila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všetky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potenciálne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dopady</w:t>
      </w:r>
      <w:r>
        <w:rPr>
          <w:color w:val="000000"/>
          <w:spacing w:val="37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rozpočtové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hospodárenie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dospela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k záveru,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pacing w:val="1"/>
          <w:sz w:val="24"/>
        </w:rPr>
        <w:t>že</w:t>
      </w:r>
      <w:r>
        <w:rPr>
          <w:color w:val="000000"/>
          <w:spacing w:val="29"/>
          <w:sz w:val="24"/>
        </w:rPr>
        <w:t xml:space="preserve"> </w:t>
      </w:r>
      <w:r>
        <w:rPr>
          <w:color w:val="000000"/>
          <w:sz w:val="24"/>
        </w:rPr>
        <w:t>by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nemali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významne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ovplyvniť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schopnosť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pokračovať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nepretržite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spacing w:val="8"/>
          <w:sz w:val="24"/>
        </w:rPr>
        <w:t xml:space="preserve"> </w:t>
      </w:r>
      <w:r>
        <w:rPr>
          <w:color w:val="000000"/>
          <w:sz w:val="24"/>
        </w:rPr>
        <w:t>činnosti.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pacing w:val="1"/>
          <w:sz w:val="24"/>
        </w:rPr>
        <w:t>Po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ukončení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účtovného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obdobia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nenastali</w:t>
      </w:r>
      <w:r>
        <w:rPr>
          <w:color w:val="000000"/>
          <w:spacing w:val="20"/>
          <w:sz w:val="24"/>
        </w:rPr>
        <w:t xml:space="preserve"> </w:t>
      </w:r>
      <w:r>
        <w:rPr>
          <w:color w:val="000000"/>
          <w:sz w:val="24"/>
        </w:rPr>
        <w:t>žiadne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udalosti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osobitného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významu,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ktoré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by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bolo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potrebné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uviesť v </w:t>
      </w:r>
      <w:r>
        <w:rPr>
          <w:color w:val="000000"/>
          <w:spacing w:val="1"/>
          <w:sz w:val="24"/>
        </w:rPr>
        <w:t>tejto výročnej</w:t>
      </w:r>
      <w:r>
        <w:rPr>
          <w:color w:val="000000"/>
          <w:sz w:val="24"/>
        </w:rPr>
        <w:t xml:space="preserve"> správe.</w:t>
      </w:r>
    </w:p>
    <w:p>
      <w:pPr>
        <w:pStyle w:val="Normal"/>
        <w:pBdr/>
        <w:spacing w:lineRule="exact" w:line="266"/>
        <w:rPr>
          <w:color w:val="000000"/>
          <w:sz w:val="24"/>
        </w:rPr>
        <w:framePr w:w="8978" w:h="266" w:x="1569" w:y="2454" w:hSpace="0" w:vSpace="0" w:wrap="auto" w:vAnchor="page" w:hAnchor="page" w:hRule="exact"/>
      </w:pPr>
      <w:r>
        <w:rPr>
          <w:color w:val="000000"/>
          <w:sz w:val="24"/>
        </w:rPr>
        <w:t>Obec nezaznamenala</w:t>
      </w:r>
      <w:r>
        <w:rPr>
          <w:color w:val="000000"/>
          <w:spacing w:val="2"/>
          <w:sz w:val="24"/>
        </w:rPr>
        <w:t xml:space="preserve"> </w:t>
      </w:r>
      <w:r>
        <w:rPr>
          <w:color w:val="000000"/>
          <w:sz w:val="24"/>
        </w:rPr>
        <w:t>žiadnu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udalosť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osobitného významu po skončení účtovného obdobia.</w:t>
      </w:r>
    </w:p>
    <w:p>
      <w:pPr>
        <w:pStyle w:val="Normal"/>
        <w:pBdr/>
        <w:spacing w:lineRule="exact" w:line="311"/>
        <w:rPr>
          <w:b/>
          <w:color w:val="000000"/>
          <w:sz w:val="32"/>
          <w:szCs w:val="32"/>
        </w:rPr>
        <w:framePr w:w="8869" w:h="311" w:x="1570" w:y="1712" w:hSpace="0" w:vSpace="0" w:wrap="auto" w:vAnchor="page" w:hAnchor="page" w:hRule="exact"/>
      </w:pPr>
      <w:r>
        <w:rPr>
          <w:b/>
          <w:color w:val="000000"/>
          <w:sz w:val="32"/>
          <w:szCs w:val="32"/>
        </w:rPr>
        <w:t>6 . Udalosti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osobitného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významu</w:t>
      </w:r>
      <w:r>
        <w:rPr>
          <w:b/>
          <w:color w:val="000000"/>
          <w:spacing w:val="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po</w:t>
      </w:r>
      <w:r>
        <w:rPr>
          <w:b/>
          <w:color w:val="000000"/>
          <w:spacing w:val="-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skončení</w:t>
      </w:r>
      <w:r>
        <w:rPr>
          <w:b/>
          <w:color w:val="000000"/>
          <w:spacing w:val="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účtovného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obdobia</w:t>
      </w:r>
    </w:p>
    <w:p>
      <w:pPr>
        <w:pStyle w:val="Normal"/>
        <w:pBdr/>
        <w:spacing w:lineRule="exact" w:line="266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Obec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k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dátumu</w:t>
      </w:r>
      <w:r>
        <w:rPr>
          <w:color w:val="000000"/>
          <w:spacing w:val="84"/>
          <w:sz w:val="24"/>
        </w:rPr>
        <w:t xml:space="preserve"> </w:t>
      </w:r>
      <w:r>
        <w:rPr>
          <w:color w:val="000000"/>
          <w:sz w:val="24"/>
        </w:rPr>
        <w:t>zostavenia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individuálnej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výročnej</w:t>
      </w:r>
      <w:r>
        <w:rPr>
          <w:color w:val="000000"/>
          <w:spacing w:val="85"/>
          <w:sz w:val="24"/>
        </w:rPr>
        <w:t xml:space="preserve"> </w:t>
      </w:r>
      <w:r>
        <w:rPr>
          <w:color w:val="000000"/>
          <w:sz w:val="24"/>
        </w:rPr>
        <w:t>správy</w:t>
      </w:r>
      <w:r>
        <w:rPr>
          <w:color w:val="000000"/>
          <w:spacing w:val="84"/>
          <w:sz w:val="24"/>
        </w:rPr>
        <w:t xml:space="preserve"> </w:t>
      </w:r>
      <w:r>
        <w:rPr>
          <w:color w:val="000000"/>
          <w:sz w:val="24"/>
        </w:rPr>
        <w:t>posúdila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pacing w:val="-1"/>
          <w:sz w:val="24"/>
        </w:rPr>
        <w:t>špecifické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významné</w:t>
      </w:r>
      <w:r>
        <w:rPr>
          <w:color w:val="000000"/>
          <w:spacing w:val="83"/>
          <w:sz w:val="24"/>
        </w:rPr>
        <w:t xml:space="preserve"> </w:t>
      </w:r>
      <w:r>
        <w:rPr>
          <w:color w:val="000000"/>
          <w:sz w:val="24"/>
        </w:rPr>
        <w:t>riziká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a neistoty,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osobitne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zvážila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všetky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potenciálne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dopady</w:t>
      </w:r>
      <w:r>
        <w:rPr>
          <w:color w:val="000000"/>
          <w:spacing w:val="37"/>
          <w:sz w:val="24"/>
        </w:rPr>
        <w:t xml:space="preserve"> </w:t>
      </w:r>
      <w:r>
        <w:rPr>
          <w:color w:val="000000"/>
          <w:sz w:val="24"/>
        </w:rPr>
        <w:t>na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rozpočtové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hospodárenie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a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dospela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k záveru,</w:t>
      </w:r>
      <w:r>
        <w:rPr>
          <w:color w:val="000000"/>
          <w:spacing w:val="33"/>
          <w:sz w:val="24"/>
        </w:rPr>
        <w:t xml:space="preserve"> </w:t>
      </w:r>
      <w:r>
        <w:rPr>
          <w:color w:val="000000"/>
          <w:spacing w:val="1"/>
          <w:sz w:val="24"/>
        </w:rPr>
        <w:t>že</w:t>
      </w:r>
      <w:r>
        <w:rPr>
          <w:color w:val="000000"/>
          <w:spacing w:val="29"/>
          <w:sz w:val="24"/>
        </w:rPr>
        <w:t xml:space="preserve"> </w:t>
      </w:r>
      <w:r>
        <w:rPr>
          <w:color w:val="000000"/>
          <w:sz w:val="24"/>
        </w:rPr>
        <w:t>by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nemali</w:t>
      </w:r>
      <w:r>
        <w:rPr>
          <w:color w:val="000000"/>
          <w:spacing w:val="34"/>
          <w:sz w:val="24"/>
        </w:rPr>
        <w:t xml:space="preserve"> </w:t>
      </w:r>
      <w:r>
        <w:rPr>
          <w:color w:val="000000"/>
          <w:sz w:val="24"/>
        </w:rPr>
        <w:t>významne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ovplyvniť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schopnosť</w:t>
      </w:r>
      <w:r>
        <w:rPr>
          <w:color w:val="000000"/>
          <w:spacing w:val="31"/>
          <w:sz w:val="24"/>
        </w:rPr>
        <w:t xml:space="preserve"> </w:t>
      </w:r>
      <w:r>
        <w:rPr>
          <w:color w:val="000000"/>
          <w:sz w:val="24"/>
        </w:rPr>
        <w:t>obce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pokračovať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z w:val="24"/>
        </w:rPr>
        <w:t>nepretržite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v</w:t>
      </w:r>
      <w:r>
        <w:rPr>
          <w:color w:val="000000"/>
          <w:spacing w:val="8"/>
          <w:sz w:val="24"/>
        </w:rPr>
        <w:t xml:space="preserve"> </w:t>
      </w:r>
      <w:r>
        <w:rPr>
          <w:color w:val="000000"/>
          <w:sz w:val="24"/>
        </w:rPr>
        <w:t>činnosti.</w:t>
      </w:r>
      <w:r>
        <w:rPr>
          <w:color w:val="000000"/>
          <w:spacing w:val="32"/>
          <w:sz w:val="24"/>
        </w:rPr>
        <w:t xml:space="preserve"> </w:t>
      </w:r>
      <w:r>
        <w:rPr>
          <w:color w:val="000000"/>
          <w:spacing w:val="1"/>
          <w:sz w:val="24"/>
        </w:rPr>
        <w:t>Po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ukončení</w:t>
      </w:r>
      <w:r>
        <w:rPr>
          <w:color w:val="000000"/>
          <w:spacing w:val="30"/>
          <w:sz w:val="24"/>
        </w:rPr>
        <w:t xml:space="preserve"> </w:t>
      </w:r>
      <w:r>
        <w:rPr>
          <w:color w:val="000000"/>
          <w:sz w:val="24"/>
        </w:rPr>
        <w:t>účtovného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obdobia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nenastali</w:t>
      </w:r>
      <w:r>
        <w:rPr>
          <w:color w:val="000000"/>
          <w:spacing w:val="20"/>
          <w:sz w:val="24"/>
        </w:rPr>
        <w:t xml:space="preserve"> </w:t>
      </w:r>
      <w:r>
        <w:rPr>
          <w:color w:val="000000"/>
          <w:sz w:val="24"/>
        </w:rPr>
        <w:t>žiadne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udalosti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osobitného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významu,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ktoré</w:t>
      </w:r>
      <w:r>
        <w:rPr>
          <w:color w:val="000000"/>
          <w:spacing w:val="18"/>
          <w:sz w:val="24"/>
        </w:rPr>
        <w:t xml:space="preserve"> </w:t>
      </w:r>
      <w:r>
        <w:rPr>
          <w:color w:val="000000"/>
          <w:sz w:val="24"/>
        </w:rPr>
        <w:t>by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bolo</w:t>
      </w:r>
      <w:r>
        <w:rPr>
          <w:color w:val="000000"/>
          <w:spacing w:val="19"/>
          <w:sz w:val="24"/>
        </w:rPr>
        <w:t xml:space="preserve"> </w:t>
      </w:r>
      <w:r>
        <w:rPr>
          <w:color w:val="000000"/>
          <w:sz w:val="24"/>
        </w:rPr>
        <w:t>potrebné</w:t>
      </w:r>
    </w:p>
    <w:p>
      <w:pPr>
        <w:pStyle w:val="Normal"/>
        <w:pBdr/>
        <w:spacing w:lineRule="exact" w:line="266" w:before="10" w:after="0"/>
        <w:rPr>
          <w:color w:val="000000"/>
          <w:sz w:val="24"/>
        </w:rPr>
        <w:framePr w:w="10013" w:h="1370" w:x="1584" w:y="3010" w:hSpace="0" w:vSpace="0" w:wrap="auto" w:vAnchor="page" w:hAnchor="page" w:hRule="exact"/>
      </w:pPr>
      <w:r>
        <w:rPr>
          <w:color w:val="000000"/>
          <w:sz w:val="24"/>
        </w:rPr>
        <w:t>uviesť v </w:t>
      </w:r>
      <w:r>
        <w:rPr>
          <w:color w:val="000000"/>
          <w:spacing w:val="1"/>
          <w:sz w:val="24"/>
        </w:rPr>
        <w:t>tejto výročnej</w:t>
      </w:r>
      <w:r>
        <w:rPr>
          <w:color w:val="000000"/>
          <w:sz w:val="24"/>
        </w:rPr>
        <w:t xml:space="preserve"> správe.</w:t>
      </w:r>
    </w:p>
    <w:p>
      <w:pPr>
        <w:pStyle w:val="Normal"/>
        <w:pBdr/>
        <w:spacing w:lineRule="exact" w:line="266"/>
        <w:rPr>
          <w:color w:val="000000"/>
          <w:sz w:val="24"/>
        </w:rPr>
        <w:framePr w:w="8978" w:h="266" w:x="1569" w:y="2454" w:hSpace="0" w:vSpace="0" w:wrap="auto" w:vAnchor="page" w:hAnchor="page" w:hRule="exact"/>
      </w:pPr>
      <w:r>
        <w:rPr>
          <w:color w:val="000000"/>
          <w:sz w:val="24"/>
        </w:rPr>
        <w:t>Obec nezaznamenala</w:t>
      </w:r>
      <w:r>
        <w:rPr>
          <w:color w:val="000000"/>
          <w:spacing w:val="2"/>
          <w:sz w:val="24"/>
        </w:rPr>
        <w:t xml:space="preserve"> </w:t>
      </w:r>
      <w:r>
        <w:rPr>
          <w:color w:val="000000"/>
          <w:sz w:val="24"/>
        </w:rPr>
        <w:t>žiadnu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udalosť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osobitného významu po skončení účtovného obdobia.</w:t>
      </w:r>
    </w:p>
    <w:p>
      <w:pPr>
        <w:pStyle w:val="Normal"/>
        <w:pBdr/>
        <w:spacing w:lineRule="exact" w:line="311"/>
        <w:rPr>
          <w:b/>
          <w:color w:val="000000"/>
          <w:sz w:val="32"/>
          <w:szCs w:val="32"/>
        </w:rPr>
        <w:framePr w:w="8869" w:h="311" w:x="1570" w:y="1712" w:hSpace="0" w:vSpace="0" w:wrap="auto" w:vAnchor="page" w:hAnchor="page" w:hRule="exact"/>
      </w:pPr>
      <w:r>
        <w:rPr>
          <w:b/>
          <w:color w:val="000000"/>
          <w:sz w:val="32"/>
          <w:szCs w:val="32"/>
        </w:rPr>
        <w:t>6 . Udalosti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osobitného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významu</w:t>
      </w:r>
      <w:r>
        <w:rPr>
          <w:b/>
          <w:color w:val="000000"/>
          <w:spacing w:val="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po</w:t>
      </w:r>
      <w:r>
        <w:rPr>
          <w:b/>
          <w:color w:val="000000"/>
          <w:spacing w:val="-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skončení</w:t>
      </w:r>
      <w:r>
        <w:rPr>
          <w:b/>
          <w:color w:val="000000"/>
          <w:spacing w:val="1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účtovného</w:t>
      </w:r>
      <w:r>
        <w:rPr>
          <w:b/>
          <w:color w:val="000000"/>
          <w:spacing w:val="2"/>
          <w:sz w:val="32"/>
          <w:szCs w:val="32"/>
        </w:rPr>
        <w:t xml:space="preserve"> </w:t>
      </w:r>
      <w:r>
        <w:rPr>
          <w:b/>
          <w:color w:val="000000"/>
          <w:sz w:val="32"/>
          <w:szCs w:val="32"/>
        </w:rPr>
        <w:t>obdobia</w:t>
      </w:r>
    </w:p>
    <w:p>
      <w:pPr>
        <w:pStyle w:val="Normal"/>
        <w:pBdr/>
        <w:spacing w:lineRule="exact" w:line="266" w:before="563" w:after="0"/>
        <w:rPr>
          <w:color w:val="000000"/>
          <w:sz w:val="24"/>
        </w:rPr>
        <w:framePr w:w="3557" w:h="829" w:x="1512" w:y="5690" w:hSpace="0" w:vSpace="0" w:wrap="auto" w:vAnchor="page" w:hAnchor="page" w:hRule="exact"/>
      </w:pPr>
      <w:r>
        <w:rPr>
          <w:color w:val="000000"/>
          <w:sz w:val="24"/>
        </w:rPr>
        <w:t>V Suchej Doline</w:t>
      </w:r>
      <w:r>
        <w:rPr>
          <w:color w:val="000000"/>
          <w:spacing w:val="-1"/>
          <w:sz w:val="24"/>
        </w:rPr>
        <w:t xml:space="preserve"> </w:t>
      </w:r>
      <w:r>
        <w:rPr>
          <w:color w:val="000000"/>
          <w:sz w:val="24"/>
        </w:rPr>
        <w:t>dňa</w:t>
      </w:r>
      <w:r>
        <w:rPr>
          <w:color w:val="000000"/>
          <w:spacing w:val="-1"/>
          <w:sz w:val="24"/>
        </w:rPr>
        <w:t xml:space="preserve">  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90" w:after="0"/>
        <w:ind w:right="116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tabs>
          <w:tab w:val="clear" w:pos="720"/>
          <w:tab w:val="left" w:pos="1896" w:leader="none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>
      <w:pPr>
        <w:pStyle w:val="Normal"/>
        <w:tabs>
          <w:tab w:val="clear" w:pos="720"/>
          <w:tab w:val="left" w:pos="1896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20"/>
          <w:tab w:val="left" w:pos="1896" w:leader="none"/>
        </w:tabs>
        <w:rPr>
          <w:sz w:val="24"/>
          <w:szCs w:val="24"/>
        </w:rPr>
      </w:pPr>
      <w:r>
        <w:rPr>
          <w:color w:val="000000"/>
          <w:sz w:val="24"/>
        </w:rPr>
        <w:t xml:space="preserve">                                       </w:t>
      </w:r>
      <w:r>
        <w:rPr>
          <w:color w:val="000000"/>
          <w:sz w:val="24"/>
        </w:rPr>
        <w:t>Schválil: Ing. Katarína Petrenčáková</w:t>
      </w:r>
    </w:p>
    <w:p>
      <w:pPr>
        <w:pStyle w:val="Normal"/>
        <w:rPr/>
      </w:pPr>
      <w:r>
        <w:rPr/>
      </w:r>
    </w:p>
    <w:sectPr>
      <w:type w:val="continuous"/>
      <w:pgSz w:w="11906" w:h="16838"/>
      <w:pgMar w:left="1200" w:right="120" w:gutter="0" w:header="0" w:top="780" w:footer="0" w:bottom="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504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50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1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2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3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4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5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6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68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504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500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620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741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862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82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03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224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344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504" w:hanging="284"/>
      </w:pPr>
      <w:rPr>
        <w:sz w:val="24"/>
        <w:spacing w:val="-1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508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17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25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34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4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51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60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68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468" w:hanging="248"/>
      </w:pPr>
      <w:rPr>
        <w:sz w:val="22"/>
        <w:spacing w:val="-2"/>
        <w:b/>
        <w:szCs w:val="22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72" w:hanging="24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85" w:hanging="24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97" w:hanging="24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10" w:hanging="24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3" w:hanging="24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35" w:hanging="24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48" w:hanging="24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560" w:hanging="248"/>
      </w:pPr>
      <w:rPr>
        <w:rFonts w:ascii="Symbol" w:hAnsi="Symbol" w:cs="Symbol" w:hint="default"/>
        <w:lang w:val="sk-SK" w:eastAsia="en-US" w:bidi="ar-SA"/>
      </w:rPr>
    </w:lvl>
  </w:abstractNum>
  <w:abstractNum w:abstractNumId="5">
    <w:lvl w:ilvl="0">
      <w:start w:val="5"/>
      <w:numFmt w:val="decimal"/>
      <w:lvlText w:val="%1."/>
      <w:lvlJc w:val="left"/>
      <w:pPr>
        <w:tabs>
          <w:tab w:val="num" w:pos="0"/>
        </w:tabs>
        <w:ind w:left="422" w:hanging="320"/>
      </w:pPr>
      <w:rPr>
        <w:sz w:val="32"/>
        <w:b/>
        <w:szCs w:val="32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462" w:hanging="360"/>
      </w:pPr>
      <w:rPr>
        <w:sz w:val="28"/>
        <w:spacing w:val="-1"/>
        <w:b/>
        <w:shd w:fill="BFBFBF" w:val="clear"/>
        <w:szCs w:val="28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504" w:hanging="284"/>
      </w:pPr>
      <w:rPr>
        <w:sz w:val="28"/>
        <w:b/>
        <w:szCs w:val="28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760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021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282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543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803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64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6">
    <w:lvl w:ilvl="0">
      <w:start w:val="1"/>
      <w:numFmt w:val="decimal"/>
      <w:lvlText w:val="%1"/>
      <w:lvlJc w:val="left"/>
      <w:pPr>
        <w:tabs>
          <w:tab w:val="num" w:pos="0"/>
        </w:tabs>
        <w:ind w:left="338" w:hanging="200"/>
      </w:pPr>
      <w:rPr>
        <w:sz w:val="26"/>
        <w:b/>
        <w:szCs w:val="26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2" w:hanging="394"/>
      </w:pPr>
      <w:rPr>
        <w:sz w:val="26"/>
        <w:spacing w:val="-2"/>
        <w:b/>
        <w:szCs w:val="26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3" w:hanging="39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06" w:hanging="39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760" w:hanging="39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713" w:hanging="39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666" w:hanging="39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20" w:hanging="39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3" w:hanging="394"/>
      </w:pPr>
      <w:rPr>
        <w:rFonts w:ascii="Symbol" w:hAnsi="Symbol" w:cs="Symbol" w:hint="default"/>
        <w:lang w:val="sk-SK" w:eastAsia="en-US" w:bidi="ar-SA"/>
      </w:rPr>
    </w:lvl>
  </w:abstractNum>
  <w:abstractNum w:abstractNumId="7">
    <w:lvl w:ilvl="0">
      <w:start w:val="1"/>
      <w:numFmt w:val="upperLetter"/>
      <w:lvlText w:val="%1."/>
      <w:lvlJc w:val="left"/>
      <w:pPr>
        <w:tabs>
          <w:tab w:val="num" w:pos="0"/>
        </w:tabs>
        <w:ind w:left="434" w:hanging="296"/>
      </w:pPr>
      <w:rPr>
        <w:sz w:val="24"/>
        <w:spacing w:val="-2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44" w:hanging="296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48" w:hanging="296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2" w:hanging="296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56" w:hanging="296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60" w:hanging="296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64" w:hanging="296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768" w:hanging="296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72" w:hanging="296"/>
      </w:pPr>
      <w:rPr>
        <w:rFonts w:ascii="Symbol" w:hAnsi="Symbol" w:cs="Symbol" w:hint="default"/>
        <w:lang w:val="sk-SK" w:eastAsia="en-US" w:bidi="ar-SA"/>
      </w:rPr>
    </w:lvl>
  </w:abstractNum>
  <w:abstractNum w:abstractNumId="8">
    <w:lvl w:ilvl="0">
      <w:start w:val="4"/>
      <w:numFmt w:val="decimal"/>
      <w:lvlText w:val="%1"/>
      <w:lvlJc w:val="left"/>
      <w:pPr>
        <w:tabs>
          <w:tab w:val="num" w:pos="0"/>
        </w:tabs>
        <w:ind w:left="688" w:hanging="364"/>
      </w:pPr>
      <w:rPr>
        <w:lang w:val="sk-SK" w:eastAsia="en-US" w:bidi="ar-SA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688" w:hanging="364"/>
      </w:pPr>
      <w:rPr>
        <w:sz w:val="24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40" w:hanging="36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320" w:hanging="36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00" w:hanging="36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080" w:hanging="36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60" w:hanging="36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840" w:hanging="36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720" w:hanging="364"/>
      </w:pPr>
      <w:rPr>
        <w:rFonts w:ascii="Symbol" w:hAnsi="Symbol" w:cs="Symbol" w:hint="default"/>
        <w:lang w:val="sk-SK" w:eastAsia="en-US" w:bidi="ar-SA"/>
      </w:rPr>
    </w:lvl>
  </w:abstractNum>
  <w:abstractNum w:abstractNumId="9">
    <w:lvl w:ilvl="0">
      <w:start w:val="1"/>
      <w:numFmt w:val="decimal"/>
      <w:lvlText w:val="%1"/>
      <w:lvlJc w:val="left"/>
      <w:pPr>
        <w:tabs>
          <w:tab w:val="num" w:pos="0"/>
        </w:tabs>
        <w:ind w:left="320" w:hanging="182"/>
      </w:pPr>
      <w:rPr>
        <w:sz w:val="24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88" w:hanging="364"/>
      </w:pPr>
      <w:rPr>
        <w:sz w:val="24"/>
        <w:szCs w:val="24"/>
        <w:w w:val="100"/>
        <w:rFonts w:ascii="Times New Roman" w:hAnsi="Times New Roman" w:eastAsia="Times New Roman" w:cs="Times New Roman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657" w:hanging="36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635" w:hanging="36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613" w:hanging="36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591" w:hanging="36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569" w:hanging="36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546" w:hanging="36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24" w:hanging="364"/>
      </w:pPr>
      <w:rPr>
        <w:rFonts w:ascii="Symbol" w:hAnsi="Symbol" w:cs="Symbol" w:hint="default"/>
        <w:lang w:val="sk-SK" w:eastAsia="en-US" w:bidi="ar-SA"/>
      </w:rPr>
    </w:lvl>
  </w:abstractNum>
  <w:abstractNum w:abstractNumId="10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8"/>
        <w:b/>
        <w:szCs w:val="28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8"/>
        <w:b/>
        <w:szCs w:val="28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9"/>
    <w:qFormat/>
    <w:pPr>
      <w:spacing w:before="88" w:after="0"/>
      <w:ind w:hanging="361" w:left="462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71" w:after="0"/>
      <w:ind w:hanging="200" w:left="338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uiPriority w:val="9"/>
    <w:unhideWhenUsed/>
    <w:qFormat/>
    <w:pPr>
      <w:ind w:left="220"/>
      <w:outlineLvl w:val="2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character" w:styleId="Symbolypreslovanie">
    <w:name w:val="Symboly pre číslovanie"/>
    <w:qFormat/>
    <w:rPr/>
  </w:style>
  <w:style w:type="character" w:styleId="Odrky">
    <w:name w:val="Odrážky"/>
    <w:qFormat/>
    <w:rPr>
      <w:rFonts w:ascii="OpenSymbol" w:hAnsi="OpenSymbol" w:eastAsia="OpenSymbol" w:cs="OpenSymbol"/>
    </w:rPr>
  </w:style>
  <w:style w:type="character" w:styleId="Siln">
    <w:name w:val="Silný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TOC1">
    <w:name w:val="toc 1"/>
    <w:basedOn w:val="Normal"/>
    <w:uiPriority w:val="1"/>
    <w:qFormat/>
    <w:pPr>
      <w:spacing w:before="136" w:after="0"/>
      <w:ind w:hanging="182" w:left="320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140" w:after="0"/>
      <w:ind w:hanging="364" w:left="688"/>
    </w:pPr>
    <w:rPr>
      <w:sz w:val="24"/>
      <w:szCs w:val="24"/>
    </w:rPr>
  </w:style>
  <w:style w:type="paragraph" w:styleId="Title">
    <w:name w:val="Title"/>
    <w:basedOn w:val="Normal"/>
    <w:uiPriority w:val="10"/>
    <w:qFormat/>
    <w:pPr>
      <w:ind w:left="1536" w:right="1513"/>
      <w:jc w:val="center"/>
    </w:pPr>
    <w:rPr>
      <w:b/>
      <w:bCs/>
      <w:sz w:val="52"/>
      <w:szCs w:val="52"/>
    </w:rPr>
  </w:style>
  <w:style w:type="paragraph" w:styleId="ListParagraph">
    <w:name w:val="List Paragraph"/>
    <w:basedOn w:val="Normal"/>
    <w:uiPriority w:val="1"/>
    <w:qFormat/>
    <w:pPr>
      <w:ind w:hanging="284" w:left="504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paragraph" w:styleId="Obsahrmcauser">
    <w:name w:val="Obsah rámca (user)"/>
    <w:basedOn w:val="Normal"/>
    <w:qFormat/>
    <w:pPr/>
    <w:rPr/>
  </w:style>
  <w:style w:type="paragraph" w:styleId="Obsahtabukyuser">
    <w:name w:val="Obsah tabuľky (user)"/>
    <w:basedOn w:val="Normal"/>
    <w:qFormat/>
    <w:pPr>
      <w:widowControl w:val="false"/>
      <w:suppressLineNumbers/>
    </w:pPr>
    <w:rPr/>
  </w:style>
  <w:style w:type="paragraph" w:styleId="Zhlavietabukyuser">
    <w:name w:val="Záhlavie tabuľky (user)"/>
    <w:basedOn w:val="Obsahtabukyuser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mailto:obecsdolina@gmail.com" TargetMode="External"/><Relationship Id="rId4" Type="http://schemas.openxmlformats.org/officeDocument/2006/relationships/hyperlink" Target="http://www.suchadolina.dcom.sk/" TargetMode="External"/><Relationship Id="rId5" Type="http://schemas.openxmlformats.org/officeDocument/2006/relationships/image" Target="media/image2.jpeg"/><Relationship Id="rId6" Type="http://schemas.openxmlformats.org/officeDocument/2006/relationships/image" Target="media/image3.jpeg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1" ma:contentTypeDescription="Umožňuje vytvoriť nový dokument." ma:contentTypeScope="" ma:versionID="c170ccb8ae115ded9262cb913993a557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7ec5e84df66ef469053163cdcfd4f040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F5E826-FF82-4FCB-A32A-298CCFF1954E}"/>
</file>

<file path=customXml/itemProps2.xml><?xml version="1.0" encoding="utf-8"?>
<ds:datastoreItem xmlns:ds="http://schemas.openxmlformats.org/officeDocument/2006/customXml" ds:itemID="{CB9B32DE-C0F6-48C2-9E65-6E181930A098}"/>
</file>

<file path=customXml/itemProps3.xml><?xml version="1.0" encoding="utf-8"?>
<ds:datastoreItem xmlns:ds="http://schemas.openxmlformats.org/officeDocument/2006/customXml" ds:itemID="{5FBBE922-111A-4EB0-86C9-9C38AE476A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LibreOffice/25.2.5.2$Windows_X86_64 LibreOffice_project/03d19516eb2e1dd5d4ccd751a0d6f35f35e08022</Application>
  <AppVersion>15.0000</AppVersion>
  <Pages>11</Pages>
  <Words>3775</Words>
  <Characters>19392</Characters>
  <CharactersWithSpaces>22694</CharactersWithSpaces>
  <Paragraphs>724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2024-10-15T10:35:00Z</dcterms:created>
  <dc:creator/>
  <dc:description/>
  <dc:language>sk-SK</dc:language>
  <cp:lastModifiedBy/>
  <dcterms:modified xsi:type="dcterms:W3CDTF">2025-09-08T21:27:27Z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0x010100338DE52B060A9248B57B723E67CC145C</vt:lpwstr>
  </property>
  <property fmtid="{D5CDD505-2E9C-101B-9397-08002B2CF9AE}" pid="4" name="Created">
    <vt:filetime>2024-10-15T00:00:00Z</vt:filetime>
  </property>
  <property fmtid="{D5CDD505-2E9C-101B-9397-08002B2CF9AE}" pid="5" name="Creator">
    <vt:lpwstr>PDF24</vt:lpwstr>
  </property>
  <property fmtid="{D5CDD505-2E9C-101B-9397-08002B2CF9AE}" pid="6" name="LastSaved">
    <vt:filetime>2024-10-15T00:00:00Z</vt:filetime>
  </property>
  <property fmtid="{D5CDD505-2E9C-101B-9397-08002B2CF9AE}" pid="7" name="MediaServiceImageTags">
    <vt:lpwstr/>
  </property>
  <property fmtid="{D5CDD505-2E9C-101B-9397-08002B2CF9AE}" pid="8" name="TemplateUrl">
    <vt:lpwstr/>
  </property>
  <property fmtid="{D5CDD505-2E9C-101B-9397-08002B2CF9AE}" pid="9" name="TriggerFlowInfo">
    <vt:lpwstr/>
  </property>
  <property fmtid="{D5CDD505-2E9C-101B-9397-08002B2CF9AE}" pid="10" name="_ExtendedDescription">
    <vt:lpwstr/>
  </property>
  <property fmtid="{D5CDD505-2E9C-101B-9397-08002B2CF9AE}" pid="11" name="_SharedFileIndex">
    <vt:lpwstr/>
  </property>
  <property fmtid="{D5CDD505-2E9C-101B-9397-08002B2CF9AE}" pid="12" name="_SourceUrl">
    <vt:lpwstr/>
  </property>
  <property fmtid="{D5CDD505-2E9C-101B-9397-08002B2CF9AE}" pid="13" name="xd_ProgID">
    <vt:lpwstr/>
  </property>
  <property fmtid="{D5CDD505-2E9C-101B-9397-08002B2CF9AE}" pid="14" name="xd_Signature">
    <vt:bool>0</vt:bool>
  </property>
</Properties>
</file>