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2A6659">
      <w:pPr>
        <w:pStyle w:val="10"/>
        <w:jc w:val="both"/>
      </w:pPr>
    </w:p>
    <w:p w14:paraId="5EF20F57">
      <w:pPr>
        <w:pStyle w:val="10"/>
        <w:jc w:val="both"/>
      </w:pPr>
    </w:p>
    <w:p w14:paraId="11146221">
      <w:pPr>
        <w:pStyle w:val="10"/>
        <w:jc w:val="center"/>
        <w:rPr>
          <w:b/>
          <w:bCs/>
          <w:sz w:val="32"/>
          <w:szCs w:val="32"/>
        </w:rPr>
      </w:pPr>
      <w:r>
        <w:rPr>
          <w:b/>
          <w:bCs/>
          <w:sz w:val="32"/>
          <w:szCs w:val="32"/>
        </w:rPr>
        <w:t>Obec Hendrichovce</w:t>
      </w:r>
    </w:p>
    <w:p w14:paraId="100C5B58">
      <w:pPr>
        <w:pStyle w:val="10"/>
        <w:rPr>
          <w:b/>
          <w:bCs/>
        </w:rPr>
      </w:pPr>
    </w:p>
    <w:p w14:paraId="12F40E89">
      <w:pPr>
        <w:pStyle w:val="10"/>
        <w:jc w:val="center"/>
        <w:rPr>
          <w:b/>
          <w:bCs/>
        </w:rPr>
      </w:pPr>
      <w:r>
        <w:rPr>
          <w:b/>
          <w:bCs/>
        </w:rPr>
        <w:t xml:space="preserve"> </w:t>
      </w:r>
    </w:p>
    <w:p w14:paraId="608DEACE">
      <w:pPr>
        <w:pStyle w:val="10"/>
        <w:jc w:val="center"/>
        <w:rPr>
          <w:b/>
          <w:bCs/>
        </w:rPr>
      </w:pPr>
      <w:r>
        <w:rPr>
          <w:b/>
          <w:bCs/>
        </w:rPr>
        <w:t xml:space="preserve"> </w:t>
      </w:r>
    </w:p>
    <w:p w14:paraId="2BAC6FC9">
      <w:pPr>
        <w:pStyle w:val="10"/>
        <w:jc w:val="center"/>
      </w:pPr>
      <w:r>
        <w:t xml:space="preserve"> </w:t>
      </w:r>
      <w:r>
        <w:drawing>
          <wp:inline distT="0" distB="0" distL="0" distR="0">
            <wp:extent cx="2069465" cy="2631440"/>
            <wp:effectExtent l="0" t="0" r="6985" b="0"/>
            <wp:docPr id="1" name="Obrázok 1" descr="Obrázok, na ktorom je kreslený obrázok, cicavec, animák, ilustrác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kreslený obrázok, cicavec, animák, ilustrácia&#10;&#10;Automaticky generovaný popi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2070000" cy="2631600"/>
                    </a:xfrm>
                    <a:prstGeom prst="rect">
                      <a:avLst/>
                    </a:prstGeom>
                    <a:noFill/>
                    <a:ln>
                      <a:noFill/>
                    </a:ln>
                  </pic:spPr>
                </pic:pic>
              </a:graphicData>
            </a:graphic>
          </wp:inline>
        </w:drawing>
      </w:r>
    </w:p>
    <w:p w14:paraId="1D0B5ECA">
      <w:pPr>
        <w:pStyle w:val="10"/>
        <w:jc w:val="center"/>
        <w:rPr>
          <w:rFonts w:ascii="Times New Roman" w:hAnsi="Times New Roman" w:cs="Times New Roman"/>
          <w:b/>
          <w:bCs/>
          <w:sz w:val="32"/>
          <w:szCs w:val="32"/>
        </w:rPr>
      </w:pPr>
      <w:r>
        <w:rPr>
          <w:rFonts w:ascii="Times New Roman" w:hAnsi="Times New Roman" w:cs="Times New Roman"/>
          <w:b/>
          <w:bCs/>
          <w:sz w:val="32"/>
          <w:szCs w:val="32"/>
        </w:rPr>
        <w:t>Výročná správa</w:t>
      </w:r>
    </w:p>
    <w:p w14:paraId="05DAE18D">
      <w:pPr>
        <w:pStyle w:val="10"/>
        <w:jc w:val="center"/>
        <w:rPr>
          <w:rFonts w:ascii="Times New Roman" w:hAnsi="Times New Roman" w:cs="Times New Roman"/>
          <w:b/>
          <w:bCs/>
          <w:sz w:val="32"/>
          <w:szCs w:val="32"/>
        </w:rPr>
      </w:pPr>
      <w:r>
        <w:rPr>
          <w:rFonts w:ascii="Times New Roman" w:hAnsi="Times New Roman" w:cs="Times New Roman"/>
          <w:b/>
          <w:bCs/>
          <w:sz w:val="32"/>
          <w:szCs w:val="32"/>
        </w:rPr>
        <w:t>Obce HENDRICHOVCE</w:t>
      </w:r>
    </w:p>
    <w:p w14:paraId="4D5FB1A1">
      <w:pPr>
        <w:pStyle w:val="10"/>
        <w:jc w:val="center"/>
        <w:rPr>
          <w:rFonts w:ascii="Times New Roman" w:hAnsi="Times New Roman" w:cs="Times New Roman"/>
          <w:b/>
          <w:bCs/>
          <w:sz w:val="32"/>
          <w:szCs w:val="32"/>
        </w:rPr>
      </w:pPr>
      <w:r>
        <w:rPr>
          <w:rFonts w:ascii="Times New Roman" w:hAnsi="Times New Roman" w:cs="Times New Roman"/>
          <w:b/>
          <w:bCs/>
          <w:sz w:val="32"/>
          <w:szCs w:val="32"/>
        </w:rPr>
        <w:t>Za rok 2024</w:t>
      </w:r>
    </w:p>
    <w:p w14:paraId="156A6281">
      <w:pPr>
        <w:pStyle w:val="10"/>
        <w:jc w:val="both"/>
        <w:rPr>
          <w:b/>
          <w:bCs/>
        </w:rPr>
      </w:pPr>
      <w:r>
        <w:rPr>
          <w:b/>
          <w:bCs/>
        </w:rPr>
        <w:t xml:space="preserve"> </w:t>
      </w:r>
    </w:p>
    <w:p w14:paraId="0A37501D">
      <w:pPr>
        <w:pStyle w:val="10"/>
        <w:jc w:val="both"/>
        <w:rPr>
          <w:b/>
          <w:bCs/>
        </w:rPr>
      </w:pPr>
    </w:p>
    <w:p w14:paraId="74AD4642">
      <w:pPr>
        <w:pStyle w:val="10"/>
        <w:jc w:val="both"/>
        <w:rPr>
          <w:b/>
          <w:bCs/>
        </w:rPr>
      </w:pPr>
    </w:p>
    <w:p w14:paraId="54F9AE05">
      <w:pPr>
        <w:pStyle w:val="10"/>
        <w:jc w:val="right"/>
        <w:rPr>
          <w:b/>
          <w:bCs/>
        </w:rPr>
      </w:pPr>
      <w:r>
        <w:rPr>
          <w:b/>
          <w:bCs/>
        </w:rPr>
        <w:t xml:space="preserve">   </w:t>
      </w:r>
    </w:p>
    <w:p w14:paraId="42161A17">
      <w:pPr>
        <w:pStyle w:val="10"/>
        <w:jc w:val="right"/>
        <w:rPr>
          <w:rFonts w:ascii="Times New Roman" w:hAnsi="Times New Roman" w:cs="Times New Roman"/>
          <w:b/>
          <w:bCs/>
        </w:rPr>
      </w:pPr>
      <w:r>
        <w:rPr>
          <w:rFonts w:ascii="Times New Roman" w:hAnsi="Times New Roman" w:cs="Times New Roman"/>
          <w:b/>
          <w:bCs/>
        </w:rPr>
        <w:t>Martin Martaus</w:t>
      </w:r>
    </w:p>
    <w:p w14:paraId="706E5C0F">
      <w:pPr>
        <w:pStyle w:val="10"/>
        <w:jc w:val="right"/>
        <w:rPr>
          <w:rFonts w:ascii="Times New Roman" w:hAnsi="Times New Roman" w:cs="Times New Roman"/>
          <w:b/>
          <w:bCs/>
        </w:rPr>
      </w:pPr>
      <w:r>
        <w:rPr>
          <w:rFonts w:ascii="Times New Roman" w:hAnsi="Times New Roman" w:cs="Times New Roman"/>
          <w:b/>
          <w:bCs/>
        </w:rPr>
        <w:t xml:space="preserve">                                                                                                 starosta obce </w:t>
      </w:r>
    </w:p>
    <w:p w14:paraId="79E9ED28">
      <w:pPr>
        <w:pStyle w:val="10"/>
        <w:jc w:val="both"/>
        <w:rPr>
          <w:b/>
          <w:bCs/>
        </w:rPr>
      </w:pPr>
      <w:r>
        <w:rPr>
          <w:b/>
          <w:bCs/>
        </w:rPr>
        <w:t xml:space="preserve">                                                                                                </w:t>
      </w:r>
    </w:p>
    <w:p w14:paraId="017CCF26">
      <w:pPr>
        <w:pStyle w:val="10"/>
        <w:jc w:val="center"/>
        <w:rPr>
          <w:b/>
          <w:bCs/>
        </w:rPr>
      </w:pPr>
      <w:r>
        <w:rPr>
          <w:rFonts w:ascii="Times New Roman" w:hAnsi="Times New Roman" w:eastAsia="Calibri" w:cs="Times New Roman"/>
          <w:b/>
          <w:bCs/>
        </w:rPr>
        <w:t>OBSAH</w:t>
      </w:r>
    </w:p>
    <w:p w14:paraId="20876B0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w:t>
      </w:r>
    </w:p>
    <w:p w14:paraId="6282E388">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Úvodné slovo starostu obce</w:t>
      </w:r>
    </w:p>
    <w:p w14:paraId="338D32C6">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Identifikačné údaje obce</w:t>
      </w:r>
    </w:p>
    <w:p w14:paraId="7D2C7E3A">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Organizačné štruktúra obce a identifikácia vedúcich pracovníkov</w:t>
      </w:r>
    </w:p>
    <w:p w14:paraId="79E08F80">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Základná Charakteristika obce</w:t>
      </w:r>
    </w:p>
    <w:p w14:paraId="4EDA8B6E">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Geografické údaje</w:t>
      </w:r>
    </w:p>
    <w:p w14:paraId="505FDE72">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Demografické údaje</w:t>
      </w:r>
    </w:p>
    <w:p w14:paraId="78885D90">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Ekonomické údaje</w:t>
      </w:r>
    </w:p>
    <w:p w14:paraId="224B58E4">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Symboly obce</w:t>
      </w:r>
    </w:p>
    <w:p w14:paraId="276C1C06">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Zaujímavosti z histórie a súčasnosti obce </w:t>
      </w:r>
    </w:p>
    <w:p w14:paraId="1F40BCCB">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Pamiatky</w:t>
      </w:r>
    </w:p>
    <w:p w14:paraId="1C5752A2">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Plnenie úloh obce</w:t>
      </w:r>
    </w:p>
    <w:p w14:paraId="702381EA">
      <w:pPr>
        <w:pStyle w:val="12"/>
        <w:numPr>
          <w:ilvl w:val="0"/>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Informácie o vývoji obce z pohľadu rozpočtovníctva</w:t>
      </w:r>
    </w:p>
    <w:p w14:paraId="0595F46F">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Plnenie príjmov za rok 2024</w:t>
      </w:r>
    </w:p>
    <w:p w14:paraId="0AECAADC">
      <w:pPr>
        <w:pStyle w:val="12"/>
        <w:numPr>
          <w:ilvl w:val="1"/>
          <w:numId w:val="1"/>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Plnenie výdavkov za rok 2024</w:t>
      </w:r>
    </w:p>
    <w:p w14:paraId="4FBCA61D">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6.3. Prebytok/schodok rozpočtového hospodárenia za rok 2024</w:t>
      </w:r>
    </w:p>
    <w:p w14:paraId="377E73F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7.   Informácie o vývoji obce z pohľadu účtovníctva</w:t>
      </w:r>
    </w:p>
    <w:p w14:paraId="1AA028F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7.1. Majetok</w:t>
      </w:r>
    </w:p>
    <w:p w14:paraId="05D308B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7.2. Zdroje krytia </w:t>
      </w:r>
    </w:p>
    <w:p w14:paraId="231EBAA7">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7.3. Pohľadávky</w:t>
      </w:r>
    </w:p>
    <w:p w14:paraId="529A802E">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7.4. Záväzky</w:t>
      </w:r>
    </w:p>
    <w:p w14:paraId="032AB85A">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8.   Tvorba a použitie peňažných fondov a iných fondov</w:t>
      </w:r>
    </w:p>
    <w:p w14:paraId="2282656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9.    Hospodársky výsledok za rok 2024 – vývoj nákladov  a výnosov</w:t>
      </w:r>
    </w:p>
    <w:p w14:paraId="17B53FC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10.  Ostatné dôležité informácie</w:t>
      </w:r>
    </w:p>
    <w:p w14:paraId="16A99CB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10.1. Prijaté granty a transfery</w:t>
      </w:r>
    </w:p>
    <w:p w14:paraId="6B82E56F">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10.2. Poskytnuté dotácie</w:t>
      </w:r>
    </w:p>
    <w:p w14:paraId="3FCF3CA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10.3. Významné investičné akcie v roku 2024</w:t>
      </w:r>
    </w:p>
    <w:p w14:paraId="4FAFBB7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10.4.  Predpokladaný budúci vývoj činností</w:t>
      </w:r>
    </w:p>
    <w:p w14:paraId="0612DE0F">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10.5.  Udalosti osobitného významu po ukončení účtovného obdobia</w:t>
      </w:r>
    </w:p>
    <w:p w14:paraId="5863B35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10.6.  Významné riziká a neistoty , ktorým je účtovná jednotka vystavená       </w:t>
      </w:r>
    </w:p>
    <w:p w14:paraId="10146664">
      <w:pPr>
        <w:pStyle w:val="10"/>
        <w:jc w:val="both"/>
        <w:rPr>
          <w:rFonts w:ascii="Times New Roman" w:hAnsi="Times New Roman" w:eastAsia="Calibri" w:cs="Times New Roman"/>
          <w:b/>
          <w:bCs/>
        </w:rPr>
      </w:pPr>
      <w:r>
        <w:rPr>
          <w:rFonts w:ascii="Times New Roman" w:hAnsi="Times New Roman" w:eastAsia="Calibri" w:cs="Times New Roman"/>
          <w:b/>
          <w:bCs/>
        </w:rPr>
        <w:t xml:space="preserve"> </w:t>
      </w:r>
    </w:p>
    <w:p w14:paraId="5B68B9CD">
      <w:pPr>
        <w:pStyle w:val="10"/>
        <w:jc w:val="both"/>
        <w:rPr>
          <w:b/>
          <w:bCs/>
        </w:rPr>
      </w:pPr>
      <w:r>
        <w:rPr>
          <w:b/>
          <w:bCs/>
        </w:rPr>
        <w:t xml:space="preserve"> </w:t>
      </w:r>
    </w:p>
    <w:p w14:paraId="1B7172F4">
      <w:pPr>
        <w:pStyle w:val="10"/>
        <w:jc w:val="both"/>
        <w:rPr>
          <w:b/>
          <w:bCs/>
        </w:rPr>
      </w:pPr>
      <w:r>
        <w:rPr>
          <w:b/>
          <w:bCs/>
        </w:rPr>
        <w:t xml:space="preserve"> </w:t>
      </w:r>
    </w:p>
    <w:p w14:paraId="04C60E4D">
      <w:pPr>
        <w:pStyle w:val="10"/>
        <w:jc w:val="both"/>
        <w:rPr>
          <w:b/>
          <w:bCs/>
        </w:rPr>
      </w:pPr>
      <w:r>
        <w:rPr>
          <w:b/>
          <w:bCs/>
        </w:rPr>
        <w:t xml:space="preserve"> </w:t>
      </w:r>
    </w:p>
    <w:p w14:paraId="60061E4C">
      <w:pPr>
        <w:pStyle w:val="10"/>
        <w:jc w:val="both"/>
        <w:rPr>
          <w:b/>
          <w:bCs/>
        </w:rPr>
      </w:pPr>
    </w:p>
    <w:p w14:paraId="253B9705">
      <w:pPr>
        <w:pStyle w:val="10"/>
        <w:jc w:val="both"/>
        <w:rPr>
          <w:b/>
          <w:bCs/>
        </w:rPr>
      </w:pPr>
      <w:r>
        <w:rPr>
          <w:b/>
          <w:bCs/>
        </w:rPr>
        <w:t xml:space="preserve"> </w:t>
      </w:r>
    </w:p>
    <w:p w14:paraId="6AC3E583">
      <w:pPr>
        <w:pStyle w:val="12"/>
        <w:numPr>
          <w:ilvl w:val="0"/>
          <w:numId w:val="2"/>
        </w:numPr>
        <w:jc w:val="both"/>
        <w:rPr>
          <w:rFonts w:ascii="Times New Roman" w:hAnsi="Times New Roman" w:eastAsia="Calibri" w:cs="Times New Roman"/>
          <w:b/>
          <w:bCs/>
        </w:rPr>
      </w:pPr>
      <w:r>
        <w:rPr>
          <w:rFonts w:ascii="Times New Roman" w:hAnsi="Times New Roman" w:eastAsia="Calibri" w:cs="Times New Roman"/>
          <w:b/>
          <w:bCs/>
        </w:rPr>
        <w:t xml:space="preserve">Úvodné slovo starostu obce </w:t>
      </w:r>
    </w:p>
    <w:p w14:paraId="6A11C10D">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Vážení spoluobčania,  </w:t>
      </w:r>
    </w:p>
    <w:p w14:paraId="18D7DDE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dostáva sa Vám do rúk výročná správa so štandardnou štruktúrou o stave a hospodárení obce Hendrichovce, vypracovaná v zmysle zákona č. 431/2002 Z. z. o účtovníctve a v znení neskorších predpisov. </w:t>
      </w:r>
    </w:p>
    <w:p w14:paraId="16BF28B9">
      <w:pPr>
        <w:pStyle w:val="10"/>
        <w:spacing w:before="0" w:beforeAutospacing="0" w:after="0" w:afterAutospacing="0" w:line="276" w:lineRule="auto"/>
        <w:jc w:val="both"/>
        <w:rPr>
          <w:rFonts w:ascii="Times New Roman" w:hAnsi="Times New Roman" w:eastAsia="Calibri" w:cs="Times New Roman"/>
          <w:color w:val="000000"/>
        </w:rPr>
      </w:pPr>
      <w:r>
        <w:rPr>
          <w:rFonts w:ascii="Times New Roman" w:hAnsi="Times New Roman" w:eastAsia="Calibri" w:cs="Times New Roman"/>
        </w:rPr>
        <w:t>Obec Hendrichovce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Výročná správa podrobne opisuje stav a činnosti vykonávané obcou a verne zachytáva stav hospodárenia obce pri zabezpečovaní základných činností a uspokojovania potrieb občanov. Tak ako po uplynulé roky, tak aj v roku 2023 sme zodpovedne riešili potreby každého občana, hospodárne a efektívne vynakladali finančné prostriedky na rozvoj a zveľaďovanie našej obce. Vďaka patrí všetkým občanom, poslancom obecného zastupiteľstva, podnikateľom a iným subjektom, ktorí sa akýmkoľvek spôsobom pričinili k napredovaniu a zveľaďovaniu našej obce.</w:t>
      </w:r>
    </w:p>
    <w:p w14:paraId="6478818C">
      <w:pPr>
        <w:pStyle w:val="10"/>
        <w:spacing w:before="0" w:beforeAutospacing="0" w:after="0" w:afterAutospacing="0" w:line="276" w:lineRule="auto"/>
        <w:jc w:val="both"/>
        <w:rPr>
          <w:rFonts w:ascii="Times New Roman" w:hAnsi="Times New Roman" w:eastAsia="Calibri" w:cs="Times New Roman"/>
          <w:color w:val="000000"/>
        </w:rPr>
      </w:pPr>
      <w:r>
        <w:rPr>
          <w:rFonts w:ascii="Times New Roman" w:hAnsi="Times New Roman" w:eastAsia="Calibri" w:cs="Times New Roman"/>
          <w:color w:val="000000" w:themeColor="text1"/>
          <w14:textFill>
            <w14:solidFill>
              <w14:schemeClr w14:val="tx1"/>
            </w14:solidFill>
          </w14:textFill>
        </w:rPr>
        <w:t xml:space="preserve">Vážení občania, platí staré a veľmi potvrdené pravidlo, peňazí nie je a nebude dosť na všetko, čo treba v reálnom čase zabezpečiť, zmeniť, opraviť, vybudovať, skvalitniť. Tak, ako každý starosta, aj ja sa snažím svojou prácou budovať pozitívny imidž zdravej a perspektívnej obce so zvyšujúcou sa kvalitou života obyvateľov. Posúdiť kvalitu odvedenej práce však samozrejme môžu najlepšie iba občania. V posledných rokoch spoločenská, ekonomická a sociálna situácia prináša každodenne veľa problémov. Zmierniť túto situáciu môžeme, ak si budeme navzájom pomáhať, vychádzať si v ústrety, samozrejme v rámci svojich možností a schopností, aby sme vytvorili pekné, pokojné a šťastné podmienky pre život v našej obci. Verím, že pred sebou máme ešte mnoho výziev, ktoré nás čakajú. S každou situáciou sa musíme vedieť popasovať a určite to zvládneme spoločnými silami. Obec je vizitka nás všetkých . Buďme jeden voči druhému milí, láskaví, starostliví. </w:t>
      </w:r>
      <w:r>
        <w:t xml:space="preserve"> </w:t>
      </w:r>
    </w:p>
    <w:p w14:paraId="286210A6">
      <w:pPr>
        <w:pStyle w:val="10"/>
        <w:spacing w:before="0" w:beforeAutospacing="0" w:after="0" w:afterAutospacing="0" w:line="276" w:lineRule="auto"/>
        <w:jc w:val="both"/>
      </w:pPr>
    </w:p>
    <w:p w14:paraId="32FDD930">
      <w:pPr>
        <w:pStyle w:val="10"/>
        <w:spacing w:before="0" w:beforeAutospacing="0" w:after="0" w:afterAutospacing="0" w:line="276" w:lineRule="auto"/>
        <w:jc w:val="both"/>
      </w:pPr>
    </w:p>
    <w:p w14:paraId="728F21C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b/>
          <w:bCs/>
        </w:rPr>
        <w:t xml:space="preserve">2.Identifikačné údaje obce    </w:t>
      </w:r>
      <w:r>
        <w:rPr>
          <w:rFonts w:ascii="Times New Roman" w:hAnsi="Times New Roman" w:eastAsia="Calibri" w:cs="Times New Roman"/>
        </w:rPr>
        <w:t xml:space="preserve"> </w:t>
      </w:r>
    </w:p>
    <w:p w14:paraId="55D6A07A">
      <w:pPr>
        <w:pStyle w:val="10"/>
        <w:spacing w:before="0" w:beforeAutospacing="0" w:after="0" w:afterAutospacing="0" w:line="276" w:lineRule="auto"/>
        <w:jc w:val="both"/>
        <w:rPr>
          <w:rFonts w:ascii="Times New Roman" w:hAnsi="Times New Roman" w:eastAsia="Calibri" w:cs="Times New Roman"/>
        </w:rPr>
      </w:pPr>
    </w:p>
    <w:p w14:paraId="6311EF5A">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Názov: Obec Hendrichovce </w:t>
      </w:r>
    </w:p>
    <w:p w14:paraId="2D7587C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adresa pre poštový styk: Hendrichovce 19, 082 35 Hendrichovce </w:t>
      </w:r>
    </w:p>
    <w:p w14:paraId="7A0EACE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Okres: Prešov </w:t>
      </w:r>
    </w:p>
    <w:p w14:paraId="3F169AA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Tel. a fax: 051/779 51 07 </w:t>
      </w:r>
    </w:p>
    <w:p w14:paraId="3644F727">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e-mail: </w:t>
      </w:r>
      <w:r>
        <w:fldChar w:fldCharType="begin"/>
      </w:r>
      <w:r>
        <w:instrText xml:space="preserve"> HYPERLINK "mailto:obec@hendrichovce.sk" </w:instrText>
      </w:r>
      <w:r>
        <w:fldChar w:fldCharType="separate"/>
      </w:r>
      <w:r>
        <w:rPr>
          <w:rStyle w:val="17"/>
          <w:rFonts w:ascii="Times New Roman" w:hAnsi="Times New Roman" w:eastAsia="Calibri" w:cs="Times New Roman"/>
        </w:rPr>
        <w:t>obec@hendrichovce.sk</w:t>
      </w:r>
      <w:r>
        <w:rPr>
          <w:rStyle w:val="17"/>
          <w:rFonts w:ascii="Times New Roman" w:hAnsi="Times New Roman" w:eastAsia="Calibri" w:cs="Times New Roman"/>
        </w:rPr>
        <w:fldChar w:fldCharType="end"/>
      </w:r>
      <w:r>
        <w:rPr>
          <w:rFonts w:ascii="Times New Roman" w:hAnsi="Times New Roman" w:eastAsia="Calibri" w:cs="Times New Roman"/>
        </w:rPr>
        <w:t xml:space="preserve"> </w:t>
      </w:r>
    </w:p>
    <w:p w14:paraId="2CCF15B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web: </w:t>
      </w:r>
      <w:r>
        <w:fldChar w:fldCharType="begin"/>
      </w:r>
      <w:r>
        <w:instrText xml:space="preserve"> HYPERLINK "http://www.hendrichovce.sk/" </w:instrText>
      </w:r>
      <w:r>
        <w:fldChar w:fldCharType="separate"/>
      </w:r>
      <w:r>
        <w:rPr>
          <w:rStyle w:val="17"/>
          <w:rFonts w:ascii="Times New Roman" w:hAnsi="Times New Roman" w:eastAsia="Calibri" w:cs="Times New Roman"/>
        </w:rPr>
        <w:t>http://www.hendrichovce.sk/</w:t>
      </w:r>
      <w:r>
        <w:rPr>
          <w:rStyle w:val="17"/>
          <w:rFonts w:ascii="Times New Roman" w:hAnsi="Times New Roman" w:eastAsia="Calibri" w:cs="Times New Roman"/>
        </w:rPr>
        <w:fldChar w:fldCharType="end"/>
      </w:r>
    </w:p>
    <w:p w14:paraId="1B171608">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IČO: 00327077 </w:t>
      </w:r>
    </w:p>
    <w:p w14:paraId="7251BF5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Právna forma: právnická osoba Deň vzniku: Obec ako samostatný územný samosprávny a správny celok sa riadi zákonom č. 369/1990 Zb. o obecnom zriadení v znení neskorších zmien a doplnkov a Ústavou SR </w:t>
      </w:r>
    </w:p>
    <w:p w14:paraId="3F66F72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Rozloha obce: 422 ha</w:t>
      </w:r>
    </w:p>
    <w:p w14:paraId="16DFCDE0">
      <w:pPr>
        <w:pStyle w:val="10"/>
        <w:spacing w:before="0" w:beforeAutospacing="0" w:after="0" w:afterAutospacing="0" w:line="276" w:lineRule="auto"/>
        <w:jc w:val="both"/>
        <w:rPr>
          <w:rFonts w:ascii="Times New Roman" w:hAnsi="Times New Roman" w:eastAsia="Calibri" w:cs="Times New Roman"/>
        </w:rPr>
      </w:pPr>
    </w:p>
    <w:p w14:paraId="6BD69395">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 xml:space="preserve">3.Organizačné štruktúra obce   </w:t>
      </w:r>
    </w:p>
    <w:p w14:paraId="33F1C58E">
      <w:pPr>
        <w:pStyle w:val="10"/>
        <w:spacing w:before="0" w:beforeAutospacing="0" w:after="0" w:afterAutospacing="0" w:line="276" w:lineRule="auto"/>
        <w:jc w:val="both"/>
        <w:rPr>
          <w:rFonts w:ascii="Times New Roman" w:hAnsi="Times New Roman" w:eastAsia="Calibri" w:cs="Times New Roman"/>
        </w:rPr>
      </w:pPr>
    </w:p>
    <w:p w14:paraId="6159D6FA">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Starosta obce: Martin Martaus </w:t>
      </w:r>
    </w:p>
    <w:p w14:paraId="446D216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Zástupca starostu: Jozef Baloga </w:t>
      </w:r>
    </w:p>
    <w:p w14:paraId="3A6A529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Obecné zastupiteľstvo: Jozef Jurek, Gabriel Kaščák, František Centko, Ing. Ľubomír Centko </w:t>
      </w:r>
    </w:p>
    <w:p w14:paraId="4E83FA98">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Obecné zastupiteľstvo rozhodovalo na svojich zasadnutiach o základných otázkach života obce. Každé zasadnutie OZ sa konalo v zasadačke obecného úradu. Pozvánka na zasadnutie bola zverejnená na úradnej tabuli najneskôr 3 dni pred konaním zasadnutia. Každé zasadnutie bolo verejné.  </w:t>
      </w:r>
    </w:p>
    <w:p w14:paraId="5AFED7B2">
      <w:pPr>
        <w:pStyle w:val="10"/>
        <w:spacing w:before="0" w:beforeAutospacing="0" w:after="0" w:afterAutospacing="0" w:line="276" w:lineRule="auto"/>
        <w:jc w:val="both"/>
        <w:rPr>
          <w:rFonts w:ascii="Times New Roman" w:hAnsi="Times New Roman" w:eastAsia="Calibri" w:cs="Times New Roman"/>
        </w:rPr>
      </w:pPr>
    </w:p>
    <w:p w14:paraId="4E5F7261">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4. Základná charakteristika obce</w:t>
      </w:r>
    </w:p>
    <w:p w14:paraId="47BF6783">
      <w:pPr>
        <w:pStyle w:val="10"/>
        <w:spacing w:before="0" w:beforeAutospacing="0" w:after="0" w:afterAutospacing="0" w:line="276" w:lineRule="auto"/>
        <w:jc w:val="both"/>
        <w:rPr>
          <w:rFonts w:ascii="Times New Roman" w:hAnsi="Times New Roman" w:eastAsia="Calibri" w:cs="Times New Roman"/>
        </w:rPr>
      </w:pPr>
    </w:p>
    <w:p w14:paraId="09044FB2">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Obecný úrad je výkonným orgánom obecného zastupiteľstva a starostu obce, zabezpečuje organizačné a administratívne veci. Prácu obecného úradu organizuje starosta obce. </w:t>
      </w:r>
    </w:p>
    <w:p w14:paraId="0572174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Obec Hendrichovce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04F336A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0183E82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14:paraId="3C6CF675">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Podiely na daniach v správe štátu upravuje zákon č. 564/2004 Z. z. o rozpočtovom určení výnosu dane z príjmov územnej samospráve a o zmene a doplnení niektorých zákonov. </w:t>
      </w:r>
    </w:p>
    <w:p w14:paraId="3B37B063">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 Ďalšie dotácie v súlade so zákonom o 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 Cieľom účtovnej závierky je poskytnúť verný a pravdivý obraz o účtovnej závierke. Informácie v účtovnej závierke sú užitočné, ak sú posudzované z hľadiska významnosti, zrozumiteľné, porovnateľné a spoľahlivé. Zákon o účtovníctve v znení neskorších predpisov stanovuje povinnosť overenia individuálnej účtovnej závierky a vyhotovenie výročnej správy, ktorej súlad s účtovnou závierkou musí byť tiež overený audítorom. Pre obce to ustanovuje aj 7 § 9 zákona č. 369/1990 Zb. o obecnom zriadení v znení neskorších doplnkov.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 Prípravné práce sa uskutočnili pred uzavretím účtovných kníh a zahŕňali tieto okruhy činností:</w:t>
      </w:r>
    </w:p>
    <w:p w14:paraId="627688A6">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inventarizáciu, </w:t>
      </w:r>
    </w:p>
    <w:p w14:paraId="78653B77">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kontrolu bilančnej kontinuity, </w:t>
      </w:r>
    </w:p>
    <w:p w14:paraId="5EA74B66">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kontrolu nadväznosti analytických účtov a analytickej evidencie na syntetické účty, </w:t>
      </w:r>
    </w:p>
    <w:p w14:paraId="53047BF8">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zaúčtovanie účtovných prípadov na účtoch, ktoré nesmú mať konečný zostatok, </w:t>
      </w:r>
    </w:p>
    <w:p w14:paraId="6E14B2DB">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kontrolu účtu výsledku hospodárenia, </w:t>
      </w:r>
    </w:p>
    <w:p w14:paraId="2B1E6CA1">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kontrolu zaúčtovania odpisov,</w:t>
      </w:r>
    </w:p>
    <w:p w14:paraId="493A13B6">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doúčtovanie účtovných prípadov bežného účtovného obdobia a </w:t>
      </w:r>
    </w:p>
    <w:p w14:paraId="541301EF">
      <w:pPr>
        <w:pStyle w:val="10"/>
        <w:numPr>
          <w:ilvl w:val="0"/>
          <w:numId w:val="3"/>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kontrolu formálnej správnosti účtovných zápisov. </w:t>
      </w:r>
    </w:p>
    <w:p w14:paraId="783E1F5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Pri uzatváraní účtovných kníh obec postupuje nasledovne: </w:t>
      </w:r>
    </w:p>
    <w:p w14:paraId="02452D91">
      <w:pPr>
        <w:pStyle w:val="10"/>
        <w:numPr>
          <w:ilvl w:val="0"/>
          <w:numId w:val="4"/>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zistia sa obraty jednotlivých účtov,</w:t>
      </w:r>
    </w:p>
    <w:p w14:paraId="32F1C8CD">
      <w:pPr>
        <w:pStyle w:val="10"/>
        <w:numPr>
          <w:ilvl w:val="0"/>
          <w:numId w:val="4"/>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zistia sa konečné stavy účtov prostriedkov a zdrojov rozpočtového hospodárenia, a </w:t>
      </w:r>
    </w:p>
    <w:p w14:paraId="00B13200">
      <w:pPr>
        <w:pStyle w:val="10"/>
        <w:numPr>
          <w:ilvl w:val="0"/>
          <w:numId w:val="4"/>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zistí sa účtovný výsledok hospodárenia za účtovné obdobie </w:t>
      </w:r>
    </w:p>
    <w:p w14:paraId="28D7E618">
      <w:pPr>
        <w:pStyle w:val="10"/>
        <w:numPr>
          <w:ilvl w:val="0"/>
          <w:numId w:val="4"/>
        </w:numPr>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Obec Hendrichovce od 1. 1. 2009 účtovala v mene euro.</w:t>
      </w:r>
    </w:p>
    <w:p w14:paraId="71F2BC1B">
      <w:pPr>
        <w:pStyle w:val="10"/>
        <w:spacing w:before="0" w:beforeAutospacing="0" w:after="0" w:afterAutospacing="0" w:line="276" w:lineRule="auto"/>
        <w:jc w:val="both"/>
        <w:rPr>
          <w:rFonts w:ascii="Times New Roman" w:hAnsi="Times New Roman" w:eastAsia="Calibri" w:cs="Times New Roman"/>
        </w:rPr>
      </w:pPr>
    </w:p>
    <w:p w14:paraId="6F7C2097">
      <w:pPr>
        <w:pStyle w:val="10"/>
        <w:spacing w:before="0" w:beforeAutospacing="0" w:after="0" w:afterAutospacing="0" w:line="276" w:lineRule="auto"/>
        <w:jc w:val="both"/>
        <w:rPr>
          <w:rFonts w:ascii="Times New Roman" w:hAnsi="Times New Roman" w:eastAsia="Calibri" w:cs="Times New Roman"/>
        </w:rPr>
      </w:pPr>
    </w:p>
    <w:p w14:paraId="4866E2F6">
      <w:pPr>
        <w:pStyle w:val="10"/>
        <w:spacing w:before="0" w:beforeAutospacing="0" w:after="0" w:afterAutospacing="0" w:line="276" w:lineRule="auto"/>
        <w:jc w:val="both"/>
        <w:rPr>
          <w:rFonts w:ascii="Times New Roman" w:hAnsi="Times New Roman" w:eastAsia="Calibri" w:cs="Times New Roman"/>
        </w:rPr>
      </w:pPr>
    </w:p>
    <w:p w14:paraId="5CF27637">
      <w:pPr>
        <w:pStyle w:val="10"/>
        <w:spacing w:before="0" w:beforeAutospacing="0" w:after="0" w:afterAutospacing="0" w:line="276" w:lineRule="auto"/>
        <w:jc w:val="both"/>
        <w:rPr>
          <w:rFonts w:ascii="Times New Roman" w:hAnsi="Times New Roman" w:eastAsia="Calibri" w:cs="Times New Roman"/>
        </w:rPr>
      </w:pPr>
    </w:p>
    <w:p w14:paraId="278448F7">
      <w:pPr>
        <w:pStyle w:val="10"/>
        <w:spacing w:before="0" w:beforeAutospacing="0" w:after="0" w:afterAutospacing="0" w:line="276" w:lineRule="auto"/>
        <w:jc w:val="both"/>
        <w:rPr>
          <w:rFonts w:ascii="Times New Roman" w:hAnsi="Times New Roman" w:eastAsia="Calibri" w:cs="Times New Roman"/>
        </w:rPr>
      </w:pPr>
    </w:p>
    <w:p w14:paraId="48ECD00E">
      <w:pPr>
        <w:pStyle w:val="10"/>
        <w:spacing w:before="0" w:beforeAutospacing="0" w:after="0" w:afterAutospacing="0" w:line="276" w:lineRule="auto"/>
        <w:jc w:val="both"/>
        <w:rPr>
          <w:rFonts w:ascii="Times New Roman" w:hAnsi="Times New Roman" w:eastAsia="Calibri" w:cs="Times New Roman"/>
        </w:rPr>
      </w:pPr>
    </w:p>
    <w:p w14:paraId="361BFBE9">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4.1.Geografické údaje</w:t>
      </w:r>
    </w:p>
    <w:p w14:paraId="482AFCDA">
      <w:pPr>
        <w:pStyle w:val="10"/>
        <w:spacing w:before="0" w:beforeAutospacing="0" w:after="0" w:afterAutospacing="0" w:line="276" w:lineRule="auto"/>
        <w:jc w:val="both"/>
        <w:rPr>
          <w:rFonts w:ascii="Times New Roman" w:hAnsi="Times New Roman" w:eastAsia="Calibri" w:cs="Times New Roman"/>
          <w:b/>
          <w:bCs/>
        </w:rPr>
      </w:pPr>
    </w:p>
    <w:p w14:paraId="58C804B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b/>
          <w:bCs/>
        </w:rPr>
        <w:t xml:space="preserve">Poloha: </w:t>
      </w:r>
      <w:r>
        <w:rPr>
          <w:rFonts w:ascii="Times New Roman" w:hAnsi="Times New Roman" w:eastAsia="Calibri" w:cs="Times New Roman"/>
        </w:rPr>
        <w:t xml:space="preserve">Hendrichovce ležia v Šarišskej vrchovine v doline Veľkej Svinky. Nadmorská výška v strede obce je 420 m n. m. a v chotári 410 – 698 m n. m. Mierne členitý vrchovinný povrch zväčša odlesneného chotára tvorí cenrálnokarpatský flyš. Prevládajú hnedé lesné pôdy, v doline nivné. Susedné mestá a obce: Fričovce, Bertotovce, Hermanovce... </w:t>
      </w:r>
    </w:p>
    <w:p w14:paraId="77EE940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Celková rozloha obce: 422 ha </w:t>
      </w:r>
    </w:p>
    <w:p w14:paraId="798A1C55">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rPr>
        <w:t>Nadmorská výška: 420 m. n. m</w:t>
      </w:r>
    </w:p>
    <w:p w14:paraId="28A8D2AD">
      <w:pPr>
        <w:pStyle w:val="10"/>
        <w:spacing w:before="0" w:beforeAutospacing="0" w:after="0" w:afterAutospacing="0" w:line="276" w:lineRule="auto"/>
        <w:jc w:val="both"/>
        <w:rPr>
          <w:rFonts w:ascii="Times New Roman" w:hAnsi="Times New Roman" w:eastAsia="Calibri" w:cs="Times New Roman"/>
        </w:rPr>
      </w:pPr>
    </w:p>
    <w:p w14:paraId="6CE5577E">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4.2.Demografické údaje:</w:t>
      </w:r>
    </w:p>
    <w:p w14:paraId="288E3C02">
      <w:pPr>
        <w:pStyle w:val="10"/>
        <w:spacing w:before="0" w:beforeAutospacing="0" w:after="0" w:afterAutospacing="0" w:line="276" w:lineRule="auto"/>
        <w:jc w:val="both"/>
        <w:rPr>
          <w:rFonts w:ascii="Times New Roman" w:hAnsi="Times New Roman" w:eastAsia="Calibri" w:cs="Times New Roman"/>
        </w:rPr>
      </w:pPr>
    </w:p>
    <w:p w14:paraId="67DFA96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Počet obyvateľov : 263</w:t>
      </w:r>
    </w:p>
    <w:p w14:paraId="6F4F30F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Hustota obyvateľstva: 63,03 obyv./km² </w:t>
      </w:r>
    </w:p>
    <w:p w14:paraId="195166CE">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Národnostná štruktúra : najpočetnejšou národnosťou je slovenská národnosť </w:t>
      </w:r>
    </w:p>
    <w:p w14:paraId="180B1E13">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Štruktúra obyvateľstva podľa náboženského významu: najviac je zastúpené katolícke náboženstvo</w:t>
      </w:r>
      <w:r>
        <w:t xml:space="preserve"> </w:t>
      </w:r>
    </w:p>
    <w:p w14:paraId="6414DCB4">
      <w:pPr>
        <w:pStyle w:val="10"/>
        <w:spacing w:before="0" w:beforeAutospacing="0" w:after="0" w:afterAutospacing="0" w:line="276" w:lineRule="auto"/>
        <w:jc w:val="both"/>
      </w:pPr>
    </w:p>
    <w:p w14:paraId="0C7FFDC8">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 xml:space="preserve">4.3 Ekonomické údaje </w:t>
      </w:r>
      <w:r>
        <w:rPr>
          <w:rFonts w:ascii="Times New Roman" w:hAnsi="Times New Roman" w:eastAsia="Calibri" w:cs="Times New Roman"/>
        </w:rPr>
        <w:t xml:space="preserve"> </w:t>
      </w:r>
    </w:p>
    <w:p w14:paraId="7F4A4492">
      <w:pPr>
        <w:pStyle w:val="10"/>
        <w:spacing w:before="0" w:beforeAutospacing="0" w:after="0" w:afterAutospacing="0" w:line="276" w:lineRule="auto"/>
        <w:jc w:val="both"/>
        <w:rPr>
          <w:rFonts w:ascii="Times New Roman" w:hAnsi="Times New Roman" w:eastAsia="Calibri" w:cs="Times New Roman"/>
        </w:rPr>
      </w:pPr>
    </w:p>
    <w:p w14:paraId="12B40188">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Nezamestnanosť v okrese: 7,69 % (31. 12. 2022) </w:t>
      </w:r>
    </w:p>
    <w:p w14:paraId="685BA13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Vývoj nezamestnanosti: oproti roku 2021 (8,44 % k 31. 12. 2022) </w:t>
      </w:r>
    </w:p>
    <w:p w14:paraId="78579698">
      <w:pPr>
        <w:pStyle w:val="10"/>
        <w:spacing w:before="0" w:beforeAutospacing="0" w:after="0" w:afterAutospacing="0" w:line="276" w:lineRule="auto"/>
        <w:jc w:val="both"/>
        <w:rPr>
          <w:rFonts w:ascii="Times New Roman" w:hAnsi="Times New Roman" w:eastAsia="Calibri" w:cs="Times New Roman"/>
        </w:rPr>
      </w:pPr>
    </w:p>
    <w:p w14:paraId="1D34ACE1">
      <w:pPr>
        <w:pStyle w:val="10"/>
        <w:spacing w:before="0" w:beforeAutospacing="0" w:after="0" w:afterAutospacing="0" w:line="276" w:lineRule="auto"/>
        <w:jc w:val="both"/>
        <w:rPr>
          <w:rFonts w:ascii="Times New Roman" w:hAnsi="Times New Roman" w:eastAsia="Calibri" w:cs="Times New Roman"/>
        </w:rPr>
      </w:pPr>
    </w:p>
    <w:p w14:paraId="0CC5B1F8">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 xml:space="preserve">4.4 Symboly obce </w:t>
      </w:r>
    </w:p>
    <w:p w14:paraId="1528D26E">
      <w:pPr>
        <w:pStyle w:val="10"/>
        <w:spacing w:before="0" w:beforeAutospacing="0" w:after="0" w:afterAutospacing="0" w:line="276" w:lineRule="auto"/>
        <w:jc w:val="both"/>
        <w:rPr>
          <w:rFonts w:ascii="Times New Roman" w:hAnsi="Times New Roman" w:eastAsia="Calibri" w:cs="Times New Roman"/>
        </w:rPr>
      </w:pPr>
    </w:p>
    <w:p w14:paraId="752553BD">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w:t>
      </w:r>
    </w:p>
    <w:p w14:paraId="69785AA2">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vlajka </w:t>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ab/>
      </w:r>
      <w:r>
        <w:rPr>
          <w:rFonts w:ascii="Times New Roman" w:hAnsi="Times New Roman" w:eastAsia="Calibri" w:cs="Times New Roman"/>
        </w:rPr>
        <w:t xml:space="preserve">erb                                                                                                                                                             </w:t>
      </w:r>
      <w:r>
        <w:drawing>
          <wp:inline distT="0" distB="0" distL="0" distR="0">
            <wp:extent cx="1781175" cy="2099310"/>
            <wp:effectExtent l="0" t="0" r="9525" b="0"/>
            <wp:docPr id="1979754193" name="Obrázok 2" descr="Obrázok, na ktorom je zástava, rad, symbol, štvorec&#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54193" name="Obrázok 2" descr="Obrázok, na ktorom je zástava, rad, symbol, štvorec&#10;&#10;Automaticky generovaný popi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1175" cy="2099310"/>
                    </a:xfrm>
                    <a:prstGeom prst="rect">
                      <a:avLst/>
                    </a:prstGeom>
                    <a:noFill/>
                    <a:ln>
                      <a:noFill/>
                    </a:ln>
                  </pic:spPr>
                </pic:pic>
              </a:graphicData>
            </a:graphic>
          </wp:inline>
        </w:drawing>
      </w:r>
      <w:r>
        <w:rPr>
          <w:rFonts w:ascii="Times New Roman" w:hAnsi="Times New Roman" w:eastAsia="Calibri" w:cs="Times New Roman"/>
        </w:rPr>
        <w:t xml:space="preserve">                                           </w:t>
      </w:r>
      <w:r>
        <w:drawing>
          <wp:inline distT="0" distB="0" distL="0" distR="0">
            <wp:extent cx="1526540" cy="1939925"/>
            <wp:effectExtent l="0" t="0" r="0" b="3175"/>
            <wp:docPr id="98504161" name="Obrázok 1" descr="Obrázok, na ktorom je kreslený obrázok, cicavec, animák, ilustrác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04161" name="Obrázok 1" descr="Obrázok, na ktorom je kreslený obrázok, cicavec, animák, ilustrácia&#10;&#10;Automaticky generovaný popi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526540" cy="1939925"/>
                    </a:xfrm>
                    <a:prstGeom prst="rect">
                      <a:avLst/>
                    </a:prstGeom>
                    <a:noFill/>
                    <a:ln>
                      <a:noFill/>
                    </a:ln>
                  </pic:spPr>
                </pic:pic>
              </a:graphicData>
            </a:graphic>
          </wp:inline>
        </w:drawing>
      </w:r>
    </w:p>
    <w:p w14:paraId="7C7BC95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w:t>
      </w:r>
    </w:p>
    <w:p w14:paraId="56051E4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 </w:t>
      </w:r>
    </w:p>
    <w:p w14:paraId="582BC657">
      <w:pPr>
        <w:pStyle w:val="10"/>
        <w:spacing w:before="0" w:beforeAutospacing="0" w:after="0" w:afterAutospacing="0" w:line="276" w:lineRule="auto"/>
        <w:jc w:val="both"/>
        <w:rPr>
          <w:rFonts w:ascii="Times New Roman" w:hAnsi="Times New Roman" w:eastAsia="Calibri" w:cs="Times New Roman"/>
        </w:rPr>
      </w:pPr>
    </w:p>
    <w:p w14:paraId="3AA99E5F">
      <w:pPr>
        <w:pStyle w:val="10"/>
        <w:spacing w:before="0" w:beforeAutospacing="0" w:after="0" w:afterAutospacing="0" w:line="276" w:lineRule="auto"/>
        <w:jc w:val="both"/>
        <w:rPr>
          <w:rFonts w:ascii="Times New Roman" w:hAnsi="Times New Roman" w:eastAsia="Calibri" w:cs="Times New Roman"/>
        </w:rPr>
      </w:pPr>
    </w:p>
    <w:p w14:paraId="370450DB">
      <w:pPr>
        <w:pStyle w:val="10"/>
        <w:spacing w:before="0" w:beforeAutospacing="0" w:after="0" w:afterAutospacing="0" w:line="276" w:lineRule="auto"/>
        <w:jc w:val="both"/>
        <w:rPr>
          <w:rFonts w:ascii="Times New Roman" w:hAnsi="Times New Roman" w:eastAsia="Calibri" w:cs="Times New Roman"/>
        </w:rPr>
      </w:pPr>
    </w:p>
    <w:p w14:paraId="3DEEC669">
      <w:pPr>
        <w:pStyle w:val="10"/>
        <w:spacing w:before="0" w:beforeAutospacing="0" w:after="0" w:afterAutospacing="0" w:line="276" w:lineRule="auto"/>
        <w:jc w:val="both"/>
        <w:rPr>
          <w:rFonts w:ascii="Times New Roman" w:hAnsi="Times New Roman" w:eastAsia="Calibri" w:cs="Times New Roman"/>
        </w:rPr>
      </w:pPr>
    </w:p>
    <w:p w14:paraId="08A5E13D">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 xml:space="preserve">4.5 Zaujímavosti z histórie a súčasnosti obce </w:t>
      </w:r>
    </w:p>
    <w:p w14:paraId="3BDC5A69">
      <w:pPr>
        <w:pStyle w:val="10"/>
        <w:spacing w:before="0" w:beforeAutospacing="0" w:after="0" w:afterAutospacing="0" w:line="276" w:lineRule="auto"/>
        <w:jc w:val="both"/>
        <w:rPr>
          <w:rFonts w:ascii="Times New Roman" w:hAnsi="Times New Roman" w:eastAsia="Calibri" w:cs="Times New Roman"/>
        </w:rPr>
      </w:pPr>
    </w:p>
    <w:p w14:paraId="2E8286E0">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 vznikla v 13. storočí zemianskou kolonizáciou. Obec je doložená z roku 1320 ako (villa) Herrici, neskôr ako Hedrychfalva (1330), Hedrichowcze (1773), Hedrihovce, Henrihovce (1920), Hendrichovce (1927); maďarsky Hedri. Obec po delení v roku 1320 pripadla Meršovi. V roku 1330 ju zámenou získali Abovci, v roku 1427 mala 16 port. Do začiatku 19. storočia patrila rodine Hendriovcov. </w:t>
      </w:r>
    </w:p>
    <w:p w14:paraId="0DF7BEB1">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V roku 1787 mala 32 domov a 193 obyvateľov, v roku 1828 mala obec 22 domov a 175 obyvateľov. Okrem poľnohospodárstva sa zaoberali príležitostnou furmankou. Za I. ČSR sa obyvatelia zaoberali poľnohospodárstvom a sezónnou prácou v lesoch. JRD (Jednotné roľnícke družstvo bolo založené v roku 1959 a v roku 1966 prešlo do Štátneho majetku. Časť obyvateľstva pracovala v stavebných a priemyselných podnikoch. </w:t>
      </w:r>
    </w:p>
    <w:p w14:paraId="01464AC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Obcou pretekajú tri potoky. Ten väčší je Veľká Svinka, do ktorého sa vlievajú vody Lazného a Štefanovského potoka. </w:t>
      </w:r>
    </w:p>
    <w:p w14:paraId="67461DBF">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Koncom 13. storočia bol postavený rímskokatolícky gotický kostol, zasvätený sv. Štefanovi Prvomučeníkovi. V roku 2005 bol v obci vysvätený nový kostol, zasvätený Ružencovej Panne Márii. Dominantou obce je rybník s rozlohou 33 árov.</w:t>
      </w:r>
      <w:r>
        <w:t xml:space="preserve"> </w:t>
      </w:r>
    </w:p>
    <w:p w14:paraId="0AF18A79">
      <w:pPr>
        <w:pStyle w:val="10"/>
        <w:spacing w:before="0" w:beforeAutospacing="0" w:after="0" w:afterAutospacing="0" w:line="276" w:lineRule="auto"/>
        <w:jc w:val="both"/>
      </w:pPr>
    </w:p>
    <w:p w14:paraId="7AF59237">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4.6 Pamiatky</w:t>
      </w:r>
      <w:r>
        <w:rPr>
          <w:rFonts w:ascii="Times New Roman" w:hAnsi="Times New Roman" w:eastAsia="Calibri" w:cs="Times New Roman"/>
        </w:rPr>
        <w:t xml:space="preserve"> </w:t>
      </w:r>
    </w:p>
    <w:p w14:paraId="0D20291C">
      <w:pPr>
        <w:pStyle w:val="10"/>
        <w:spacing w:before="0" w:beforeAutospacing="0" w:after="0" w:afterAutospacing="0" w:line="276" w:lineRule="auto"/>
        <w:jc w:val="both"/>
        <w:rPr>
          <w:rFonts w:ascii="Times New Roman" w:hAnsi="Times New Roman" w:eastAsia="Calibri" w:cs="Times New Roman"/>
          <w:b/>
          <w:bCs/>
          <w:u w:val="single"/>
        </w:rPr>
      </w:pPr>
    </w:p>
    <w:p w14:paraId="10AADB72">
      <w:pPr>
        <w:pStyle w:val="10"/>
        <w:spacing w:before="0" w:beforeAutospacing="0" w:after="0" w:afterAutospacing="0" w:line="276" w:lineRule="auto"/>
        <w:jc w:val="both"/>
        <w:rPr>
          <w:rFonts w:ascii="Times New Roman" w:hAnsi="Times New Roman" w:eastAsia="Calibri" w:cs="Times New Roman"/>
          <w:b/>
          <w:bCs/>
          <w:u w:val="single"/>
        </w:rPr>
      </w:pPr>
      <w:r>
        <w:rPr>
          <w:rFonts w:ascii="Times New Roman" w:hAnsi="Times New Roman" w:eastAsia="Calibri" w:cs="Times New Roman"/>
          <w:b/>
          <w:bCs/>
          <w:u w:val="single"/>
        </w:rPr>
        <w:t xml:space="preserve">Rímskokatolícky kostol sv. Štefana prvomučeníka </w:t>
      </w:r>
      <w:r>
        <w:rPr>
          <w:rFonts w:ascii="Times New Roman" w:hAnsi="Times New Roman" w:eastAsia="Calibri" w:cs="Times New Roman"/>
        </w:rPr>
        <w:t xml:space="preserve"> </w:t>
      </w:r>
    </w:p>
    <w:p w14:paraId="6CCE02E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Kostol z 2.. polovice 14. storočia. Pôvodne gotický kostol bol prestavaný okolo roku 1641 a v roku 1753 dostal podobu barokového štýlu. Je to jednoloďová stavba s gotickým presbytériom. V 20. storočí získal chrám nové zastrešenie, malú vežičku a nový vstupný portál v predĺženej lodi. Najviac pôvodných stredovekých architektonických detailov zostalo v presbytériu a v sakristii.  </w:t>
      </w:r>
    </w:p>
    <w:p w14:paraId="13BB2BC7">
      <w:pPr>
        <w:pStyle w:val="10"/>
        <w:spacing w:before="0" w:beforeAutospacing="0" w:after="0" w:afterAutospacing="0" w:line="276" w:lineRule="auto"/>
        <w:jc w:val="both"/>
        <w:rPr>
          <w:rFonts w:ascii="Times New Roman" w:hAnsi="Times New Roman" w:eastAsia="Calibri" w:cs="Times New Roman"/>
          <w:b/>
          <w:bCs/>
          <w:u w:val="single"/>
        </w:rPr>
      </w:pPr>
    </w:p>
    <w:p w14:paraId="053C557D">
      <w:pPr>
        <w:pStyle w:val="10"/>
        <w:spacing w:before="0" w:beforeAutospacing="0" w:after="0" w:afterAutospacing="0" w:line="276" w:lineRule="auto"/>
        <w:jc w:val="both"/>
        <w:rPr>
          <w:rFonts w:ascii="Times New Roman" w:hAnsi="Times New Roman" w:eastAsia="Calibri" w:cs="Times New Roman"/>
          <w:b/>
          <w:bCs/>
          <w:u w:val="single"/>
        </w:rPr>
      </w:pPr>
      <w:r>
        <w:rPr>
          <w:rFonts w:ascii="Times New Roman" w:hAnsi="Times New Roman" w:eastAsia="Calibri" w:cs="Times New Roman"/>
          <w:b/>
          <w:bCs/>
          <w:u w:val="single"/>
        </w:rPr>
        <w:t xml:space="preserve">Klasicistický kaštieľ </w:t>
      </w:r>
      <w:r>
        <w:rPr>
          <w:rFonts w:ascii="Times New Roman" w:hAnsi="Times New Roman" w:eastAsia="Calibri" w:cs="Times New Roman"/>
        </w:rPr>
        <w:t xml:space="preserve"> </w:t>
      </w:r>
    </w:p>
    <w:p w14:paraId="3882114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Zásluhou baróna Šándora Ghillányho bol bývalý kuriálny dom v Hendrichovciach prebudovaný na klasicistický kaštieľ v roku 1832. Budova je dvojpodlažná s kovovou mrežou na balkóne, v ktorej sa nachádzajú iniciály spomínaného baróna. Ghillányovcom tento majetok patril do roku 1945. </w:t>
      </w:r>
    </w:p>
    <w:p w14:paraId="09A43B89">
      <w:pPr>
        <w:pStyle w:val="10"/>
        <w:spacing w:before="0" w:beforeAutospacing="0" w:after="0" w:afterAutospacing="0" w:line="276" w:lineRule="auto"/>
        <w:jc w:val="both"/>
        <w:rPr>
          <w:rFonts w:ascii="Times New Roman" w:hAnsi="Times New Roman" w:eastAsia="Calibri" w:cs="Times New Roman"/>
        </w:rPr>
      </w:pPr>
    </w:p>
    <w:p w14:paraId="3E6E61E6">
      <w:pPr>
        <w:pStyle w:val="10"/>
        <w:spacing w:before="0" w:beforeAutospacing="0" w:after="0" w:afterAutospacing="0" w:line="276" w:lineRule="auto"/>
        <w:jc w:val="both"/>
        <w:rPr>
          <w:rFonts w:ascii="Times New Roman" w:hAnsi="Times New Roman" w:eastAsia="Calibri" w:cs="Times New Roman"/>
        </w:rPr>
      </w:pPr>
    </w:p>
    <w:p w14:paraId="0FCDEBDA">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Obecný úrad je výkonným orgánom obecného zastupiteľstva a starostu obce, zabezpečuje organizačné a administratívne veci. Prácu obecného úradu organizuje starosta obce. </w:t>
      </w:r>
    </w:p>
    <w:p w14:paraId="2E072214">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Obec Hendrichovce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540C7660">
      <w:pPr>
        <w:pStyle w:val="10"/>
        <w:spacing w:before="0" w:beforeAutospacing="0" w:after="0" w:afterAutospacing="0" w:line="276" w:lineRule="auto"/>
        <w:jc w:val="both"/>
        <w:rPr>
          <w:rFonts w:ascii="Times New Roman" w:hAnsi="Times New Roman" w:eastAsia="Calibri" w:cs="Times New Roman"/>
        </w:rPr>
      </w:pPr>
    </w:p>
    <w:p w14:paraId="3943FE4A">
      <w:pPr>
        <w:pStyle w:val="10"/>
        <w:spacing w:before="0" w:beforeAutospacing="0" w:after="0" w:afterAutospacing="0" w:line="276" w:lineRule="auto"/>
        <w:jc w:val="both"/>
        <w:rPr>
          <w:rFonts w:ascii="Times New Roman" w:hAnsi="Times New Roman" w:eastAsia="Calibri" w:cs="Times New Roman"/>
        </w:rPr>
      </w:pPr>
    </w:p>
    <w:p w14:paraId="2A49758E">
      <w:pPr>
        <w:pStyle w:val="10"/>
        <w:spacing w:before="0" w:beforeAutospacing="0" w:after="0" w:afterAutospacing="0" w:line="276" w:lineRule="auto"/>
        <w:jc w:val="both"/>
        <w:rPr>
          <w:rFonts w:ascii="Times New Roman" w:hAnsi="Times New Roman" w:eastAsia="Calibri" w:cs="Times New Roman"/>
        </w:rPr>
      </w:pPr>
    </w:p>
    <w:p w14:paraId="0F6956B6">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 xml:space="preserve">5. Plnenie úloh obce </w:t>
      </w:r>
    </w:p>
    <w:p w14:paraId="3AFB34C2">
      <w:pPr>
        <w:pStyle w:val="10"/>
        <w:spacing w:before="0" w:beforeAutospacing="0" w:after="0" w:afterAutospacing="0" w:line="276" w:lineRule="auto"/>
        <w:jc w:val="both"/>
        <w:rPr>
          <w:rFonts w:ascii="Times New Roman" w:hAnsi="Times New Roman" w:eastAsia="Calibri" w:cs="Times New Roman"/>
        </w:rPr>
      </w:pPr>
    </w:p>
    <w:p w14:paraId="0EF7ECFC">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Inštitúcie v obci </w:t>
      </w:r>
    </w:p>
    <w:p w14:paraId="42F8291B">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Občianska a technická vybavenosť: </w:t>
      </w:r>
    </w:p>
    <w:p w14:paraId="488A81B4">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predajňa potravinárskeho tovaru, </w:t>
      </w:r>
    </w:p>
    <w:p w14:paraId="22166084">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pohostinské odbytové stredisko, </w:t>
      </w:r>
    </w:p>
    <w:p w14:paraId="5C99F4FF">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futbalové ihrisko,</w:t>
      </w:r>
    </w:p>
    <w:p w14:paraId="158A3A07">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pošta, </w:t>
      </w:r>
    </w:p>
    <w:p w14:paraId="4CD37542">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rozvodná sieť plynu, </w:t>
      </w:r>
    </w:p>
    <w:p w14:paraId="547DC390">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komunálny odpad, zneškodňovaný komunálny odpad a </w:t>
      </w:r>
    </w:p>
    <w:p w14:paraId="4D39C911">
      <w:pPr>
        <w:pStyle w:val="10"/>
        <w:spacing w:before="0" w:beforeAutospacing="0" w:after="0" w:afterAutospacing="0" w:line="276" w:lineRule="auto"/>
        <w:jc w:val="both"/>
        <w:rPr>
          <w:rFonts w:ascii="Times New Roman" w:hAnsi="Times New Roman" w:eastAsia="Calibri" w:cs="Times New Roman"/>
        </w:rPr>
      </w:pPr>
      <w:r>
        <w:rPr>
          <w:rFonts w:ascii="Symbol" w:hAnsi="Symbol"/>
        </w:rPr>
        <w:t></w:t>
      </w:r>
      <w:r>
        <w:rPr>
          <w:rFonts w:ascii="Times New Roman" w:hAnsi="Times New Roman" w:eastAsia="Calibri" w:cs="Times New Roman"/>
        </w:rPr>
        <w:t xml:space="preserve"> využívaný komunálny odpad.</w:t>
      </w:r>
    </w:p>
    <w:p w14:paraId="546ACF78">
      <w:pPr>
        <w:pStyle w:val="10"/>
        <w:spacing w:before="0" w:beforeAutospacing="0" w:after="0" w:afterAutospacing="0" w:line="276" w:lineRule="auto"/>
        <w:jc w:val="both"/>
        <w:rPr>
          <w:rFonts w:ascii="Times New Roman" w:hAnsi="Times New Roman" w:eastAsia="Calibri" w:cs="Times New Roman"/>
        </w:rPr>
      </w:pPr>
    </w:p>
    <w:p w14:paraId="2BC1B9B3">
      <w:pPr>
        <w:pStyle w:val="10"/>
        <w:spacing w:before="0" w:beforeAutospacing="0" w:after="0" w:afterAutospacing="0" w:line="276" w:lineRule="auto"/>
        <w:jc w:val="both"/>
        <w:rPr>
          <w:rFonts w:ascii="Times New Roman" w:hAnsi="Times New Roman" w:eastAsia="Calibri" w:cs="Times New Roman"/>
          <w:color w:val="FF0000"/>
        </w:rPr>
      </w:pPr>
    </w:p>
    <w:p w14:paraId="7C2EB584">
      <w:pPr>
        <w:pStyle w:val="10"/>
        <w:spacing w:before="0" w:beforeAutospacing="0" w:after="0" w:afterAutospacing="0" w:line="276" w:lineRule="auto"/>
        <w:jc w:val="both"/>
        <w:rPr>
          <w:rFonts w:ascii="Times New Roman" w:hAnsi="Times New Roman" w:eastAsia="Calibri" w:cs="Times New Roman"/>
          <w:b/>
          <w:bCs/>
        </w:rPr>
      </w:pPr>
      <w:r>
        <w:rPr>
          <w:rFonts w:ascii="Times New Roman" w:hAnsi="Times New Roman" w:eastAsia="Calibri" w:cs="Times New Roman"/>
          <w:b/>
          <w:bCs/>
        </w:rPr>
        <w:t>6.Informácia o vývoji obce z pohľadu rozpočtovníctva</w:t>
      </w:r>
    </w:p>
    <w:p w14:paraId="42466D3F">
      <w:pPr>
        <w:pStyle w:val="10"/>
        <w:spacing w:before="0" w:beforeAutospacing="0" w:after="0" w:afterAutospacing="0" w:line="276" w:lineRule="auto"/>
        <w:jc w:val="both"/>
        <w:rPr>
          <w:rFonts w:ascii="Times New Roman" w:hAnsi="Times New Roman" w:eastAsia="Calibri" w:cs="Times New Roman"/>
        </w:rPr>
      </w:pPr>
    </w:p>
    <w:p w14:paraId="19440B39">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Základným nástrojom finančného hospodárenia obce bol rozpočet obce na rok 2023. </w:t>
      </w:r>
    </w:p>
    <w:p w14:paraId="6742D383">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 xml:space="preserve">Obec zostavila rozpočet podľa ustanovenia § 10 odsek 7) zákona č. 83/2004 Z. z. o rozpočtových pravidlách územnej samosprávy a o zmene a doplnení niektorých zákonov v znení neskorších predpisov. </w:t>
      </w:r>
    </w:p>
    <w:p w14:paraId="1907F5F6">
      <w:pPr>
        <w:pStyle w:val="10"/>
        <w:spacing w:before="0" w:beforeAutospacing="0" w:after="0" w:afterAutospacing="0" w:line="276" w:lineRule="auto"/>
        <w:jc w:val="both"/>
        <w:rPr>
          <w:rFonts w:ascii="Times New Roman" w:hAnsi="Times New Roman" w:eastAsia="Calibri" w:cs="Times New Roman"/>
        </w:rPr>
      </w:pPr>
      <w:r>
        <w:rPr>
          <w:rFonts w:ascii="Times New Roman" w:hAnsi="Times New Roman" w:eastAsia="Calibri" w:cs="Times New Roman"/>
        </w:rPr>
        <w:t>Rozpočet obce na rok 2024 bol zostavený ako vyrovnaný. Rozpočet obce bol schválený obecným zastupiteľstvom dňa 21.12. 2023 uznesením č. 36</w:t>
      </w:r>
      <w:r>
        <w:rPr>
          <w:rFonts w:ascii="Times New Roman" w:hAnsi="Times New Roman" w:cs="Times New Roman"/>
        </w:rPr>
        <w:t>/10/2023</w:t>
      </w:r>
      <w:r>
        <w:rPr>
          <w:rFonts w:ascii="Times New Roman" w:hAnsi="Times New Roman" w:eastAsia="Calibri" w:cs="Times New Roman"/>
        </w:rPr>
        <w:t xml:space="preserve">. </w:t>
      </w:r>
    </w:p>
    <w:p w14:paraId="546526D9">
      <w:pPr>
        <w:pStyle w:val="10"/>
        <w:jc w:val="both"/>
        <w:rPr>
          <w:rFonts w:ascii="Times New Roman" w:hAnsi="Times New Roman" w:eastAsia="Calibri" w:cs="Times New Roman"/>
          <w:b/>
          <w:bCs/>
        </w:rPr>
      </w:pPr>
      <w:r>
        <w:rPr>
          <w:rFonts w:ascii="Times New Roman" w:hAnsi="Times New Roman" w:eastAsia="Calibri" w:cs="Times New Roman"/>
          <w:b/>
          <w:bCs/>
        </w:rPr>
        <w:t>Rozpočet obce k 31. 12. 2024</w:t>
      </w:r>
    </w:p>
    <w:tbl>
      <w:tblPr>
        <w:tblStyle w:val="18"/>
        <w:tblW w:w="0" w:type="auto"/>
        <w:tblInd w:w="0" w:type="dxa"/>
        <w:tblLayout w:type="autofit"/>
        <w:tblCellMar>
          <w:top w:w="15" w:type="dxa"/>
          <w:left w:w="15" w:type="dxa"/>
          <w:bottom w:w="15" w:type="dxa"/>
          <w:right w:w="15" w:type="dxa"/>
        </w:tblCellMar>
      </w:tblPr>
      <w:tblGrid>
        <w:gridCol w:w="2969"/>
        <w:gridCol w:w="2835"/>
        <w:gridCol w:w="3119"/>
      </w:tblGrid>
      <w:tr w14:paraId="2520BDF4">
        <w:tblPrEx>
          <w:tblCellMar>
            <w:top w:w="15" w:type="dxa"/>
            <w:left w:w="15" w:type="dxa"/>
            <w:bottom w:w="15" w:type="dxa"/>
            <w:right w:w="15" w:type="dxa"/>
          </w:tblCellMar>
        </w:tblPrEx>
        <w:tc>
          <w:tcPr>
            <w:tcW w:w="2969" w:type="dxa"/>
            <w:tcBorders>
              <w:top w:val="outset" w:color="auto" w:sz="6" w:space="0"/>
              <w:left w:val="outset" w:color="auto" w:sz="6" w:space="0"/>
              <w:bottom w:val="outset" w:color="auto" w:sz="6" w:space="0"/>
              <w:right w:val="outset" w:color="auto" w:sz="6" w:space="0"/>
            </w:tcBorders>
            <w:shd w:val="clear" w:color="auto" w:fill="D8D8D8" w:themeFill="background1" w:themeFillShade="D9"/>
          </w:tcPr>
          <w:p w14:paraId="3656B9AB">
            <w:pPr>
              <w:pStyle w:val="10"/>
              <w:rPr>
                <w:rFonts w:ascii="Times New Roman" w:hAnsi="Times New Roman" w:eastAsia="Calibri" w:cs="Times New Roman"/>
                <w:b/>
                <w:bCs/>
              </w:rPr>
            </w:pPr>
          </w:p>
        </w:tc>
        <w:tc>
          <w:tcPr>
            <w:tcW w:w="2835" w:type="dxa"/>
            <w:tcBorders>
              <w:top w:val="outset" w:color="auto" w:sz="6" w:space="0"/>
              <w:left w:val="outset" w:color="auto" w:sz="6" w:space="0"/>
              <w:bottom w:val="outset" w:color="auto" w:sz="6" w:space="0"/>
              <w:right w:val="outset" w:color="auto" w:sz="6" w:space="0"/>
            </w:tcBorders>
            <w:shd w:val="clear" w:color="auto" w:fill="D8D8D8" w:themeFill="background1" w:themeFillShade="D9"/>
          </w:tcPr>
          <w:p w14:paraId="52856135">
            <w:pPr>
              <w:pStyle w:val="10"/>
              <w:jc w:val="center"/>
              <w:rPr>
                <w:rFonts w:ascii="Times New Roman" w:hAnsi="Times New Roman" w:eastAsia="Calibri" w:cs="Times New Roman"/>
                <w:b/>
                <w:bCs/>
              </w:rPr>
            </w:pPr>
            <w:r>
              <w:rPr>
                <w:rFonts w:ascii="Times New Roman" w:hAnsi="Times New Roman" w:eastAsia="Calibri" w:cs="Times New Roman"/>
                <w:b/>
                <w:bCs/>
              </w:rPr>
              <w:t>Schválený rozpočet</w:t>
            </w:r>
          </w:p>
        </w:tc>
        <w:tc>
          <w:tcPr>
            <w:tcW w:w="3119" w:type="dxa"/>
            <w:tcBorders>
              <w:top w:val="outset" w:color="auto" w:sz="6" w:space="0"/>
              <w:left w:val="outset" w:color="auto" w:sz="6" w:space="0"/>
              <w:bottom w:val="outset" w:color="auto" w:sz="6" w:space="0"/>
              <w:right w:val="outset" w:color="auto" w:sz="6" w:space="0"/>
            </w:tcBorders>
            <w:shd w:val="clear" w:color="auto" w:fill="D8D8D8" w:themeFill="background1" w:themeFillShade="D9"/>
          </w:tcPr>
          <w:p w14:paraId="275FF9E1">
            <w:pPr>
              <w:pStyle w:val="10"/>
              <w:jc w:val="center"/>
              <w:rPr>
                <w:rFonts w:ascii="Times New Roman" w:hAnsi="Times New Roman" w:eastAsia="Calibri" w:cs="Times New Roman"/>
                <w:b/>
                <w:bCs/>
              </w:rPr>
            </w:pPr>
            <w:r>
              <w:rPr>
                <w:rFonts w:ascii="Times New Roman" w:hAnsi="Times New Roman" w:eastAsia="Calibri" w:cs="Times New Roman"/>
                <w:b/>
                <w:bCs/>
              </w:rPr>
              <w:t>Schválený rozpočet po poslednej zmene</w:t>
            </w:r>
          </w:p>
        </w:tc>
      </w:tr>
      <w:tr w14:paraId="72578EB5">
        <w:tblPrEx>
          <w:tblCellMar>
            <w:top w:w="15" w:type="dxa"/>
            <w:left w:w="15" w:type="dxa"/>
            <w:bottom w:w="15" w:type="dxa"/>
            <w:right w:w="15" w:type="dxa"/>
          </w:tblCellMar>
        </w:tblPrEx>
        <w:trPr>
          <w:trHeight w:val="170" w:hRule="atLeast"/>
        </w:trPr>
        <w:tc>
          <w:tcPr>
            <w:tcW w:w="2969" w:type="dxa"/>
            <w:tcBorders>
              <w:top w:val="nil"/>
              <w:left w:val="outset" w:color="auto" w:sz="6" w:space="0"/>
              <w:bottom w:val="outset" w:color="auto" w:sz="6" w:space="0"/>
              <w:right w:val="outset" w:color="auto" w:sz="6" w:space="0"/>
            </w:tcBorders>
          </w:tcPr>
          <w:p w14:paraId="449C1AEF">
            <w:pPr>
              <w:pStyle w:val="10"/>
              <w:spacing w:before="0" w:beforeAutospacing="0" w:after="0" w:afterAutospacing="0"/>
              <w:rPr>
                <w:rFonts w:ascii="Times New Roman" w:hAnsi="Times New Roman" w:eastAsia="Calibri" w:cs="Times New Roman"/>
                <w:b/>
                <w:bCs/>
              </w:rPr>
            </w:pPr>
            <w:r>
              <w:rPr>
                <w:rFonts w:ascii="Times New Roman" w:hAnsi="Times New Roman" w:eastAsia="Calibri" w:cs="Times New Roman"/>
                <w:b/>
                <w:bCs/>
              </w:rPr>
              <w:t>Príjmy celkom</w:t>
            </w:r>
          </w:p>
        </w:tc>
        <w:tc>
          <w:tcPr>
            <w:tcW w:w="2835" w:type="dxa"/>
            <w:tcBorders>
              <w:top w:val="nil"/>
              <w:left w:val="outset" w:color="auto" w:sz="6" w:space="0"/>
              <w:bottom w:val="outset" w:color="auto" w:sz="6" w:space="0"/>
              <w:right w:val="outset" w:color="auto" w:sz="6" w:space="0"/>
            </w:tcBorders>
          </w:tcPr>
          <w:p w14:paraId="1C4EC7BA">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b/>
                <w:bCs/>
              </w:rPr>
              <w:t>106 523,00</w:t>
            </w:r>
          </w:p>
        </w:tc>
        <w:tc>
          <w:tcPr>
            <w:tcW w:w="3119" w:type="dxa"/>
            <w:tcBorders>
              <w:top w:val="nil"/>
              <w:left w:val="outset" w:color="auto" w:sz="6" w:space="0"/>
              <w:bottom w:val="outset" w:color="auto" w:sz="6" w:space="0"/>
              <w:right w:val="outset" w:color="auto" w:sz="6" w:space="0"/>
            </w:tcBorders>
          </w:tcPr>
          <w:p w14:paraId="3CBE2900">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b/>
                <w:bCs/>
              </w:rPr>
              <w:t>106 523,00</w:t>
            </w:r>
          </w:p>
        </w:tc>
      </w:tr>
      <w:tr w14:paraId="308B096D">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79B20BFE">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Z toho:</w:t>
            </w:r>
          </w:p>
        </w:tc>
        <w:tc>
          <w:tcPr>
            <w:tcW w:w="2835" w:type="dxa"/>
            <w:tcBorders>
              <w:top w:val="nil"/>
              <w:left w:val="outset" w:color="auto" w:sz="6" w:space="0"/>
              <w:bottom w:val="outset" w:color="auto" w:sz="6" w:space="0"/>
              <w:right w:val="outset" w:color="auto" w:sz="6" w:space="0"/>
            </w:tcBorders>
          </w:tcPr>
          <w:p w14:paraId="45FB0818">
            <w:pPr>
              <w:pStyle w:val="10"/>
              <w:spacing w:before="0" w:beforeAutospacing="0" w:after="0" w:afterAutospacing="0"/>
              <w:jc w:val="center"/>
              <w:rPr>
                <w:rFonts w:ascii="Times New Roman" w:hAnsi="Times New Roman" w:eastAsia="Calibri" w:cs="Times New Roman"/>
                <w:b/>
                <w:bCs/>
              </w:rPr>
            </w:pPr>
          </w:p>
        </w:tc>
        <w:tc>
          <w:tcPr>
            <w:tcW w:w="3119" w:type="dxa"/>
            <w:tcBorders>
              <w:top w:val="nil"/>
              <w:left w:val="outset" w:color="auto" w:sz="6" w:space="0"/>
              <w:bottom w:val="outset" w:color="auto" w:sz="6" w:space="0"/>
              <w:right w:val="outset" w:color="auto" w:sz="6" w:space="0"/>
            </w:tcBorders>
          </w:tcPr>
          <w:p w14:paraId="049F31CB">
            <w:pPr>
              <w:pStyle w:val="10"/>
              <w:spacing w:before="0" w:beforeAutospacing="0" w:after="0" w:afterAutospacing="0"/>
              <w:jc w:val="center"/>
              <w:rPr>
                <w:rFonts w:ascii="Times New Roman" w:hAnsi="Times New Roman" w:eastAsia="Calibri" w:cs="Times New Roman"/>
                <w:b/>
                <w:bCs/>
              </w:rPr>
            </w:pPr>
          </w:p>
        </w:tc>
      </w:tr>
      <w:tr w14:paraId="2C9DAE94">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59666D2B">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Bežné príjmy</w:t>
            </w:r>
          </w:p>
          <w:p w14:paraId="29EA1420">
            <w:pPr>
              <w:pStyle w:val="10"/>
              <w:spacing w:before="0" w:beforeAutospacing="0" w:after="0" w:afterAutospacing="0"/>
              <w:rPr>
                <w:rFonts w:ascii="Times New Roman" w:hAnsi="Times New Roman" w:eastAsia="Calibri" w:cs="Times New Roman"/>
              </w:rPr>
            </w:pPr>
          </w:p>
        </w:tc>
        <w:tc>
          <w:tcPr>
            <w:tcW w:w="2835" w:type="dxa"/>
            <w:tcBorders>
              <w:top w:val="nil"/>
              <w:left w:val="outset" w:color="auto" w:sz="6" w:space="0"/>
              <w:bottom w:val="outset" w:color="auto" w:sz="6" w:space="0"/>
              <w:right w:val="outset" w:color="auto" w:sz="6" w:space="0"/>
            </w:tcBorders>
          </w:tcPr>
          <w:p w14:paraId="45D5FAA2">
            <w:pPr>
              <w:tabs>
                <w:tab w:val="decimal" w:pos="1433"/>
              </w:tabs>
              <w:ind w:firstLine="400" w:firstLineChars="200"/>
              <w:jc w:val="both"/>
            </w:pPr>
            <w:r>
              <w:t>106 523,00</w:t>
            </w:r>
          </w:p>
        </w:tc>
        <w:tc>
          <w:tcPr>
            <w:tcW w:w="3119" w:type="dxa"/>
            <w:tcBorders>
              <w:top w:val="nil"/>
              <w:left w:val="outset" w:color="auto" w:sz="6" w:space="0"/>
              <w:bottom w:val="outset" w:color="auto" w:sz="6" w:space="0"/>
              <w:right w:val="outset" w:color="auto" w:sz="6" w:space="0"/>
            </w:tcBorders>
          </w:tcPr>
          <w:p w14:paraId="7990BF5C">
            <w:pPr>
              <w:tabs>
                <w:tab w:val="decimal" w:pos="1433"/>
              </w:tabs>
              <w:ind w:firstLine="600" w:firstLineChars="300"/>
              <w:jc w:val="both"/>
            </w:pPr>
            <w:r>
              <w:t>106 523,00</w:t>
            </w:r>
          </w:p>
        </w:tc>
      </w:tr>
      <w:tr w14:paraId="26E1B012">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3599B4B9">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Kapitálové príjmy</w:t>
            </w:r>
          </w:p>
        </w:tc>
        <w:tc>
          <w:tcPr>
            <w:tcW w:w="2835" w:type="dxa"/>
            <w:tcBorders>
              <w:top w:val="nil"/>
              <w:left w:val="outset" w:color="auto" w:sz="6" w:space="0"/>
              <w:bottom w:val="outset" w:color="auto" w:sz="6" w:space="0"/>
              <w:right w:val="outset" w:color="auto" w:sz="6" w:space="0"/>
            </w:tcBorders>
          </w:tcPr>
          <w:p w14:paraId="4B584315">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c>
          <w:tcPr>
            <w:tcW w:w="3119" w:type="dxa"/>
            <w:tcBorders>
              <w:top w:val="nil"/>
              <w:left w:val="outset" w:color="auto" w:sz="6" w:space="0"/>
              <w:bottom w:val="outset" w:color="auto" w:sz="6" w:space="0"/>
              <w:right w:val="outset" w:color="auto" w:sz="6" w:space="0"/>
            </w:tcBorders>
          </w:tcPr>
          <w:p w14:paraId="2322F001">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r>
      <w:tr w14:paraId="3ADA0470">
        <w:tblPrEx>
          <w:tblCellMar>
            <w:top w:w="15" w:type="dxa"/>
            <w:left w:w="15" w:type="dxa"/>
            <w:bottom w:w="15" w:type="dxa"/>
            <w:right w:w="15" w:type="dxa"/>
          </w:tblCellMar>
        </w:tblPrEx>
        <w:trPr>
          <w:trHeight w:val="329" w:hRule="atLeast"/>
        </w:trPr>
        <w:tc>
          <w:tcPr>
            <w:tcW w:w="2969" w:type="dxa"/>
            <w:tcBorders>
              <w:top w:val="nil"/>
              <w:left w:val="outset" w:color="auto" w:sz="6" w:space="0"/>
              <w:bottom w:val="outset" w:color="auto" w:sz="6" w:space="0"/>
              <w:right w:val="outset" w:color="auto" w:sz="6" w:space="0"/>
            </w:tcBorders>
          </w:tcPr>
          <w:p w14:paraId="73196946">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Finančné príjmy</w:t>
            </w:r>
          </w:p>
        </w:tc>
        <w:tc>
          <w:tcPr>
            <w:tcW w:w="2835" w:type="dxa"/>
            <w:tcBorders>
              <w:top w:val="nil"/>
              <w:left w:val="outset" w:color="auto" w:sz="6" w:space="0"/>
              <w:bottom w:val="outset" w:color="auto" w:sz="6" w:space="0"/>
              <w:right w:val="outset" w:color="auto" w:sz="6" w:space="0"/>
            </w:tcBorders>
          </w:tcPr>
          <w:p w14:paraId="3FE30091">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c>
          <w:tcPr>
            <w:tcW w:w="3119" w:type="dxa"/>
            <w:tcBorders>
              <w:top w:val="nil"/>
              <w:left w:val="outset" w:color="auto" w:sz="6" w:space="0"/>
              <w:bottom w:val="outset" w:color="auto" w:sz="6" w:space="0"/>
              <w:right w:val="outset" w:color="auto" w:sz="6" w:space="0"/>
            </w:tcBorders>
          </w:tcPr>
          <w:p w14:paraId="526E7CEE">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r>
      <w:tr w14:paraId="53128261">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62486C05">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Príjmy RO s právnou subjektivitou</w:t>
            </w:r>
          </w:p>
        </w:tc>
        <w:tc>
          <w:tcPr>
            <w:tcW w:w="2835" w:type="dxa"/>
            <w:tcBorders>
              <w:top w:val="nil"/>
              <w:left w:val="outset" w:color="auto" w:sz="6" w:space="0"/>
              <w:bottom w:val="outset" w:color="auto" w:sz="6" w:space="0"/>
              <w:right w:val="outset" w:color="auto" w:sz="6" w:space="0"/>
            </w:tcBorders>
          </w:tcPr>
          <w:p w14:paraId="4101652C">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c>
          <w:tcPr>
            <w:tcW w:w="3119" w:type="dxa"/>
            <w:tcBorders>
              <w:top w:val="nil"/>
              <w:left w:val="outset" w:color="auto" w:sz="6" w:space="0"/>
              <w:bottom w:val="outset" w:color="auto" w:sz="6" w:space="0"/>
              <w:right w:val="outset" w:color="auto" w:sz="6" w:space="0"/>
            </w:tcBorders>
          </w:tcPr>
          <w:p w14:paraId="4B99056E">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r>
      <w:tr w14:paraId="65BE9FB3">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18DC032F">
            <w:pPr>
              <w:pStyle w:val="10"/>
              <w:spacing w:before="0" w:beforeAutospacing="0" w:after="0" w:afterAutospacing="0"/>
              <w:rPr>
                <w:rFonts w:ascii="Times New Roman" w:hAnsi="Times New Roman" w:eastAsia="Calibri" w:cs="Times New Roman"/>
                <w:b/>
                <w:bCs/>
              </w:rPr>
            </w:pPr>
            <w:r>
              <w:rPr>
                <w:rFonts w:ascii="Times New Roman" w:hAnsi="Times New Roman" w:eastAsia="Calibri" w:cs="Times New Roman"/>
                <w:b/>
                <w:bCs/>
              </w:rPr>
              <w:t>Výdavky celkom</w:t>
            </w:r>
          </w:p>
        </w:tc>
        <w:tc>
          <w:tcPr>
            <w:tcW w:w="2835" w:type="dxa"/>
            <w:tcBorders>
              <w:top w:val="nil"/>
              <w:left w:val="outset" w:color="auto" w:sz="6" w:space="0"/>
              <w:bottom w:val="outset" w:color="auto" w:sz="6" w:space="0"/>
              <w:right w:val="outset" w:color="auto" w:sz="6" w:space="0"/>
            </w:tcBorders>
          </w:tcPr>
          <w:p w14:paraId="4A92B520">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b/>
                <w:bCs/>
              </w:rPr>
              <w:t>106 523,00</w:t>
            </w:r>
          </w:p>
        </w:tc>
        <w:tc>
          <w:tcPr>
            <w:tcW w:w="3119" w:type="dxa"/>
            <w:tcBorders>
              <w:top w:val="nil"/>
              <w:left w:val="outset" w:color="auto" w:sz="6" w:space="0"/>
              <w:bottom w:val="outset" w:color="auto" w:sz="6" w:space="0"/>
              <w:right w:val="outset" w:color="auto" w:sz="6" w:space="0"/>
            </w:tcBorders>
          </w:tcPr>
          <w:p w14:paraId="73BBB891">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b/>
                <w:bCs/>
              </w:rPr>
              <w:t>106 523,00</w:t>
            </w:r>
          </w:p>
        </w:tc>
      </w:tr>
      <w:tr w14:paraId="4247E001">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2240379C">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Z toho:</w:t>
            </w:r>
          </w:p>
        </w:tc>
        <w:tc>
          <w:tcPr>
            <w:tcW w:w="2835" w:type="dxa"/>
            <w:tcBorders>
              <w:top w:val="nil"/>
              <w:left w:val="outset" w:color="auto" w:sz="6" w:space="0"/>
              <w:bottom w:val="outset" w:color="auto" w:sz="6" w:space="0"/>
              <w:right w:val="outset" w:color="auto" w:sz="6" w:space="0"/>
            </w:tcBorders>
          </w:tcPr>
          <w:p w14:paraId="1299C43A">
            <w:pPr>
              <w:pStyle w:val="10"/>
              <w:spacing w:before="0" w:beforeAutospacing="0" w:after="0" w:afterAutospacing="0"/>
              <w:jc w:val="center"/>
              <w:rPr>
                <w:rFonts w:ascii="Times New Roman" w:hAnsi="Times New Roman" w:eastAsia="Calibri" w:cs="Times New Roman"/>
                <w:b/>
                <w:bCs/>
              </w:rPr>
            </w:pPr>
          </w:p>
        </w:tc>
        <w:tc>
          <w:tcPr>
            <w:tcW w:w="3119" w:type="dxa"/>
            <w:tcBorders>
              <w:top w:val="nil"/>
              <w:left w:val="outset" w:color="auto" w:sz="6" w:space="0"/>
              <w:bottom w:val="outset" w:color="auto" w:sz="6" w:space="0"/>
              <w:right w:val="outset" w:color="auto" w:sz="6" w:space="0"/>
            </w:tcBorders>
          </w:tcPr>
          <w:p w14:paraId="4DDBEF00">
            <w:pPr>
              <w:pStyle w:val="10"/>
              <w:spacing w:before="0" w:beforeAutospacing="0" w:after="0" w:afterAutospacing="0"/>
              <w:jc w:val="center"/>
              <w:rPr>
                <w:rFonts w:ascii="Times New Roman" w:hAnsi="Times New Roman" w:eastAsia="Calibri" w:cs="Times New Roman"/>
                <w:b/>
                <w:bCs/>
              </w:rPr>
            </w:pPr>
          </w:p>
        </w:tc>
      </w:tr>
      <w:tr w14:paraId="7330E3BF">
        <w:tblPrEx>
          <w:tblCellMar>
            <w:top w:w="15" w:type="dxa"/>
            <w:left w:w="15" w:type="dxa"/>
            <w:bottom w:w="15" w:type="dxa"/>
            <w:right w:w="15" w:type="dxa"/>
          </w:tblCellMar>
        </w:tblPrEx>
        <w:trPr>
          <w:trHeight w:val="62" w:hRule="atLeast"/>
        </w:trPr>
        <w:tc>
          <w:tcPr>
            <w:tcW w:w="2969" w:type="dxa"/>
            <w:tcBorders>
              <w:top w:val="nil"/>
              <w:left w:val="outset" w:color="auto" w:sz="6" w:space="0"/>
              <w:bottom w:val="outset" w:color="auto" w:sz="6" w:space="0"/>
              <w:right w:val="outset" w:color="auto" w:sz="6" w:space="0"/>
            </w:tcBorders>
          </w:tcPr>
          <w:p w14:paraId="400375AE">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Bežné výdavky</w:t>
            </w:r>
          </w:p>
        </w:tc>
        <w:tc>
          <w:tcPr>
            <w:tcW w:w="2835" w:type="dxa"/>
            <w:tcBorders>
              <w:top w:val="nil"/>
              <w:left w:val="outset" w:color="auto" w:sz="6" w:space="0"/>
              <w:bottom w:val="outset" w:color="auto" w:sz="6" w:space="0"/>
              <w:right w:val="outset" w:color="auto" w:sz="6" w:space="0"/>
            </w:tcBorders>
          </w:tcPr>
          <w:p w14:paraId="04748F81">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103 300,00</w:t>
            </w:r>
          </w:p>
        </w:tc>
        <w:tc>
          <w:tcPr>
            <w:tcW w:w="3119" w:type="dxa"/>
            <w:tcBorders>
              <w:top w:val="nil"/>
              <w:left w:val="outset" w:color="auto" w:sz="6" w:space="0"/>
              <w:bottom w:val="outset" w:color="auto" w:sz="6" w:space="0"/>
              <w:right w:val="outset" w:color="auto" w:sz="6" w:space="0"/>
            </w:tcBorders>
          </w:tcPr>
          <w:p w14:paraId="64E25A5F">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106 523,00</w:t>
            </w:r>
          </w:p>
        </w:tc>
      </w:tr>
      <w:tr w14:paraId="79292065">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048C38E7">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Kapitálové výdavky</w:t>
            </w:r>
          </w:p>
        </w:tc>
        <w:tc>
          <w:tcPr>
            <w:tcW w:w="2835" w:type="dxa"/>
            <w:tcBorders>
              <w:top w:val="nil"/>
              <w:left w:val="outset" w:color="auto" w:sz="6" w:space="0"/>
              <w:bottom w:val="outset" w:color="auto" w:sz="6" w:space="0"/>
              <w:right w:val="outset" w:color="auto" w:sz="6" w:space="0"/>
            </w:tcBorders>
          </w:tcPr>
          <w:p w14:paraId="23C6FE91">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c>
          <w:tcPr>
            <w:tcW w:w="3119" w:type="dxa"/>
            <w:tcBorders>
              <w:top w:val="nil"/>
              <w:left w:val="outset" w:color="auto" w:sz="6" w:space="0"/>
              <w:bottom w:val="outset" w:color="auto" w:sz="6" w:space="0"/>
              <w:right w:val="outset" w:color="auto" w:sz="6" w:space="0"/>
            </w:tcBorders>
          </w:tcPr>
          <w:p w14:paraId="51947A78">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0,00</w:t>
            </w:r>
          </w:p>
        </w:tc>
      </w:tr>
      <w:tr w14:paraId="4C0E51E0">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2A28D887">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Finančné výdavky</w:t>
            </w:r>
          </w:p>
        </w:tc>
        <w:tc>
          <w:tcPr>
            <w:tcW w:w="2835" w:type="dxa"/>
            <w:tcBorders>
              <w:top w:val="nil"/>
              <w:left w:val="outset" w:color="auto" w:sz="6" w:space="0"/>
              <w:bottom w:val="outset" w:color="auto" w:sz="6" w:space="0"/>
              <w:right w:val="outset" w:color="auto" w:sz="6" w:space="0"/>
            </w:tcBorders>
          </w:tcPr>
          <w:p w14:paraId="7B7EFE02">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3 223,00</w:t>
            </w:r>
          </w:p>
        </w:tc>
        <w:tc>
          <w:tcPr>
            <w:tcW w:w="3119" w:type="dxa"/>
            <w:tcBorders>
              <w:top w:val="nil"/>
              <w:left w:val="outset" w:color="auto" w:sz="6" w:space="0"/>
              <w:bottom w:val="outset" w:color="auto" w:sz="6" w:space="0"/>
              <w:right w:val="outset" w:color="auto" w:sz="6" w:space="0"/>
            </w:tcBorders>
          </w:tcPr>
          <w:p w14:paraId="33113584">
            <w:pPr>
              <w:pStyle w:val="10"/>
              <w:spacing w:before="0" w:beforeAutospacing="0" w:after="0" w:afterAutospacing="0"/>
              <w:jc w:val="center"/>
              <w:rPr>
                <w:rFonts w:ascii="Times New Roman" w:hAnsi="Times New Roman" w:eastAsia="Calibri" w:cs="Times New Roman"/>
              </w:rPr>
            </w:pPr>
            <w:r>
              <w:rPr>
                <w:rFonts w:ascii="Times New Roman" w:hAnsi="Times New Roman" w:eastAsia="Calibri" w:cs="Times New Roman"/>
              </w:rPr>
              <w:t>3 223,00</w:t>
            </w:r>
          </w:p>
        </w:tc>
      </w:tr>
      <w:tr w14:paraId="3461D779">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3CF2D8B6">
            <w:pPr>
              <w:pStyle w:val="10"/>
              <w:spacing w:before="0" w:beforeAutospacing="0" w:after="0" w:afterAutospacing="0"/>
              <w:rPr>
                <w:rFonts w:ascii="Times New Roman" w:hAnsi="Times New Roman" w:eastAsia="Calibri" w:cs="Times New Roman"/>
              </w:rPr>
            </w:pPr>
            <w:r>
              <w:rPr>
                <w:rFonts w:ascii="Times New Roman" w:hAnsi="Times New Roman" w:eastAsia="Calibri" w:cs="Times New Roman"/>
              </w:rPr>
              <w:t>Výdavky RO s právnou subjektivitou</w:t>
            </w:r>
          </w:p>
        </w:tc>
        <w:tc>
          <w:tcPr>
            <w:tcW w:w="2835" w:type="dxa"/>
            <w:tcBorders>
              <w:top w:val="nil"/>
              <w:left w:val="outset" w:color="auto" w:sz="6" w:space="0"/>
              <w:bottom w:val="outset" w:color="auto" w:sz="6" w:space="0"/>
              <w:right w:val="outset" w:color="auto" w:sz="6" w:space="0"/>
            </w:tcBorders>
          </w:tcPr>
          <w:p w14:paraId="0FB78278">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rPr>
              <w:t>0,00</w:t>
            </w:r>
          </w:p>
        </w:tc>
        <w:tc>
          <w:tcPr>
            <w:tcW w:w="3119" w:type="dxa"/>
            <w:tcBorders>
              <w:top w:val="nil"/>
              <w:left w:val="outset" w:color="auto" w:sz="6" w:space="0"/>
              <w:bottom w:val="outset" w:color="auto" w:sz="6" w:space="0"/>
              <w:right w:val="outset" w:color="auto" w:sz="6" w:space="0"/>
            </w:tcBorders>
          </w:tcPr>
          <w:p w14:paraId="1FC39945">
            <w:pPr>
              <w:pStyle w:val="10"/>
              <w:spacing w:before="0" w:beforeAutospacing="0" w:after="0" w:afterAutospacing="0"/>
              <w:jc w:val="center"/>
              <w:rPr>
                <w:rFonts w:ascii="Times New Roman" w:hAnsi="Times New Roman" w:eastAsia="Calibri" w:cs="Times New Roman"/>
                <w:b/>
                <w:bCs/>
              </w:rPr>
            </w:pPr>
            <w:r>
              <w:rPr>
                <w:rFonts w:ascii="Times New Roman" w:hAnsi="Times New Roman" w:eastAsia="Calibri" w:cs="Times New Roman"/>
              </w:rPr>
              <w:t>0,00</w:t>
            </w:r>
          </w:p>
        </w:tc>
      </w:tr>
      <w:tr w14:paraId="23130ED9">
        <w:tblPrEx>
          <w:tblCellMar>
            <w:top w:w="15" w:type="dxa"/>
            <w:left w:w="15" w:type="dxa"/>
            <w:bottom w:w="15" w:type="dxa"/>
            <w:right w:w="15" w:type="dxa"/>
          </w:tblCellMar>
        </w:tblPrEx>
        <w:tc>
          <w:tcPr>
            <w:tcW w:w="2969" w:type="dxa"/>
            <w:tcBorders>
              <w:top w:val="nil"/>
              <w:left w:val="outset" w:color="auto" w:sz="6" w:space="0"/>
              <w:bottom w:val="outset" w:color="auto" w:sz="6" w:space="0"/>
              <w:right w:val="outset" w:color="auto" w:sz="6" w:space="0"/>
            </w:tcBorders>
          </w:tcPr>
          <w:p w14:paraId="5A376525">
            <w:pPr>
              <w:pStyle w:val="10"/>
              <w:rPr>
                <w:rFonts w:ascii="Times New Roman" w:hAnsi="Times New Roman" w:eastAsia="Calibri" w:cs="Times New Roman"/>
                <w:b/>
                <w:bCs/>
              </w:rPr>
            </w:pPr>
            <w:r>
              <w:rPr>
                <w:rFonts w:ascii="Times New Roman" w:hAnsi="Times New Roman" w:eastAsia="Calibri" w:cs="Times New Roman"/>
                <w:b/>
                <w:bCs/>
              </w:rPr>
              <w:t>Rozpočtové hospodárenie obce</w:t>
            </w:r>
          </w:p>
        </w:tc>
        <w:tc>
          <w:tcPr>
            <w:tcW w:w="2835" w:type="dxa"/>
            <w:tcBorders>
              <w:top w:val="nil"/>
              <w:left w:val="outset" w:color="auto" w:sz="6" w:space="0"/>
              <w:bottom w:val="outset" w:color="auto" w:sz="6" w:space="0"/>
              <w:right w:val="outset" w:color="auto" w:sz="6" w:space="0"/>
            </w:tcBorders>
          </w:tcPr>
          <w:p w14:paraId="5531F93F">
            <w:pPr>
              <w:pStyle w:val="10"/>
              <w:jc w:val="center"/>
              <w:rPr>
                <w:rFonts w:ascii="Times New Roman" w:hAnsi="Times New Roman" w:eastAsia="Calibri" w:cs="Times New Roman"/>
                <w:b/>
                <w:bCs/>
              </w:rPr>
            </w:pPr>
            <w:r>
              <w:rPr>
                <w:rFonts w:ascii="Times New Roman" w:hAnsi="Times New Roman" w:eastAsia="Calibri" w:cs="Times New Roman"/>
                <w:b/>
                <w:bCs/>
              </w:rPr>
              <w:t>0,00</w:t>
            </w:r>
          </w:p>
        </w:tc>
        <w:tc>
          <w:tcPr>
            <w:tcW w:w="3119" w:type="dxa"/>
            <w:tcBorders>
              <w:top w:val="nil"/>
              <w:left w:val="outset" w:color="auto" w:sz="6" w:space="0"/>
              <w:bottom w:val="outset" w:color="auto" w:sz="6" w:space="0"/>
              <w:right w:val="outset" w:color="auto" w:sz="6" w:space="0"/>
            </w:tcBorders>
          </w:tcPr>
          <w:p w14:paraId="0213FF8E">
            <w:pPr>
              <w:pStyle w:val="10"/>
              <w:jc w:val="center"/>
              <w:rPr>
                <w:rFonts w:ascii="Times New Roman" w:hAnsi="Times New Roman" w:eastAsia="Calibri" w:cs="Times New Roman"/>
                <w:b/>
                <w:bCs/>
              </w:rPr>
            </w:pPr>
            <w:r>
              <w:rPr>
                <w:rFonts w:ascii="Times New Roman" w:hAnsi="Times New Roman" w:eastAsia="Calibri" w:cs="Times New Roman"/>
                <w:b/>
                <w:bCs/>
              </w:rPr>
              <w:t>0,00</w:t>
            </w:r>
          </w:p>
        </w:tc>
      </w:tr>
    </w:tbl>
    <w:p w14:paraId="6A29E6B8">
      <w:pPr>
        <w:pStyle w:val="10"/>
        <w:jc w:val="both"/>
        <w:rPr>
          <w:rFonts w:ascii="Times New Roman" w:hAnsi="Times New Roman" w:eastAsia="Calibri" w:cs="Times New Roman"/>
          <w:b/>
          <w:bCs/>
        </w:rPr>
      </w:pPr>
    </w:p>
    <w:p w14:paraId="2FD57842">
      <w:pPr>
        <w:pStyle w:val="10"/>
        <w:jc w:val="both"/>
        <w:rPr>
          <w:rFonts w:ascii="Times New Roman" w:hAnsi="Times New Roman" w:eastAsia="Calibri" w:cs="Times New Roman"/>
          <w:b/>
          <w:bCs/>
        </w:rPr>
      </w:pPr>
      <w:r>
        <w:rPr>
          <w:rFonts w:ascii="Times New Roman" w:hAnsi="Times New Roman" w:eastAsia="Calibri" w:cs="Times New Roman"/>
          <w:b/>
          <w:bCs/>
          <w:highlight w:val="lightGray"/>
        </w:rPr>
        <w:t>6.1 Rozbor plnenia príjmov za rok 2024</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7F55E7D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01A16823">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3C329C7D">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1E2DEEEA">
            <w:pPr>
              <w:jc w:val="center"/>
              <w:rPr>
                <w:sz w:val="24"/>
                <w:szCs w:val="24"/>
              </w:rPr>
            </w:pPr>
            <w:r>
              <w:rPr>
                <w:b/>
                <w:bCs/>
                <w:sz w:val="24"/>
                <w:szCs w:val="24"/>
              </w:rPr>
              <w:t>% plnenia</w:t>
            </w:r>
          </w:p>
        </w:tc>
      </w:tr>
      <w:tr w14:paraId="310035B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4D09CEE0">
            <w:pPr>
              <w:jc w:val="center"/>
              <w:rPr>
                <w:sz w:val="24"/>
                <w:szCs w:val="24"/>
              </w:rPr>
            </w:pPr>
            <w:r>
              <w:rPr>
                <w:sz w:val="24"/>
                <w:szCs w:val="24"/>
              </w:rPr>
              <w:t xml:space="preserve">106 523,00 </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C4E33F2">
            <w:pPr>
              <w:jc w:val="center"/>
              <w:rPr>
                <w:sz w:val="24"/>
                <w:szCs w:val="24"/>
              </w:rPr>
            </w:pPr>
            <w:r>
              <w:rPr>
                <w:sz w:val="24"/>
                <w:szCs w:val="24"/>
              </w:rPr>
              <w:t>137 171,33</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16BE799">
            <w:pPr>
              <w:jc w:val="center"/>
              <w:rPr>
                <w:sz w:val="24"/>
                <w:szCs w:val="24"/>
              </w:rPr>
            </w:pPr>
            <w:r>
              <w:rPr>
                <w:sz w:val="24"/>
                <w:szCs w:val="24"/>
              </w:rPr>
              <w:t>128,77%</w:t>
            </w:r>
          </w:p>
        </w:tc>
      </w:tr>
    </w:tbl>
    <w:p w14:paraId="4B820795">
      <w:pPr>
        <w:textAlignment w:val="baseline"/>
        <w:rPr>
          <w:color w:val="000000" w:themeColor="text1"/>
          <w:sz w:val="24"/>
          <w:szCs w:val="24"/>
          <w14:textFill>
            <w14:solidFill>
              <w14:schemeClr w14:val="tx1"/>
            </w14:solidFill>
          </w14:textFill>
        </w:rPr>
      </w:pPr>
    </w:p>
    <w:p w14:paraId="3BFAA5F4">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celkových príjmov 106 523,00 EUR bol skutočný príjem k 31. 12. 2024 v sume 137 171,33 EUR, čo predstavuje 128,77 % plnenie.</w:t>
      </w:r>
    </w:p>
    <w:p w14:paraId="2AE22117">
      <w:pPr>
        <w:ind w:firstLine="720"/>
        <w:jc w:val="both"/>
        <w:textAlignment w:val="baseline"/>
        <w:rPr>
          <w:color w:val="000000" w:themeColor="text1"/>
          <w:sz w:val="24"/>
          <w:szCs w:val="24"/>
          <w14:textFill>
            <w14:solidFill>
              <w14:schemeClr w14:val="tx1"/>
            </w14:solidFill>
          </w14:textFill>
        </w:rPr>
      </w:pPr>
    </w:p>
    <w:p w14:paraId="48B8ACDB">
      <w:pPr>
        <w:pStyle w:val="20"/>
        <w:numPr>
          <w:ilvl w:val="0"/>
          <w:numId w:val="5"/>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Bežné príjmy</w:t>
      </w:r>
    </w:p>
    <w:p w14:paraId="5094FFD8">
      <w:pPr>
        <w:textAlignment w:val="baseline"/>
        <w:rPr>
          <w:color w:val="FF0000"/>
          <w:sz w:val="24"/>
          <w:szCs w:val="24"/>
        </w:rPr>
      </w:pP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24FD6C2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31E8D85A">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4D244D5C">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47AABD4F">
            <w:pPr>
              <w:jc w:val="center"/>
              <w:rPr>
                <w:sz w:val="24"/>
                <w:szCs w:val="24"/>
              </w:rPr>
            </w:pPr>
            <w:r>
              <w:rPr>
                <w:b/>
                <w:bCs/>
                <w:sz w:val="24"/>
                <w:szCs w:val="24"/>
              </w:rPr>
              <w:t>% plnenia</w:t>
            </w:r>
          </w:p>
        </w:tc>
      </w:tr>
      <w:tr w14:paraId="5B93777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CA30559">
            <w:pPr>
              <w:jc w:val="center"/>
              <w:rPr>
                <w:sz w:val="24"/>
                <w:szCs w:val="24"/>
              </w:rPr>
            </w:pPr>
            <w:r>
              <w:rPr>
                <w:sz w:val="24"/>
                <w:szCs w:val="24"/>
              </w:rPr>
              <w:t>106 523,00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58E31C3">
            <w:pPr>
              <w:jc w:val="center"/>
              <w:rPr>
                <w:sz w:val="24"/>
                <w:szCs w:val="24"/>
              </w:rPr>
            </w:pPr>
            <w:r>
              <w:rPr>
                <w:sz w:val="24"/>
                <w:szCs w:val="24"/>
              </w:rPr>
              <w:t>115 397,86</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50772A44">
            <w:pPr>
              <w:jc w:val="center"/>
              <w:rPr>
                <w:sz w:val="24"/>
                <w:szCs w:val="24"/>
              </w:rPr>
            </w:pPr>
            <w:r>
              <w:rPr>
                <w:sz w:val="24"/>
                <w:szCs w:val="24"/>
              </w:rPr>
              <w:t>108,33%</w:t>
            </w:r>
          </w:p>
        </w:tc>
      </w:tr>
    </w:tbl>
    <w:p w14:paraId="52A07C91">
      <w:pPr>
        <w:textAlignment w:val="baseline"/>
        <w:rPr>
          <w:color w:val="FF0000"/>
          <w:sz w:val="24"/>
          <w:szCs w:val="24"/>
        </w:rPr>
      </w:pPr>
    </w:p>
    <w:p w14:paraId="0668FC3E">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bežných príjmov 106 523,00 EUR bol skutočný príjem k 31. 12. 2024 v sume 115 397,86 EUR, čo predstavuje 108,33 % plnenie.</w:t>
      </w:r>
    </w:p>
    <w:p w14:paraId="6A682E49">
      <w:pPr>
        <w:jc w:val="both"/>
        <w:textAlignment w:val="baseline"/>
        <w:rPr>
          <w:color w:val="000000" w:themeColor="text1"/>
          <w:sz w:val="24"/>
          <w:szCs w:val="24"/>
          <w14:textFill>
            <w14:solidFill>
              <w14:schemeClr w14:val="tx1"/>
            </w14:solidFill>
          </w14:textFill>
        </w:rPr>
      </w:pPr>
    </w:p>
    <w:p w14:paraId="1EDE4556">
      <w:pPr>
        <w:pStyle w:val="20"/>
        <w:numPr>
          <w:ilvl w:val="0"/>
          <w:numId w:val="6"/>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daňové príjmy </w:t>
      </w:r>
    </w:p>
    <w:p w14:paraId="54669D31">
      <w:pPr>
        <w:textAlignment w:val="baseline"/>
        <w:rPr>
          <w:color w:val="000000" w:themeColor="text1"/>
          <w:sz w:val="24"/>
          <w:szCs w:val="24"/>
          <w14:textFill>
            <w14:solidFill>
              <w14:schemeClr w14:val="tx1"/>
            </w14:solidFill>
          </w14:textFill>
        </w:rPr>
      </w:pP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1D2A7C0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4DA7EE27">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6FA5F52C">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412DE6D6">
            <w:pPr>
              <w:jc w:val="center"/>
              <w:rPr>
                <w:sz w:val="24"/>
                <w:szCs w:val="24"/>
              </w:rPr>
            </w:pPr>
            <w:r>
              <w:rPr>
                <w:b/>
                <w:bCs/>
                <w:sz w:val="24"/>
                <w:szCs w:val="24"/>
              </w:rPr>
              <w:t>% plnenia</w:t>
            </w:r>
          </w:p>
        </w:tc>
      </w:tr>
      <w:tr w14:paraId="42D088D2">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410CC37">
            <w:pPr>
              <w:jc w:val="center"/>
              <w:rPr>
                <w:sz w:val="24"/>
                <w:szCs w:val="24"/>
              </w:rPr>
            </w:pPr>
            <w:r>
              <w:rPr>
                <w:sz w:val="24"/>
                <w:szCs w:val="24"/>
              </w:rPr>
              <w:t>90 023,00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245B73A">
            <w:pPr>
              <w:jc w:val="center"/>
              <w:rPr>
                <w:sz w:val="24"/>
                <w:szCs w:val="24"/>
              </w:rPr>
            </w:pPr>
            <w:r>
              <w:rPr>
                <w:sz w:val="24"/>
                <w:szCs w:val="24"/>
              </w:rPr>
              <w:t>93 078,80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6DC46E1C">
            <w:pPr>
              <w:jc w:val="center"/>
              <w:rPr>
                <w:sz w:val="24"/>
                <w:szCs w:val="24"/>
              </w:rPr>
            </w:pPr>
            <w:r>
              <w:rPr>
                <w:sz w:val="24"/>
                <w:szCs w:val="24"/>
              </w:rPr>
              <w:t>103,39%</w:t>
            </w:r>
          </w:p>
        </w:tc>
      </w:tr>
    </w:tbl>
    <w:p w14:paraId="775A9571">
      <w:pPr>
        <w:jc w:val="both"/>
        <w:textAlignment w:val="baseline"/>
        <w:rPr>
          <w:color w:val="000000" w:themeColor="text1"/>
          <w:sz w:val="24"/>
          <w:szCs w:val="24"/>
          <w14:textFill>
            <w14:solidFill>
              <w14:schemeClr w14:val="tx1"/>
            </w14:solidFill>
          </w14:textFill>
        </w:rPr>
      </w:pPr>
    </w:p>
    <w:p w14:paraId="1698719E">
      <w:pPr>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Výnos dane z príjmov poukázaný územnej samospráve </w:t>
      </w:r>
    </w:p>
    <w:p w14:paraId="6CDB62B1">
      <w:pPr>
        <w:jc w:val="both"/>
        <w:textAlignment w:val="baseline"/>
        <w:rPr>
          <w:color w:val="000000" w:themeColor="text1"/>
          <w:sz w:val="12"/>
          <w:szCs w:val="12"/>
          <w14:textFill>
            <w14:solidFill>
              <w14:schemeClr w14:val="tx1"/>
            </w14:solidFill>
          </w14:textFill>
        </w:rPr>
      </w:pPr>
    </w:p>
    <w:p w14:paraId="7B4AAC85">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predpokladanej finančnej čiastky v sume 78 438,00 EUR z výnosu dane z príjmov boli k 31. 12. 2024 poukázané finančné prostriedky zo ŠR v sume 80 047,66 EUR, čo predstavuje plnenie na 102,05 %.</w:t>
      </w:r>
    </w:p>
    <w:p w14:paraId="5A580B40">
      <w:pPr>
        <w:jc w:val="both"/>
        <w:textAlignment w:val="baseline"/>
        <w:rPr>
          <w:color w:val="000000" w:themeColor="text1"/>
          <w:sz w:val="24"/>
          <w:szCs w:val="24"/>
          <w14:textFill>
            <w14:solidFill>
              <w14:schemeClr w14:val="tx1"/>
            </w14:solidFill>
          </w14:textFill>
        </w:rPr>
      </w:pPr>
    </w:p>
    <w:p w14:paraId="7D256F42">
      <w:pPr>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Daň z nehnuteľností</w:t>
      </w:r>
    </w:p>
    <w:p w14:paraId="605F9F5D">
      <w:pPr>
        <w:jc w:val="both"/>
        <w:textAlignment w:val="baseline"/>
        <w:rPr>
          <w:color w:val="000000" w:themeColor="text1"/>
          <w:sz w:val="12"/>
          <w:szCs w:val="12"/>
          <w14:textFill>
            <w14:solidFill>
              <w14:schemeClr w14:val="tx1"/>
            </w14:solidFill>
          </w14:textFill>
        </w:rPr>
      </w:pPr>
    </w:p>
    <w:p w14:paraId="54402E32">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6 950,00 EUR bol skutočný príjem k 31. 12. 2024 v sume 7 538,85 EUR, čo predstavuje plnenie na 108,47 % plnenie. Príjmy dane z pozemkov boli v sume 6 733,24 EUR, príjmy dane zo stavieb boli v sume 805,61 EUR a príjmy dane z bytov boli v sume 0,00 EUR.</w:t>
      </w:r>
    </w:p>
    <w:p w14:paraId="0A65FB90">
      <w:pPr>
        <w:jc w:val="both"/>
        <w:textAlignment w:val="baseline"/>
        <w:rPr>
          <w:color w:val="000000" w:themeColor="text1"/>
          <w:sz w:val="24"/>
          <w:szCs w:val="24"/>
          <w14:textFill>
            <w14:solidFill>
              <w14:schemeClr w14:val="tx1"/>
            </w14:solidFill>
          </w14:textFill>
        </w:rPr>
      </w:pPr>
    </w:p>
    <w:p w14:paraId="56AD7F51">
      <w:pPr>
        <w:jc w:val="both"/>
        <w:textAlignment w:val="baseline"/>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Daň za psa</w:t>
      </w:r>
    </w:p>
    <w:p w14:paraId="5D516CAE">
      <w:pPr>
        <w:jc w:val="both"/>
        <w:textAlignment w:val="baseline"/>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  </w:t>
      </w:r>
    </w:p>
    <w:p w14:paraId="44E647F0">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135,00 EUR bol skutočný príjem k 31. 12. 2024 v sume 150,08 EUR, čo predstavuje plnenie na 111,17 % plnenie.</w:t>
      </w:r>
    </w:p>
    <w:p w14:paraId="78F8B558">
      <w:pPr>
        <w:jc w:val="both"/>
        <w:textAlignment w:val="baseline"/>
        <w:rPr>
          <w:color w:val="000000" w:themeColor="text1"/>
          <w:sz w:val="24"/>
          <w:szCs w:val="24"/>
          <w14:textFill>
            <w14:solidFill>
              <w14:schemeClr w14:val="tx1"/>
            </w14:solidFill>
          </w14:textFill>
        </w:rPr>
      </w:pPr>
    </w:p>
    <w:p w14:paraId="3699EDB4">
      <w:pPr>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Poplatok za komunálny odpad a drobný stavebný odpad </w:t>
      </w:r>
    </w:p>
    <w:p w14:paraId="5A816DEA">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4 500,00 EUR bol skutočný príjem k 31. 12. 2024 v sume 5 219,41 EUR, čo predstavuje plnenie na 115,98 % plnenie.</w:t>
      </w:r>
    </w:p>
    <w:p w14:paraId="4DD8BE04">
      <w:pPr>
        <w:jc w:val="both"/>
        <w:textAlignment w:val="baseline"/>
        <w:rPr>
          <w:color w:val="000000" w:themeColor="text1"/>
          <w:sz w:val="24"/>
          <w:szCs w:val="24"/>
          <w14:textFill>
            <w14:solidFill>
              <w14:schemeClr w14:val="tx1"/>
            </w14:solidFill>
          </w14:textFill>
        </w:rPr>
      </w:pPr>
    </w:p>
    <w:p w14:paraId="4F376C6C">
      <w:pPr>
        <w:pStyle w:val="20"/>
        <w:numPr>
          <w:ilvl w:val="0"/>
          <w:numId w:val="7"/>
        </w:numPr>
        <w:spacing w:line="360" w:lineRule="auto"/>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nedaňové príjmy: </w:t>
      </w:r>
    </w:p>
    <w:p w14:paraId="119E811E">
      <w:pPr>
        <w:pStyle w:val="20"/>
        <w:spacing w:line="360" w:lineRule="auto"/>
        <w:ind w:left="284"/>
        <w:textAlignment w:val="baseline"/>
        <w:rPr>
          <w:color w:val="000000" w:themeColor="text1"/>
          <w:sz w:val="24"/>
          <w:szCs w:val="24"/>
          <w14:textFill>
            <w14:solidFill>
              <w14:schemeClr w14:val="tx1"/>
            </w14:solidFill>
          </w14:textFill>
        </w:rPr>
      </w:pP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0038918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2288F900">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20F6A1A1">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7419A510">
            <w:pPr>
              <w:jc w:val="center"/>
              <w:rPr>
                <w:sz w:val="24"/>
                <w:szCs w:val="24"/>
              </w:rPr>
            </w:pPr>
            <w:r>
              <w:rPr>
                <w:b/>
                <w:bCs/>
                <w:sz w:val="24"/>
                <w:szCs w:val="24"/>
              </w:rPr>
              <w:t>% plnenia</w:t>
            </w:r>
          </w:p>
        </w:tc>
      </w:tr>
      <w:tr w14:paraId="7D9518A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517A3EC">
            <w:pPr>
              <w:jc w:val="center"/>
              <w:rPr>
                <w:sz w:val="24"/>
                <w:szCs w:val="24"/>
              </w:rPr>
            </w:pPr>
            <w:r>
              <w:rPr>
                <w:sz w:val="24"/>
                <w:szCs w:val="24"/>
              </w:rPr>
              <w:t>12 500,00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7D0D20F">
            <w:pPr>
              <w:jc w:val="center"/>
              <w:rPr>
                <w:sz w:val="24"/>
                <w:szCs w:val="24"/>
              </w:rPr>
            </w:pPr>
            <w:r>
              <w:rPr>
                <w:sz w:val="24"/>
                <w:szCs w:val="24"/>
              </w:rPr>
              <w:t>15 809,70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3840B43B">
            <w:pPr>
              <w:jc w:val="center"/>
              <w:rPr>
                <w:sz w:val="24"/>
                <w:szCs w:val="24"/>
              </w:rPr>
            </w:pPr>
            <w:r>
              <w:rPr>
                <w:sz w:val="24"/>
                <w:szCs w:val="24"/>
              </w:rPr>
              <w:t>126,48%</w:t>
            </w:r>
          </w:p>
        </w:tc>
      </w:tr>
    </w:tbl>
    <w:p w14:paraId="69F2B0C0">
      <w:pPr>
        <w:tabs>
          <w:tab w:val="right" w:pos="284"/>
        </w:tabs>
        <w:spacing w:line="360" w:lineRule="auto"/>
        <w:jc w:val="both"/>
        <w:textAlignment w:val="baseline"/>
        <w:rPr>
          <w:color w:val="000000" w:themeColor="text1"/>
          <w:sz w:val="24"/>
          <w:szCs w:val="24"/>
          <w14:textFill>
            <w14:solidFill>
              <w14:schemeClr w14:val="tx1"/>
            </w14:solidFill>
          </w14:textFill>
        </w:rPr>
      </w:pPr>
    </w:p>
    <w:p w14:paraId="0C6AAE03">
      <w:pPr>
        <w:tabs>
          <w:tab w:val="right" w:pos="284"/>
        </w:tabs>
        <w:spacing w:line="276" w:lineRule="auto"/>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Príjmy z podnikania a z vlastníctva majetku</w:t>
      </w:r>
    </w:p>
    <w:p w14:paraId="25FB4DD1">
      <w:pPr>
        <w:tabs>
          <w:tab w:val="right" w:pos="284"/>
        </w:tabs>
        <w:spacing w:line="276" w:lineRule="auto"/>
        <w:jc w:val="both"/>
        <w:textAlignment w:val="baseline"/>
        <w:rPr>
          <w:color w:val="000000" w:themeColor="text1"/>
          <w:sz w:val="12"/>
          <w:szCs w:val="12"/>
          <w14:textFill>
            <w14:solidFill>
              <w14:schemeClr w14:val="tx1"/>
            </w14:solidFill>
          </w14:textFill>
        </w:rPr>
      </w:pPr>
    </w:p>
    <w:p w14:paraId="2A670043">
      <w:pPr>
        <w:spacing w:line="276" w:lineRule="auto"/>
        <w:ind w:firstLine="720"/>
        <w:jc w:val="both"/>
        <w:rPr>
          <w:rFonts w:hint="default"/>
          <w:color w:val="000000" w:themeColor="text1"/>
          <w:sz w:val="24"/>
          <w:szCs w:val="24"/>
          <w:lang w:val="sk-SK"/>
          <w14:textFill>
            <w14:solidFill>
              <w14:schemeClr w14:val="tx1"/>
            </w14:solidFill>
          </w14:textFill>
        </w:rPr>
      </w:pPr>
      <w:r>
        <w:rPr>
          <w:color w:val="000000" w:themeColor="text1"/>
          <w:sz w:val="24"/>
          <w:szCs w:val="24"/>
          <w14:textFill>
            <w14:solidFill>
              <w14:schemeClr w14:val="tx1"/>
            </w14:solidFill>
          </w14:textFill>
        </w:rPr>
        <w:t>Z rozpočtovaných 4 000,00 EUR bol skutočný príjem k 31. 12. 2024 v sume 3 900,26 EUR, čo je 97,51 % plnenie. Uvedený príjem predstavuje príjem z prenajatých pozemkov, budov, priestorov a objektov v sume 3 900,26 EUR</w:t>
      </w:r>
      <w:r>
        <w:rPr>
          <w:rFonts w:hint="default"/>
          <w:color w:val="000000" w:themeColor="text1"/>
          <w:sz w:val="24"/>
          <w:szCs w:val="24"/>
          <w:lang w:val="sk-SK"/>
          <w14:textFill>
            <w14:solidFill>
              <w14:schemeClr w14:val="tx1"/>
            </w14:solidFill>
          </w14:textFill>
        </w:rPr>
        <w:t>.</w:t>
      </w:r>
    </w:p>
    <w:p w14:paraId="36EBEF91">
      <w:pPr>
        <w:spacing w:line="276" w:lineRule="auto"/>
        <w:ind w:firstLine="720"/>
        <w:jc w:val="both"/>
        <w:rPr>
          <w:color w:val="000000" w:themeColor="text1"/>
          <w:sz w:val="24"/>
          <w:szCs w:val="24"/>
          <w14:textFill>
            <w14:solidFill>
              <w14:schemeClr w14:val="tx1"/>
            </w14:solidFill>
          </w14:textFill>
        </w:rPr>
      </w:pPr>
    </w:p>
    <w:p w14:paraId="65819D96">
      <w:pPr>
        <w:tabs>
          <w:tab w:val="right" w:pos="284"/>
        </w:tabs>
        <w:spacing w:line="276" w:lineRule="auto"/>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Administratívne poplatky a iné poplatky a platby</w:t>
      </w:r>
    </w:p>
    <w:p w14:paraId="3C4EF813">
      <w:pPr>
        <w:spacing w:line="276" w:lineRule="auto"/>
        <w:jc w:val="both"/>
        <w:textAlignment w:val="baseline"/>
        <w:rPr>
          <w:color w:val="000000" w:themeColor="text1"/>
          <w:sz w:val="12"/>
          <w:szCs w:val="12"/>
          <w14:textFill>
            <w14:solidFill>
              <w14:schemeClr w14:val="tx1"/>
            </w14:solidFill>
          </w14:textFill>
        </w:rPr>
      </w:pPr>
    </w:p>
    <w:p w14:paraId="590EE2F4">
      <w:pPr>
        <w:spacing w:line="276" w:lineRule="auto"/>
        <w:ind w:firstLine="644"/>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Administratívne poplatky - správne poplatky: </w:t>
      </w:r>
    </w:p>
    <w:p w14:paraId="4CE23083">
      <w:pPr>
        <w:spacing w:line="276" w:lineRule="auto"/>
        <w:ind w:firstLine="644"/>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5 500,00 € bol skutočný príjem k 31. 12. 2024 v sume 5 585,89 EUR, čo je 101,56 % plnenie.</w:t>
      </w:r>
    </w:p>
    <w:p w14:paraId="0C2E61C6">
      <w:pPr>
        <w:spacing w:line="276" w:lineRule="auto"/>
        <w:ind w:firstLine="644"/>
        <w:jc w:val="both"/>
        <w:textAlignment w:val="baseline"/>
        <w:rPr>
          <w:color w:val="000000" w:themeColor="text1"/>
          <w:sz w:val="24"/>
          <w:szCs w:val="24"/>
          <w14:textFill>
            <w14:solidFill>
              <w14:schemeClr w14:val="tx1"/>
            </w14:solidFill>
          </w14:textFill>
        </w:rPr>
      </w:pPr>
    </w:p>
    <w:p w14:paraId="2EDAB9A7">
      <w:pPr>
        <w:pStyle w:val="20"/>
        <w:numPr>
          <w:ilvl w:val="0"/>
          <w:numId w:val="8"/>
        </w:numPr>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iné nedaňové príjmy: </w:t>
      </w:r>
    </w:p>
    <w:p w14:paraId="2ED4F251">
      <w:pPr>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3D05185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3BC330DA">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06B3A9D2">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2BEE4E25">
            <w:pPr>
              <w:jc w:val="center"/>
              <w:rPr>
                <w:sz w:val="24"/>
                <w:szCs w:val="24"/>
              </w:rPr>
            </w:pPr>
            <w:r>
              <w:rPr>
                <w:b/>
                <w:bCs/>
                <w:sz w:val="24"/>
                <w:szCs w:val="24"/>
              </w:rPr>
              <w:t>% plnenia</w:t>
            </w:r>
          </w:p>
        </w:tc>
      </w:tr>
      <w:tr w14:paraId="253EE48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602B5CE">
            <w:pPr>
              <w:jc w:val="center"/>
              <w:rPr>
                <w:sz w:val="24"/>
                <w:szCs w:val="24"/>
              </w:rPr>
            </w:pPr>
            <w:r>
              <w:rPr>
                <w:sz w:val="24"/>
                <w:szCs w:val="24"/>
              </w:rPr>
              <w:t>3000,00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10E9F8D">
            <w:pPr>
              <w:jc w:val="center"/>
              <w:rPr>
                <w:sz w:val="24"/>
                <w:szCs w:val="24"/>
              </w:rPr>
            </w:pPr>
            <w:r>
              <w:rPr>
                <w:sz w:val="24"/>
                <w:szCs w:val="24"/>
              </w:rPr>
              <w:t>6 323,55</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70D1D90">
            <w:pPr>
              <w:ind w:left="360"/>
              <w:jc w:val="center"/>
              <w:rPr>
                <w:sz w:val="24"/>
                <w:szCs w:val="24"/>
              </w:rPr>
            </w:pPr>
            <w:r>
              <w:rPr>
                <w:sz w:val="24"/>
                <w:szCs w:val="24"/>
              </w:rPr>
              <w:t>210,79%</w:t>
            </w:r>
          </w:p>
        </w:tc>
      </w:tr>
    </w:tbl>
    <w:p w14:paraId="2F1DD846">
      <w:pPr>
        <w:jc w:val="both"/>
        <w:textAlignment w:val="baseline"/>
        <w:rPr>
          <w:color w:val="000000" w:themeColor="text1"/>
          <w:sz w:val="24"/>
          <w:szCs w:val="24"/>
          <w14:textFill>
            <w14:solidFill>
              <w14:schemeClr w14:val="tx1"/>
            </w14:solidFill>
          </w14:textFill>
        </w:rPr>
      </w:pPr>
    </w:p>
    <w:p w14:paraId="4E51C29A">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iných nedaňových príjmov 3 000,00 EUR, bol skutočný príjem vo výške 6 323,55 EUR, čo predstavuje 210,79 % plnenie. Medzi iné nedaňové príjmy boli rozpočtované príjmy z dobropisov a z vratiek.</w:t>
      </w:r>
    </w:p>
    <w:p w14:paraId="0133EB95">
      <w:pPr>
        <w:jc w:val="both"/>
        <w:textAlignment w:val="baseline"/>
        <w:rPr>
          <w:color w:val="000000" w:themeColor="text1"/>
          <w:sz w:val="24"/>
          <w:szCs w:val="24"/>
          <w14:textFill>
            <w14:solidFill>
              <w14:schemeClr w14:val="tx1"/>
            </w14:solidFill>
          </w14:textFill>
        </w:rPr>
      </w:pPr>
    </w:p>
    <w:p w14:paraId="27FAAB09">
      <w:pPr>
        <w:pStyle w:val="20"/>
        <w:numPr>
          <w:ilvl w:val="0"/>
          <w:numId w:val="9"/>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prijaté granty a transfery</w:t>
      </w:r>
    </w:p>
    <w:p w14:paraId="2F365FA0">
      <w:pPr>
        <w:pStyle w:val="20"/>
        <w:ind w:left="284"/>
        <w:textAlignment w:val="baseline"/>
        <w:rPr>
          <w:color w:val="000000" w:themeColor="text1"/>
          <w:sz w:val="24"/>
          <w:szCs w:val="24"/>
          <w14:textFill>
            <w14:solidFill>
              <w14:schemeClr w14:val="tx1"/>
            </w14:solidFill>
          </w14:textFill>
        </w:rPr>
      </w:pPr>
    </w:p>
    <w:p w14:paraId="471E437B">
      <w:pPr>
        <w:pStyle w:val="20"/>
        <w:ind w:left="284"/>
        <w:textAlignment w:val="baseline"/>
        <w:rPr>
          <w:rFonts w:hint="default"/>
          <w:color w:val="000000" w:themeColor="text1"/>
          <w:sz w:val="24"/>
          <w:szCs w:val="24"/>
          <w:lang w:val="sk-SK"/>
          <w14:textFill>
            <w14:solidFill>
              <w14:schemeClr w14:val="tx1"/>
            </w14:solidFill>
          </w14:textFill>
        </w:rPr>
      </w:pPr>
      <w:r>
        <w:rPr>
          <w:color w:val="000000" w:themeColor="text1"/>
          <w:sz w:val="24"/>
          <w:szCs w:val="24"/>
          <w14:textFill>
            <w14:solidFill>
              <w14:schemeClr w14:val="tx1"/>
            </w14:solidFill>
          </w14:textFill>
        </w:rPr>
        <w:t>Z rozpočtovaných grantov a transferov v sume 4 000,00 EUR bol skutočný príjem vo výške 6 509,36 EUR, čo predstavuje 162,73 % plnenie</w:t>
      </w:r>
      <w:r>
        <w:rPr>
          <w:rFonts w:hint="default"/>
          <w:color w:val="000000" w:themeColor="text1"/>
          <w:sz w:val="24"/>
          <w:szCs w:val="24"/>
          <w:lang w:val="sk-SK"/>
          <w14:textFill>
            <w14:solidFill>
              <w14:schemeClr w14:val="tx1"/>
            </w14:solidFill>
          </w14:textFill>
        </w:rPr>
        <w:t>.</w:t>
      </w:r>
    </w:p>
    <w:p w14:paraId="7544A320">
      <w:pPr>
        <w:pStyle w:val="20"/>
        <w:ind w:left="284"/>
        <w:textAlignment w:val="baseline"/>
        <w:rPr>
          <w:color w:val="000000" w:themeColor="text1"/>
          <w:sz w:val="24"/>
          <w:szCs w:val="24"/>
          <w14:textFill>
            <w14:solidFill>
              <w14:schemeClr w14:val="tx1"/>
            </w14:solidFill>
          </w14:textFill>
        </w:rPr>
      </w:pPr>
    </w:p>
    <w:p w14:paraId="7BB0ABC8">
      <w:pPr>
        <w:textAlignment w:val="baseline"/>
        <w:rPr>
          <w:color w:val="000000" w:themeColor="text1"/>
          <w:sz w:val="12"/>
          <w:szCs w:val="12"/>
          <w14:textFill>
            <w14:solidFill>
              <w14:schemeClr w14:val="tx1"/>
            </w14:solidFill>
          </w14:textFill>
        </w:rPr>
      </w:pPr>
    </w:p>
    <w:tbl>
      <w:tblPr>
        <w:tblStyle w:val="3"/>
        <w:tblW w:w="9060" w:type="dxa"/>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3833"/>
        <w:gridCol w:w="1771"/>
        <w:gridCol w:w="3456"/>
      </w:tblGrid>
      <w:tr w14:paraId="434A6731">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312111B9">
            <w:pPr>
              <w:jc w:val="center"/>
              <w:rPr>
                <w:sz w:val="24"/>
                <w:szCs w:val="24"/>
              </w:rPr>
            </w:pPr>
            <w:r>
              <w:rPr>
                <w:b/>
                <w:bCs/>
                <w:sz w:val="24"/>
                <w:szCs w:val="24"/>
              </w:rPr>
              <w:t>Poskytovateľ dotácie</w:t>
            </w:r>
          </w:p>
        </w:tc>
        <w:tc>
          <w:tcPr>
            <w:tcW w:w="1771"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505BACC3">
            <w:pPr>
              <w:jc w:val="center"/>
              <w:rPr>
                <w:sz w:val="24"/>
                <w:szCs w:val="24"/>
              </w:rPr>
            </w:pPr>
            <w:r>
              <w:rPr>
                <w:b/>
                <w:bCs/>
                <w:sz w:val="24"/>
                <w:szCs w:val="24"/>
              </w:rPr>
              <w:t>Suma v EUR</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tcPr>
          <w:p w14:paraId="344B1DC4">
            <w:pPr>
              <w:jc w:val="center"/>
              <w:rPr>
                <w:sz w:val="24"/>
                <w:szCs w:val="24"/>
              </w:rPr>
            </w:pPr>
            <w:r>
              <w:rPr>
                <w:b/>
                <w:bCs/>
                <w:sz w:val="24"/>
                <w:szCs w:val="24"/>
              </w:rPr>
              <w:t>Účel</w:t>
            </w:r>
          </w:p>
        </w:tc>
      </w:tr>
      <w:tr w14:paraId="370269A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35ABB8B1">
            <w:pPr>
              <w:rPr>
                <w:sz w:val="24"/>
                <w:szCs w:val="24"/>
              </w:rPr>
            </w:pPr>
            <w:r>
              <w:rPr>
                <w:sz w:val="24"/>
                <w:szCs w:val="24"/>
              </w:rPr>
              <w:t>DPO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72E81263">
            <w:pPr>
              <w:tabs>
                <w:tab w:val="decimal" w:pos="883"/>
              </w:tabs>
              <w:ind w:firstLine="360" w:firstLineChars="150"/>
              <w:jc w:val="both"/>
              <w:rPr>
                <w:sz w:val="24"/>
                <w:szCs w:val="24"/>
              </w:rPr>
            </w:pPr>
            <w:r>
              <w:rPr>
                <w:sz w:val="24"/>
                <w:szCs w:val="24"/>
              </w:rPr>
              <w:t>3 000,00</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36AEE5A">
            <w:pPr>
              <w:rPr>
                <w:sz w:val="24"/>
                <w:szCs w:val="24"/>
              </w:rPr>
            </w:pPr>
            <w:r>
              <w:rPr>
                <w:sz w:val="24"/>
                <w:szCs w:val="24"/>
              </w:rPr>
              <w:t>Dotácia DHZ</w:t>
            </w:r>
          </w:p>
        </w:tc>
      </w:tr>
      <w:tr w14:paraId="4FAB701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DCCC88C">
            <w:pPr>
              <w:rPr>
                <w:sz w:val="24"/>
                <w:szCs w:val="24"/>
              </w:rPr>
            </w:pPr>
            <w:r>
              <w:rPr>
                <w:sz w:val="24"/>
                <w:szCs w:val="24"/>
              </w:rPr>
              <w:t>MF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7436791">
            <w:pPr>
              <w:tabs>
                <w:tab w:val="decimal" w:pos="883"/>
              </w:tabs>
              <w:ind w:firstLine="360" w:firstLineChars="150"/>
              <w:rPr>
                <w:sz w:val="24"/>
                <w:szCs w:val="24"/>
              </w:rPr>
            </w:pPr>
            <w:r>
              <w:rPr>
                <w:sz w:val="24"/>
                <w:szCs w:val="24"/>
              </w:rPr>
              <w:t>1 148,92</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AE88E59">
            <w:pPr>
              <w:rPr>
                <w:sz w:val="24"/>
                <w:szCs w:val="24"/>
              </w:rPr>
            </w:pPr>
            <w:r>
              <w:rPr>
                <w:sz w:val="24"/>
                <w:szCs w:val="24"/>
              </w:rPr>
              <w:t>Voľby do EP</w:t>
            </w:r>
          </w:p>
        </w:tc>
      </w:tr>
      <w:tr w14:paraId="633A88C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ED94485">
            <w:pPr>
              <w:rPr>
                <w:sz w:val="24"/>
                <w:szCs w:val="24"/>
              </w:rPr>
            </w:pPr>
            <w:r>
              <w:rPr>
                <w:sz w:val="24"/>
                <w:szCs w:val="24"/>
              </w:rPr>
              <w:t>MV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011C453">
            <w:pPr>
              <w:tabs>
                <w:tab w:val="decimal" w:pos="883"/>
              </w:tabs>
              <w:ind w:firstLine="360" w:firstLineChars="150"/>
              <w:rPr>
                <w:sz w:val="24"/>
                <w:szCs w:val="24"/>
              </w:rPr>
            </w:pPr>
            <w:r>
              <w:rPr>
                <w:sz w:val="24"/>
                <w:szCs w:val="24"/>
              </w:rPr>
              <w:t>2 058,07</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A1485FA">
            <w:pPr>
              <w:rPr>
                <w:sz w:val="24"/>
                <w:szCs w:val="24"/>
              </w:rPr>
            </w:pPr>
            <w:r>
              <w:rPr>
                <w:sz w:val="24"/>
                <w:szCs w:val="24"/>
              </w:rPr>
              <w:t>Voľby prezidenta</w:t>
            </w:r>
          </w:p>
        </w:tc>
      </w:tr>
      <w:tr w14:paraId="74E83CB1">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4DE86DE">
            <w:pPr>
              <w:rPr>
                <w:sz w:val="24"/>
                <w:szCs w:val="24"/>
              </w:rPr>
            </w:pPr>
            <w:r>
              <w:rPr>
                <w:sz w:val="24"/>
                <w:szCs w:val="24"/>
              </w:rPr>
              <w:t>MV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E1B360B">
            <w:pPr>
              <w:tabs>
                <w:tab w:val="decimal" w:pos="883"/>
              </w:tabs>
              <w:ind w:firstLine="360" w:firstLineChars="150"/>
              <w:rPr>
                <w:sz w:val="24"/>
                <w:szCs w:val="24"/>
              </w:rPr>
            </w:pPr>
            <w:r>
              <w:rPr>
                <w:sz w:val="24"/>
                <w:szCs w:val="24"/>
              </w:rPr>
              <w:t>49,14</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FAE6F96">
            <w:pPr>
              <w:rPr>
                <w:sz w:val="24"/>
                <w:szCs w:val="24"/>
              </w:rPr>
            </w:pPr>
            <w:r>
              <w:rPr>
                <w:sz w:val="24"/>
                <w:szCs w:val="24"/>
              </w:rPr>
              <w:t>Energošeky</w:t>
            </w:r>
          </w:p>
        </w:tc>
      </w:tr>
      <w:tr w14:paraId="03B7CE2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8275BCC">
            <w:pPr>
              <w:rPr>
                <w:sz w:val="24"/>
                <w:szCs w:val="24"/>
              </w:rPr>
            </w:pPr>
            <w:r>
              <w:rPr>
                <w:sz w:val="24"/>
                <w:szCs w:val="24"/>
              </w:rPr>
              <w:t>MV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6FB5A93">
            <w:pPr>
              <w:tabs>
                <w:tab w:val="decimal" w:pos="883"/>
              </w:tabs>
              <w:ind w:firstLine="360" w:firstLineChars="150"/>
              <w:rPr>
                <w:sz w:val="24"/>
                <w:szCs w:val="24"/>
              </w:rPr>
            </w:pPr>
            <w:r>
              <w:rPr>
                <w:sz w:val="24"/>
                <w:szCs w:val="24"/>
              </w:rPr>
              <w:t>89,76</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5A77690">
            <w:pPr>
              <w:rPr>
                <w:sz w:val="24"/>
                <w:szCs w:val="24"/>
              </w:rPr>
            </w:pPr>
            <w:r>
              <w:rPr>
                <w:sz w:val="24"/>
                <w:szCs w:val="24"/>
              </w:rPr>
              <w:t>REGOB</w:t>
            </w:r>
          </w:p>
        </w:tc>
      </w:tr>
      <w:tr w14:paraId="33DE0B6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04E9D13">
            <w:pPr>
              <w:rPr>
                <w:sz w:val="24"/>
                <w:szCs w:val="24"/>
              </w:rPr>
            </w:pPr>
            <w:r>
              <w:rPr>
                <w:sz w:val="24"/>
                <w:szCs w:val="24"/>
              </w:rPr>
              <w:t>MV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76485E4">
            <w:pPr>
              <w:tabs>
                <w:tab w:val="decimal" w:pos="883"/>
              </w:tabs>
              <w:ind w:firstLine="360" w:firstLineChars="150"/>
              <w:rPr>
                <w:sz w:val="24"/>
                <w:szCs w:val="24"/>
              </w:rPr>
            </w:pPr>
            <w:r>
              <w:rPr>
                <w:sz w:val="24"/>
                <w:szCs w:val="24"/>
              </w:rPr>
              <w:t>21,20</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69DEA51E">
            <w:pPr>
              <w:rPr>
                <w:sz w:val="24"/>
                <w:szCs w:val="24"/>
              </w:rPr>
            </w:pPr>
            <w:r>
              <w:rPr>
                <w:sz w:val="24"/>
                <w:szCs w:val="24"/>
              </w:rPr>
              <w:t>Register adries</w:t>
            </w:r>
          </w:p>
        </w:tc>
      </w:tr>
      <w:tr w14:paraId="4DC033B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833"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F7AC938">
            <w:pPr>
              <w:rPr>
                <w:sz w:val="24"/>
                <w:szCs w:val="24"/>
              </w:rPr>
            </w:pPr>
            <w:r>
              <w:rPr>
                <w:sz w:val="24"/>
                <w:szCs w:val="24"/>
              </w:rPr>
              <w:t>MV SR</w:t>
            </w:r>
          </w:p>
        </w:tc>
        <w:tc>
          <w:tcPr>
            <w:tcW w:w="177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B4D00DE">
            <w:pPr>
              <w:tabs>
                <w:tab w:val="decimal" w:pos="883"/>
              </w:tabs>
              <w:ind w:firstLine="360" w:firstLineChars="150"/>
              <w:rPr>
                <w:sz w:val="24"/>
                <w:szCs w:val="24"/>
              </w:rPr>
            </w:pPr>
            <w:r>
              <w:rPr>
                <w:sz w:val="24"/>
                <w:szCs w:val="24"/>
              </w:rPr>
              <w:t xml:space="preserve">142,27 </w:t>
            </w:r>
          </w:p>
        </w:tc>
        <w:tc>
          <w:tcPr>
            <w:tcW w:w="345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3B9960AB">
            <w:pPr>
              <w:rPr>
                <w:sz w:val="24"/>
                <w:szCs w:val="24"/>
              </w:rPr>
            </w:pPr>
            <w:r>
              <w:rPr>
                <w:sz w:val="24"/>
                <w:szCs w:val="24"/>
              </w:rPr>
              <w:t>Starostlivosť o ŽP</w:t>
            </w:r>
          </w:p>
        </w:tc>
      </w:tr>
    </w:tbl>
    <w:p w14:paraId="2D9F732A">
      <w:pPr>
        <w:textAlignment w:val="baseline"/>
        <w:rPr>
          <w:color w:val="000000" w:themeColor="text1"/>
          <w:sz w:val="24"/>
          <w:szCs w:val="24"/>
          <w14:textFill>
            <w14:solidFill>
              <w14:schemeClr w14:val="tx1"/>
            </w14:solidFill>
          </w14:textFill>
        </w:rPr>
      </w:pPr>
    </w:p>
    <w:p w14:paraId="35D9842D">
      <w:pPr>
        <w:jc w:val="both"/>
        <w:textAlignment w:val="baseline"/>
        <w:rPr>
          <w:color w:val="000000" w:themeColor="text1"/>
          <w:sz w:val="24"/>
          <w:szCs w:val="24"/>
          <w14:textFill>
            <w14:solidFill>
              <w14:schemeClr w14:val="tx1"/>
            </w14:solidFill>
          </w14:textFill>
        </w:rPr>
      </w:pPr>
      <w:r>
        <w:rPr>
          <w:color w:val="000000" w:themeColor="text1"/>
          <w:sz w:val="24"/>
          <w:szCs w:val="24"/>
          <w:lang w:val="en-US"/>
          <w14:textFill>
            <w14:solidFill>
              <w14:schemeClr w14:val="tx1"/>
            </w14:solidFill>
          </w14:textFill>
        </w:rPr>
        <w:t>Granty a transfery boli účelovo učené a boli použité v súlade s ich účelom.</w:t>
      </w:r>
    </w:p>
    <w:p w14:paraId="79D14A91">
      <w:pPr>
        <w:pStyle w:val="20"/>
        <w:numPr>
          <w:ilvl w:val="0"/>
          <w:numId w:val="10"/>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Kapitálové príjmy: </w:t>
      </w:r>
    </w:p>
    <w:p w14:paraId="7009BCAD">
      <w:pPr>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 </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4142E19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03518EA1">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5EBEDFD3">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0184EBD2">
            <w:pPr>
              <w:jc w:val="center"/>
              <w:rPr>
                <w:sz w:val="24"/>
                <w:szCs w:val="24"/>
              </w:rPr>
            </w:pPr>
            <w:r>
              <w:rPr>
                <w:b/>
                <w:bCs/>
                <w:sz w:val="24"/>
                <w:szCs w:val="24"/>
              </w:rPr>
              <w:t>% plnenia</w:t>
            </w:r>
          </w:p>
        </w:tc>
      </w:tr>
      <w:tr w14:paraId="3A7E9EB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1584EA1">
            <w:pPr>
              <w:jc w:val="center"/>
              <w:rPr>
                <w:sz w:val="24"/>
                <w:szCs w:val="24"/>
              </w:rPr>
            </w:pPr>
            <w:r>
              <w:rPr>
                <w:sz w:val="24"/>
                <w:szCs w:val="24"/>
              </w:rPr>
              <w:t>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030052E">
            <w:pPr>
              <w:jc w:val="center"/>
              <w:rPr>
                <w:sz w:val="24"/>
                <w:szCs w:val="24"/>
              </w:rPr>
            </w:pPr>
            <w:r>
              <w:rPr>
                <w:sz w:val="24"/>
                <w:szCs w:val="24"/>
              </w:rPr>
              <w:t>21 773,47</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vAlign w:val="center"/>
          </w:tcPr>
          <w:p w14:paraId="2F761C4F">
            <w:pPr>
              <w:jc w:val="center"/>
              <w:rPr>
                <w:sz w:val="24"/>
                <w:szCs w:val="24"/>
              </w:rPr>
            </w:pPr>
            <w:r>
              <w:rPr>
                <w:sz w:val="24"/>
                <w:szCs w:val="24"/>
              </w:rPr>
              <w:t>-%</w:t>
            </w:r>
          </w:p>
        </w:tc>
      </w:tr>
    </w:tbl>
    <w:p w14:paraId="62587FEC">
      <w:pPr>
        <w:textAlignment w:val="baseline"/>
        <w:rPr>
          <w:color w:val="000000" w:themeColor="text1"/>
          <w:sz w:val="24"/>
          <w:szCs w:val="24"/>
          <w14:textFill>
            <w14:solidFill>
              <w14:schemeClr w14:val="tx1"/>
            </w14:solidFill>
          </w14:textFill>
        </w:rPr>
      </w:pPr>
    </w:p>
    <w:p w14:paraId="6DC76051">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kapitálových príjmov 0,00 EUR bol skutočný príjem </w:t>
      </w:r>
      <w:r>
        <w:br w:type="textWrapping"/>
      </w:r>
      <w:r>
        <w:rPr>
          <w:color w:val="000000" w:themeColor="text1"/>
          <w:sz w:val="24"/>
          <w:szCs w:val="24"/>
          <w14:textFill>
            <w14:solidFill>
              <w14:schemeClr w14:val="tx1"/>
            </w14:solidFill>
          </w14:textFill>
        </w:rPr>
        <w:t xml:space="preserve">k 31. 12. 2024 v sume 21 773,47 EUR, čo predstavuje  - %  plnenie. </w:t>
      </w:r>
    </w:p>
    <w:p w14:paraId="4D55DF69">
      <w:pPr>
        <w:ind w:firstLine="720"/>
        <w:jc w:val="both"/>
        <w:textAlignment w:val="baseline"/>
        <w:rPr>
          <w:color w:val="000000" w:themeColor="text1"/>
          <w:sz w:val="24"/>
          <w:szCs w:val="24"/>
          <w14:textFill>
            <w14:solidFill>
              <w14:schemeClr w14:val="tx1"/>
            </w14:solidFill>
          </w14:textFill>
        </w:rPr>
      </w:pPr>
    </w:p>
    <w:p w14:paraId="4E18F63C">
      <w:pPr>
        <w:tabs>
          <w:tab w:val="right" w:pos="284"/>
        </w:tabs>
        <w:jc w:val="both"/>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Granty a transfery</w:t>
      </w:r>
    </w:p>
    <w:p w14:paraId="5BF47576">
      <w:pPr>
        <w:tabs>
          <w:tab w:val="right" w:pos="284"/>
        </w:tabs>
        <w:jc w:val="both"/>
        <w:textAlignment w:val="baseline"/>
        <w:rPr>
          <w:color w:val="000000" w:themeColor="text1"/>
          <w:sz w:val="12"/>
          <w:szCs w:val="12"/>
          <w14:textFill>
            <w14:solidFill>
              <w14:schemeClr w14:val="tx1"/>
            </w14:solidFill>
          </w14:textFill>
        </w:rPr>
      </w:pPr>
    </w:p>
    <w:p w14:paraId="7C90E8E7">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0,00 EUR bol skutočný príjem k 31. 12. 2024 v sume 21 773,47 EUR, čo predstavuje - % plnenie.</w:t>
      </w:r>
    </w:p>
    <w:p w14:paraId="50E09624">
      <w:pPr>
        <w:ind w:firstLine="720"/>
        <w:jc w:val="both"/>
        <w:textAlignment w:val="baseline"/>
        <w:rPr>
          <w:color w:val="000000" w:themeColor="text1"/>
          <w:sz w:val="24"/>
          <w:szCs w:val="24"/>
          <w14:textFill>
            <w14:solidFill>
              <w14:schemeClr w14:val="tx1"/>
            </w14:solidFill>
          </w14:textFill>
        </w:rPr>
      </w:pPr>
    </w:p>
    <w:tbl>
      <w:tblPr>
        <w:tblStyle w:val="3"/>
        <w:tblW w:w="9060" w:type="dxa"/>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2D82A70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7142F5A4">
            <w:pPr>
              <w:jc w:val="center"/>
              <w:rPr>
                <w:b/>
                <w:bCs/>
                <w:sz w:val="24"/>
                <w:szCs w:val="24"/>
              </w:rPr>
            </w:pPr>
            <w:r>
              <w:rPr>
                <w:b/>
                <w:bCs/>
                <w:sz w:val="24"/>
                <w:szCs w:val="24"/>
              </w:rPr>
              <w:t>Poskytovateľ dotácie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30D675C3">
            <w:pPr>
              <w:jc w:val="center"/>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Suma v EUR</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2E7083F2">
            <w:pPr>
              <w:jc w:val="center"/>
              <w:rPr>
                <w:b/>
                <w:bCs/>
                <w:sz w:val="24"/>
                <w:szCs w:val="24"/>
              </w:rPr>
            </w:pPr>
            <w:r>
              <w:rPr>
                <w:b/>
                <w:bCs/>
                <w:sz w:val="24"/>
                <w:szCs w:val="24"/>
              </w:rPr>
              <w:t>Účel</w:t>
            </w:r>
          </w:p>
        </w:tc>
      </w:tr>
      <w:tr w14:paraId="326992B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84F1975">
            <w:pPr>
              <w:jc w:val="center"/>
              <w:rPr>
                <w:sz w:val="24"/>
                <w:szCs w:val="24"/>
              </w:rPr>
            </w:pPr>
            <w:r>
              <w:rPr>
                <w:sz w:val="24"/>
                <w:szCs w:val="24"/>
              </w:rPr>
              <w:t>EPFRV</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D90436B">
            <w:pPr>
              <w:jc w:val="center"/>
              <w:rPr>
                <w:sz w:val="24"/>
                <w:szCs w:val="24"/>
              </w:rPr>
            </w:pPr>
            <w:r>
              <w:rPr>
                <w:sz w:val="24"/>
                <w:szCs w:val="24"/>
              </w:rPr>
              <w:t>20 273,47</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2773644">
            <w:pPr>
              <w:rPr>
                <w:sz w:val="24"/>
                <w:szCs w:val="24"/>
              </w:rPr>
            </w:pPr>
            <w:r>
              <w:rPr>
                <w:sz w:val="24"/>
                <w:szCs w:val="24"/>
              </w:rPr>
              <w:t>Dotácie na kaštieľ</w:t>
            </w:r>
          </w:p>
        </w:tc>
      </w:tr>
      <w:tr w14:paraId="7860538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DEE430D">
            <w:pPr>
              <w:jc w:val="center"/>
              <w:rPr>
                <w:sz w:val="24"/>
                <w:szCs w:val="24"/>
              </w:rPr>
            </w:pPr>
            <w:r>
              <w:rPr>
                <w:sz w:val="24"/>
                <w:szCs w:val="24"/>
              </w:rPr>
              <w:t>PSK</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88F183F">
            <w:pPr>
              <w:jc w:val="center"/>
              <w:rPr>
                <w:sz w:val="24"/>
                <w:szCs w:val="24"/>
              </w:rPr>
            </w:pPr>
            <w:r>
              <w:rPr>
                <w:sz w:val="24"/>
                <w:szCs w:val="24"/>
              </w:rPr>
              <w:t>1 500,00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4A21084">
            <w:pPr>
              <w:rPr>
                <w:sz w:val="24"/>
                <w:szCs w:val="24"/>
              </w:rPr>
            </w:pPr>
            <w:r>
              <w:rPr>
                <w:sz w:val="24"/>
                <w:szCs w:val="24"/>
              </w:rPr>
              <w:t>Dotácia PSK – soc. zariadenie</w:t>
            </w:r>
          </w:p>
        </w:tc>
      </w:tr>
    </w:tbl>
    <w:p w14:paraId="0CDF656E">
      <w:pPr>
        <w:jc w:val="both"/>
        <w:textAlignment w:val="baseline"/>
        <w:rPr>
          <w:color w:val="000000" w:themeColor="text1"/>
          <w:sz w:val="24"/>
          <w:szCs w:val="24"/>
          <w14:textFill>
            <w14:solidFill>
              <w14:schemeClr w14:val="tx1"/>
            </w14:solidFill>
          </w14:textFill>
        </w:rPr>
      </w:pPr>
    </w:p>
    <w:p w14:paraId="2D83EE67">
      <w:pPr>
        <w:ind w:firstLine="720"/>
        <w:jc w:val="both"/>
        <w:textAlignment w:val="baseline"/>
        <w:rPr>
          <w:color w:val="000000" w:themeColor="text1"/>
          <w:sz w:val="24"/>
          <w:szCs w:val="24"/>
          <w14:textFill>
            <w14:solidFill>
              <w14:schemeClr w14:val="tx1"/>
            </w14:solidFill>
          </w14:textFill>
        </w:rPr>
      </w:pPr>
    </w:p>
    <w:p w14:paraId="27B4A027">
      <w:pPr>
        <w:pStyle w:val="20"/>
        <w:numPr>
          <w:ilvl w:val="0"/>
          <w:numId w:val="11"/>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Príjmové finančné operácie: </w:t>
      </w:r>
    </w:p>
    <w:p w14:paraId="24BED30E">
      <w:pPr>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2E01F18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419439FD">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456BB79B">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1128C25E">
            <w:pPr>
              <w:jc w:val="center"/>
              <w:rPr>
                <w:sz w:val="24"/>
                <w:szCs w:val="24"/>
              </w:rPr>
            </w:pPr>
            <w:r>
              <w:rPr>
                <w:b/>
                <w:bCs/>
                <w:sz w:val="24"/>
                <w:szCs w:val="24"/>
              </w:rPr>
              <w:t>% plnenia</w:t>
            </w:r>
          </w:p>
        </w:tc>
      </w:tr>
      <w:tr w14:paraId="7148E7B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7315189">
            <w:pPr>
              <w:jc w:val="center"/>
              <w:rPr>
                <w:sz w:val="24"/>
                <w:szCs w:val="24"/>
              </w:rPr>
            </w:pPr>
            <w:r>
              <w:rPr>
                <w:sz w:val="24"/>
                <w:szCs w:val="24"/>
              </w:rPr>
              <w:t>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165C3A4">
            <w:pPr>
              <w:jc w:val="center"/>
              <w:rPr>
                <w:sz w:val="24"/>
                <w:szCs w:val="24"/>
              </w:rPr>
            </w:pPr>
            <w:r>
              <w:rPr>
                <w:sz w:val="24"/>
                <w:szCs w:val="24"/>
              </w:rPr>
              <w:t>0,00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54FFC8CB">
            <w:pPr>
              <w:jc w:val="center"/>
              <w:rPr>
                <w:sz w:val="24"/>
                <w:szCs w:val="24"/>
              </w:rPr>
            </w:pPr>
            <w:r>
              <w:rPr>
                <w:sz w:val="24"/>
                <w:szCs w:val="24"/>
              </w:rPr>
              <w:t>- %</w:t>
            </w:r>
          </w:p>
        </w:tc>
      </w:tr>
    </w:tbl>
    <w:p w14:paraId="301F6C47">
      <w:pPr>
        <w:jc w:val="both"/>
        <w:textAlignment w:val="baseline"/>
        <w:rPr>
          <w:color w:val="000000" w:themeColor="text1"/>
          <w:sz w:val="24"/>
          <w:szCs w:val="24"/>
          <w14:textFill>
            <w14:solidFill>
              <w14:schemeClr w14:val="tx1"/>
            </w14:solidFill>
          </w14:textFill>
        </w:rPr>
      </w:pPr>
    </w:p>
    <w:p w14:paraId="126F25A5">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príjmových finančných operácií 0,00 EUR bol skutočný príjem </w:t>
      </w:r>
      <w:r>
        <w:br w:type="textWrapping"/>
      </w:r>
      <w:r>
        <w:rPr>
          <w:color w:val="000000" w:themeColor="text1"/>
          <w:sz w:val="24"/>
          <w:szCs w:val="24"/>
          <w14:textFill>
            <w14:solidFill>
              <w14:schemeClr w14:val="tx1"/>
            </w14:solidFill>
          </w14:textFill>
        </w:rPr>
        <w:t>k 31. 12. 2024 v sume 0,00 EUR, čo predstavuje  - %  plnenie.</w:t>
      </w:r>
    </w:p>
    <w:p w14:paraId="1F2A43F4">
      <w:pPr>
        <w:ind w:firstLine="720"/>
        <w:jc w:val="both"/>
        <w:textAlignment w:val="baseline"/>
        <w:rPr>
          <w:color w:val="000000" w:themeColor="text1"/>
          <w:sz w:val="24"/>
          <w:szCs w:val="24"/>
          <w14:textFill>
            <w14:solidFill>
              <w14:schemeClr w14:val="tx1"/>
            </w14:solidFill>
          </w14:textFill>
        </w:rPr>
      </w:pPr>
    </w:p>
    <w:p w14:paraId="47D9C311">
      <w:pPr>
        <w:pStyle w:val="20"/>
        <w:numPr>
          <w:ilvl w:val="0"/>
          <w:numId w:val="12"/>
        </w:numPr>
        <w:ind w:left="284" w:hanging="284"/>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Príjmy rozpočtových organizácií s právnou subjektivitou:</w:t>
      </w:r>
    </w:p>
    <w:p w14:paraId="526DD21C">
      <w:pPr>
        <w:jc w:val="both"/>
        <w:textAlignment w:val="baseline"/>
        <w:rPr>
          <w:color w:val="000000" w:themeColor="text1"/>
          <w:sz w:val="24"/>
          <w:szCs w:val="24"/>
          <w14:textFill>
            <w14:solidFill>
              <w14:schemeClr w14:val="tx1"/>
            </w14:solidFill>
          </w14:textFill>
        </w:rPr>
      </w:pPr>
    </w:p>
    <w:p w14:paraId="12242DBD">
      <w:pPr>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Obec Hendrichovce nemá rozpočtovú organizáciu.</w:t>
      </w:r>
    </w:p>
    <w:p w14:paraId="5984175D">
      <w:pPr>
        <w:textAlignment w:val="baseline"/>
        <w:rPr>
          <w:color w:val="000000" w:themeColor="text1"/>
          <w:sz w:val="24"/>
          <w:szCs w:val="24"/>
          <w14:textFill>
            <w14:solidFill>
              <w14:schemeClr w14:val="tx1"/>
            </w14:solidFill>
          </w14:textFill>
        </w:rPr>
      </w:pPr>
    </w:p>
    <w:p w14:paraId="7F886E99">
      <w:pPr>
        <w:pStyle w:val="10"/>
        <w:shd w:val="clear" w:color="auto" w:fill="FFFFFF" w:themeFill="background1"/>
        <w:jc w:val="both"/>
        <w:textAlignment w:val="baseline"/>
        <w:rPr>
          <w:rFonts w:ascii="Times New Roman" w:hAnsi="Times New Roman" w:cs="Times New Roman"/>
          <w:b/>
          <w:bCs/>
        </w:rPr>
      </w:pPr>
      <w:r>
        <w:rPr>
          <w:rFonts w:ascii="Times New Roman" w:hAnsi="Times New Roman" w:cs="Times New Roman"/>
          <w:b/>
          <w:bCs/>
          <w:highlight w:val="lightGray"/>
          <w:shd w:val="clear" w:color="auto" w:fill="C0C0C0"/>
        </w:rPr>
        <w:t>6.2 Rozbor čerpania výdavkov za rok 202</w:t>
      </w:r>
      <w:r>
        <w:rPr>
          <w:rFonts w:ascii="Times New Roman" w:hAnsi="Times New Roman" w:cs="Times New Roman"/>
          <w:b/>
          <w:bCs/>
          <w:shd w:val="clear" w:color="auto" w:fill="C0C0C0"/>
        </w:rPr>
        <w:t>4</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443A541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646D2FBC">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565F32CB">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16C055E4">
            <w:pPr>
              <w:jc w:val="center"/>
              <w:rPr>
                <w:sz w:val="24"/>
                <w:szCs w:val="24"/>
              </w:rPr>
            </w:pPr>
            <w:r>
              <w:rPr>
                <w:b/>
                <w:bCs/>
                <w:sz w:val="24"/>
                <w:szCs w:val="24"/>
              </w:rPr>
              <w:t>% čerpania</w:t>
            </w:r>
          </w:p>
        </w:tc>
      </w:tr>
      <w:tr w14:paraId="3229F49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3409CA1">
            <w:pPr>
              <w:jc w:val="center"/>
              <w:rPr>
                <w:sz w:val="24"/>
                <w:szCs w:val="24"/>
              </w:rPr>
            </w:pPr>
            <w:r>
              <w:rPr>
                <w:sz w:val="24"/>
                <w:szCs w:val="24"/>
              </w:rPr>
              <w:t>106 523,00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ABA8297">
            <w:pPr>
              <w:jc w:val="center"/>
              <w:rPr>
                <w:sz w:val="24"/>
                <w:szCs w:val="24"/>
              </w:rPr>
            </w:pPr>
            <w:r>
              <w:rPr>
                <w:sz w:val="24"/>
                <w:szCs w:val="24"/>
              </w:rPr>
              <w:t>136 628,96</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B723172">
            <w:pPr>
              <w:jc w:val="center"/>
              <w:rPr>
                <w:sz w:val="24"/>
                <w:szCs w:val="24"/>
              </w:rPr>
            </w:pPr>
            <w:r>
              <w:rPr>
                <w:sz w:val="24"/>
                <w:szCs w:val="24"/>
              </w:rPr>
              <w:t>128,26%</w:t>
            </w:r>
          </w:p>
        </w:tc>
      </w:tr>
    </w:tbl>
    <w:p w14:paraId="68721850">
      <w:pPr>
        <w:ind w:left="360"/>
        <w:jc w:val="both"/>
        <w:textAlignment w:val="baseline"/>
        <w:rPr>
          <w:color w:val="000000" w:themeColor="text1"/>
          <w:sz w:val="24"/>
          <w:szCs w:val="24"/>
          <w14:textFill>
            <w14:solidFill>
              <w14:schemeClr w14:val="tx1"/>
            </w14:solidFill>
          </w14:textFill>
        </w:rPr>
      </w:pPr>
    </w:p>
    <w:p w14:paraId="1A292153">
      <w:pPr>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celkových výdavkov 106 523,00 EUR bolo skutočne čerpané k 31. 12. 2024 v sume 136 628,96 EUR, čo predstavuje 128,26 % čerpanie.</w:t>
      </w:r>
    </w:p>
    <w:p w14:paraId="6AFA1B24">
      <w:pPr>
        <w:textAlignment w:val="baseline"/>
        <w:rPr>
          <w:color w:val="000000" w:themeColor="text1"/>
          <w:sz w:val="24"/>
          <w:szCs w:val="24"/>
          <w14:textFill>
            <w14:solidFill>
              <w14:schemeClr w14:val="tx1"/>
            </w14:solidFill>
          </w14:textFill>
        </w:rPr>
      </w:pPr>
    </w:p>
    <w:p w14:paraId="387E6E5C">
      <w:pPr>
        <w:textAlignment w:val="baseline"/>
        <w:rPr>
          <w:color w:val="000000" w:themeColor="text1"/>
          <w:sz w:val="24"/>
          <w:szCs w:val="24"/>
          <w14:textFill>
            <w14:solidFill>
              <w14:schemeClr w14:val="tx1"/>
            </w14:solidFill>
          </w14:textFill>
        </w:rPr>
      </w:pPr>
    </w:p>
    <w:p w14:paraId="645B6050">
      <w:pPr>
        <w:textAlignment w:val="baseline"/>
        <w:rPr>
          <w:color w:val="000000" w:themeColor="text1"/>
          <w:sz w:val="24"/>
          <w:szCs w:val="24"/>
          <w14:textFill>
            <w14:solidFill>
              <w14:schemeClr w14:val="tx1"/>
            </w14:solidFill>
          </w14:textFill>
        </w:rPr>
      </w:pPr>
    </w:p>
    <w:p w14:paraId="06FEB1EB">
      <w:pPr>
        <w:textAlignment w:val="baseline"/>
        <w:rPr>
          <w:color w:val="000000" w:themeColor="text1"/>
          <w:sz w:val="24"/>
          <w:szCs w:val="24"/>
          <w14:textFill>
            <w14:solidFill>
              <w14:schemeClr w14:val="tx1"/>
            </w14:solidFill>
          </w14:textFill>
        </w:rPr>
      </w:pPr>
    </w:p>
    <w:p w14:paraId="5F44AB70">
      <w:pPr>
        <w:pStyle w:val="20"/>
        <w:numPr>
          <w:ilvl w:val="0"/>
          <w:numId w:val="13"/>
        </w:numPr>
        <w:textAlignment w:val="baseline"/>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Bežné výdavky </w:t>
      </w:r>
    </w:p>
    <w:p w14:paraId="4193C323">
      <w:pPr>
        <w:ind w:left="284"/>
        <w:textAlignment w:val="baseline"/>
        <w:rPr>
          <w:color w:val="000000" w:themeColor="text1"/>
          <w:sz w:val="24"/>
          <w:szCs w:val="24"/>
          <w14:textFill>
            <w14:solidFill>
              <w14:schemeClr w14:val="tx1"/>
            </w14:solidFill>
          </w14:textFill>
        </w:rPr>
      </w:pP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0247A1E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7592345B">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727344FB">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5BA764F3">
            <w:pPr>
              <w:jc w:val="center"/>
              <w:rPr>
                <w:sz w:val="24"/>
                <w:szCs w:val="24"/>
              </w:rPr>
            </w:pPr>
            <w:r>
              <w:rPr>
                <w:b/>
                <w:bCs/>
                <w:sz w:val="24"/>
                <w:szCs w:val="24"/>
              </w:rPr>
              <w:t>% čerpania</w:t>
            </w:r>
          </w:p>
        </w:tc>
      </w:tr>
      <w:tr w14:paraId="4EA4EFB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3C0C4FD">
            <w:pPr>
              <w:jc w:val="center"/>
              <w:rPr>
                <w:sz w:val="24"/>
                <w:szCs w:val="24"/>
              </w:rPr>
            </w:pPr>
            <w:r>
              <w:rPr>
                <w:sz w:val="24"/>
                <w:szCs w:val="24"/>
              </w:rPr>
              <w:t>103 300,00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405B0FA">
            <w:pPr>
              <w:jc w:val="center"/>
              <w:rPr>
                <w:sz w:val="24"/>
                <w:szCs w:val="24"/>
              </w:rPr>
            </w:pPr>
            <w:r>
              <w:rPr>
                <w:sz w:val="24"/>
                <w:szCs w:val="24"/>
              </w:rPr>
              <w:t>109 276,40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C579EAF">
            <w:pPr>
              <w:jc w:val="center"/>
              <w:rPr>
                <w:sz w:val="24"/>
                <w:szCs w:val="24"/>
              </w:rPr>
            </w:pPr>
            <w:r>
              <w:rPr>
                <w:sz w:val="24"/>
                <w:szCs w:val="24"/>
              </w:rPr>
              <w:t>105,78%</w:t>
            </w:r>
          </w:p>
        </w:tc>
      </w:tr>
    </w:tbl>
    <w:p w14:paraId="6BD083E1">
      <w:pPr>
        <w:jc w:val="both"/>
        <w:textAlignment w:val="baseline"/>
        <w:rPr>
          <w:color w:val="000000" w:themeColor="text1"/>
          <w:sz w:val="24"/>
          <w:szCs w:val="24"/>
          <w14:textFill>
            <w14:solidFill>
              <w14:schemeClr w14:val="tx1"/>
            </w14:solidFill>
          </w14:textFill>
        </w:rPr>
      </w:pPr>
    </w:p>
    <w:p w14:paraId="588D675E">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bežných výdavkov 103 300,00 EUR bolo skutočne čerpané </w:t>
      </w:r>
    </w:p>
    <w:p w14:paraId="114654E2">
      <w:pPr>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k 31. 12. 2024 v sume 109 276,40 EUR, čo predstavuje 105,78 % čerpanie.</w:t>
      </w:r>
    </w:p>
    <w:p w14:paraId="1827505E">
      <w:pPr>
        <w:pStyle w:val="10"/>
        <w:jc w:val="both"/>
        <w:textAlignment w:val="baseline"/>
        <w:rPr>
          <w:rFonts w:ascii="Times New Roman" w:hAnsi="Times New Roman" w:cs="Times New Roman"/>
        </w:rPr>
      </w:pPr>
      <w:r>
        <w:rPr>
          <w:rFonts w:ascii="Times New Roman" w:hAnsi="Times New Roman" w:cs="Times New Roman"/>
          <w:b/>
          <w:bCs/>
        </w:rPr>
        <w:t>Rozbor významných položiek bežného rozpočtu:</w:t>
      </w:r>
      <w:r>
        <w:rPr>
          <w:rFonts w:ascii="Times New Roman" w:hAnsi="Times New Roman" w:cs="Times New Roman"/>
        </w:rPr>
        <w:t xml:space="preserve"> </w:t>
      </w:r>
    </w:p>
    <w:p w14:paraId="1D0585EB">
      <w:pPr>
        <w:pStyle w:val="10"/>
        <w:jc w:val="both"/>
        <w:textAlignment w:val="baseline"/>
        <w:rPr>
          <w:rFonts w:ascii="Segoe UI" w:hAnsi="Segoe UI" w:cs="Segoe UI"/>
        </w:rPr>
      </w:pPr>
      <w:r>
        <w:rPr>
          <w:rFonts w:ascii="Times New Roman" w:hAnsi="Times New Roman" w:cs="Times New Roman"/>
          <w:b/>
          <w:bCs/>
        </w:rPr>
        <w:t>Mzdy, platy, služobné príjmy a ostatné osobné vyrovnania</w:t>
      </w:r>
      <w:r>
        <w:rPr>
          <w:rFonts w:ascii="Times New Roman" w:hAnsi="Times New Roman" w:cs="Times New Roman"/>
        </w:rPr>
        <w:t xml:space="preserve"> </w:t>
      </w:r>
    </w:p>
    <w:p w14:paraId="197C9F53">
      <w:pPr>
        <w:tabs>
          <w:tab w:val="right" w:pos="284"/>
        </w:tabs>
        <w:jc w:val="both"/>
        <w:rPr>
          <w:rFonts w:hint="default"/>
          <w:color w:val="000000" w:themeColor="text1"/>
          <w:sz w:val="24"/>
          <w:szCs w:val="24"/>
          <w:lang w:val="sk-SK"/>
          <w14:textFill>
            <w14:solidFill>
              <w14:schemeClr w14:val="tx1"/>
            </w14:solidFill>
          </w14:textFill>
        </w:rPr>
      </w:pPr>
      <w:r>
        <w:rPr>
          <w:color w:val="000000" w:themeColor="text1"/>
          <w:sz w:val="24"/>
          <w:szCs w:val="24"/>
          <w14:textFill>
            <w14:solidFill>
              <w14:schemeClr w14:val="tx1"/>
            </w14:solidFill>
          </w14:textFill>
        </w:rPr>
        <w:t>Z rozpočtovaných výdavkov 32 700,00 EUR bolo skutočné čerpanie k 31. 12. 2024 v sume 42 213,27 EUR, čo je 129,09 % čerpanie. Patria sem mzdové prostriedky pracovníkov OcÚ</w:t>
      </w:r>
      <w:r>
        <w:rPr>
          <w:rFonts w:hint="default"/>
          <w:color w:val="000000" w:themeColor="text1"/>
          <w:sz w:val="24"/>
          <w:szCs w:val="24"/>
          <w:lang w:val="sk-SK"/>
          <w14:textFill>
            <w14:solidFill>
              <w14:schemeClr w14:val="tx1"/>
            </w14:solidFill>
          </w14:textFill>
        </w:rPr>
        <w:t>.</w:t>
      </w:r>
    </w:p>
    <w:p w14:paraId="57555EFE">
      <w:pPr>
        <w:tabs>
          <w:tab w:val="right" w:pos="284"/>
        </w:tabs>
        <w:jc w:val="both"/>
        <w:rPr>
          <w:color w:val="000000" w:themeColor="text1"/>
          <w:sz w:val="24"/>
          <w:szCs w:val="24"/>
          <w14:textFill>
            <w14:solidFill>
              <w14:schemeClr w14:val="tx1"/>
            </w14:solidFill>
          </w14:textFill>
        </w:rPr>
      </w:pPr>
    </w:p>
    <w:p w14:paraId="5F0AF341">
      <w:pPr>
        <w:tabs>
          <w:tab w:val="right" w:pos="284"/>
        </w:tabs>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Poistné a príspevok do poisťovní</w:t>
      </w:r>
    </w:p>
    <w:p w14:paraId="146F7780">
      <w:pPr>
        <w:tabs>
          <w:tab w:val="right" w:pos="284"/>
        </w:tabs>
        <w:jc w:val="both"/>
        <w:rPr>
          <w:color w:val="000000" w:themeColor="text1"/>
          <w:sz w:val="12"/>
          <w:szCs w:val="12"/>
          <w14:textFill>
            <w14:solidFill>
              <w14:schemeClr w14:val="tx1"/>
            </w14:solidFill>
          </w14:textFill>
        </w:rPr>
      </w:pPr>
    </w:p>
    <w:p w14:paraId="57AD38D2">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výdavkov 8 811,00 EUR bolo skutočne čerpané k 31. 12. 2024 v sume 15 341,80 EUR, čo je 174,12 % čerpanie.</w:t>
      </w:r>
    </w:p>
    <w:p w14:paraId="3DFED57C">
      <w:pPr>
        <w:jc w:val="both"/>
        <w:rPr>
          <w:color w:val="000000" w:themeColor="text1"/>
          <w:sz w:val="24"/>
          <w:szCs w:val="24"/>
          <w14:textFill>
            <w14:solidFill>
              <w14:schemeClr w14:val="tx1"/>
            </w14:solidFill>
          </w14:textFill>
        </w:rPr>
      </w:pPr>
    </w:p>
    <w:p w14:paraId="08D86710">
      <w:pPr>
        <w:tabs>
          <w:tab w:val="right" w:pos="284"/>
        </w:tabs>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Tovary a služby</w:t>
      </w:r>
    </w:p>
    <w:p w14:paraId="1604AD90">
      <w:pPr>
        <w:tabs>
          <w:tab w:val="right" w:pos="284"/>
        </w:tabs>
        <w:jc w:val="both"/>
        <w:rPr>
          <w:color w:val="000000" w:themeColor="text1"/>
          <w:sz w:val="12"/>
          <w:szCs w:val="12"/>
          <w14:textFill>
            <w14:solidFill>
              <w14:schemeClr w14:val="tx1"/>
            </w14:solidFill>
          </w14:textFill>
        </w:rPr>
      </w:pPr>
    </w:p>
    <w:p w14:paraId="044C708A">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výdavkov 59 289,00 EUR bolo skutočne čerpané k 31. 12. 2024 v sume 47 401,60 EUR, čo je 79,95 % čerpanie. Ide o prevádzkové výdavky všetkých stredísk OcÚ, ako sú cestovné náhrady, energie, materiál, dopravné, rutinná a štandardná údržba, nájomné za nájom a ostatné tovary a služby.</w:t>
      </w:r>
    </w:p>
    <w:p w14:paraId="666A9145">
      <w:pPr>
        <w:jc w:val="both"/>
        <w:rPr>
          <w:color w:val="000000" w:themeColor="text1"/>
          <w:sz w:val="24"/>
          <w:szCs w:val="24"/>
          <w14:textFill>
            <w14:solidFill>
              <w14:schemeClr w14:val="tx1"/>
            </w14:solidFill>
          </w14:textFill>
        </w:rPr>
      </w:pPr>
    </w:p>
    <w:p w14:paraId="6ACEB876">
      <w:pPr>
        <w:tabs>
          <w:tab w:val="right" w:pos="284"/>
        </w:tabs>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Bežné transfery</w:t>
      </w:r>
    </w:p>
    <w:p w14:paraId="5A7BF041">
      <w:pPr>
        <w:tabs>
          <w:tab w:val="right" w:pos="284"/>
        </w:tabs>
        <w:jc w:val="both"/>
        <w:rPr>
          <w:color w:val="000000" w:themeColor="text1"/>
          <w:sz w:val="12"/>
          <w:szCs w:val="12"/>
          <w14:textFill>
            <w14:solidFill>
              <w14:schemeClr w14:val="tx1"/>
            </w14:solidFill>
          </w14:textFill>
        </w:rPr>
      </w:pPr>
    </w:p>
    <w:p w14:paraId="29947D88">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výdavkov 1 000,00 EUR bolo skutočne čerpané k 31. 12. 2024 v sume 3 511,74 EUR, čo predstavuje 351,17 % čerpanie.</w:t>
      </w:r>
    </w:p>
    <w:p w14:paraId="03E85C6B">
      <w:pPr>
        <w:jc w:val="both"/>
        <w:rPr>
          <w:color w:val="000000" w:themeColor="text1"/>
          <w:sz w:val="24"/>
          <w:szCs w:val="24"/>
          <w14:textFill>
            <w14:solidFill>
              <w14:schemeClr w14:val="tx1"/>
            </w14:solidFill>
          </w14:textFill>
        </w:rPr>
      </w:pPr>
    </w:p>
    <w:p w14:paraId="0360689B">
      <w:pPr>
        <w:tabs>
          <w:tab w:val="right" w:pos="284"/>
        </w:tabs>
        <w:jc w:val="both"/>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Splácanie úrokov a  ostatné platby súvisiace s úvermi, pôžičkami a návratnými     finančnými výpomocami</w:t>
      </w:r>
    </w:p>
    <w:p w14:paraId="775C0C32">
      <w:pPr>
        <w:tabs>
          <w:tab w:val="right" w:pos="284"/>
        </w:tabs>
        <w:jc w:val="both"/>
        <w:rPr>
          <w:b/>
          <w:bCs/>
          <w:color w:val="000000" w:themeColor="text1"/>
          <w:sz w:val="24"/>
          <w:szCs w:val="24"/>
          <w14:textFill>
            <w14:solidFill>
              <w14:schemeClr w14:val="tx1"/>
            </w14:solidFill>
          </w14:textFill>
        </w:rPr>
      </w:pPr>
    </w:p>
    <w:p w14:paraId="18F84137">
      <w:pPr>
        <w:tabs>
          <w:tab w:val="right" w:pos="284"/>
        </w:tabs>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výdavkov 1 500,00 EUR bolo skutočne čerpané k 31. 12. 2024 v sume 807,99 EUR, čo predstavuje 53,86 % čerpanie.</w:t>
      </w:r>
    </w:p>
    <w:p w14:paraId="3F80E204">
      <w:pPr>
        <w:tabs>
          <w:tab w:val="right" w:pos="284"/>
        </w:tabs>
        <w:jc w:val="both"/>
        <w:rPr>
          <w:color w:val="000000" w:themeColor="text1"/>
          <w:sz w:val="24"/>
          <w:szCs w:val="24"/>
          <w14:textFill>
            <w14:solidFill>
              <w14:schemeClr w14:val="tx1"/>
            </w14:solidFill>
          </w14:textFill>
        </w:rPr>
      </w:pPr>
    </w:p>
    <w:p w14:paraId="108277A0">
      <w:pPr>
        <w:tabs>
          <w:tab w:val="right" w:pos="284"/>
        </w:tabs>
        <w:jc w:val="both"/>
        <w:rPr>
          <w:color w:val="000000" w:themeColor="text1"/>
          <w:sz w:val="24"/>
          <w:szCs w:val="24"/>
          <w14:textFill>
            <w14:solidFill>
              <w14:schemeClr w14:val="tx1"/>
            </w14:solidFill>
          </w14:textFill>
        </w:rPr>
      </w:pPr>
    </w:p>
    <w:p w14:paraId="7D0A0F9C">
      <w:pPr>
        <w:tabs>
          <w:tab w:val="right" w:pos="284"/>
        </w:tabs>
        <w:jc w:val="both"/>
        <w:rPr>
          <w:color w:val="000000" w:themeColor="text1"/>
          <w:sz w:val="24"/>
          <w:szCs w:val="24"/>
          <w14:textFill>
            <w14:solidFill>
              <w14:schemeClr w14:val="tx1"/>
            </w14:solidFill>
          </w14:textFill>
        </w:rPr>
      </w:pPr>
    </w:p>
    <w:p w14:paraId="29058578">
      <w:pPr>
        <w:tabs>
          <w:tab w:val="right" w:pos="284"/>
        </w:tabs>
        <w:jc w:val="both"/>
        <w:rPr>
          <w:color w:val="000000" w:themeColor="text1"/>
          <w:sz w:val="24"/>
          <w:szCs w:val="24"/>
          <w14:textFill>
            <w14:solidFill>
              <w14:schemeClr w14:val="tx1"/>
            </w14:solidFill>
          </w14:textFill>
        </w:rPr>
      </w:pPr>
    </w:p>
    <w:p w14:paraId="0873102B">
      <w:pPr>
        <w:tabs>
          <w:tab w:val="right" w:pos="284"/>
        </w:tabs>
        <w:jc w:val="both"/>
        <w:rPr>
          <w:color w:val="000000" w:themeColor="text1"/>
          <w:sz w:val="24"/>
          <w:szCs w:val="24"/>
          <w14:textFill>
            <w14:solidFill>
              <w14:schemeClr w14:val="tx1"/>
            </w14:solidFill>
          </w14:textFill>
        </w:rPr>
      </w:pPr>
    </w:p>
    <w:p w14:paraId="4F9BDB61">
      <w:pPr>
        <w:tabs>
          <w:tab w:val="right" w:pos="284"/>
        </w:tabs>
        <w:jc w:val="both"/>
        <w:rPr>
          <w:color w:val="000000" w:themeColor="text1"/>
          <w:sz w:val="24"/>
          <w:szCs w:val="24"/>
          <w14:textFill>
            <w14:solidFill>
              <w14:schemeClr w14:val="tx1"/>
            </w14:solidFill>
          </w14:textFill>
        </w:rPr>
      </w:pPr>
    </w:p>
    <w:p w14:paraId="7E15C02A">
      <w:pPr>
        <w:tabs>
          <w:tab w:val="right" w:pos="284"/>
        </w:tabs>
        <w:jc w:val="both"/>
        <w:rPr>
          <w:color w:val="000000" w:themeColor="text1"/>
          <w:sz w:val="24"/>
          <w:szCs w:val="24"/>
          <w14:textFill>
            <w14:solidFill>
              <w14:schemeClr w14:val="tx1"/>
            </w14:solidFill>
          </w14:textFill>
        </w:rPr>
      </w:pPr>
    </w:p>
    <w:p w14:paraId="1AA96FF7">
      <w:pPr>
        <w:tabs>
          <w:tab w:val="right" w:pos="284"/>
        </w:tabs>
        <w:jc w:val="both"/>
        <w:rPr>
          <w:color w:val="000000" w:themeColor="text1"/>
          <w:sz w:val="24"/>
          <w:szCs w:val="24"/>
          <w14:textFill>
            <w14:solidFill>
              <w14:schemeClr w14:val="tx1"/>
            </w14:solidFill>
          </w14:textFill>
        </w:rPr>
      </w:pPr>
    </w:p>
    <w:p w14:paraId="37E9DB28">
      <w:pPr>
        <w:tabs>
          <w:tab w:val="right" w:pos="284"/>
        </w:tabs>
        <w:jc w:val="both"/>
        <w:rPr>
          <w:color w:val="000000" w:themeColor="text1"/>
          <w:sz w:val="24"/>
          <w:szCs w:val="24"/>
          <w14:textFill>
            <w14:solidFill>
              <w14:schemeClr w14:val="tx1"/>
            </w14:solidFill>
          </w14:textFill>
        </w:rPr>
      </w:pPr>
    </w:p>
    <w:p w14:paraId="2B3EE800">
      <w:pPr>
        <w:tabs>
          <w:tab w:val="right" w:pos="284"/>
        </w:tabs>
        <w:jc w:val="both"/>
        <w:rPr>
          <w:color w:val="000000" w:themeColor="text1"/>
          <w:sz w:val="24"/>
          <w:szCs w:val="24"/>
          <w14:textFill>
            <w14:solidFill>
              <w14:schemeClr w14:val="tx1"/>
            </w14:solidFill>
          </w14:textFill>
        </w:rPr>
      </w:pPr>
    </w:p>
    <w:p w14:paraId="54020F0E">
      <w:pPr>
        <w:tabs>
          <w:tab w:val="right" w:pos="284"/>
        </w:tabs>
        <w:jc w:val="both"/>
        <w:rPr>
          <w:color w:val="000000" w:themeColor="text1"/>
          <w:sz w:val="24"/>
          <w:szCs w:val="24"/>
          <w14:textFill>
            <w14:solidFill>
              <w14:schemeClr w14:val="tx1"/>
            </w14:solidFill>
          </w14:textFill>
        </w:rPr>
      </w:pPr>
    </w:p>
    <w:p w14:paraId="3BA748A1">
      <w:pPr>
        <w:tabs>
          <w:tab w:val="right" w:pos="284"/>
        </w:tabs>
        <w:jc w:val="both"/>
        <w:rPr>
          <w:color w:val="000000" w:themeColor="text1"/>
          <w:sz w:val="12"/>
          <w:szCs w:val="12"/>
          <w14:textFill>
            <w14:solidFill>
              <w14:schemeClr w14:val="tx1"/>
            </w14:solidFill>
          </w14:textFill>
        </w:rPr>
      </w:pPr>
    </w:p>
    <w:p w14:paraId="75C7B403">
      <w:pPr>
        <w:pStyle w:val="10"/>
        <w:numPr>
          <w:ilvl w:val="0"/>
          <w:numId w:val="14"/>
        </w:numPr>
        <w:jc w:val="both"/>
        <w:textAlignment w:val="baseline"/>
        <w:rPr>
          <w:rFonts w:ascii="Times New Roman" w:hAnsi="Times New Roman" w:cs="Times New Roman"/>
        </w:rPr>
      </w:pPr>
      <w:r>
        <w:rPr>
          <w:rFonts w:ascii="Times New Roman" w:hAnsi="Times New Roman" w:cs="Times New Roman"/>
          <w:b/>
          <w:bCs/>
        </w:rPr>
        <w:t>Kapitálové výdavky</w:t>
      </w:r>
      <w:r>
        <w:rPr>
          <w:rFonts w:ascii="Times New Roman" w:hAnsi="Times New Roman" w:cs="Times New Roman"/>
        </w:rPr>
        <w:t xml:space="preserve"> </w:t>
      </w: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0DC2ACD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1113A0CF">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24467FC1">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48710962">
            <w:pPr>
              <w:jc w:val="center"/>
              <w:rPr>
                <w:sz w:val="24"/>
                <w:szCs w:val="24"/>
              </w:rPr>
            </w:pPr>
            <w:r>
              <w:rPr>
                <w:b/>
                <w:bCs/>
                <w:sz w:val="24"/>
                <w:szCs w:val="24"/>
              </w:rPr>
              <w:t>% čerpania</w:t>
            </w:r>
          </w:p>
        </w:tc>
      </w:tr>
      <w:tr w14:paraId="02CFE3A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4C67269C">
            <w:pPr>
              <w:jc w:val="center"/>
              <w:rPr>
                <w:sz w:val="24"/>
                <w:szCs w:val="24"/>
              </w:rPr>
            </w:pPr>
            <w:r>
              <w:rPr>
                <w:sz w:val="24"/>
                <w:szCs w:val="24"/>
              </w:rPr>
              <w:t>0,00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587B423">
            <w:pPr>
              <w:jc w:val="center"/>
              <w:rPr>
                <w:sz w:val="24"/>
                <w:szCs w:val="24"/>
              </w:rPr>
            </w:pPr>
            <w:r>
              <w:rPr>
                <w:sz w:val="24"/>
                <w:szCs w:val="24"/>
              </w:rPr>
              <w:t>2 040,00</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FD881BB">
            <w:pPr>
              <w:jc w:val="center"/>
              <w:rPr>
                <w:sz w:val="24"/>
                <w:szCs w:val="24"/>
              </w:rPr>
            </w:pPr>
            <w:r>
              <w:rPr>
                <w:sz w:val="24"/>
                <w:szCs w:val="24"/>
              </w:rPr>
              <w:t>-%</w:t>
            </w:r>
          </w:p>
        </w:tc>
      </w:tr>
    </w:tbl>
    <w:p w14:paraId="74042003">
      <w:pPr>
        <w:rPr>
          <w:color w:val="000000" w:themeColor="text1"/>
          <w:sz w:val="24"/>
          <w:szCs w:val="24"/>
          <w14:textFill>
            <w14:solidFill>
              <w14:schemeClr w14:val="tx1"/>
            </w14:solidFill>
          </w14:textFill>
        </w:rPr>
      </w:pPr>
    </w:p>
    <w:p w14:paraId="348CAF40">
      <w:pPr>
        <w:ind w:firstLine="720"/>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kapitálových výdavkov 0,00 EUR bolo skutočne čerpané  </w:t>
      </w:r>
      <w:r>
        <w:br w:type="textWrapping"/>
      </w:r>
      <w:r>
        <w:rPr>
          <w:color w:val="000000" w:themeColor="text1"/>
          <w:sz w:val="24"/>
          <w:szCs w:val="24"/>
          <w14:textFill>
            <w14:solidFill>
              <w14:schemeClr w14:val="tx1"/>
            </w14:solidFill>
          </w14:textFill>
        </w:rPr>
        <w:t xml:space="preserve">k 31. 12. 2023 v sume  2 040,00 EUR, čo predstavuje  - %  čerpanie. </w:t>
      </w:r>
    </w:p>
    <w:p w14:paraId="2D5FA7B2">
      <w:pPr>
        <w:jc w:val="both"/>
        <w:rPr>
          <w:color w:val="FF0000"/>
          <w:sz w:val="24"/>
          <w:szCs w:val="24"/>
        </w:rPr>
      </w:pPr>
    </w:p>
    <w:p w14:paraId="4E695234">
      <w:pPr>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Medzi významné položky kapitálového rozpočtu patrí: </w:t>
      </w:r>
    </w:p>
    <w:p w14:paraId="48FB3E8A">
      <w:pPr>
        <w:jc w:val="both"/>
        <w:rPr>
          <w:color w:val="000000" w:themeColor="text1"/>
          <w:sz w:val="12"/>
          <w:szCs w:val="12"/>
          <w14:textFill>
            <w14:solidFill>
              <w14:schemeClr w14:val="tx1"/>
            </w14:solidFill>
          </w14:textFill>
        </w:rPr>
      </w:pPr>
    </w:p>
    <w:p w14:paraId="4B208FD3">
      <w:pPr>
        <w:pStyle w:val="20"/>
        <w:ind w:left="0"/>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Obstaranie kapitálových aktív</w:t>
      </w:r>
    </w:p>
    <w:p w14:paraId="4897D5C2">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kapitálových výdavkov 0,00 EUR bolo skutočne čerpané  </w:t>
      </w:r>
      <w:r>
        <w:br w:type="textWrapping"/>
      </w:r>
      <w:r>
        <w:rPr>
          <w:color w:val="000000" w:themeColor="text1"/>
          <w:sz w:val="24"/>
          <w:szCs w:val="24"/>
          <w14:textFill>
            <w14:solidFill>
              <w14:schemeClr w14:val="tx1"/>
            </w14:solidFill>
          </w14:textFill>
        </w:rPr>
        <w:t>k 31. 12. 2023 v sume 2 040,00 EUR, čo predstavuje   - %  čerpanie.</w:t>
      </w:r>
    </w:p>
    <w:p w14:paraId="3F2243E5">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Kapitálové výdavky boli vynaložené na úhradu faktúr týkajúcich sa zmodernizovania a úpravy kaštieľa v obci Hendrichovce a ďalších výdavkov na zveľadenie obce. </w:t>
      </w:r>
    </w:p>
    <w:p w14:paraId="762636E2">
      <w:pPr>
        <w:pStyle w:val="10"/>
        <w:numPr>
          <w:ilvl w:val="0"/>
          <w:numId w:val="15"/>
        </w:numPr>
        <w:jc w:val="both"/>
        <w:textAlignment w:val="baseline"/>
        <w:rPr>
          <w:rFonts w:ascii="Times New Roman" w:hAnsi="Times New Roman" w:cs="Times New Roman"/>
        </w:rPr>
      </w:pPr>
      <w:r>
        <w:rPr>
          <w:rFonts w:ascii="Times New Roman" w:hAnsi="Times New Roman" w:cs="Times New Roman"/>
          <w:b/>
          <w:bCs/>
        </w:rPr>
        <w:t>Výdavkové finančné operácie</w:t>
      </w:r>
      <w:r>
        <w:rPr>
          <w:rFonts w:ascii="Times New Roman" w:hAnsi="Times New Roman" w:cs="Times New Roman"/>
        </w:rPr>
        <w:t xml:space="preserve"> </w:t>
      </w:r>
    </w:p>
    <w:tbl>
      <w:tblPr>
        <w:tblStyle w:val="3"/>
        <w:tblW w:w="9060" w:type="dxa"/>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2856"/>
        <w:gridCol w:w="2957"/>
        <w:gridCol w:w="3247"/>
      </w:tblGrid>
      <w:tr w14:paraId="14DD77F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856"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00AAEB2F">
            <w:pPr>
              <w:jc w:val="center"/>
              <w:rPr>
                <w:sz w:val="24"/>
                <w:szCs w:val="24"/>
              </w:rPr>
            </w:pPr>
            <w:r>
              <w:rPr>
                <w:b/>
                <w:bCs/>
                <w:sz w:val="24"/>
                <w:szCs w:val="24"/>
              </w:rPr>
              <w:t>Schválený rozpočet na rok 2024 po poslednej zmene</w:t>
            </w:r>
          </w:p>
        </w:tc>
        <w:tc>
          <w:tcPr>
            <w:tcW w:w="2957"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vAlign w:val="center"/>
          </w:tcPr>
          <w:p w14:paraId="368AFC2A">
            <w:pPr>
              <w:jc w:val="center"/>
              <w:rPr>
                <w:color w:val="000000" w:themeColor="text1"/>
                <w:sz w:val="24"/>
                <w:szCs w:val="24"/>
                <w14:textFill>
                  <w14:solidFill>
                    <w14:schemeClr w14:val="tx1"/>
                  </w14:solidFill>
                </w14:textFill>
              </w:rPr>
            </w:pPr>
            <w:r>
              <w:rPr>
                <w:b/>
                <w:bCs/>
                <w:sz w:val="24"/>
                <w:szCs w:val="24"/>
              </w:rPr>
              <w:t>Skutočnosť k </w:t>
            </w:r>
            <w:r>
              <w:rPr>
                <w:b/>
                <w:bCs/>
                <w:color w:val="000000" w:themeColor="text1"/>
                <w:sz w:val="24"/>
                <w:szCs w:val="24"/>
                <w14:textFill>
                  <w14:solidFill>
                    <w14:schemeClr w14:val="tx1"/>
                  </w14:solidFill>
                </w14:textFill>
              </w:rPr>
              <w:t>31. 12. 2024</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vAlign w:val="center"/>
          </w:tcPr>
          <w:p w14:paraId="7D76A5DA">
            <w:pPr>
              <w:jc w:val="center"/>
              <w:rPr>
                <w:sz w:val="24"/>
                <w:szCs w:val="24"/>
              </w:rPr>
            </w:pPr>
            <w:r>
              <w:rPr>
                <w:b/>
                <w:bCs/>
                <w:sz w:val="24"/>
                <w:szCs w:val="24"/>
              </w:rPr>
              <w:t>% čerpania</w:t>
            </w:r>
          </w:p>
        </w:tc>
      </w:tr>
      <w:tr w14:paraId="19B0B37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56"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11C223A2">
            <w:pPr>
              <w:ind w:left="720"/>
              <w:jc w:val="center"/>
              <w:rPr>
                <w:sz w:val="24"/>
                <w:szCs w:val="24"/>
              </w:rPr>
            </w:pPr>
            <w:r>
              <w:rPr>
                <w:sz w:val="24"/>
                <w:szCs w:val="24"/>
              </w:rPr>
              <w:t>3 223,00</w:t>
            </w:r>
          </w:p>
        </w:tc>
        <w:tc>
          <w:tcPr>
            <w:tcW w:w="2957"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418F99ED">
            <w:pPr>
              <w:ind w:left="720"/>
              <w:jc w:val="center"/>
              <w:rPr>
                <w:sz w:val="24"/>
                <w:szCs w:val="24"/>
              </w:rPr>
            </w:pPr>
            <w:r>
              <w:rPr>
                <w:sz w:val="24"/>
                <w:szCs w:val="24"/>
              </w:rPr>
              <w:t>25 312,56</w:t>
            </w:r>
          </w:p>
        </w:tc>
        <w:tc>
          <w:tcPr>
            <w:tcW w:w="3247"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vAlign w:val="center"/>
          </w:tcPr>
          <w:p w14:paraId="2EFA1608">
            <w:pPr>
              <w:ind w:left="720"/>
              <w:jc w:val="center"/>
              <w:rPr>
                <w:sz w:val="24"/>
                <w:szCs w:val="24"/>
              </w:rPr>
            </w:pPr>
            <w:r>
              <w:rPr>
                <w:sz w:val="24"/>
                <w:szCs w:val="24"/>
              </w:rPr>
              <w:t>785,37%</w:t>
            </w:r>
          </w:p>
        </w:tc>
      </w:tr>
    </w:tbl>
    <w:p w14:paraId="72F72446">
      <w:pPr>
        <w:spacing w:line="276" w:lineRule="auto"/>
        <w:ind w:firstLine="720"/>
        <w:jc w:val="both"/>
        <w:textAlignment w:val="baseline"/>
        <w:rPr>
          <w:color w:val="000000" w:themeColor="text1"/>
          <w:sz w:val="24"/>
          <w:szCs w:val="24"/>
          <w14:textFill>
            <w14:solidFill>
              <w14:schemeClr w14:val="tx1"/>
            </w14:solidFill>
          </w14:textFill>
        </w:rPr>
      </w:pPr>
    </w:p>
    <w:p w14:paraId="303CFA00">
      <w:pPr>
        <w:spacing w:line="276" w:lineRule="auto"/>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Z rozpočtovaných výdavkových finančných operácií 3 223,00 EUR bolo skutočne čerpané k 31. 12. 2024 v sume 25 312,56 EUR, čo predstavuje 785,37 % čerpanie. </w:t>
      </w:r>
    </w:p>
    <w:p w14:paraId="45801D07">
      <w:pPr>
        <w:spacing w:line="276" w:lineRule="auto"/>
        <w:ind w:firstLine="720"/>
        <w:jc w:val="both"/>
        <w:textAlignment w:val="baseline"/>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rozpočtovaných výdavkových finančných operácií 3 223,00 EUR na splácanie istiny z prijatých úverov a z leasingu bolo skutočné čerpanie k 31. 12. 2024 v sume 25 312,56 EUR, čo predstavuje 785,37 %.</w:t>
      </w:r>
    </w:p>
    <w:p w14:paraId="05E059E9">
      <w:pPr>
        <w:spacing w:line="276" w:lineRule="auto"/>
        <w:ind w:firstLine="720"/>
        <w:jc w:val="both"/>
        <w:textAlignment w:val="baseline"/>
        <w:rPr>
          <w:color w:val="000000" w:themeColor="text1"/>
          <w:sz w:val="24"/>
          <w:szCs w:val="24"/>
          <w14:textFill>
            <w14:solidFill>
              <w14:schemeClr w14:val="tx1"/>
            </w14:solidFill>
          </w14:textFill>
        </w:rPr>
      </w:pPr>
    </w:p>
    <w:p w14:paraId="36CCDABB">
      <w:pPr>
        <w:pStyle w:val="10"/>
        <w:numPr>
          <w:ilvl w:val="0"/>
          <w:numId w:val="16"/>
        </w:numPr>
        <w:spacing w:before="0" w:beforeAutospacing="0" w:after="0" w:afterAutospacing="0" w:line="276" w:lineRule="auto"/>
        <w:jc w:val="both"/>
        <w:textAlignment w:val="baseline"/>
        <w:rPr>
          <w:rFonts w:ascii="Times New Roman" w:hAnsi="Times New Roman" w:cs="Times New Roman"/>
        </w:rPr>
      </w:pPr>
      <w:r>
        <w:rPr>
          <w:rFonts w:ascii="Times New Roman" w:hAnsi="Times New Roman" w:cs="Times New Roman"/>
          <w:b/>
          <w:bCs/>
        </w:rPr>
        <w:t xml:space="preserve"> Výdavky rozpočtových organizácií s právnou subjektivitou:</w:t>
      </w:r>
      <w:r>
        <w:rPr>
          <w:rFonts w:ascii="Times New Roman" w:hAnsi="Times New Roman" w:cs="Times New Roman"/>
        </w:rPr>
        <w:t xml:space="preserve">  </w:t>
      </w:r>
    </w:p>
    <w:p w14:paraId="7E9499A5">
      <w:pPr>
        <w:pStyle w:val="10"/>
        <w:spacing w:before="0" w:beforeAutospacing="0" w:after="0" w:afterAutospacing="0" w:line="276" w:lineRule="auto"/>
        <w:ind w:left="720"/>
        <w:jc w:val="both"/>
        <w:textAlignment w:val="baseline"/>
        <w:rPr>
          <w:b/>
          <w:bCs/>
        </w:rPr>
      </w:pPr>
      <w:r>
        <w:rPr>
          <w:rFonts w:ascii="Times New Roman" w:hAnsi="Times New Roman" w:cs="Times New Roman"/>
        </w:rPr>
        <w:t xml:space="preserve">Obec Hendrichovce nemá rozpočtovú organizáciu. </w:t>
      </w:r>
      <w:r>
        <w:rPr>
          <w:b/>
          <w:bCs/>
        </w:rPr>
        <w:t xml:space="preserve"> </w:t>
      </w:r>
    </w:p>
    <w:p w14:paraId="122C1602">
      <w:pPr>
        <w:pStyle w:val="10"/>
        <w:spacing w:before="0" w:beforeAutospacing="0" w:after="0" w:afterAutospacing="0" w:line="276" w:lineRule="auto"/>
        <w:ind w:left="720"/>
        <w:jc w:val="both"/>
        <w:textAlignment w:val="baseline"/>
        <w:rPr>
          <w:b/>
          <w:bCs/>
        </w:rPr>
      </w:pPr>
    </w:p>
    <w:p w14:paraId="1B0A1BA3">
      <w:pPr>
        <w:pStyle w:val="10"/>
        <w:spacing w:before="0" w:beforeAutospacing="0" w:after="0" w:afterAutospacing="0" w:line="276" w:lineRule="auto"/>
        <w:ind w:left="720"/>
        <w:jc w:val="both"/>
        <w:textAlignment w:val="baseline"/>
        <w:rPr>
          <w:b/>
          <w:bCs/>
        </w:rPr>
      </w:pPr>
    </w:p>
    <w:p w14:paraId="54051FA6">
      <w:pPr>
        <w:pStyle w:val="10"/>
        <w:spacing w:before="0" w:beforeAutospacing="0" w:after="0" w:afterAutospacing="0" w:line="276" w:lineRule="auto"/>
        <w:ind w:left="720"/>
        <w:jc w:val="both"/>
        <w:textAlignment w:val="baseline"/>
        <w:rPr>
          <w:b/>
          <w:bCs/>
        </w:rPr>
      </w:pPr>
    </w:p>
    <w:p w14:paraId="725105DA">
      <w:pPr>
        <w:pStyle w:val="10"/>
        <w:spacing w:before="0" w:beforeAutospacing="0" w:after="0" w:afterAutospacing="0" w:line="276" w:lineRule="auto"/>
        <w:ind w:left="720"/>
        <w:jc w:val="both"/>
        <w:textAlignment w:val="baseline"/>
        <w:rPr>
          <w:b/>
          <w:bCs/>
        </w:rPr>
      </w:pPr>
    </w:p>
    <w:p w14:paraId="0E15B5CE">
      <w:pPr>
        <w:pStyle w:val="10"/>
        <w:spacing w:before="0" w:beforeAutospacing="0" w:after="0" w:afterAutospacing="0" w:line="276" w:lineRule="auto"/>
        <w:ind w:left="720"/>
        <w:jc w:val="both"/>
        <w:textAlignment w:val="baseline"/>
        <w:rPr>
          <w:b/>
          <w:bCs/>
        </w:rPr>
      </w:pPr>
    </w:p>
    <w:p w14:paraId="15E56BF7">
      <w:pPr>
        <w:pStyle w:val="10"/>
        <w:spacing w:before="0" w:beforeAutospacing="0" w:after="0" w:afterAutospacing="0" w:line="276" w:lineRule="auto"/>
        <w:ind w:left="720"/>
        <w:jc w:val="both"/>
        <w:textAlignment w:val="baseline"/>
        <w:rPr>
          <w:b/>
          <w:bCs/>
        </w:rPr>
      </w:pPr>
    </w:p>
    <w:p w14:paraId="451D6D87">
      <w:pPr>
        <w:pStyle w:val="10"/>
        <w:spacing w:before="0" w:beforeAutospacing="0" w:after="0" w:afterAutospacing="0" w:line="276" w:lineRule="auto"/>
        <w:ind w:left="720"/>
        <w:jc w:val="both"/>
        <w:textAlignment w:val="baseline"/>
        <w:rPr>
          <w:b/>
          <w:bCs/>
        </w:rPr>
      </w:pPr>
    </w:p>
    <w:p w14:paraId="2F06910D">
      <w:pPr>
        <w:pStyle w:val="10"/>
        <w:spacing w:before="0" w:beforeAutospacing="0" w:after="0" w:afterAutospacing="0" w:line="276" w:lineRule="auto"/>
        <w:ind w:left="720"/>
        <w:jc w:val="both"/>
        <w:textAlignment w:val="baseline"/>
        <w:rPr>
          <w:b/>
          <w:bCs/>
        </w:rPr>
      </w:pPr>
    </w:p>
    <w:p w14:paraId="1536240A">
      <w:pPr>
        <w:pStyle w:val="10"/>
        <w:spacing w:before="0" w:beforeAutospacing="0" w:after="0" w:afterAutospacing="0" w:line="276" w:lineRule="auto"/>
        <w:ind w:left="720"/>
        <w:jc w:val="both"/>
        <w:textAlignment w:val="baseline"/>
        <w:rPr>
          <w:b/>
          <w:bCs/>
        </w:rPr>
      </w:pPr>
    </w:p>
    <w:p w14:paraId="09CD2D39">
      <w:pPr>
        <w:pStyle w:val="10"/>
        <w:spacing w:before="0" w:beforeAutospacing="0" w:after="0" w:afterAutospacing="0" w:line="276" w:lineRule="auto"/>
        <w:ind w:left="720"/>
        <w:jc w:val="both"/>
        <w:textAlignment w:val="baseline"/>
        <w:rPr>
          <w:b/>
          <w:bCs/>
        </w:rPr>
      </w:pPr>
    </w:p>
    <w:p w14:paraId="58A6F3DD">
      <w:pPr>
        <w:pStyle w:val="10"/>
        <w:spacing w:before="0" w:beforeAutospacing="0" w:after="0" w:afterAutospacing="0" w:line="276" w:lineRule="auto"/>
        <w:ind w:left="720"/>
        <w:jc w:val="both"/>
        <w:textAlignment w:val="baseline"/>
        <w:rPr>
          <w:b/>
          <w:bCs/>
        </w:rPr>
      </w:pPr>
    </w:p>
    <w:p w14:paraId="7B774D99">
      <w:pPr>
        <w:pStyle w:val="10"/>
        <w:spacing w:before="0" w:beforeAutospacing="0" w:after="0" w:afterAutospacing="0" w:line="276" w:lineRule="auto"/>
        <w:ind w:left="720"/>
        <w:jc w:val="both"/>
        <w:textAlignment w:val="baseline"/>
        <w:rPr>
          <w:b/>
          <w:bCs/>
        </w:rPr>
      </w:pPr>
    </w:p>
    <w:p w14:paraId="667CC2D8">
      <w:pPr>
        <w:pStyle w:val="10"/>
        <w:spacing w:before="0" w:beforeAutospacing="0" w:after="0" w:afterAutospacing="0" w:line="276" w:lineRule="auto"/>
        <w:ind w:left="720"/>
        <w:jc w:val="both"/>
        <w:textAlignment w:val="baseline"/>
        <w:rPr>
          <w:rFonts w:ascii="Times New Roman" w:hAnsi="Times New Roman" w:cs="Times New Roman"/>
        </w:rPr>
      </w:pPr>
    </w:p>
    <w:p w14:paraId="06024254">
      <w:pPr>
        <w:pStyle w:val="10"/>
        <w:jc w:val="both"/>
        <w:rPr>
          <w:rFonts w:ascii="Times New Roman" w:hAnsi="Times New Roman" w:cs="Times New Roman"/>
          <w:b/>
          <w:bCs/>
        </w:rPr>
      </w:pPr>
      <w:r>
        <w:rPr>
          <w:rFonts w:ascii="Times New Roman" w:hAnsi="Times New Roman" w:cs="Times New Roman"/>
          <w:b/>
          <w:bCs/>
          <w:highlight w:val="lightGray"/>
        </w:rPr>
        <w:t>6.3. Prebytok/schodok rozpočtového hospodárenia 202</w:t>
      </w:r>
      <w:r>
        <w:rPr>
          <w:rFonts w:ascii="Times New Roman" w:hAnsi="Times New Roman" w:cs="Times New Roman"/>
          <w:b/>
          <w:bCs/>
        </w:rPr>
        <w:t>4</w:t>
      </w:r>
    </w:p>
    <w:tbl>
      <w:tblPr>
        <w:tblStyle w:val="3"/>
        <w:tblW w:w="9060" w:type="dxa"/>
        <w:tblInd w:w="7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4924"/>
        <w:gridCol w:w="4136"/>
      </w:tblGrid>
      <w:tr w14:paraId="3EAA4BA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4924" w:type="dxa"/>
            <w:tcBorders>
              <w:top w:val="double" w:color="auto" w:sz="6" w:space="0"/>
              <w:left w:val="double" w:color="auto" w:sz="6" w:space="0"/>
              <w:right w:val="single" w:color="000000" w:themeColor="text1" w:sz="6" w:space="0"/>
            </w:tcBorders>
            <w:shd w:val="clear" w:color="auto" w:fill="D8D8D8" w:themeFill="background1" w:themeFillShade="D9"/>
            <w:vAlign w:val="center"/>
          </w:tcPr>
          <w:p w14:paraId="0297ED94">
            <w:pPr>
              <w:jc w:val="center"/>
              <w:rPr>
                <w:color w:val="000000" w:themeColor="text1"/>
                <w14:textFill>
                  <w14:solidFill>
                    <w14:schemeClr w14:val="tx1"/>
                  </w14:solidFill>
                </w14:textFill>
              </w:rPr>
            </w:pPr>
            <w:r>
              <w:rPr>
                <w:rStyle w:val="19"/>
                <w:color w:val="000000" w:themeColor="text1"/>
                <w14:textFill>
                  <w14:solidFill>
                    <w14:schemeClr w14:val="tx1"/>
                  </w14:solidFill>
                </w14:textFill>
              </w:rPr>
              <w:t>Hospodárenie obce</w:t>
            </w:r>
          </w:p>
        </w:tc>
        <w:tc>
          <w:tcPr>
            <w:tcW w:w="4136" w:type="dxa"/>
            <w:tcBorders>
              <w:top w:val="double" w:color="auto" w:sz="6" w:space="0"/>
              <w:left w:val="single" w:color="000000" w:themeColor="text1" w:sz="6" w:space="0"/>
              <w:bottom w:val="single" w:color="000000" w:themeColor="text1" w:sz="6" w:space="0"/>
              <w:right w:val="double" w:color="auto" w:sz="6" w:space="0"/>
            </w:tcBorders>
            <w:shd w:val="clear" w:color="auto" w:fill="D8D8D8" w:themeFill="background1" w:themeFillShade="D9"/>
            <w:vAlign w:val="center"/>
          </w:tcPr>
          <w:p w14:paraId="28DC21CD">
            <w:pPr>
              <w:tabs>
                <w:tab w:val="right" w:pos="8820"/>
              </w:tabs>
              <w:jc w:val="center"/>
              <w:rPr>
                <w:color w:val="000000" w:themeColor="text1"/>
                <w14:textFill>
                  <w14:solidFill>
                    <w14:schemeClr w14:val="tx1"/>
                  </w14:solidFill>
                </w14:textFill>
              </w:rPr>
            </w:pPr>
            <w:r>
              <w:rPr>
                <w:b/>
                <w:bCs/>
                <w:color w:val="000000" w:themeColor="text1"/>
                <w14:textFill>
                  <w14:solidFill>
                    <w14:schemeClr w14:val="tx1"/>
                  </w14:solidFill>
                </w14:textFill>
              </w:rPr>
              <w:t>Skutočnosť k 31.12.2024 v EUR</w:t>
            </w:r>
          </w:p>
          <w:p w14:paraId="603B63D0">
            <w:pPr>
              <w:jc w:val="center"/>
              <w:rPr>
                <w:color w:val="000000" w:themeColor="text1"/>
                <w14:textFill>
                  <w14:solidFill>
                    <w14:schemeClr w14:val="tx1"/>
                  </w14:solidFill>
                </w14:textFill>
              </w:rPr>
            </w:pPr>
          </w:p>
        </w:tc>
      </w:tr>
      <w:tr w14:paraId="34D3500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1E5BD743">
            <w:pPr>
              <w:rPr>
                <w:color w:val="000000" w:themeColor="text1"/>
                <w14:textFill>
                  <w14:solidFill>
                    <w14:schemeClr w14:val="tx1"/>
                  </w14:solidFill>
                </w14:textFill>
              </w:rPr>
            </w:pPr>
            <w:r>
              <w:rPr>
                <w:color w:val="000000" w:themeColor="text1"/>
                <w14:textFill>
                  <w14:solidFill>
                    <w14:schemeClr w14:val="tx1"/>
                  </w14:solidFill>
                </w14:textFill>
              </w:rPr>
              <w:t>Bežné  príjmy spolu</w:t>
            </w:r>
          </w:p>
        </w:tc>
        <w:tc>
          <w:tcPr>
            <w:tcW w:w="4136" w:type="dxa"/>
            <w:tcBorders>
              <w:top w:val="single" w:color="000000" w:themeColor="text1" w:sz="6" w:space="0"/>
              <w:left w:val="single" w:color="000000" w:themeColor="text1" w:sz="6" w:space="0"/>
              <w:bottom w:val="single" w:color="auto" w:sz="6" w:space="0"/>
              <w:right w:val="double" w:color="auto" w:sz="6" w:space="0"/>
            </w:tcBorders>
            <w:shd w:val="clear" w:color="auto" w:fill="FFFFFF" w:themeFill="background1"/>
            <w:vAlign w:val="center"/>
          </w:tcPr>
          <w:p w14:paraId="0944D80F">
            <w:pPr>
              <w:jc w:val="right"/>
              <w:rPr>
                <w:color w:val="000000" w:themeColor="text1"/>
                <w14:textFill>
                  <w14:solidFill>
                    <w14:schemeClr w14:val="tx1"/>
                  </w14:solidFill>
                </w14:textFill>
              </w:rPr>
            </w:pPr>
            <w:r>
              <w:rPr>
                <w:color w:val="000000" w:themeColor="text1"/>
                <w14:textFill>
                  <w14:solidFill>
                    <w14:schemeClr w14:val="tx1"/>
                  </w14:solidFill>
                </w14:textFill>
              </w:rPr>
              <w:t>115 397,86</w:t>
            </w:r>
          </w:p>
        </w:tc>
      </w:tr>
      <w:tr w14:paraId="1E14252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0068BE47">
            <w:pPr>
              <w:rPr>
                <w:color w:val="000000" w:themeColor="text1"/>
                <w14:textFill>
                  <w14:solidFill>
                    <w14:schemeClr w14:val="tx1"/>
                  </w14:solidFill>
                </w14:textFill>
              </w:rPr>
            </w:pPr>
            <w:r>
              <w:rPr>
                <w:color w:val="000000" w:themeColor="text1"/>
                <w14:textFill>
                  <w14:solidFill>
                    <w14:schemeClr w14:val="tx1"/>
                  </w14:solidFill>
                </w14:textFill>
              </w:rPr>
              <w:t xml:space="preserve">z toho : bežné príjmy obce </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12B14866">
            <w:pPr>
              <w:jc w:val="right"/>
              <w:rPr>
                <w:color w:val="000000" w:themeColor="text1"/>
                <w14:textFill>
                  <w14:solidFill>
                    <w14:schemeClr w14:val="tx1"/>
                  </w14:solidFill>
                </w14:textFill>
              </w:rPr>
            </w:pPr>
            <w:r>
              <w:rPr>
                <w:color w:val="000000" w:themeColor="text1"/>
                <w14:textFill>
                  <w14:solidFill>
                    <w14:schemeClr w14:val="tx1"/>
                  </w14:solidFill>
                </w14:textFill>
              </w:rPr>
              <w:t>115 397,86</w:t>
            </w:r>
          </w:p>
        </w:tc>
      </w:tr>
      <w:tr w14:paraId="5135ACF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13CCF0D0">
            <w:pPr>
              <w:rPr>
                <w:color w:val="000000" w:themeColor="text1"/>
                <w14:textFill>
                  <w14:solidFill>
                    <w14:schemeClr w14:val="tx1"/>
                  </w14:solidFill>
                </w14:textFill>
              </w:rPr>
            </w:pPr>
            <w:r>
              <w:rPr>
                <w:color w:val="000000" w:themeColor="text1"/>
                <w14:textFill>
                  <w14:solidFill>
                    <w14:schemeClr w14:val="tx1"/>
                  </w14:solidFill>
                </w14:textFill>
              </w:rPr>
              <w:t xml:space="preserve">             bežné príjmy RO</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0DD87E66">
            <w:pPr>
              <w:jc w:val="right"/>
              <w:rPr>
                <w:color w:val="000000" w:themeColor="text1"/>
                <w14:textFill>
                  <w14:solidFill>
                    <w14:schemeClr w14:val="tx1"/>
                  </w14:solidFill>
                </w14:textFill>
              </w:rPr>
            </w:pPr>
          </w:p>
        </w:tc>
      </w:tr>
      <w:tr w14:paraId="5E551A2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45229423">
            <w:pPr>
              <w:rPr>
                <w:color w:val="000000" w:themeColor="text1"/>
                <w14:textFill>
                  <w14:solidFill>
                    <w14:schemeClr w14:val="tx1"/>
                  </w14:solidFill>
                </w14:textFill>
              </w:rPr>
            </w:pPr>
            <w:r>
              <w:rPr>
                <w:color w:val="000000" w:themeColor="text1"/>
                <w14:textFill>
                  <w14:solidFill>
                    <w14:schemeClr w14:val="tx1"/>
                  </w14:solidFill>
                </w14:textFill>
              </w:rPr>
              <w:t>Bežné výdavky spolu</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FFFFFF" w:themeFill="background1"/>
            <w:vAlign w:val="center"/>
          </w:tcPr>
          <w:p w14:paraId="11305A43">
            <w:pPr>
              <w:jc w:val="right"/>
              <w:rPr>
                <w:color w:val="000000" w:themeColor="text1"/>
                <w14:textFill>
                  <w14:solidFill>
                    <w14:schemeClr w14:val="tx1"/>
                  </w14:solidFill>
                </w14:textFill>
              </w:rPr>
            </w:pPr>
            <w:r>
              <w:rPr>
                <w:color w:val="000000" w:themeColor="text1"/>
                <w14:textFill>
                  <w14:solidFill>
                    <w14:schemeClr w14:val="tx1"/>
                  </w14:solidFill>
                </w14:textFill>
              </w:rPr>
              <w:t>109 276,40</w:t>
            </w:r>
          </w:p>
        </w:tc>
      </w:tr>
      <w:tr w14:paraId="2AA4764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6ADC4C47">
            <w:pPr>
              <w:rPr>
                <w:color w:val="000000" w:themeColor="text1"/>
                <w14:textFill>
                  <w14:solidFill>
                    <w14:schemeClr w14:val="tx1"/>
                  </w14:solidFill>
                </w14:textFill>
              </w:rPr>
            </w:pPr>
            <w:r>
              <w:rPr>
                <w:color w:val="000000" w:themeColor="text1"/>
                <w14:textFill>
                  <w14:solidFill>
                    <w14:schemeClr w14:val="tx1"/>
                  </w14:solidFill>
                </w14:textFill>
              </w:rPr>
              <w:t xml:space="preserve">z toho : bežné výdavky  obce </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46095A17">
            <w:pPr>
              <w:jc w:val="right"/>
              <w:rPr>
                <w:color w:val="000000" w:themeColor="text1"/>
                <w14:textFill>
                  <w14:solidFill>
                    <w14:schemeClr w14:val="tx1"/>
                  </w14:solidFill>
                </w14:textFill>
              </w:rPr>
            </w:pPr>
            <w:r>
              <w:rPr>
                <w:color w:val="000000" w:themeColor="text1"/>
                <w14:textFill>
                  <w14:solidFill>
                    <w14:schemeClr w14:val="tx1"/>
                  </w14:solidFill>
                </w14:textFill>
              </w:rPr>
              <w:t>109 276,40</w:t>
            </w:r>
          </w:p>
        </w:tc>
      </w:tr>
      <w:tr w14:paraId="51A44D4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44F57D0C">
            <w:pPr>
              <w:rPr>
                <w:color w:val="000000" w:themeColor="text1"/>
                <w14:textFill>
                  <w14:solidFill>
                    <w14:schemeClr w14:val="tx1"/>
                  </w14:solidFill>
                </w14:textFill>
              </w:rPr>
            </w:pPr>
            <w:r>
              <w:rPr>
                <w:color w:val="000000" w:themeColor="text1"/>
                <w14:textFill>
                  <w14:solidFill>
                    <w14:schemeClr w14:val="tx1"/>
                  </w14:solidFill>
                </w14:textFill>
              </w:rPr>
              <w:t xml:space="preserve">             bežné výdavky  RO</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1AC1F9E3">
            <w:pPr>
              <w:jc w:val="right"/>
              <w:rPr>
                <w:color w:val="000000" w:themeColor="text1"/>
                <w14:textFill>
                  <w14:solidFill>
                    <w14:schemeClr w14:val="tx1"/>
                  </w14:solidFill>
                </w14:textFill>
              </w:rPr>
            </w:pPr>
          </w:p>
        </w:tc>
      </w:tr>
      <w:tr w14:paraId="78725606">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8D8D8" w:themeFill="background1" w:themeFillShade="D9"/>
            <w:vAlign w:val="center"/>
          </w:tcPr>
          <w:p w14:paraId="343EAEF4">
            <w:pPr>
              <w:rPr>
                <w:color w:val="000000" w:themeColor="text1"/>
                <w14:textFill>
                  <w14:solidFill>
                    <w14:schemeClr w14:val="tx1"/>
                  </w14:solidFill>
                </w14:textFill>
              </w:rPr>
            </w:pPr>
            <w:r>
              <w:rPr>
                <w:rStyle w:val="4"/>
                <w:b/>
                <w:bCs/>
                <w:color w:val="000000" w:themeColor="text1"/>
                <w14:textFill>
                  <w14:solidFill>
                    <w14:schemeClr w14:val="tx1"/>
                  </w14:solidFill>
                </w14:textFill>
              </w:rPr>
              <w:t>Bežný rozpočet</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D8D8D8" w:themeFill="background1" w:themeFillShade="D9"/>
            <w:vAlign w:val="center"/>
          </w:tcPr>
          <w:p w14:paraId="5D15F06D">
            <w:pPr>
              <w:jc w:val="right"/>
              <w:rPr>
                <w:color w:val="000000" w:themeColor="text1"/>
                <w14:textFill>
                  <w14:solidFill>
                    <w14:schemeClr w14:val="tx1"/>
                  </w14:solidFill>
                </w14:textFill>
              </w:rPr>
            </w:pPr>
            <w:r>
              <w:rPr>
                <w:color w:val="000000" w:themeColor="text1"/>
                <w14:textFill>
                  <w14:solidFill>
                    <w14:schemeClr w14:val="tx1"/>
                  </w14:solidFill>
                </w14:textFill>
              </w:rPr>
              <w:t>6 121,46</w:t>
            </w:r>
          </w:p>
        </w:tc>
      </w:tr>
      <w:tr w14:paraId="5E9BA0E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12B3F889">
            <w:pPr>
              <w:rPr>
                <w:color w:val="000000" w:themeColor="text1"/>
                <w14:textFill>
                  <w14:solidFill>
                    <w14:schemeClr w14:val="tx1"/>
                  </w14:solidFill>
                </w14:textFill>
              </w:rPr>
            </w:pPr>
            <w:r>
              <w:rPr>
                <w:color w:val="000000" w:themeColor="text1"/>
                <w14:textFill>
                  <w14:solidFill>
                    <w14:schemeClr w14:val="tx1"/>
                  </w14:solidFill>
                </w14:textFill>
              </w:rPr>
              <w:t>Kapitálové  príjmy spolu</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FFFFFF" w:themeFill="background1"/>
            <w:vAlign w:val="center"/>
          </w:tcPr>
          <w:p w14:paraId="25E4AC19">
            <w:pPr>
              <w:jc w:val="right"/>
              <w:rPr>
                <w:color w:val="000000" w:themeColor="text1"/>
                <w14:textFill>
                  <w14:solidFill>
                    <w14:schemeClr w14:val="tx1"/>
                  </w14:solidFill>
                </w14:textFill>
              </w:rPr>
            </w:pPr>
            <w:r>
              <w:rPr>
                <w:color w:val="000000" w:themeColor="text1"/>
                <w14:textFill>
                  <w14:solidFill>
                    <w14:schemeClr w14:val="tx1"/>
                  </w14:solidFill>
                </w14:textFill>
              </w:rPr>
              <w:t>21 773,47</w:t>
            </w:r>
          </w:p>
        </w:tc>
      </w:tr>
      <w:tr w14:paraId="6ADE0C9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418A6086">
            <w:pPr>
              <w:rPr>
                <w:color w:val="000000" w:themeColor="text1"/>
                <w14:textFill>
                  <w14:solidFill>
                    <w14:schemeClr w14:val="tx1"/>
                  </w14:solidFill>
                </w14:textFill>
              </w:rPr>
            </w:pPr>
            <w:r>
              <w:rPr>
                <w:color w:val="000000" w:themeColor="text1"/>
                <w14:textFill>
                  <w14:solidFill>
                    <w14:schemeClr w14:val="tx1"/>
                  </w14:solidFill>
                </w14:textFill>
              </w:rPr>
              <w:t xml:space="preserve">z toho : kapitálové  príjmy obce </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0A9430B2">
            <w:pPr>
              <w:jc w:val="right"/>
              <w:rPr>
                <w:color w:val="000000" w:themeColor="text1"/>
                <w14:textFill>
                  <w14:solidFill>
                    <w14:schemeClr w14:val="tx1"/>
                  </w14:solidFill>
                </w14:textFill>
              </w:rPr>
            </w:pPr>
            <w:r>
              <w:rPr>
                <w:color w:val="000000" w:themeColor="text1"/>
                <w14:textFill>
                  <w14:solidFill>
                    <w14:schemeClr w14:val="tx1"/>
                  </w14:solidFill>
                </w14:textFill>
              </w:rPr>
              <w:t>21 773,47</w:t>
            </w:r>
          </w:p>
        </w:tc>
      </w:tr>
      <w:tr w14:paraId="2BCF023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08BE4FEC">
            <w:pPr>
              <w:rPr>
                <w:color w:val="000000" w:themeColor="text1"/>
                <w14:textFill>
                  <w14:solidFill>
                    <w14:schemeClr w14:val="tx1"/>
                  </w14:solidFill>
                </w14:textFill>
              </w:rPr>
            </w:pPr>
            <w:r>
              <w:rPr>
                <w:color w:val="000000" w:themeColor="text1"/>
                <w14:textFill>
                  <w14:solidFill>
                    <w14:schemeClr w14:val="tx1"/>
                  </w14:solidFill>
                </w14:textFill>
              </w:rPr>
              <w:t xml:space="preserve">             kapitálové  príjmy RO</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24F0B267">
            <w:pPr>
              <w:jc w:val="right"/>
              <w:rPr>
                <w:color w:val="000000" w:themeColor="text1"/>
                <w14:textFill>
                  <w14:solidFill>
                    <w14:schemeClr w14:val="tx1"/>
                  </w14:solidFill>
                </w14:textFill>
              </w:rPr>
            </w:pPr>
          </w:p>
        </w:tc>
      </w:tr>
      <w:tr w14:paraId="62C6FA4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63011A82">
            <w:pPr>
              <w:rPr>
                <w:color w:val="000000" w:themeColor="text1"/>
                <w14:textFill>
                  <w14:solidFill>
                    <w14:schemeClr w14:val="tx1"/>
                  </w14:solidFill>
                </w14:textFill>
              </w:rPr>
            </w:pPr>
            <w:r>
              <w:rPr>
                <w:color w:val="000000" w:themeColor="text1"/>
                <w14:textFill>
                  <w14:solidFill>
                    <w14:schemeClr w14:val="tx1"/>
                  </w14:solidFill>
                </w14:textFill>
              </w:rPr>
              <w:t>Kapitálové  výdavky spolu</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FFFFFF" w:themeFill="background1"/>
            <w:vAlign w:val="center"/>
          </w:tcPr>
          <w:p w14:paraId="02F4EBDA">
            <w:pPr>
              <w:jc w:val="right"/>
              <w:rPr>
                <w:color w:val="000000" w:themeColor="text1"/>
                <w14:textFill>
                  <w14:solidFill>
                    <w14:schemeClr w14:val="tx1"/>
                  </w14:solidFill>
                </w14:textFill>
              </w:rPr>
            </w:pPr>
            <w:r>
              <w:rPr>
                <w:color w:val="000000" w:themeColor="text1"/>
                <w14:textFill>
                  <w14:solidFill>
                    <w14:schemeClr w14:val="tx1"/>
                  </w14:solidFill>
                </w14:textFill>
              </w:rPr>
              <w:t>2 040,00</w:t>
            </w:r>
          </w:p>
        </w:tc>
      </w:tr>
      <w:tr w14:paraId="0A3E7A8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auto" w:sz="6" w:space="0"/>
            </w:tcBorders>
            <w:vAlign w:val="center"/>
          </w:tcPr>
          <w:p w14:paraId="31457EC3">
            <w:pPr>
              <w:rPr>
                <w:color w:val="000000" w:themeColor="text1"/>
                <w14:textFill>
                  <w14:solidFill>
                    <w14:schemeClr w14:val="tx1"/>
                  </w14:solidFill>
                </w14:textFill>
              </w:rPr>
            </w:pPr>
            <w:r>
              <w:rPr>
                <w:color w:val="000000" w:themeColor="text1"/>
                <w14:textFill>
                  <w14:solidFill>
                    <w14:schemeClr w14:val="tx1"/>
                  </w14:solidFill>
                </w14:textFill>
              </w:rPr>
              <w:t xml:space="preserve">z toho : kapitálové  výdavky  obce </w:t>
            </w:r>
          </w:p>
        </w:tc>
        <w:tc>
          <w:tcPr>
            <w:tcW w:w="4136" w:type="dxa"/>
            <w:tcBorders>
              <w:top w:val="single" w:color="auto" w:sz="6" w:space="0"/>
              <w:left w:val="single" w:color="auto" w:sz="6" w:space="0"/>
              <w:bottom w:val="single" w:color="auto" w:sz="6" w:space="0"/>
              <w:right w:val="single" w:color="auto" w:sz="6" w:space="0"/>
            </w:tcBorders>
            <w:vAlign w:val="center"/>
          </w:tcPr>
          <w:p w14:paraId="35BF1F8C">
            <w:pPr>
              <w:jc w:val="right"/>
              <w:rPr>
                <w:color w:val="000000" w:themeColor="text1"/>
                <w14:textFill>
                  <w14:solidFill>
                    <w14:schemeClr w14:val="tx1"/>
                  </w14:solidFill>
                </w14:textFill>
              </w:rPr>
            </w:pPr>
            <w:r>
              <w:rPr>
                <w:color w:val="000000" w:themeColor="text1"/>
                <w14:textFill>
                  <w14:solidFill>
                    <w14:schemeClr w14:val="tx1"/>
                  </w14:solidFill>
                </w14:textFill>
              </w:rPr>
              <w:t>2 040,00</w:t>
            </w:r>
          </w:p>
        </w:tc>
      </w:tr>
      <w:tr w14:paraId="7DADA62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36D92B92">
            <w:pPr>
              <w:rPr>
                <w:color w:val="000000" w:themeColor="text1"/>
                <w14:textFill>
                  <w14:solidFill>
                    <w14:schemeClr w14:val="tx1"/>
                  </w14:solidFill>
                </w14:textFill>
              </w:rPr>
            </w:pPr>
            <w:r>
              <w:rPr>
                <w:color w:val="000000" w:themeColor="text1"/>
                <w14:textFill>
                  <w14:solidFill>
                    <w14:schemeClr w14:val="tx1"/>
                  </w14:solidFill>
                </w14:textFill>
              </w:rPr>
              <w:t xml:space="preserve">             kapitálové  výdavky  RO</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3AE2C3E6">
            <w:pPr>
              <w:jc w:val="right"/>
              <w:rPr>
                <w:color w:val="000000" w:themeColor="text1"/>
                <w14:textFill>
                  <w14:solidFill>
                    <w14:schemeClr w14:val="tx1"/>
                  </w14:solidFill>
                </w14:textFill>
              </w:rPr>
            </w:pPr>
          </w:p>
        </w:tc>
      </w:tr>
      <w:tr w14:paraId="183A99E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8D8D8" w:themeFill="background1" w:themeFillShade="D9"/>
            <w:vAlign w:val="center"/>
          </w:tcPr>
          <w:p w14:paraId="51FF9B96">
            <w:pPr>
              <w:rPr>
                <w:color w:val="000000" w:themeColor="text1"/>
                <w14:textFill>
                  <w14:solidFill>
                    <w14:schemeClr w14:val="tx1"/>
                  </w14:solidFill>
                </w14:textFill>
              </w:rPr>
            </w:pPr>
            <w:r>
              <w:rPr>
                <w:b/>
                <w:bCs/>
                <w:i/>
                <w:iCs/>
                <w:color w:val="000000" w:themeColor="text1"/>
                <w14:textFill>
                  <w14:solidFill>
                    <w14:schemeClr w14:val="tx1"/>
                  </w14:solidFill>
                </w14:textFill>
              </w:rPr>
              <w:t xml:space="preserve">Kapitálový rozpočet </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D8D8D8" w:themeFill="background1" w:themeFillShade="D9"/>
            <w:vAlign w:val="center"/>
          </w:tcPr>
          <w:p w14:paraId="657B0455">
            <w:pPr>
              <w:jc w:val="right"/>
              <w:rPr>
                <w:color w:val="000000" w:themeColor="text1"/>
                <w14:textFill>
                  <w14:solidFill>
                    <w14:schemeClr w14:val="tx1"/>
                  </w14:solidFill>
                </w14:textFill>
              </w:rPr>
            </w:pPr>
            <w:r>
              <w:rPr>
                <w:color w:val="000000" w:themeColor="text1"/>
                <w14:textFill>
                  <w14:solidFill>
                    <w14:schemeClr w14:val="tx1"/>
                  </w14:solidFill>
                </w14:textFill>
              </w:rPr>
              <w:t>19 733,47</w:t>
            </w:r>
          </w:p>
        </w:tc>
      </w:tr>
      <w:tr w14:paraId="721E3C2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2DEAEF4F">
            <w:pPr>
              <w:rPr>
                <w:color w:val="000000" w:themeColor="text1"/>
                <w14:textFill>
                  <w14:solidFill>
                    <w14:schemeClr w14:val="tx1"/>
                  </w14:solidFill>
                </w14:textFill>
              </w:rPr>
            </w:pPr>
            <w:r>
              <w:rPr>
                <w:rStyle w:val="4"/>
                <w:b/>
                <w:bCs/>
                <w:color w:val="000000" w:themeColor="text1"/>
                <w14:textFill>
                  <w14:solidFill>
                    <w14:schemeClr w14:val="tx1"/>
                  </w14:solidFill>
                </w14:textFill>
              </w:rPr>
              <w:t>Prebytok/schodok bežného a kapitálového rozpočtu</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DDD9C3"/>
            <w:vAlign w:val="center"/>
          </w:tcPr>
          <w:p w14:paraId="790512AE">
            <w:pPr>
              <w:jc w:val="right"/>
              <w:rPr>
                <w:color w:val="000000" w:themeColor="text1"/>
                <w14:textFill>
                  <w14:solidFill>
                    <w14:schemeClr w14:val="tx1"/>
                  </w14:solidFill>
                </w14:textFill>
              </w:rPr>
            </w:pPr>
            <w:r>
              <w:rPr>
                <w:color w:val="000000" w:themeColor="text1"/>
                <w14:textFill>
                  <w14:solidFill>
                    <w14:schemeClr w14:val="tx1"/>
                  </w14:solidFill>
                </w14:textFill>
              </w:rPr>
              <w:t>25 854,93</w:t>
            </w:r>
          </w:p>
        </w:tc>
      </w:tr>
      <w:tr w14:paraId="5F49076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FFFFFF" w:themeFill="background1"/>
            <w:vAlign w:val="center"/>
          </w:tcPr>
          <w:p w14:paraId="4F101E56">
            <w:pPr>
              <w:rPr>
                <w:color w:val="000000" w:themeColor="text1"/>
                <w14:textFill>
                  <w14:solidFill>
                    <w14:schemeClr w14:val="tx1"/>
                  </w14:solidFill>
                </w14:textFill>
              </w:rPr>
            </w:pPr>
            <w:r>
              <w:rPr>
                <w:rStyle w:val="4"/>
                <w:b/>
                <w:bCs/>
                <w:color w:val="000000" w:themeColor="text1"/>
                <w14:textFill>
                  <w14:solidFill>
                    <w14:schemeClr w14:val="tx1"/>
                  </w14:solidFill>
                </w14:textFill>
              </w:rPr>
              <w:t>Vylúčenie z prebytku/Úprava schodku HČ</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FFFFFF" w:themeFill="background1"/>
            <w:vAlign w:val="center"/>
          </w:tcPr>
          <w:p w14:paraId="28389F28">
            <w:pPr>
              <w:jc w:val="right"/>
              <w:rPr>
                <w:color w:val="000000" w:themeColor="text1"/>
                <w14:textFill>
                  <w14:solidFill>
                    <w14:schemeClr w14:val="tx1"/>
                  </w14:solidFill>
                </w14:textFill>
              </w:rPr>
            </w:pPr>
            <w:r>
              <w:rPr>
                <w:color w:val="000000" w:themeColor="text1"/>
                <w14:textFill>
                  <w14:solidFill>
                    <w14:schemeClr w14:val="tx1"/>
                  </w14:solidFill>
                </w14:textFill>
              </w:rPr>
              <w:t>0,00</w:t>
            </w:r>
          </w:p>
        </w:tc>
      </w:tr>
      <w:tr w14:paraId="571915F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DD9C3"/>
            <w:vAlign w:val="center"/>
          </w:tcPr>
          <w:p w14:paraId="0F7403F0">
            <w:pPr>
              <w:rPr>
                <w:color w:val="000000" w:themeColor="text1"/>
                <w14:textFill>
                  <w14:solidFill>
                    <w14:schemeClr w14:val="tx1"/>
                  </w14:solidFill>
                </w14:textFill>
              </w:rPr>
            </w:pPr>
            <w:r>
              <w:rPr>
                <w:rStyle w:val="4"/>
                <w:b/>
                <w:bCs/>
                <w:color w:val="000000" w:themeColor="text1"/>
                <w14:textFill>
                  <w14:solidFill>
                    <w14:schemeClr w14:val="tx1"/>
                  </w14:solidFill>
                </w14:textFill>
              </w:rPr>
              <w:t>Upravený prebytok/schodok bežného a kapitálového rozpočtu</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DDD9C3"/>
            <w:vAlign w:val="center"/>
          </w:tcPr>
          <w:p w14:paraId="480994E9">
            <w:pPr>
              <w:jc w:val="right"/>
              <w:rPr>
                <w:color w:val="000000" w:themeColor="text1"/>
                <w14:textFill>
                  <w14:solidFill>
                    <w14:schemeClr w14:val="tx1"/>
                  </w14:solidFill>
                </w14:textFill>
              </w:rPr>
            </w:pPr>
            <w:r>
              <w:rPr>
                <w:color w:val="000000" w:themeColor="text1"/>
                <w14:textFill>
                  <w14:solidFill>
                    <w14:schemeClr w14:val="tx1"/>
                  </w14:solidFill>
                </w14:textFill>
              </w:rPr>
              <w:t>25 854,93</w:t>
            </w:r>
          </w:p>
        </w:tc>
      </w:tr>
      <w:tr w14:paraId="3B37736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5E63BBB0">
            <w:pPr>
              <w:rPr>
                <w:color w:val="000000" w:themeColor="text1"/>
                <w14:textFill>
                  <w14:solidFill>
                    <w14:schemeClr w14:val="tx1"/>
                  </w14:solidFill>
                </w14:textFill>
              </w:rPr>
            </w:pPr>
            <w:r>
              <w:rPr>
                <w:color w:val="000000" w:themeColor="text1"/>
                <w14:textFill>
                  <w14:solidFill>
                    <w14:schemeClr w14:val="tx1"/>
                  </w14:solidFill>
                </w14:textFill>
              </w:rPr>
              <w:t xml:space="preserve">Príjmové finančné operácie s výnimkou cudzích prostriedkov </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5940E6E7">
            <w:pPr>
              <w:jc w:val="right"/>
              <w:rPr>
                <w:color w:val="000000" w:themeColor="text1"/>
                <w14:textFill>
                  <w14:solidFill>
                    <w14:schemeClr w14:val="tx1"/>
                  </w14:solidFill>
                </w14:textFill>
              </w:rPr>
            </w:pPr>
            <w:r>
              <w:rPr>
                <w:color w:val="000000" w:themeColor="text1"/>
                <w14:textFill>
                  <w14:solidFill>
                    <w14:schemeClr w14:val="tx1"/>
                  </w14:solidFill>
                </w14:textFill>
              </w:rPr>
              <w:t>137 171,33</w:t>
            </w:r>
          </w:p>
        </w:tc>
      </w:tr>
      <w:tr w14:paraId="0D57E1C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vAlign w:val="center"/>
          </w:tcPr>
          <w:p w14:paraId="384E859F">
            <w:pPr>
              <w:rPr>
                <w:color w:val="000000" w:themeColor="text1"/>
                <w14:textFill>
                  <w14:solidFill>
                    <w14:schemeClr w14:val="tx1"/>
                  </w14:solidFill>
                </w14:textFill>
              </w:rPr>
            </w:pPr>
            <w:r>
              <w:rPr>
                <w:color w:val="000000" w:themeColor="text1"/>
                <w14:textFill>
                  <w14:solidFill>
                    <w14:schemeClr w14:val="tx1"/>
                  </w14:solidFill>
                </w14:textFill>
              </w:rPr>
              <w:t>Výdavkové finančné operácie s výnimkou cudzích prostriedkov</w:t>
            </w:r>
          </w:p>
        </w:tc>
        <w:tc>
          <w:tcPr>
            <w:tcW w:w="4136" w:type="dxa"/>
            <w:tcBorders>
              <w:top w:val="single" w:color="auto" w:sz="6" w:space="0"/>
              <w:left w:val="single" w:color="000000" w:themeColor="text1" w:sz="6" w:space="0"/>
              <w:bottom w:val="single" w:color="auto" w:sz="6" w:space="0"/>
              <w:right w:val="double" w:color="auto" w:sz="6" w:space="0"/>
            </w:tcBorders>
            <w:vAlign w:val="center"/>
          </w:tcPr>
          <w:p w14:paraId="64AD60DE">
            <w:pPr>
              <w:jc w:val="right"/>
              <w:rPr>
                <w:color w:val="000000" w:themeColor="text1"/>
                <w14:textFill>
                  <w14:solidFill>
                    <w14:schemeClr w14:val="tx1"/>
                  </w14:solidFill>
                </w14:textFill>
              </w:rPr>
            </w:pPr>
            <w:r>
              <w:rPr>
                <w:color w:val="000000" w:themeColor="text1"/>
                <w14:textFill>
                  <w14:solidFill>
                    <w14:schemeClr w14:val="tx1"/>
                  </w14:solidFill>
                </w14:textFill>
              </w:rPr>
              <w:t>136 628,96</w:t>
            </w:r>
          </w:p>
        </w:tc>
      </w:tr>
      <w:tr w14:paraId="424AC4E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single" w:color="auto" w:sz="6" w:space="0"/>
              <w:left w:val="double" w:color="auto" w:sz="6" w:space="0"/>
              <w:bottom w:val="single" w:color="auto" w:sz="6" w:space="0"/>
              <w:right w:val="single" w:color="000000" w:themeColor="text1" w:sz="6" w:space="0"/>
            </w:tcBorders>
            <w:shd w:val="clear" w:color="auto" w:fill="D8D8D8" w:themeFill="background1" w:themeFillShade="D9"/>
            <w:vAlign w:val="center"/>
          </w:tcPr>
          <w:p w14:paraId="49709712">
            <w:pPr>
              <w:rPr>
                <w:color w:val="000000" w:themeColor="text1"/>
                <w14:textFill>
                  <w14:solidFill>
                    <w14:schemeClr w14:val="tx1"/>
                  </w14:solidFill>
                </w14:textFill>
              </w:rPr>
            </w:pPr>
            <w:r>
              <w:rPr>
                <w:rStyle w:val="4"/>
                <w:b/>
                <w:bCs/>
                <w:color w:val="000000" w:themeColor="text1"/>
                <w14:textFill>
                  <w14:solidFill>
                    <w14:schemeClr w14:val="tx1"/>
                  </w14:solidFill>
                </w14:textFill>
              </w:rPr>
              <w:t>Rozdiel finančných operácií</w:t>
            </w:r>
          </w:p>
        </w:tc>
        <w:tc>
          <w:tcPr>
            <w:tcW w:w="4136" w:type="dxa"/>
            <w:tcBorders>
              <w:top w:val="single" w:color="auto" w:sz="6" w:space="0"/>
              <w:left w:val="single" w:color="000000" w:themeColor="text1" w:sz="6" w:space="0"/>
              <w:bottom w:val="single" w:color="auto" w:sz="6" w:space="0"/>
              <w:right w:val="double" w:color="auto" w:sz="6" w:space="0"/>
            </w:tcBorders>
            <w:shd w:val="clear" w:color="auto" w:fill="D8D8D8" w:themeFill="background1" w:themeFillShade="D9"/>
            <w:vAlign w:val="center"/>
          </w:tcPr>
          <w:p w14:paraId="40F6CB4B">
            <w:pPr>
              <w:jc w:val="right"/>
              <w:rPr>
                <w:color w:val="000000" w:themeColor="text1"/>
                <w14:textFill>
                  <w14:solidFill>
                    <w14:schemeClr w14:val="tx1"/>
                  </w14:solidFill>
                </w14:textFill>
              </w:rPr>
            </w:pPr>
            <w:r>
              <w:rPr>
                <w:color w:val="000000" w:themeColor="text1"/>
                <w14:textFill>
                  <w14:solidFill>
                    <w14:schemeClr w14:val="tx1"/>
                  </w14:solidFill>
                </w14:textFill>
              </w:rPr>
              <w:t>-25 312,56</w:t>
            </w:r>
          </w:p>
        </w:tc>
      </w:tr>
      <w:tr w14:paraId="565E0B32">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1D0797C0">
            <w:pPr>
              <w:ind w:left="-85"/>
              <w:rPr>
                <w:color w:val="000000" w:themeColor="text1"/>
                <w14:textFill>
                  <w14:solidFill>
                    <w14:schemeClr w14:val="tx1"/>
                  </w14:solidFill>
                </w14:textFill>
              </w:rPr>
            </w:pPr>
            <w:r>
              <w:rPr>
                <w:caps/>
                <w:color w:val="000000" w:themeColor="text1"/>
                <w14:textFill>
                  <w14:solidFill>
                    <w14:schemeClr w14:val="tx1"/>
                  </w14:solidFill>
                </w14:textFill>
              </w:rPr>
              <w:t xml:space="preserve">Príjmy spolu  </w:t>
            </w:r>
          </w:p>
        </w:tc>
        <w:tc>
          <w:tcPr>
            <w:tcW w:w="4136"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4BDB0A36">
            <w:pPr>
              <w:ind w:right="-51"/>
              <w:jc w:val="right"/>
              <w:rPr>
                <w:color w:val="000000" w:themeColor="text1"/>
                <w14:textFill>
                  <w14:solidFill>
                    <w14:schemeClr w14:val="tx1"/>
                  </w14:solidFill>
                </w14:textFill>
              </w:rPr>
            </w:pPr>
            <w:r>
              <w:rPr>
                <w:color w:val="000000" w:themeColor="text1"/>
                <w14:textFill>
                  <w14:solidFill>
                    <w14:schemeClr w14:val="tx1"/>
                  </w14:solidFill>
                </w14:textFill>
              </w:rPr>
              <w:t>137 171,33</w:t>
            </w:r>
          </w:p>
        </w:tc>
      </w:tr>
      <w:tr w14:paraId="1DF7711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30FE4423">
            <w:pPr>
              <w:ind w:left="-85"/>
              <w:rPr>
                <w:color w:val="000000" w:themeColor="text1"/>
                <w14:textFill>
                  <w14:solidFill>
                    <w14:schemeClr w14:val="tx1"/>
                  </w14:solidFill>
                </w14:textFill>
              </w:rPr>
            </w:pPr>
            <w:r>
              <w:rPr>
                <w:caps/>
                <w:color w:val="000000" w:themeColor="text1"/>
                <w14:textFill>
                  <w14:solidFill>
                    <w14:schemeClr w14:val="tx1"/>
                  </w14:solidFill>
                </w14:textFill>
              </w:rPr>
              <w:t>VÝDAVKY</w:t>
            </w:r>
            <w:r>
              <w:rPr>
                <w:color w:val="000000" w:themeColor="text1"/>
                <w14:textFill>
                  <w14:solidFill>
                    <w14:schemeClr w14:val="tx1"/>
                  </w14:solidFill>
                </w14:textFill>
              </w:rPr>
              <w:t xml:space="preserve"> SPOLU</w:t>
            </w:r>
          </w:p>
        </w:tc>
        <w:tc>
          <w:tcPr>
            <w:tcW w:w="4136"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6F547496">
            <w:pPr>
              <w:ind w:right="-51"/>
              <w:jc w:val="right"/>
              <w:rPr>
                <w:color w:val="000000" w:themeColor="text1"/>
                <w14:textFill>
                  <w14:solidFill>
                    <w14:schemeClr w14:val="tx1"/>
                  </w14:solidFill>
                </w14:textFill>
              </w:rPr>
            </w:pPr>
            <w:r>
              <w:rPr>
                <w:color w:val="000000" w:themeColor="text1"/>
                <w14:textFill>
                  <w14:solidFill>
                    <w14:schemeClr w14:val="tx1"/>
                  </w14:solidFill>
                </w14:textFill>
              </w:rPr>
              <w:t>136 628,96</w:t>
            </w:r>
          </w:p>
        </w:tc>
      </w:tr>
      <w:tr w14:paraId="59DE302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double" w:color="000000" w:themeColor="text1" w:sz="6" w:space="0"/>
              <w:left w:val="double" w:color="000000" w:themeColor="text1" w:sz="6" w:space="0"/>
              <w:bottom w:val="double" w:color="000000" w:themeColor="text1" w:sz="6" w:space="0"/>
              <w:right w:val="double" w:color="000000" w:themeColor="text1" w:sz="6" w:space="0"/>
            </w:tcBorders>
            <w:shd w:val="clear" w:color="auto" w:fill="DDD9C3"/>
          </w:tcPr>
          <w:p w14:paraId="55B74FEB">
            <w:pPr>
              <w:ind w:left="-85"/>
              <w:rPr>
                <w:color w:val="000000" w:themeColor="text1"/>
                <w14:textFill>
                  <w14:solidFill>
                    <w14:schemeClr w14:val="tx1"/>
                  </w14:solidFill>
                </w14:textFill>
              </w:rPr>
            </w:pPr>
            <w:r>
              <w:rPr>
                <w:rStyle w:val="4"/>
                <w:b/>
                <w:bCs/>
                <w:color w:val="000000" w:themeColor="text1"/>
                <w14:textFill>
                  <w14:solidFill>
                    <w14:schemeClr w14:val="tx1"/>
                  </w14:solidFill>
                </w14:textFill>
              </w:rPr>
              <w:t xml:space="preserve">Rozpočtové hospodárenie obce </w:t>
            </w:r>
          </w:p>
        </w:tc>
        <w:tc>
          <w:tcPr>
            <w:tcW w:w="4136" w:type="dxa"/>
            <w:tcBorders>
              <w:top w:val="double" w:color="000000" w:themeColor="text1" w:sz="6" w:space="0"/>
              <w:left w:val="double" w:color="000000" w:themeColor="text1" w:sz="6" w:space="0"/>
              <w:bottom w:val="double" w:color="000000" w:themeColor="text1" w:sz="6" w:space="0"/>
              <w:right w:val="double" w:color="000000" w:themeColor="text1" w:sz="6" w:space="0"/>
            </w:tcBorders>
            <w:shd w:val="clear" w:color="auto" w:fill="DDD9C3"/>
          </w:tcPr>
          <w:p w14:paraId="7A10E0E1">
            <w:pPr>
              <w:ind w:right="-51"/>
              <w:jc w:val="right"/>
              <w:rPr>
                <w:color w:val="000000" w:themeColor="text1"/>
                <w14:textFill>
                  <w14:solidFill>
                    <w14:schemeClr w14:val="tx1"/>
                  </w14:solidFill>
                </w14:textFill>
              </w:rPr>
            </w:pPr>
            <w:r>
              <w:rPr>
                <w:color w:val="000000" w:themeColor="text1"/>
                <w14:textFill>
                  <w14:solidFill>
                    <w14:schemeClr w14:val="tx1"/>
                  </w14:solidFill>
                </w14:textFill>
              </w:rPr>
              <w:t>542,37</w:t>
            </w:r>
          </w:p>
        </w:tc>
      </w:tr>
      <w:tr w14:paraId="612AD34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double" w:color="000000" w:themeColor="text1" w:sz="6" w:space="0"/>
              <w:left w:val="double" w:color="000000" w:themeColor="text1" w:sz="6" w:space="0"/>
              <w:bottom w:val="double" w:color="000000" w:themeColor="text1" w:sz="6" w:space="0"/>
              <w:right w:val="double" w:color="000000" w:themeColor="text1" w:sz="6" w:space="0"/>
            </w:tcBorders>
            <w:vAlign w:val="center"/>
          </w:tcPr>
          <w:p w14:paraId="4D8198F6">
            <w:pPr>
              <w:rPr>
                <w:color w:val="000000" w:themeColor="text1"/>
                <w14:textFill>
                  <w14:solidFill>
                    <w14:schemeClr w14:val="tx1"/>
                  </w14:solidFill>
                </w14:textFill>
              </w:rPr>
            </w:pPr>
            <w:r>
              <w:rPr>
                <w:rStyle w:val="4"/>
                <w:b/>
                <w:bCs/>
                <w:color w:val="000000" w:themeColor="text1"/>
                <w14:textFill>
                  <w14:solidFill>
                    <w14:schemeClr w14:val="tx1"/>
                  </w14:solidFill>
                </w14:textFill>
              </w:rPr>
              <w:t>Vylúčenie z prebytku/Úprava schodku HČ</w:t>
            </w:r>
          </w:p>
        </w:tc>
        <w:tc>
          <w:tcPr>
            <w:tcW w:w="4136"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1AFF6EFB">
            <w:pPr>
              <w:ind w:right="-51"/>
              <w:jc w:val="right"/>
              <w:rPr>
                <w:color w:val="000000" w:themeColor="text1"/>
                <w14:textFill>
                  <w14:solidFill>
                    <w14:schemeClr w14:val="tx1"/>
                  </w14:solidFill>
                </w14:textFill>
              </w:rPr>
            </w:pPr>
            <w:r>
              <w:rPr>
                <w:color w:val="000000" w:themeColor="text1"/>
                <w14:textFill>
                  <w14:solidFill>
                    <w14:schemeClr w14:val="tx1"/>
                  </w14:solidFill>
                </w14:textFill>
              </w:rPr>
              <w:t>0,00</w:t>
            </w:r>
          </w:p>
        </w:tc>
      </w:tr>
      <w:tr w14:paraId="2369E28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924" w:type="dxa"/>
            <w:tcBorders>
              <w:top w:val="double" w:color="000000" w:themeColor="text1" w:sz="6" w:space="0"/>
              <w:left w:val="double" w:color="000000" w:themeColor="text1" w:sz="6" w:space="0"/>
              <w:bottom w:val="double" w:color="000000" w:themeColor="text1" w:sz="6" w:space="0"/>
              <w:right w:val="double" w:color="000000" w:themeColor="text1" w:sz="6" w:space="0"/>
            </w:tcBorders>
            <w:vAlign w:val="center"/>
          </w:tcPr>
          <w:p w14:paraId="2524B0BD">
            <w:pPr>
              <w:rPr>
                <w:rStyle w:val="4"/>
                <w:b/>
                <w:bCs/>
                <w:color w:val="000000" w:themeColor="text1"/>
                <w14:textFill>
                  <w14:solidFill>
                    <w14:schemeClr w14:val="tx1"/>
                  </w14:solidFill>
                </w14:textFill>
              </w:rPr>
            </w:pPr>
            <w:r>
              <w:rPr>
                <w:rStyle w:val="4"/>
                <w:b/>
                <w:bCs/>
                <w:color w:val="000000" w:themeColor="text1"/>
                <w14:textFill>
                  <w14:solidFill>
                    <w14:schemeClr w14:val="tx1"/>
                  </w14:solidFill>
                </w14:textFill>
              </w:rPr>
              <w:t>Upravené rozpočtové hospodárenie obce</w:t>
            </w:r>
          </w:p>
        </w:tc>
        <w:tc>
          <w:tcPr>
            <w:tcW w:w="4136" w:type="dxa"/>
            <w:tcBorders>
              <w:top w:val="double" w:color="000000" w:themeColor="text1" w:sz="6" w:space="0"/>
              <w:left w:val="double" w:color="000000" w:themeColor="text1" w:sz="6" w:space="0"/>
              <w:bottom w:val="double" w:color="000000" w:themeColor="text1" w:sz="6" w:space="0"/>
              <w:right w:val="double" w:color="000000" w:themeColor="text1" w:sz="6" w:space="0"/>
            </w:tcBorders>
          </w:tcPr>
          <w:p w14:paraId="0B9D0F8A">
            <w:pPr>
              <w:ind w:right="-51"/>
              <w:jc w:val="right"/>
              <w:rPr>
                <w:color w:val="000000" w:themeColor="text1"/>
                <w14:textFill>
                  <w14:solidFill>
                    <w14:schemeClr w14:val="tx1"/>
                  </w14:solidFill>
                </w14:textFill>
              </w:rPr>
            </w:pPr>
            <w:r>
              <w:rPr>
                <w:color w:val="000000" w:themeColor="text1"/>
                <w14:textFill>
                  <w14:solidFill>
                    <w14:schemeClr w14:val="tx1"/>
                  </w14:solidFill>
                </w14:textFill>
              </w:rPr>
              <w:t>542,37</w:t>
            </w:r>
          </w:p>
        </w:tc>
      </w:tr>
    </w:tbl>
    <w:p w14:paraId="29FE0594">
      <w:pPr>
        <w:jc w:val="both"/>
        <w:rPr>
          <w:rFonts w:ascii="Arial" w:hAnsi="Arial" w:eastAsia="Arial" w:cs="Arial"/>
          <w:color w:val="000000" w:themeColor="text1"/>
          <w:sz w:val="22"/>
          <w:szCs w:val="22"/>
          <w14:textFill>
            <w14:solidFill>
              <w14:schemeClr w14:val="tx1"/>
            </w14:solidFill>
          </w14:textFill>
        </w:rPr>
      </w:pPr>
    </w:p>
    <w:p w14:paraId="54C31C62">
      <w:pPr>
        <w:tabs>
          <w:tab w:val="right" w:pos="7740"/>
        </w:tabs>
        <w:jc w:val="both"/>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 xml:space="preserve">Prebytok rozpočtu v sume 25 854,93 EUR  </w:t>
      </w:r>
      <w:r>
        <w:rPr>
          <w:color w:val="000000" w:themeColor="text1"/>
          <w:sz w:val="24"/>
          <w:szCs w:val="24"/>
          <w14:textFill>
            <w14:solidFill>
              <w14:schemeClr w14:val="tx1"/>
            </w14:solidFill>
          </w14:textFill>
        </w:rPr>
        <w:t xml:space="preserve">zistený podľa ustanovenia § 10 ods. 3 písm. a) a b) zákona č. 583/2004 Z. z. o rozpočtových pravidlách územnej samosprávy a o zmene a doplnení niektorých zákonov v znení neskorších predpisov, </w:t>
      </w:r>
      <w:r>
        <w:rPr>
          <w:color w:val="0000FF"/>
          <w:sz w:val="24"/>
          <w:szCs w:val="24"/>
        </w:rPr>
        <w:t>navrhujeme použiť na :</w:t>
      </w:r>
      <w:r>
        <w:tab/>
      </w:r>
    </w:p>
    <w:p w14:paraId="2C7A02F2">
      <w:pPr>
        <w:pStyle w:val="20"/>
        <w:numPr>
          <w:ilvl w:val="0"/>
          <w:numId w:val="17"/>
        </w:numPr>
        <w:tabs>
          <w:tab w:val="right" w:pos="5529"/>
        </w:tabs>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tvorbu rezervného fondu</w:t>
      </w:r>
      <w:r>
        <w:tab/>
      </w:r>
      <w:r>
        <w:tab/>
      </w:r>
      <w:r>
        <w:tab/>
      </w:r>
      <w:r>
        <w:rPr>
          <w:color w:val="000000" w:themeColor="text1"/>
          <w:sz w:val="24"/>
          <w:szCs w:val="24"/>
          <w14:textFill>
            <w14:solidFill>
              <w14:schemeClr w14:val="tx1"/>
            </w14:solidFill>
          </w14:textFill>
        </w:rPr>
        <w:t xml:space="preserve">542,37 EUR </w:t>
      </w:r>
    </w:p>
    <w:p w14:paraId="7E2E0047">
      <w:pPr>
        <w:pStyle w:val="20"/>
        <w:numPr>
          <w:ilvl w:val="0"/>
          <w:numId w:val="17"/>
        </w:num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na vysporiadanie zostatku finančných operácií </w:t>
      </w:r>
      <w:r>
        <w:tab/>
      </w:r>
      <w:r>
        <w:tab/>
      </w:r>
      <w:r>
        <w:rPr>
          <w:sz w:val="24"/>
          <w:szCs w:val="24"/>
        </w:rPr>
        <w:t>25 312,56</w:t>
      </w:r>
      <w:r>
        <w:t xml:space="preserve"> </w:t>
      </w:r>
      <w:r>
        <w:rPr>
          <w:color w:val="000000" w:themeColor="text1"/>
          <w:sz w:val="24"/>
          <w:szCs w:val="24"/>
          <w14:textFill>
            <w14:solidFill>
              <w14:schemeClr w14:val="tx1"/>
            </w14:solidFill>
          </w14:textFill>
        </w:rPr>
        <w:t>EUR</w:t>
      </w:r>
    </w:p>
    <w:p w14:paraId="36C0ED77">
      <w:pPr>
        <w:tabs>
          <w:tab w:val="right" w:pos="5580"/>
        </w:tabs>
        <w:jc w:val="both"/>
        <w:rPr>
          <w:color w:val="000000" w:themeColor="text1"/>
          <w:sz w:val="24"/>
          <w:szCs w:val="24"/>
          <w14:textFill>
            <w14:solidFill>
              <w14:schemeClr w14:val="tx1"/>
            </w14:solidFill>
          </w14:textFill>
        </w:rPr>
      </w:pPr>
    </w:p>
    <w:p w14:paraId="4739FB92">
      <w:pPr>
        <w:tabs>
          <w:tab w:val="right" w:pos="5580"/>
        </w:tabs>
        <w:jc w:val="both"/>
        <w:rPr>
          <w:color w:val="0000FF"/>
          <w:sz w:val="24"/>
          <w:szCs w:val="24"/>
        </w:rPr>
      </w:pPr>
      <w:r>
        <w:rPr>
          <w:b/>
          <w:bCs/>
          <w:color w:val="000000" w:themeColor="text1"/>
          <w:sz w:val="24"/>
          <w:szCs w:val="24"/>
          <w14:textFill>
            <w14:solidFill>
              <w14:schemeClr w14:val="tx1"/>
            </w14:solidFill>
          </w14:textFill>
        </w:rPr>
        <w:t xml:space="preserve">Zostatok finančných operácií </w:t>
      </w:r>
      <w:r>
        <w:rPr>
          <w:color w:val="000000" w:themeColor="text1"/>
          <w:sz w:val="24"/>
          <w:szCs w:val="24"/>
          <w14:textFill>
            <w14:solidFill>
              <w14:schemeClr w14:val="tx1"/>
            </w14:solidFill>
          </w14:textFill>
        </w:rPr>
        <w:t>podľa § 15 ods. 1 písm. c)</w:t>
      </w:r>
      <w:r>
        <w:rPr>
          <w:b/>
          <w:bCs/>
          <w:color w:val="000000" w:themeColor="text1"/>
          <w:sz w:val="24"/>
          <w:szCs w:val="24"/>
          <w14:textFill>
            <w14:solidFill>
              <w14:schemeClr w14:val="tx1"/>
            </w14:solidFill>
          </w14:textFill>
        </w:rPr>
        <w:t xml:space="preserve"> </w:t>
      </w:r>
      <w:r>
        <w:rPr>
          <w:color w:val="000000" w:themeColor="text1"/>
          <w:sz w:val="24"/>
          <w:szCs w:val="24"/>
          <w14:textFill>
            <w14:solidFill>
              <w14:schemeClr w14:val="tx1"/>
            </w14:solidFill>
          </w14:textFill>
        </w:rPr>
        <w:t>zákona č. 583/2004 Z. z. o rozpočtových pravidlách územnej samosprávy a o zmene a doplnení niektorých zákonov v znení neskorších predpisov v sume -25 312,56 EUR</w:t>
      </w:r>
      <w:r>
        <w:rPr>
          <w:b/>
          <w:bCs/>
          <w:color w:val="000000" w:themeColor="text1"/>
          <w:sz w:val="24"/>
          <w:szCs w:val="24"/>
          <w14:textFill>
            <w14:solidFill>
              <w14:schemeClr w14:val="tx1"/>
            </w14:solidFill>
          </w14:textFill>
        </w:rPr>
        <w:t>,</w:t>
      </w:r>
      <w:r>
        <w:rPr>
          <w:color w:val="000000" w:themeColor="text1"/>
          <w:sz w:val="24"/>
          <w:szCs w:val="24"/>
          <w14:textFill>
            <w14:solidFill>
              <w14:schemeClr w14:val="tx1"/>
            </w14:solidFill>
          </w14:textFill>
        </w:rPr>
        <w:t xml:space="preserve"> bol </w:t>
      </w:r>
      <w:r>
        <w:rPr>
          <w:color w:val="0000FF"/>
          <w:sz w:val="24"/>
          <w:szCs w:val="24"/>
        </w:rPr>
        <w:t>vysporiadaný z :</w:t>
      </w:r>
    </w:p>
    <w:p w14:paraId="25CAFA05">
      <w:pPr>
        <w:pStyle w:val="20"/>
        <w:numPr>
          <w:ilvl w:val="0"/>
          <w:numId w:val="17"/>
        </w:numPr>
        <w:tabs>
          <w:tab w:val="right" w:pos="5580"/>
        </w:tabs>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 prebytku rozpočtu                                25 312,56 EUR</w:t>
      </w:r>
    </w:p>
    <w:p w14:paraId="66AABA63">
      <w:pPr>
        <w:tabs>
          <w:tab w:val="right" w:pos="5580"/>
        </w:tabs>
        <w:jc w:val="both"/>
        <w:rPr>
          <w:color w:val="000000" w:themeColor="text1"/>
          <w:sz w:val="24"/>
          <w:szCs w:val="24"/>
          <w14:textFill>
            <w14:solidFill>
              <w14:schemeClr w14:val="tx1"/>
            </w14:solidFill>
          </w14:textFill>
        </w:rPr>
      </w:pPr>
    </w:p>
    <w:p w14:paraId="480B1303">
      <w:pPr>
        <w:tabs>
          <w:tab w:val="right" w:pos="5580"/>
        </w:tabs>
        <w:jc w:val="both"/>
        <w:rPr>
          <w:b/>
          <w:b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Na základe uvedených skutočností navrhujeme tvorbu rezervného fondu za rok 2024 vo výške </w:t>
      </w:r>
      <w:r>
        <w:rPr>
          <w:b/>
          <w:bCs/>
          <w:color w:val="000000" w:themeColor="text1"/>
          <w:sz w:val="24"/>
          <w:szCs w:val="24"/>
          <w14:textFill>
            <w14:solidFill>
              <w14:schemeClr w14:val="tx1"/>
            </w14:solidFill>
          </w14:textFill>
        </w:rPr>
        <w:t xml:space="preserve">542,37 EUR. </w:t>
      </w:r>
    </w:p>
    <w:p w14:paraId="337CBC42">
      <w:pPr>
        <w:pStyle w:val="10"/>
        <w:jc w:val="both"/>
        <w:rPr>
          <w:rFonts w:ascii="Times New Roman" w:hAnsi="Times New Roman" w:eastAsia="Calibri" w:cs="Times New Roman"/>
          <w:b/>
          <w:bCs/>
        </w:rPr>
      </w:pPr>
    </w:p>
    <w:p w14:paraId="047A46AE">
      <w:pPr>
        <w:pStyle w:val="10"/>
        <w:jc w:val="both"/>
        <w:rPr>
          <w:rFonts w:ascii="Times New Roman" w:hAnsi="Times New Roman" w:eastAsia="Calibri" w:cs="Times New Roman"/>
          <w:b/>
          <w:bCs/>
        </w:rPr>
      </w:pPr>
      <w:r>
        <w:rPr>
          <w:rFonts w:ascii="Times New Roman" w:hAnsi="Times New Roman" w:eastAsia="Calibri" w:cs="Times New Roman"/>
          <w:b/>
          <w:bCs/>
        </w:rPr>
        <w:t>7.Informácie o vývoji obce z pohľadu účtovníctva</w:t>
      </w:r>
    </w:p>
    <w:p w14:paraId="741C4D15">
      <w:pPr>
        <w:pStyle w:val="10"/>
        <w:jc w:val="both"/>
        <w:rPr>
          <w:b/>
          <w:bCs/>
        </w:rPr>
      </w:pPr>
      <w:r>
        <w:rPr>
          <w:b/>
          <w:bCs/>
        </w:rPr>
        <w:t>7.1</w:t>
      </w:r>
      <w:r>
        <w:rPr>
          <w:rFonts w:ascii="Times New Roman" w:hAnsi="Times New Roman" w:eastAsia="Calibri" w:cs="Times New Roman"/>
          <w:b/>
          <w:bCs/>
        </w:rPr>
        <w:t>.Majetok</w:t>
      </w:r>
    </w:p>
    <w:tbl>
      <w:tblPr>
        <w:tblStyle w:val="3"/>
        <w:tblW w:w="0" w:type="auto"/>
        <w:tblInd w:w="0"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3595"/>
        <w:gridCol w:w="2747"/>
        <w:gridCol w:w="2718"/>
      </w:tblGrid>
      <w:tr w14:paraId="57BEA20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3595" w:type="dxa"/>
            <w:tcBorders>
              <w:top w:val="single" w:color="000000" w:themeColor="text1" w:sz="6" w:space="0"/>
              <w:left w:val="single" w:color="000000" w:themeColor="text1" w:sz="6" w:space="0"/>
              <w:bottom w:val="double" w:color="auto" w:sz="6" w:space="0"/>
            </w:tcBorders>
            <w:shd w:val="clear" w:color="auto" w:fill="D8D8D8" w:themeFill="background1" w:themeFillShade="D9"/>
            <w:tcMar>
              <w:left w:w="60" w:type="dxa"/>
              <w:right w:w="60" w:type="dxa"/>
            </w:tcMar>
            <w:vAlign w:val="center"/>
          </w:tcPr>
          <w:p w14:paraId="70B6A0E6">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Názov</w:t>
            </w:r>
          </w:p>
        </w:tc>
        <w:tc>
          <w:tcPr>
            <w:tcW w:w="2747" w:type="dxa"/>
            <w:tcBorders>
              <w:top w:val="single" w:color="000000" w:themeColor="text1" w:sz="6" w:space="0"/>
              <w:left w:val="single" w:color="000000" w:themeColor="text1" w:sz="6" w:space="0"/>
              <w:bottom w:val="double" w:color="auto" w:sz="6" w:space="0"/>
            </w:tcBorders>
            <w:shd w:val="clear" w:color="auto" w:fill="D8D8D8" w:themeFill="background1" w:themeFillShade="D9"/>
            <w:tcMar>
              <w:left w:w="60" w:type="dxa"/>
              <w:right w:w="60" w:type="dxa"/>
            </w:tcMar>
            <w:vAlign w:val="center"/>
          </w:tcPr>
          <w:p w14:paraId="2B3685C7">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ZS k 01. 01. 2024 v EUR</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shd w:val="clear" w:color="auto" w:fill="D8D8D8" w:themeFill="background1" w:themeFillShade="D9"/>
            <w:tcMar>
              <w:left w:w="60" w:type="dxa"/>
              <w:right w:w="60" w:type="dxa"/>
            </w:tcMar>
            <w:vAlign w:val="center"/>
          </w:tcPr>
          <w:p w14:paraId="0048020C">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KZ k 31. 12. 2024 v EUR</w:t>
            </w:r>
          </w:p>
        </w:tc>
      </w:tr>
      <w:tr w14:paraId="454DD1F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double" w:color="auto" w:sz="6" w:space="0"/>
            </w:tcBorders>
            <w:shd w:val="clear" w:color="auto" w:fill="E7E6E6" w:themeFill="background2"/>
            <w:tcMar>
              <w:left w:w="60" w:type="dxa"/>
              <w:right w:w="60" w:type="dxa"/>
            </w:tcMar>
            <w:vAlign w:val="center"/>
          </w:tcPr>
          <w:p w14:paraId="7016BE63">
            <w:pP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Majetok spolu</w:t>
            </w:r>
          </w:p>
        </w:tc>
        <w:tc>
          <w:tcPr>
            <w:tcW w:w="2747" w:type="dxa"/>
            <w:tcBorders>
              <w:top w:val="double" w:color="auto" w:sz="6" w:space="0"/>
              <w:left w:val="single" w:color="000000" w:themeColor="text1" w:sz="6" w:space="0"/>
              <w:bottom w:val="double" w:color="auto" w:sz="6" w:space="0"/>
            </w:tcBorders>
            <w:shd w:val="clear" w:color="auto" w:fill="E7E6E6" w:themeFill="background2"/>
            <w:tcMar>
              <w:left w:w="60" w:type="dxa"/>
              <w:right w:w="60" w:type="dxa"/>
            </w:tcMar>
            <w:vAlign w:val="center"/>
          </w:tcPr>
          <w:p w14:paraId="23A562A9">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987 843,97</w:t>
            </w:r>
          </w:p>
        </w:tc>
        <w:tc>
          <w:tcPr>
            <w:tcW w:w="2718" w:type="dxa"/>
            <w:tcBorders>
              <w:top w:val="double" w:color="auto" w:sz="6" w:space="0"/>
              <w:left w:val="single" w:color="000000" w:themeColor="text1" w:sz="6" w:space="0"/>
              <w:bottom w:val="double" w:color="auto" w:sz="6" w:space="0"/>
              <w:right w:val="single" w:color="000000" w:themeColor="text1" w:sz="6" w:space="0"/>
            </w:tcBorders>
            <w:shd w:val="clear" w:color="auto" w:fill="E7E6E6" w:themeFill="background2"/>
            <w:tcMar>
              <w:left w:w="60" w:type="dxa"/>
              <w:right w:w="60" w:type="dxa"/>
            </w:tcMar>
            <w:vAlign w:val="center"/>
          </w:tcPr>
          <w:p w14:paraId="51C3A309">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964 939,30</w:t>
            </w:r>
          </w:p>
        </w:tc>
      </w:tr>
      <w:tr w14:paraId="0C10FF3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38524D4D">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Neobežný majetok spolu</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784A27DE">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984 361,12</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7E2D4AF6">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960 415,12</w:t>
            </w:r>
          </w:p>
        </w:tc>
      </w:tr>
      <w:tr w14:paraId="6CC5794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0E1A08D9">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 toho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6C066BC0">
            <w:pPr>
              <w:tabs>
                <w:tab w:val="decimal" w:pos="1616"/>
              </w:tabs>
              <w:rPr>
                <w:color w:val="000000" w:themeColor="text1"/>
                <w:sz w:val="24"/>
                <w:szCs w:val="24"/>
                <w14:textFill>
                  <w14:solidFill>
                    <w14:schemeClr w14:val="tx1"/>
                  </w14:solidFill>
                </w14:textFill>
              </w:rPr>
            </w:pP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08AD8E2D">
            <w:pPr>
              <w:tabs>
                <w:tab w:val="decimal" w:pos="1616"/>
              </w:tabs>
              <w:rPr>
                <w:color w:val="000000" w:themeColor="text1"/>
                <w:sz w:val="24"/>
                <w:szCs w:val="24"/>
                <w14:textFill>
                  <w14:solidFill>
                    <w14:schemeClr w14:val="tx1"/>
                  </w14:solidFill>
                </w14:textFill>
              </w:rPr>
            </w:pPr>
          </w:p>
        </w:tc>
      </w:tr>
      <w:tr w14:paraId="56D56E6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21DC228">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Dlhodobý nehmotný majetok</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24C2196F">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563F449A">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34D1421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FA515F2">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Dlhodobý hmotný majetok</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1621A0D6">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984 361,12</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52655AB1">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960 415,12</w:t>
            </w:r>
          </w:p>
        </w:tc>
      </w:tr>
      <w:tr w14:paraId="0DB6FAE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4C425B42">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Dlhodobý finančný majetok</w:t>
            </w:r>
          </w:p>
        </w:tc>
        <w:tc>
          <w:tcPr>
            <w:tcW w:w="2747"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0433083B">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tcMar>
              <w:left w:w="60" w:type="dxa"/>
              <w:right w:w="60" w:type="dxa"/>
            </w:tcMar>
            <w:vAlign w:val="center"/>
          </w:tcPr>
          <w:p w14:paraId="041F363B">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25C9483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31A8B0D6">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Obežný majetok spolu</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0FFAFBBB">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3 434,86</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17EDC64C">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4 211,55</w:t>
            </w:r>
          </w:p>
        </w:tc>
      </w:tr>
      <w:tr w14:paraId="25EFD01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D4D8EAE">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 toho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248C4D64">
            <w:pPr>
              <w:tabs>
                <w:tab w:val="decimal" w:pos="1616"/>
              </w:tabs>
              <w:rPr>
                <w:color w:val="000000" w:themeColor="text1"/>
                <w:sz w:val="24"/>
                <w:szCs w:val="24"/>
                <w14:textFill>
                  <w14:solidFill>
                    <w14:schemeClr w14:val="tx1"/>
                  </w14:solidFill>
                </w14:textFill>
              </w:rPr>
            </w:pP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78E268DA">
            <w:pPr>
              <w:tabs>
                <w:tab w:val="decimal" w:pos="1616"/>
              </w:tabs>
              <w:rPr>
                <w:color w:val="000000" w:themeColor="text1"/>
                <w:sz w:val="24"/>
                <w:szCs w:val="24"/>
                <w14:textFill>
                  <w14:solidFill>
                    <w14:schemeClr w14:val="tx1"/>
                  </w14:solidFill>
                </w14:textFill>
              </w:rPr>
            </w:pPr>
          </w:p>
        </w:tc>
      </w:tr>
      <w:tr w14:paraId="54B436A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0D13791">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Zásoby</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48BCF737">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0,00 </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6E9D37F3">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6B36623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09A79219">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Zúčtovanie medzi subjektami VS</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33AB16DC">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62B6F7B8">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2ABE842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12D37BF5">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Dlhodobé pohľadávky</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3CDAB57">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7604F5DF">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4FE4111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00804BD6">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Krátkodobé pohľadávky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4723940F">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102,00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736001B6">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184,06</w:t>
            </w:r>
          </w:p>
        </w:tc>
      </w:tr>
      <w:tr w14:paraId="61A07F0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35DD0962">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Finančné účty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7A06D841">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3 332,86</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7344BA87">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4 027,49</w:t>
            </w:r>
          </w:p>
        </w:tc>
      </w:tr>
      <w:tr w14:paraId="00D1D25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7C006F6F">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Poskytnuté návratné fin. výpomoci dlh.</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6964FABE">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20B62FD1">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4FEBEF5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06AD2736">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Poskytnuté návratné fin. výpomoci krát.</w:t>
            </w:r>
          </w:p>
        </w:tc>
        <w:tc>
          <w:tcPr>
            <w:tcW w:w="2747"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58BB2FC4">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tcMar>
              <w:left w:w="60" w:type="dxa"/>
              <w:right w:w="60" w:type="dxa"/>
            </w:tcMar>
            <w:vAlign w:val="center"/>
          </w:tcPr>
          <w:p w14:paraId="6422C21B">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413D1D1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318C84B0">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 xml:space="preserve">Časové rozlíšenie </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7C8E7A16">
            <w:pPr>
              <w:tabs>
                <w:tab w:val="decimal" w:pos="1651"/>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47,99</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05080599">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312,63</w:t>
            </w:r>
          </w:p>
        </w:tc>
      </w:tr>
    </w:tbl>
    <w:p w14:paraId="2FFAB389">
      <w:pPr>
        <w:pStyle w:val="10"/>
        <w:jc w:val="both"/>
        <w:rPr>
          <w:rFonts w:ascii="Times New Roman" w:hAnsi="Times New Roman" w:eastAsia="Calibri" w:cs="Times New Roman"/>
          <w:b/>
          <w:bCs/>
        </w:rPr>
      </w:pPr>
      <w:r>
        <w:rPr>
          <w:rFonts w:ascii="Times New Roman" w:hAnsi="Times New Roman" w:eastAsia="Calibri" w:cs="Times New Roman"/>
          <w:b/>
          <w:bCs/>
        </w:rPr>
        <w:t>7.2.Zdroje krytia</w:t>
      </w:r>
    </w:p>
    <w:tbl>
      <w:tblPr>
        <w:tblStyle w:val="3"/>
        <w:tblW w:w="0" w:type="auto"/>
        <w:tblInd w:w="0"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3595"/>
        <w:gridCol w:w="2747"/>
        <w:gridCol w:w="2718"/>
      </w:tblGrid>
      <w:tr w14:paraId="019E6FB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3595" w:type="dxa"/>
            <w:tcBorders>
              <w:top w:val="single" w:color="000000" w:themeColor="text1" w:sz="6" w:space="0"/>
              <w:left w:val="single" w:color="000000" w:themeColor="text1" w:sz="6" w:space="0"/>
              <w:bottom w:val="double" w:color="auto" w:sz="6" w:space="0"/>
            </w:tcBorders>
            <w:shd w:val="clear" w:color="auto" w:fill="D8D8D8" w:themeFill="background1" w:themeFillShade="D9"/>
            <w:tcMar>
              <w:left w:w="60" w:type="dxa"/>
              <w:right w:w="60" w:type="dxa"/>
            </w:tcMar>
            <w:vAlign w:val="center"/>
          </w:tcPr>
          <w:p w14:paraId="3CE66E0A">
            <w:pP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Názov</w:t>
            </w:r>
          </w:p>
        </w:tc>
        <w:tc>
          <w:tcPr>
            <w:tcW w:w="2747" w:type="dxa"/>
            <w:tcBorders>
              <w:top w:val="single" w:color="000000" w:themeColor="text1" w:sz="6" w:space="0"/>
              <w:left w:val="single" w:color="000000" w:themeColor="text1" w:sz="6" w:space="0"/>
              <w:bottom w:val="double" w:color="auto" w:sz="6" w:space="0"/>
            </w:tcBorders>
            <w:shd w:val="clear" w:color="auto" w:fill="D8D8D8" w:themeFill="background1" w:themeFillShade="D9"/>
            <w:tcMar>
              <w:left w:w="60" w:type="dxa"/>
              <w:right w:w="60" w:type="dxa"/>
            </w:tcMar>
            <w:vAlign w:val="center"/>
          </w:tcPr>
          <w:p w14:paraId="7FDF0E26">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ZS k 01. 01. 2024 v EUR</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shd w:val="clear" w:color="auto" w:fill="D8D8D8" w:themeFill="background1" w:themeFillShade="D9"/>
            <w:tcMar>
              <w:left w:w="60" w:type="dxa"/>
              <w:right w:w="60" w:type="dxa"/>
            </w:tcMar>
            <w:vAlign w:val="center"/>
          </w:tcPr>
          <w:p w14:paraId="1FBEAE5F">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KZ k 31. 12. 2024 v EUR</w:t>
            </w:r>
          </w:p>
        </w:tc>
      </w:tr>
      <w:tr w14:paraId="085C668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double" w:color="auto" w:sz="6" w:space="0"/>
            </w:tcBorders>
            <w:shd w:val="clear" w:color="auto" w:fill="E7E6E6" w:themeFill="background2"/>
            <w:tcMar>
              <w:left w:w="60" w:type="dxa"/>
              <w:right w:w="60" w:type="dxa"/>
            </w:tcMar>
            <w:vAlign w:val="center"/>
          </w:tcPr>
          <w:p w14:paraId="2C3DE967">
            <w:pP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Vlastné imanie a záväzky spolu</w:t>
            </w:r>
          </w:p>
        </w:tc>
        <w:tc>
          <w:tcPr>
            <w:tcW w:w="2747" w:type="dxa"/>
            <w:tcBorders>
              <w:top w:val="double" w:color="auto" w:sz="6" w:space="0"/>
              <w:left w:val="single" w:color="000000" w:themeColor="text1" w:sz="6" w:space="0"/>
              <w:bottom w:val="double" w:color="auto" w:sz="6" w:space="0"/>
            </w:tcBorders>
            <w:shd w:val="clear" w:color="auto" w:fill="E7E6E6" w:themeFill="background2"/>
            <w:tcMar>
              <w:left w:w="60" w:type="dxa"/>
              <w:right w:w="60" w:type="dxa"/>
            </w:tcMar>
            <w:vAlign w:val="center"/>
          </w:tcPr>
          <w:p w14:paraId="53D0C9A1">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987 843,97</w:t>
            </w:r>
          </w:p>
        </w:tc>
        <w:tc>
          <w:tcPr>
            <w:tcW w:w="2718" w:type="dxa"/>
            <w:tcBorders>
              <w:top w:val="double" w:color="auto" w:sz="6" w:space="0"/>
              <w:left w:val="single" w:color="000000" w:themeColor="text1" w:sz="6" w:space="0"/>
              <w:bottom w:val="double" w:color="auto" w:sz="6" w:space="0"/>
              <w:right w:val="single" w:color="000000" w:themeColor="text1" w:sz="6" w:space="0"/>
            </w:tcBorders>
            <w:shd w:val="clear" w:color="auto" w:fill="E7E6E6" w:themeFill="background2"/>
            <w:tcMar>
              <w:left w:w="60" w:type="dxa"/>
              <w:right w:w="60" w:type="dxa"/>
            </w:tcMar>
            <w:vAlign w:val="center"/>
          </w:tcPr>
          <w:p w14:paraId="29B6CE24">
            <w:pPr>
              <w:tabs>
                <w:tab w:val="decimal" w:pos="1616"/>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964 939,30</w:t>
            </w:r>
          </w:p>
        </w:tc>
      </w:tr>
      <w:tr w14:paraId="0F44150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665CADAD">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 xml:space="preserve">Vlastné imanie </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06A74556">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267 136,63</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444DAE22">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261 378,87</w:t>
            </w:r>
          </w:p>
        </w:tc>
      </w:tr>
      <w:tr w14:paraId="22D7244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0D7538E5">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 toho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1E5E10CB">
            <w:pPr>
              <w:tabs>
                <w:tab w:val="decimal" w:pos="1474"/>
              </w:tabs>
              <w:rPr>
                <w:color w:val="000000" w:themeColor="text1"/>
                <w:sz w:val="24"/>
                <w:szCs w:val="24"/>
                <w14:textFill>
                  <w14:solidFill>
                    <w14:schemeClr w14:val="tx1"/>
                  </w14:solidFill>
                </w14:textFill>
              </w:rPr>
            </w:pP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5BFF96AD">
            <w:pPr>
              <w:tabs>
                <w:tab w:val="decimal" w:pos="1474"/>
              </w:tabs>
              <w:rPr>
                <w:color w:val="000000" w:themeColor="text1"/>
                <w:sz w:val="24"/>
                <w:szCs w:val="24"/>
                <w14:textFill>
                  <w14:solidFill>
                    <w14:schemeClr w14:val="tx1"/>
                  </w14:solidFill>
                </w14:textFill>
              </w:rPr>
            </w:pPr>
          </w:p>
        </w:tc>
      </w:tr>
      <w:tr w14:paraId="11030E7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1F56726">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Oceňovacie rozdiely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69A6805F">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61FBCF34">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7911F89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8DB9856">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Fondy</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10C81926">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30CA6DDE">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36A981B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0FE9EC6B">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Výsledok hospodárenia </w:t>
            </w:r>
          </w:p>
        </w:tc>
        <w:tc>
          <w:tcPr>
            <w:tcW w:w="2747"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3CDD661E">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267 136,63</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tcMar>
              <w:left w:w="60" w:type="dxa"/>
              <w:right w:w="60" w:type="dxa"/>
            </w:tcMar>
            <w:vAlign w:val="center"/>
          </w:tcPr>
          <w:p w14:paraId="76ED4229">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261 378,87</w:t>
            </w:r>
          </w:p>
        </w:tc>
      </w:tr>
      <w:tr w14:paraId="0018B8A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25F347B1">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Záväzky</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486E8CFC">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30 455,49</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5D6509D4">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7 816,93</w:t>
            </w:r>
          </w:p>
        </w:tc>
      </w:tr>
      <w:tr w14:paraId="467EEEE2">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603C48D1">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 toho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4F74D8BF">
            <w:pPr>
              <w:tabs>
                <w:tab w:val="decimal" w:pos="1474"/>
              </w:tabs>
              <w:rPr>
                <w:color w:val="000000" w:themeColor="text1"/>
                <w:sz w:val="24"/>
                <w:szCs w:val="24"/>
                <w14:textFill>
                  <w14:solidFill>
                    <w14:schemeClr w14:val="tx1"/>
                  </w14:solidFill>
                </w14:textFill>
              </w:rPr>
            </w:pP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06B9CEF1">
            <w:pPr>
              <w:tabs>
                <w:tab w:val="decimal" w:pos="1474"/>
              </w:tabs>
              <w:rPr>
                <w:color w:val="000000" w:themeColor="text1"/>
                <w:sz w:val="24"/>
                <w:szCs w:val="24"/>
                <w14:textFill>
                  <w14:solidFill>
                    <w14:schemeClr w14:val="tx1"/>
                  </w14:solidFill>
                </w14:textFill>
              </w:rPr>
            </w:pPr>
          </w:p>
        </w:tc>
      </w:tr>
      <w:tr w14:paraId="77A9356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3045397F">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Rezervy </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2B5AD756">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500,00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34B90C5F">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500,00</w:t>
            </w:r>
          </w:p>
        </w:tc>
      </w:tr>
      <w:tr w14:paraId="0EDB947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57195EBB">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Zúčtovanie medzi subjektami VS</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1E20D386">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6CB78DF3">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1814D1C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6A055B98">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Dlhodobé záväzky</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499F96C0">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1 183,86</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666EF173">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1 181,11</w:t>
            </w:r>
          </w:p>
        </w:tc>
      </w:tr>
      <w:tr w14:paraId="7D4558D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7A1EE030">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Krátkodobé záväzky</w:t>
            </w:r>
          </w:p>
        </w:tc>
        <w:tc>
          <w:tcPr>
            <w:tcW w:w="2747" w:type="dxa"/>
            <w:tcBorders>
              <w:top w:val="single" w:color="000000" w:themeColor="text1" w:sz="6" w:space="0"/>
              <w:left w:val="single" w:color="000000" w:themeColor="text1" w:sz="6" w:space="0"/>
              <w:bottom w:val="single" w:color="000000" w:themeColor="text1" w:sz="6" w:space="0"/>
            </w:tcBorders>
            <w:tcMar>
              <w:left w:w="60" w:type="dxa"/>
              <w:right w:w="60" w:type="dxa"/>
            </w:tcMar>
            <w:vAlign w:val="center"/>
          </w:tcPr>
          <w:p w14:paraId="415E6B60">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5 959,07</w:t>
            </w:r>
          </w:p>
        </w:tc>
        <w:tc>
          <w:tcPr>
            <w:tcW w:w="2718"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324496BB">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6 135,82</w:t>
            </w:r>
          </w:p>
        </w:tc>
      </w:tr>
      <w:tr w14:paraId="4464E242">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2FF08A5B">
            <w:pPr>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Bankové úvery a výpomoci</w:t>
            </w:r>
          </w:p>
        </w:tc>
        <w:tc>
          <w:tcPr>
            <w:tcW w:w="2747" w:type="dxa"/>
            <w:tcBorders>
              <w:top w:val="single" w:color="000000" w:themeColor="text1" w:sz="6" w:space="0"/>
              <w:left w:val="single" w:color="000000" w:themeColor="text1" w:sz="6" w:space="0"/>
              <w:bottom w:val="double" w:color="auto" w:sz="6" w:space="0"/>
            </w:tcBorders>
            <w:tcMar>
              <w:left w:w="60" w:type="dxa"/>
              <w:right w:w="60" w:type="dxa"/>
            </w:tcMar>
            <w:vAlign w:val="center"/>
          </w:tcPr>
          <w:p w14:paraId="36430016">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22 812,56</w:t>
            </w:r>
          </w:p>
        </w:tc>
        <w:tc>
          <w:tcPr>
            <w:tcW w:w="2718" w:type="dxa"/>
            <w:tcBorders>
              <w:top w:val="single" w:color="000000" w:themeColor="text1" w:sz="6" w:space="0"/>
              <w:left w:val="single" w:color="000000" w:themeColor="text1" w:sz="6" w:space="0"/>
              <w:bottom w:val="double" w:color="auto" w:sz="6" w:space="0"/>
              <w:right w:val="single" w:color="000000" w:themeColor="text1" w:sz="6" w:space="0"/>
            </w:tcBorders>
            <w:tcMar>
              <w:left w:w="60" w:type="dxa"/>
              <w:right w:w="60" w:type="dxa"/>
            </w:tcMar>
            <w:vAlign w:val="center"/>
          </w:tcPr>
          <w:p w14:paraId="408DE732">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74E6909B">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3595"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247C01B0">
            <w:pPr>
              <w:rPr>
                <w:color w:val="000000" w:themeColor="text1"/>
                <w:sz w:val="22"/>
                <w:szCs w:val="22"/>
                <w14:textFill>
                  <w14:solidFill>
                    <w14:schemeClr w14:val="tx1"/>
                  </w14:solidFill>
                </w14:textFill>
              </w:rPr>
            </w:pPr>
            <w:r>
              <w:rPr>
                <w:b/>
                <w:bCs/>
                <w:color w:val="000000" w:themeColor="text1"/>
                <w:sz w:val="22"/>
                <w:szCs w:val="22"/>
                <w14:textFill>
                  <w14:solidFill>
                    <w14:schemeClr w14:val="tx1"/>
                  </w14:solidFill>
                </w14:textFill>
              </w:rPr>
              <w:t>Časové rozlíšenie</w:t>
            </w:r>
          </w:p>
        </w:tc>
        <w:tc>
          <w:tcPr>
            <w:tcW w:w="2747" w:type="dxa"/>
            <w:tcBorders>
              <w:top w:val="double" w:color="auto" w:sz="6" w:space="0"/>
              <w:left w:val="single" w:color="000000" w:themeColor="text1" w:sz="6" w:space="0"/>
              <w:bottom w:val="single" w:color="000000" w:themeColor="text1" w:sz="6" w:space="0"/>
            </w:tcBorders>
            <w:tcMar>
              <w:left w:w="60" w:type="dxa"/>
              <w:right w:w="60" w:type="dxa"/>
            </w:tcMar>
            <w:vAlign w:val="center"/>
          </w:tcPr>
          <w:p w14:paraId="3C9B7EA4">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690 251,85</w:t>
            </w:r>
          </w:p>
        </w:tc>
        <w:tc>
          <w:tcPr>
            <w:tcW w:w="2718" w:type="dxa"/>
            <w:tcBorders>
              <w:top w:val="double" w:color="auto" w:sz="6" w:space="0"/>
              <w:left w:val="single" w:color="000000" w:themeColor="text1" w:sz="6" w:space="0"/>
              <w:bottom w:val="single" w:color="000000" w:themeColor="text1" w:sz="6" w:space="0"/>
              <w:right w:val="single" w:color="000000" w:themeColor="text1" w:sz="6" w:space="0"/>
            </w:tcBorders>
            <w:tcMar>
              <w:left w:w="60" w:type="dxa"/>
              <w:right w:w="60" w:type="dxa"/>
            </w:tcMar>
            <w:vAlign w:val="center"/>
          </w:tcPr>
          <w:p w14:paraId="48857387">
            <w:pPr>
              <w:tabs>
                <w:tab w:val="decimal" w:pos="1474"/>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695 743,50</w:t>
            </w:r>
          </w:p>
        </w:tc>
      </w:tr>
    </w:tbl>
    <w:p w14:paraId="36FF6D14">
      <w:pPr>
        <w:pStyle w:val="10"/>
        <w:jc w:val="both"/>
        <w:rPr>
          <w:rFonts w:ascii="Times New Roman" w:hAnsi="Times New Roman" w:eastAsia="Calibri" w:cs="Times New Roman"/>
          <w:b/>
          <w:bCs/>
          <w:color w:val="FF0000"/>
        </w:rPr>
      </w:pPr>
    </w:p>
    <w:p w14:paraId="7D5343A8">
      <w:pPr>
        <w:pStyle w:val="10"/>
        <w:jc w:val="both"/>
        <w:rPr>
          <w:rFonts w:ascii="Times New Roman" w:hAnsi="Times New Roman" w:eastAsia="Calibri" w:cs="Times New Roman"/>
          <w:b/>
          <w:bCs/>
          <w:color w:val="auto"/>
        </w:rPr>
      </w:pPr>
      <w:r>
        <w:rPr>
          <w:rFonts w:ascii="Times New Roman" w:hAnsi="Times New Roman" w:eastAsia="Calibri" w:cs="Times New Roman"/>
          <w:b/>
          <w:bCs/>
          <w:color w:val="auto"/>
        </w:rPr>
        <w:t>7.3.Pohľadávky</w:t>
      </w:r>
    </w:p>
    <w:tbl>
      <w:tblPr>
        <w:tblStyle w:val="18"/>
        <w:tblW w:w="0" w:type="auto"/>
        <w:tblInd w:w="0" w:type="dxa"/>
        <w:tblLayout w:type="autofit"/>
        <w:tblCellMar>
          <w:top w:w="15" w:type="dxa"/>
          <w:left w:w="15" w:type="dxa"/>
          <w:bottom w:w="15" w:type="dxa"/>
          <w:right w:w="15" w:type="dxa"/>
        </w:tblCellMar>
      </w:tblPr>
      <w:tblGrid>
        <w:gridCol w:w="3255"/>
        <w:gridCol w:w="2775"/>
        <w:gridCol w:w="3015"/>
      </w:tblGrid>
      <w:tr w14:paraId="7758F281">
        <w:tblPrEx>
          <w:tblCellMar>
            <w:top w:w="15" w:type="dxa"/>
            <w:left w:w="15" w:type="dxa"/>
            <w:bottom w:w="15" w:type="dxa"/>
            <w:right w:w="15" w:type="dxa"/>
          </w:tblCellMar>
        </w:tblPrEx>
        <w:tc>
          <w:tcPr>
            <w:tcW w:w="3255"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23DE523C">
            <w:pPr>
              <w:pStyle w:val="10"/>
              <w:jc w:val="both"/>
              <w:rPr>
                <w:rFonts w:ascii="Times New Roman" w:hAnsi="Times New Roman" w:eastAsia="Calibri" w:cs="Times New Roman"/>
                <w:b/>
                <w:bCs/>
                <w:color w:val="auto"/>
              </w:rPr>
            </w:pPr>
          </w:p>
        </w:tc>
        <w:tc>
          <w:tcPr>
            <w:tcW w:w="2775"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4A4C1881">
            <w:pPr>
              <w:pStyle w:val="10"/>
              <w:jc w:val="center"/>
              <w:rPr>
                <w:rFonts w:hint="default" w:ascii="Times New Roman" w:hAnsi="Times New Roman" w:eastAsia="Calibri" w:cs="Times New Roman"/>
                <w:b/>
                <w:bCs/>
                <w:color w:val="auto"/>
                <w:lang w:val="sk-SK"/>
              </w:rPr>
            </w:pPr>
            <w:r>
              <w:rPr>
                <w:rFonts w:ascii="Times New Roman" w:hAnsi="Times New Roman" w:eastAsia="Calibri" w:cs="Times New Roman"/>
                <w:b/>
                <w:bCs/>
                <w:color w:val="auto"/>
              </w:rPr>
              <w:t>Zostatok k 31.12.202</w:t>
            </w:r>
            <w:r>
              <w:rPr>
                <w:rFonts w:hint="default" w:ascii="Times New Roman" w:hAnsi="Times New Roman" w:eastAsia="Calibri" w:cs="Times New Roman"/>
                <w:b/>
                <w:bCs/>
                <w:color w:val="auto"/>
                <w:lang w:val="sk-SK"/>
              </w:rPr>
              <w:t>3</w:t>
            </w:r>
          </w:p>
        </w:tc>
        <w:tc>
          <w:tcPr>
            <w:tcW w:w="3015"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5E11E897">
            <w:pPr>
              <w:pStyle w:val="10"/>
              <w:jc w:val="center"/>
              <w:rPr>
                <w:rFonts w:hint="default" w:ascii="Times New Roman" w:hAnsi="Times New Roman" w:eastAsia="Calibri" w:cs="Times New Roman"/>
                <w:b/>
                <w:bCs/>
                <w:color w:val="auto"/>
                <w:lang w:val="sk-SK"/>
              </w:rPr>
            </w:pPr>
            <w:r>
              <w:rPr>
                <w:rFonts w:ascii="Times New Roman" w:hAnsi="Times New Roman" w:eastAsia="Calibri" w:cs="Times New Roman"/>
                <w:b/>
                <w:bCs/>
                <w:color w:val="auto"/>
              </w:rPr>
              <w:t>Zostatok k 31.12.202</w:t>
            </w:r>
            <w:r>
              <w:rPr>
                <w:rFonts w:hint="default" w:ascii="Times New Roman" w:hAnsi="Times New Roman" w:eastAsia="Calibri" w:cs="Times New Roman"/>
                <w:b/>
                <w:bCs/>
                <w:color w:val="auto"/>
                <w:lang w:val="sk-SK"/>
              </w:rPr>
              <w:t>4</w:t>
            </w:r>
          </w:p>
        </w:tc>
      </w:tr>
      <w:tr w14:paraId="1C742EE2">
        <w:tblPrEx>
          <w:tblCellMar>
            <w:top w:w="15" w:type="dxa"/>
            <w:left w:w="15" w:type="dxa"/>
            <w:bottom w:w="15" w:type="dxa"/>
            <w:right w:w="15" w:type="dxa"/>
          </w:tblCellMar>
        </w:tblPrEx>
        <w:tc>
          <w:tcPr>
            <w:tcW w:w="3255" w:type="dxa"/>
            <w:tcBorders>
              <w:top w:val="nil"/>
              <w:left w:val="outset" w:color="auto" w:sz="6" w:space="0"/>
              <w:bottom w:val="outset" w:color="auto" w:sz="6" w:space="0"/>
              <w:right w:val="outset" w:color="auto" w:sz="6" w:space="0"/>
            </w:tcBorders>
          </w:tcPr>
          <w:p w14:paraId="4F5BA2A0">
            <w:pPr>
              <w:pStyle w:val="10"/>
              <w:jc w:val="both"/>
              <w:rPr>
                <w:rFonts w:ascii="Times New Roman" w:hAnsi="Times New Roman" w:eastAsia="Calibri" w:cs="Times New Roman"/>
                <w:color w:val="auto"/>
              </w:rPr>
            </w:pPr>
            <w:r>
              <w:rPr>
                <w:rFonts w:ascii="Times New Roman" w:hAnsi="Times New Roman" w:eastAsia="Calibri" w:cs="Times New Roman"/>
                <w:color w:val="auto"/>
              </w:rPr>
              <w:t>Pohľadávky do lehoty splatnosti</w:t>
            </w:r>
          </w:p>
        </w:tc>
        <w:tc>
          <w:tcPr>
            <w:tcW w:w="2775" w:type="dxa"/>
            <w:tcBorders>
              <w:top w:val="nil"/>
              <w:left w:val="outset" w:color="auto" w:sz="6" w:space="0"/>
              <w:bottom w:val="outset" w:color="auto" w:sz="6" w:space="0"/>
              <w:right w:val="outset" w:color="auto" w:sz="6" w:space="0"/>
            </w:tcBorders>
          </w:tcPr>
          <w:p w14:paraId="66F5F7D5">
            <w:pPr>
              <w:pStyle w:val="10"/>
              <w:jc w:val="center"/>
              <w:rPr>
                <w:rFonts w:hint="default" w:ascii="Times New Roman" w:hAnsi="Times New Roman" w:eastAsia="Calibri" w:cs="Times New Roman"/>
                <w:color w:val="auto"/>
                <w:lang w:val="sk-SK"/>
              </w:rPr>
            </w:pPr>
            <w:r>
              <w:rPr>
                <w:rFonts w:hint="default" w:ascii="Times New Roman" w:hAnsi="Times New Roman" w:eastAsia="Calibri" w:cs="Times New Roman"/>
                <w:color w:val="auto"/>
                <w:lang w:val="sk-SK"/>
              </w:rPr>
              <w:t>102,00</w:t>
            </w:r>
          </w:p>
        </w:tc>
        <w:tc>
          <w:tcPr>
            <w:tcW w:w="3015" w:type="dxa"/>
            <w:tcBorders>
              <w:top w:val="nil"/>
              <w:left w:val="outset" w:color="auto" w:sz="6" w:space="0"/>
              <w:bottom w:val="outset" w:color="auto" w:sz="6" w:space="0"/>
              <w:right w:val="outset" w:color="auto" w:sz="6" w:space="0"/>
            </w:tcBorders>
          </w:tcPr>
          <w:p w14:paraId="22EF6BD3">
            <w:pPr>
              <w:pStyle w:val="10"/>
              <w:jc w:val="center"/>
              <w:rPr>
                <w:rFonts w:hint="default" w:ascii="Times New Roman" w:hAnsi="Times New Roman" w:eastAsia="Calibri" w:cs="Times New Roman"/>
                <w:color w:val="auto"/>
                <w:lang w:val="sk-SK"/>
              </w:rPr>
            </w:pPr>
            <w:r>
              <w:rPr>
                <w:rFonts w:hint="default" w:ascii="Times New Roman" w:hAnsi="Times New Roman" w:eastAsia="Calibri" w:cs="Times New Roman"/>
                <w:color w:val="auto"/>
                <w:lang w:val="sk-SK"/>
              </w:rPr>
              <w:t>184,06</w:t>
            </w:r>
          </w:p>
        </w:tc>
      </w:tr>
      <w:tr w14:paraId="51170016">
        <w:tblPrEx>
          <w:tblCellMar>
            <w:top w:w="15" w:type="dxa"/>
            <w:left w:w="15" w:type="dxa"/>
            <w:bottom w:w="15" w:type="dxa"/>
            <w:right w:w="15" w:type="dxa"/>
          </w:tblCellMar>
        </w:tblPrEx>
        <w:tc>
          <w:tcPr>
            <w:tcW w:w="3255" w:type="dxa"/>
            <w:tcBorders>
              <w:top w:val="nil"/>
              <w:left w:val="outset" w:color="auto" w:sz="6" w:space="0"/>
              <w:bottom w:val="outset" w:color="auto" w:sz="6" w:space="0"/>
              <w:right w:val="outset" w:color="auto" w:sz="6" w:space="0"/>
            </w:tcBorders>
          </w:tcPr>
          <w:p w14:paraId="2FE8BA24">
            <w:pPr>
              <w:pStyle w:val="10"/>
              <w:jc w:val="both"/>
              <w:rPr>
                <w:rFonts w:ascii="Times New Roman" w:hAnsi="Times New Roman" w:eastAsia="Calibri" w:cs="Times New Roman"/>
                <w:color w:val="auto"/>
              </w:rPr>
            </w:pPr>
            <w:r>
              <w:rPr>
                <w:rFonts w:ascii="Times New Roman" w:hAnsi="Times New Roman" w:eastAsia="Calibri" w:cs="Times New Roman"/>
                <w:color w:val="auto"/>
              </w:rPr>
              <w:t>Pohľadávky po lehote splatnosti</w:t>
            </w:r>
          </w:p>
        </w:tc>
        <w:tc>
          <w:tcPr>
            <w:tcW w:w="2775" w:type="dxa"/>
            <w:tcBorders>
              <w:top w:val="nil"/>
              <w:left w:val="outset" w:color="auto" w:sz="6" w:space="0"/>
              <w:bottom w:val="outset" w:color="auto" w:sz="6" w:space="0"/>
              <w:right w:val="outset" w:color="auto" w:sz="6" w:space="0"/>
            </w:tcBorders>
          </w:tcPr>
          <w:p w14:paraId="0CF44D54">
            <w:pPr>
              <w:pStyle w:val="10"/>
              <w:jc w:val="center"/>
              <w:rPr>
                <w:rFonts w:ascii="Times New Roman" w:hAnsi="Times New Roman" w:eastAsia="Calibri" w:cs="Times New Roman"/>
                <w:color w:val="auto"/>
              </w:rPr>
            </w:pPr>
            <w:r>
              <w:rPr>
                <w:rFonts w:ascii="Times New Roman" w:hAnsi="Times New Roman" w:eastAsia="Calibri" w:cs="Times New Roman"/>
                <w:color w:val="auto"/>
              </w:rPr>
              <w:t>0</w:t>
            </w:r>
          </w:p>
        </w:tc>
        <w:tc>
          <w:tcPr>
            <w:tcW w:w="3015" w:type="dxa"/>
            <w:tcBorders>
              <w:top w:val="nil"/>
              <w:left w:val="outset" w:color="auto" w:sz="6" w:space="0"/>
              <w:bottom w:val="outset" w:color="auto" w:sz="6" w:space="0"/>
              <w:right w:val="outset" w:color="auto" w:sz="6" w:space="0"/>
            </w:tcBorders>
          </w:tcPr>
          <w:p w14:paraId="165DCE8A">
            <w:pPr>
              <w:pStyle w:val="10"/>
              <w:jc w:val="center"/>
              <w:rPr>
                <w:rFonts w:ascii="Times New Roman" w:hAnsi="Times New Roman" w:eastAsia="Calibri" w:cs="Times New Roman"/>
                <w:color w:val="auto"/>
              </w:rPr>
            </w:pPr>
            <w:r>
              <w:rPr>
                <w:rFonts w:ascii="Times New Roman" w:hAnsi="Times New Roman" w:eastAsia="Calibri" w:cs="Times New Roman"/>
                <w:color w:val="auto"/>
              </w:rPr>
              <w:t>0</w:t>
            </w:r>
          </w:p>
        </w:tc>
      </w:tr>
    </w:tbl>
    <w:p w14:paraId="719FFC04">
      <w:pPr>
        <w:pStyle w:val="10"/>
        <w:jc w:val="both"/>
        <w:rPr>
          <w:rFonts w:ascii="Times New Roman" w:hAnsi="Times New Roman" w:eastAsia="Calibri" w:cs="Times New Roman"/>
          <w:b/>
          <w:bCs/>
          <w:color w:val="EE0000"/>
        </w:rPr>
      </w:pPr>
    </w:p>
    <w:p w14:paraId="6E8F6C56">
      <w:pPr>
        <w:pStyle w:val="10"/>
        <w:jc w:val="both"/>
        <w:rPr>
          <w:rFonts w:ascii="Times New Roman" w:hAnsi="Times New Roman" w:eastAsia="Calibri" w:cs="Times New Roman"/>
          <w:b/>
          <w:bCs/>
          <w:color w:val="auto"/>
        </w:rPr>
      </w:pPr>
      <w:r>
        <w:rPr>
          <w:rFonts w:ascii="Times New Roman" w:hAnsi="Times New Roman" w:eastAsia="Calibri" w:cs="Times New Roman"/>
          <w:b/>
          <w:bCs/>
          <w:color w:val="auto"/>
        </w:rPr>
        <w:t>7.4.Záväzky</w:t>
      </w:r>
    </w:p>
    <w:tbl>
      <w:tblPr>
        <w:tblStyle w:val="18"/>
        <w:tblW w:w="0" w:type="auto"/>
        <w:tblInd w:w="0" w:type="dxa"/>
        <w:tblLayout w:type="autofit"/>
        <w:tblCellMar>
          <w:top w:w="15" w:type="dxa"/>
          <w:left w:w="15" w:type="dxa"/>
          <w:bottom w:w="15" w:type="dxa"/>
          <w:right w:w="15" w:type="dxa"/>
        </w:tblCellMar>
      </w:tblPr>
      <w:tblGrid>
        <w:gridCol w:w="3390"/>
        <w:gridCol w:w="2640"/>
        <w:gridCol w:w="3015"/>
      </w:tblGrid>
      <w:tr w14:paraId="0C40DDC3">
        <w:tblPrEx>
          <w:tblCellMar>
            <w:top w:w="15" w:type="dxa"/>
            <w:left w:w="15" w:type="dxa"/>
            <w:bottom w:w="15" w:type="dxa"/>
            <w:right w:w="15" w:type="dxa"/>
          </w:tblCellMar>
        </w:tblPrEx>
        <w:tc>
          <w:tcPr>
            <w:tcW w:w="3390"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52E56223">
            <w:pPr>
              <w:pStyle w:val="10"/>
              <w:jc w:val="both"/>
              <w:rPr>
                <w:rFonts w:ascii="Times New Roman" w:hAnsi="Times New Roman" w:eastAsia="Calibri" w:cs="Times New Roman"/>
                <w:b/>
                <w:bCs/>
                <w:color w:val="auto"/>
              </w:rPr>
            </w:pPr>
          </w:p>
        </w:tc>
        <w:tc>
          <w:tcPr>
            <w:tcW w:w="2640"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16C3D2FB">
            <w:pPr>
              <w:pStyle w:val="10"/>
              <w:jc w:val="center"/>
              <w:rPr>
                <w:rFonts w:hint="default" w:ascii="Times New Roman" w:hAnsi="Times New Roman" w:eastAsia="Calibri" w:cs="Times New Roman"/>
                <w:b/>
                <w:bCs/>
                <w:color w:val="auto"/>
                <w:lang w:val="sk-SK"/>
              </w:rPr>
            </w:pPr>
            <w:r>
              <w:rPr>
                <w:rFonts w:ascii="Times New Roman" w:hAnsi="Times New Roman" w:eastAsia="Calibri" w:cs="Times New Roman"/>
                <w:b/>
                <w:bCs/>
                <w:color w:val="auto"/>
              </w:rPr>
              <w:t>Zostatok k 31.12.202</w:t>
            </w:r>
            <w:r>
              <w:rPr>
                <w:rFonts w:hint="default" w:ascii="Times New Roman" w:hAnsi="Times New Roman" w:eastAsia="Calibri" w:cs="Times New Roman"/>
                <w:b/>
                <w:bCs/>
                <w:color w:val="auto"/>
                <w:lang w:val="sk-SK"/>
              </w:rPr>
              <w:t>3</w:t>
            </w:r>
          </w:p>
        </w:tc>
        <w:tc>
          <w:tcPr>
            <w:tcW w:w="3015"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4F9E5D4E">
            <w:pPr>
              <w:pStyle w:val="10"/>
              <w:jc w:val="center"/>
              <w:rPr>
                <w:rFonts w:hint="default" w:ascii="Times New Roman" w:hAnsi="Times New Roman" w:eastAsia="Calibri" w:cs="Times New Roman"/>
                <w:b/>
                <w:bCs/>
                <w:color w:val="auto"/>
                <w:lang w:val="sk-SK"/>
              </w:rPr>
            </w:pPr>
            <w:r>
              <w:rPr>
                <w:rFonts w:ascii="Times New Roman" w:hAnsi="Times New Roman" w:eastAsia="Calibri" w:cs="Times New Roman"/>
                <w:b/>
                <w:bCs/>
                <w:color w:val="auto"/>
              </w:rPr>
              <w:t>Zostatok k 31.12.202</w:t>
            </w:r>
            <w:r>
              <w:rPr>
                <w:rFonts w:hint="default" w:ascii="Times New Roman" w:hAnsi="Times New Roman" w:eastAsia="Calibri" w:cs="Times New Roman"/>
                <w:b/>
                <w:bCs/>
                <w:color w:val="auto"/>
                <w:lang w:val="sk-SK"/>
              </w:rPr>
              <w:t>4</w:t>
            </w:r>
          </w:p>
        </w:tc>
      </w:tr>
      <w:tr w14:paraId="3369AD51">
        <w:tblPrEx>
          <w:tblCellMar>
            <w:top w:w="15" w:type="dxa"/>
            <w:left w:w="15" w:type="dxa"/>
            <w:bottom w:w="15" w:type="dxa"/>
            <w:right w:w="15" w:type="dxa"/>
          </w:tblCellMar>
        </w:tblPrEx>
        <w:tc>
          <w:tcPr>
            <w:tcW w:w="3390" w:type="dxa"/>
            <w:tcBorders>
              <w:top w:val="nil"/>
              <w:left w:val="outset" w:color="auto" w:sz="6" w:space="0"/>
              <w:bottom w:val="outset" w:color="auto" w:sz="6" w:space="0"/>
              <w:right w:val="outset" w:color="auto" w:sz="6" w:space="0"/>
            </w:tcBorders>
          </w:tcPr>
          <w:p w14:paraId="2A3F0221">
            <w:pPr>
              <w:pStyle w:val="10"/>
              <w:jc w:val="both"/>
              <w:rPr>
                <w:rFonts w:ascii="Times New Roman" w:hAnsi="Times New Roman" w:eastAsia="Calibri" w:cs="Times New Roman"/>
                <w:color w:val="auto"/>
              </w:rPr>
            </w:pPr>
            <w:r>
              <w:rPr>
                <w:rFonts w:ascii="Times New Roman" w:hAnsi="Times New Roman" w:eastAsia="Calibri" w:cs="Times New Roman"/>
                <w:color w:val="auto"/>
              </w:rPr>
              <w:t>Záväzky do lehoty splatnosti</w:t>
            </w:r>
          </w:p>
        </w:tc>
        <w:tc>
          <w:tcPr>
            <w:tcW w:w="2640" w:type="dxa"/>
            <w:tcBorders>
              <w:top w:val="nil"/>
              <w:left w:val="outset" w:color="auto" w:sz="6" w:space="0"/>
              <w:bottom w:val="outset" w:color="auto" w:sz="6" w:space="0"/>
              <w:right w:val="outset" w:color="auto" w:sz="6" w:space="0"/>
            </w:tcBorders>
          </w:tcPr>
          <w:p w14:paraId="5CF94E6B">
            <w:pPr>
              <w:pStyle w:val="10"/>
              <w:jc w:val="center"/>
              <w:rPr>
                <w:rFonts w:hint="default" w:ascii="Times New Roman" w:hAnsi="Times New Roman" w:eastAsia="Calibri" w:cs="Times New Roman"/>
                <w:color w:val="auto"/>
                <w:lang w:val="sk-SK"/>
              </w:rPr>
            </w:pPr>
            <w:r>
              <w:rPr>
                <w:rFonts w:hint="default" w:ascii="Times New Roman" w:hAnsi="Times New Roman" w:eastAsia="Calibri" w:cs="Times New Roman"/>
                <w:color w:val="auto"/>
                <w:lang w:val="sk-SK"/>
              </w:rPr>
              <w:t>4 775,21</w:t>
            </w:r>
          </w:p>
        </w:tc>
        <w:tc>
          <w:tcPr>
            <w:tcW w:w="3015" w:type="dxa"/>
            <w:tcBorders>
              <w:top w:val="nil"/>
              <w:left w:val="outset" w:color="auto" w:sz="6" w:space="0"/>
              <w:bottom w:val="outset" w:color="auto" w:sz="6" w:space="0"/>
              <w:right w:val="outset" w:color="auto" w:sz="6" w:space="0"/>
            </w:tcBorders>
          </w:tcPr>
          <w:p w14:paraId="2F5B7ED8">
            <w:pPr>
              <w:pStyle w:val="10"/>
              <w:jc w:val="center"/>
              <w:rPr>
                <w:rFonts w:hint="default" w:ascii="Times New Roman" w:hAnsi="Times New Roman" w:eastAsia="Calibri" w:cs="Times New Roman"/>
                <w:color w:val="auto"/>
                <w:lang w:val="sk-SK"/>
              </w:rPr>
            </w:pPr>
            <w:r>
              <w:rPr>
                <w:rFonts w:ascii="Times New Roman" w:hAnsi="Times New Roman" w:eastAsia="Calibri" w:cs="Times New Roman"/>
                <w:color w:val="auto"/>
              </w:rPr>
              <w:t xml:space="preserve">4 </w:t>
            </w:r>
            <w:r>
              <w:rPr>
                <w:rFonts w:hint="default" w:ascii="Times New Roman" w:hAnsi="Times New Roman" w:eastAsia="Calibri" w:cs="Times New Roman"/>
                <w:color w:val="auto"/>
                <w:lang w:val="sk-SK"/>
              </w:rPr>
              <w:t>954,71</w:t>
            </w:r>
          </w:p>
        </w:tc>
      </w:tr>
      <w:tr w14:paraId="41058D2C">
        <w:tblPrEx>
          <w:tblCellMar>
            <w:top w:w="15" w:type="dxa"/>
            <w:left w:w="15" w:type="dxa"/>
            <w:bottom w:w="15" w:type="dxa"/>
            <w:right w:w="15" w:type="dxa"/>
          </w:tblCellMar>
        </w:tblPrEx>
        <w:tc>
          <w:tcPr>
            <w:tcW w:w="3390" w:type="dxa"/>
            <w:tcBorders>
              <w:top w:val="nil"/>
              <w:left w:val="outset" w:color="auto" w:sz="6" w:space="0"/>
              <w:bottom w:val="outset" w:color="auto" w:sz="6" w:space="0"/>
              <w:right w:val="outset" w:color="auto" w:sz="6" w:space="0"/>
            </w:tcBorders>
          </w:tcPr>
          <w:p w14:paraId="27C0C9D9">
            <w:pPr>
              <w:pStyle w:val="10"/>
              <w:jc w:val="both"/>
              <w:rPr>
                <w:rFonts w:ascii="Times New Roman" w:hAnsi="Times New Roman" w:eastAsia="Calibri" w:cs="Times New Roman"/>
                <w:color w:val="auto"/>
              </w:rPr>
            </w:pPr>
            <w:r>
              <w:rPr>
                <w:rFonts w:ascii="Times New Roman" w:hAnsi="Times New Roman" w:eastAsia="Calibri" w:cs="Times New Roman"/>
                <w:color w:val="auto"/>
              </w:rPr>
              <w:t>Záväzky po lehote splatnosti</w:t>
            </w:r>
          </w:p>
        </w:tc>
        <w:tc>
          <w:tcPr>
            <w:tcW w:w="2640" w:type="dxa"/>
            <w:tcBorders>
              <w:top w:val="nil"/>
              <w:left w:val="outset" w:color="auto" w:sz="6" w:space="0"/>
              <w:bottom w:val="outset" w:color="auto" w:sz="6" w:space="0"/>
              <w:right w:val="outset" w:color="auto" w:sz="6" w:space="0"/>
            </w:tcBorders>
          </w:tcPr>
          <w:p w14:paraId="7BD0726E">
            <w:pPr>
              <w:pStyle w:val="10"/>
              <w:jc w:val="center"/>
              <w:rPr>
                <w:rFonts w:ascii="Times New Roman" w:hAnsi="Times New Roman" w:eastAsia="Calibri" w:cs="Times New Roman"/>
                <w:color w:val="auto"/>
              </w:rPr>
            </w:pPr>
            <w:r>
              <w:rPr>
                <w:rFonts w:ascii="Times New Roman" w:hAnsi="Times New Roman" w:eastAsia="Calibri" w:cs="Times New Roman"/>
                <w:color w:val="auto"/>
              </w:rPr>
              <w:t>0</w:t>
            </w:r>
          </w:p>
        </w:tc>
        <w:tc>
          <w:tcPr>
            <w:tcW w:w="3015" w:type="dxa"/>
            <w:tcBorders>
              <w:top w:val="nil"/>
              <w:left w:val="outset" w:color="auto" w:sz="6" w:space="0"/>
              <w:bottom w:val="outset" w:color="auto" w:sz="6" w:space="0"/>
              <w:right w:val="outset" w:color="auto" w:sz="6" w:space="0"/>
            </w:tcBorders>
          </w:tcPr>
          <w:p w14:paraId="47F30171">
            <w:pPr>
              <w:pStyle w:val="10"/>
              <w:jc w:val="center"/>
              <w:rPr>
                <w:rFonts w:ascii="Times New Roman" w:hAnsi="Times New Roman" w:eastAsia="Calibri" w:cs="Times New Roman"/>
                <w:color w:val="auto"/>
              </w:rPr>
            </w:pPr>
            <w:r>
              <w:rPr>
                <w:rFonts w:ascii="Times New Roman" w:hAnsi="Times New Roman" w:eastAsia="Calibri" w:cs="Times New Roman"/>
                <w:color w:val="auto"/>
              </w:rPr>
              <w:t>0</w:t>
            </w:r>
          </w:p>
        </w:tc>
      </w:tr>
    </w:tbl>
    <w:p w14:paraId="419A4BC3">
      <w:pPr>
        <w:pStyle w:val="10"/>
        <w:jc w:val="both"/>
        <w:rPr>
          <w:rFonts w:ascii="Times New Roman" w:hAnsi="Times New Roman" w:eastAsia="Calibri" w:cs="Times New Roman"/>
          <w:b/>
          <w:bCs/>
        </w:rPr>
      </w:pPr>
    </w:p>
    <w:p w14:paraId="205B40A9">
      <w:pPr>
        <w:pStyle w:val="10"/>
        <w:jc w:val="both"/>
        <w:rPr>
          <w:rFonts w:ascii="Times New Roman" w:hAnsi="Times New Roman" w:eastAsia="Calibri" w:cs="Times New Roman"/>
          <w:b/>
          <w:bCs/>
        </w:rPr>
      </w:pPr>
      <w:r>
        <w:rPr>
          <w:rFonts w:ascii="Times New Roman" w:hAnsi="Times New Roman" w:eastAsia="Calibri" w:cs="Times New Roman"/>
          <w:b/>
          <w:bCs/>
        </w:rPr>
        <w:t xml:space="preserve"> 8.Tvorba a použitie peňažných fondov a iných fondov</w:t>
      </w:r>
    </w:p>
    <w:p w14:paraId="5B47AE05">
      <w:pPr>
        <w:pStyle w:val="10"/>
        <w:jc w:val="both"/>
        <w:rPr>
          <w:rFonts w:ascii="Times New Roman" w:hAnsi="Times New Roman" w:eastAsia="Calibri" w:cs="Times New Roman"/>
          <w:b/>
          <w:bCs/>
        </w:rPr>
      </w:pPr>
      <w:r>
        <w:rPr>
          <w:rFonts w:ascii="Times New Roman" w:hAnsi="Times New Roman" w:eastAsia="Calibri" w:cs="Times New Roman"/>
          <w:b/>
          <w:bCs/>
        </w:rPr>
        <w:t xml:space="preserve">Peňažný fond </w:t>
      </w:r>
    </w:p>
    <w:p w14:paraId="2999F4AE">
      <w:pPr>
        <w:pStyle w:val="10"/>
        <w:jc w:val="both"/>
        <w:rPr>
          <w:rFonts w:ascii="Times New Roman" w:hAnsi="Times New Roman" w:eastAsia="Calibri" w:cs="Times New Roman"/>
          <w:b/>
          <w:bCs/>
        </w:rPr>
      </w:pPr>
      <w:r>
        <w:rPr>
          <w:rFonts w:ascii="Times New Roman" w:hAnsi="Times New Roman" w:eastAsia="Calibri" w:cs="Times New Roman"/>
        </w:rPr>
        <w:t>Obec nevytvára peňažný fond v zmysle ustanovenia § 15 zákona č. 583/2004 Z. z. v z. n. p.. O použití peňažného fondu rozhoduje obecné zastupiteľstvo.</w:t>
      </w:r>
    </w:p>
    <w:p w14:paraId="03FEA5D5">
      <w:pPr>
        <w:pStyle w:val="10"/>
        <w:jc w:val="both"/>
        <w:rPr>
          <w:rFonts w:ascii="Times New Roman" w:hAnsi="Times New Roman" w:eastAsia="Calibri" w:cs="Times New Roman"/>
          <w:b/>
          <w:bCs/>
        </w:rPr>
      </w:pPr>
      <w:r>
        <w:rPr>
          <w:rFonts w:ascii="Times New Roman" w:hAnsi="Times New Roman" w:eastAsia="Calibri" w:cs="Times New Roman"/>
          <w:b/>
          <w:bCs/>
        </w:rPr>
        <w:t xml:space="preserve">Rezervný fond </w:t>
      </w:r>
    </w:p>
    <w:p w14:paraId="04E96981">
      <w:pPr>
        <w:pStyle w:val="10"/>
        <w:jc w:val="both"/>
        <w:rPr>
          <w:rFonts w:ascii="Times New Roman" w:hAnsi="Times New Roman" w:eastAsia="Calibri" w:cs="Times New Roman"/>
        </w:rPr>
      </w:pPr>
      <w:r>
        <w:rPr>
          <w:rFonts w:ascii="Times New Roman" w:hAnsi="Times New Roman" w:eastAsia="Calibri" w:cs="Times New Roman"/>
        </w:rPr>
        <w:t>Obec vytvára rezervný fond v zmysle ustanovenia § 15 zákona č.583/2004 Z. z. v z. n. p.. O použití rezervného fondu rozhoduje obecné zastupiteľstvo.</w:t>
      </w:r>
    </w:p>
    <w:p w14:paraId="0B1640F3">
      <w:pPr>
        <w:pStyle w:val="10"/>
        <w:jc w:val="both"/>
        <w:rPr>
          <w:rFonts w:ascii="Times New Roman" w:hAnsi="Times New Roman" w:eastAsia="Calibri" w:cs="Times New Roman"/>
          <w:b/>
          <w:bCs/>
        </w:rPr>
      </w:pPr>
    </w:p>
    <w:tbl>
      <w:tblPr>
        <w:tblStyle w:val="3"/>
        <w:tblW w:w="0" w:type="auto"/>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4660"/>
        <w:gridCol w:w="4400"/>
      </w:tblGrid>
      <w:tr w14:paraId="5FF70AC2">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shd w:val="clear" w:color="auto" w:fill="D8D8D8" w:themeFill="background1" w:themeFillShade="D9"/>
            <w:tcMar>
              <w:left w:w="105" w:type="dxa"/>
              <w:right w:w="105" w:type="dxa"/>
            </w:tcMar>
          </w:tcPr>
          <w:p w14:paraId="17EAA9AC">
            <w:pP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Rezervný fond</w:t>
            </w:r>
          </w:p>
        </w:tc>
        <w:tc>
          <w:tcPr>
            <w:tcW w:w="4400" w:type="dxa"/>
            <w:tcBorders>
              <w:top w:val="single" w:color="auto" w:sz="6" w:space="0"/>
              <w:left w:val="single" w:color="auto" w:sz="6" w:space="0"/>
              <w:bottom w:val="single" w:color="auto" w:sz="6" w:space="0"/>
              <w:right w:val="single" w:color="auto" w:sz="6" w:space="0"/>
            </w:tcBorders>
            <w:shd w:val="clear" w:color="auto" w:fill="D8D8D8" w:themeFill="background1" w:themeFillShade="D9"/>
            <w:tcMar>
              <w:left w:w="105" w:type="dxa"/>
              <w:right w:w="105" w:type="dxa"/>
            </w:tcMar>
          </w:tcPr>
          <w:p w14:paraId="4BF059C5">
            <w:pPr>
              <w:jc w:val="cente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Suma v EUR</w:t>
            </w:r>
          </w:p>
        </w:tc>
      </w:tr>
      <w:tr w14:paraId="6A55A71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0C302CAD">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ZS k 1.1.2024</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240ABA56">
            <w:pPr>
              <w:jc w:val="righ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5606B5C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3D3A95F7">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Prírastky - z prebytku rozpočtu za uplynulý </w:t>
            </w:r>
          </w:p>
          <w:p w14:paraId="5A5C945F">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rozpočtový rok </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785FB41D">
            <w:pPr>
              <w:jc w:val="right"/>
              <w:rPr>
                <w:color w:val="000000" w:themeColor="text1"/>
                <w:sz w:val="24"/>
                <w:szCs w:val="24"/>
                <w14:textFill>
                  <w14:solidFill>
                    <w14:schemeClr w14:val="tx1"/>
                  </w14:solidFill>
                </w14:textFill>
              </w:rPr>
            </w:pPr>
          </w:p>
        </w:tc>
      </w:tr>
      <w:tr w14:paraId="0579337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5C507EEA">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 z rozdielu medzi výnosmi a nákladmi </w:t>
            </w:r>
          </w:p>
          <w:p w14:paraId="77D918F1">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z podnikateľskej činnosti po zdanení </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2886535F">
            <w:pPr>
              <w:jc w:val="right"/>
              <w:rPr>
                <w:color w:val="000000" w:themeColor="text1"/>
                <w:sz w:val="24"/>
                <w:szCs w:val="24"/>
                <w14:textFill>
                  <w14:solidFill>
                    <w14:schemeClr w14:val="tx1"/>
                  </w14:solidFill>
                </w14:textFill>
              </w:rPr>
            </w:pPr>
          </w:p>
        </w:tc>
      </w:tr>
      <w:tr w14:paraId="3102F6C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4B4E0748">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 z finančných operácií</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4A825CC8">
            <w:pPr>
              <w:jc w:val="right"/>
              <w:rPr>
                <w:color w:val="000000" w:themeColor="text1"/>
                <w:sz w:val="24"/>
                <w:szCs w:val="24"/>
                <w14:textFill>
                  <w14:solidFill>
                    <w14:schemeClr w14:val="tx1"/>
                  </w14:solidFill>
                </w14:textFill>
              </w:rPr>
            </w:pPr>
          </w:p>
        </w:tc>
      </w:tr>
      <w:tr w14:paraId="52EF66C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796A7DAC">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Úbytky   - použitie rezervného fondu </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37554B40">
            <w:pPr>
              <w:jc w:val="right"/>
              <w:rPr>
                <w:color w:val="000000" w:themeColor="text1"/>
                <w:sz w:val="24"/>
                <w:szCs w:val="24"/>
                <w14:textFill>
                  <w14:solidFill>
                    <w14:schemeClr w14:val="tx1"/>
                  </w14:solidFill>
                </w14:textFill>
              </w:rPr>
            </w:pPr>
          </w:p>
        </w:tc>
      </w:tr>
      <w:tr w14:paraId="4F5D175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161113C0">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 krytie schodku rozpočtu</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3F72689F">
            <w:pPr>
              <w:jc w:val="right"/>
              <w:rPr>
                <w:color w:val="000000" w:themeColor="text1"/>
                <w:sz w:val="24"/>
                <w:szCs w:val="24"/>
                <w14:textFill>
                  <w14:solidFill>
                    <w14:schemeClr w14:val="tx1"/>
                  </w14:solidFill>
                </w14:textFill>
              </w:rPr>
            </w:pPr>
          </w:p>
        </w:tc>
      </w:tr>
      <w:tr w14:paraId="6F1205E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tcMar>
              <w:left w:w="105" w:type="dxa"/>
              <w:right w:w="105" w:type="dxa"/>
            </w:tcMar>
          </w:tcPr>
          <w:p w14:paraId="4D2786A5">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 ostatné úbytky </w:t>
            </w:r>
          </w:p>
        </w:tc>
        <w:tc>
          <w:tcPr>
            <w:tcW w:w="4400" w:type="dxa"/>
            <w:tcBorders>
              <w:top w:val="single" w:color="auto" w:sz="6" w:space="0"/>
              <w:left w:val="single" w:color="auto" w:sz="6" w:space="0"/>
              <w:bottom w:val="single" w:color="auto" w:sz="6" w:space="0"/>
              <w:right w:val="single" w:color="auto" w:sz="6" w:space="0"/>
            </w:tcBorders>
            <w:tcMar>
              <w:left w:w="105" w:type="dxa"/>
              <w:right w:w="105" w:type="dxa"/>
            </w:tcMar>
          </w:tcPr>
          <w:p w14:paraId="46AAA3A4">
            <w:pPr>
              <w:jc w:val="right"/>
              <w:rPr>
                <w:color w:val="000000" w:themeColor="text1"/>
                <w:sz w:val="24"/>
                <w:szCs w:val="24"/>
                <w14:textFill>
                  <w14:solidFill>
                    <w14:schemeClr w14:val="tx1"/>
                  </w14:solidFill>
                </w14:textFill>
              </w:rPr>
            </w:pPr>
          </w:p>
        </w:tc>
      </w:tr>
      <w:tr w14:paraId="363ECE2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60" w:type="dxa"/>
            <w:tcBorders>
              <w:top w:val="single" w:color="auto" w:sz="6" w:space="0"/>
              <w:left w:val="single" w:color="auto" w:sz="6" w:space="0"/>
              <w:bottom w:val="single" w:color="auto" w:sz="6" w:space="0"/>
              <w:right w:val="single" w:color="auto" w:sz="6" w:space="0"/>
            </w:tcBorders>
            <w:shd w:val="clear" w:color="auto" w:fill="D8D8D8" w:themeFill="background1" w:themeFillShade="D9"/>
            <w:tcMar>
              <w:left w:w="105" w:type="dxa"/>
              <w:right w:w="105" w:type="dxa"/>
            </w:tcMar>
          </w:tcPr>
          <w:p w14:paraId="257B6E92">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KZ k 31.12.2024</w:t>
            </w:r>
          </w:p>
        </w:tc>
        <w:tc>
          <w:tcPr>
            <w:tcW w:w="4400" w:type="dxa"/>
            <w:tcBorders>
              <w:top w:val="single" w:color="auto" w:sz="6" w:space="0"/>
              <w:left w:val="single" w:color="auto" w:sz="6" w:space="0"/>
              <w:bottom w:val="single" w:color="auto" w:sz="6" w:space="0"/>
              <w:right w:val="single" w:color="auto" w:sz="6" w:space="0"/>
            </w:tcBorders>
            <w:shd w:val="clear" w:color="auto" w:fill="D8D8D8" w:themeFill="background1" w:themeFillShade="D9"/>
            <w:tcMar>
              <w:left w:w="105" w:type="dxa"/>
              <w:right w:w="105" w:type="dxa"/>
            </w:tcMar>
          </w:tcPr>
          <w:p w14:paraId="0D35A4B7">
            <w:pPr>
              <w:jc w:val="righ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bl>
    <w:p w14:paraId="5C1F1E1D">
      <w:pPr>
        <w:rPr>
          <w:b/>
          <w:bCs/>
          <w:color w:val="000000" w:themeColor="text1"/>
          <w:sz w:val="24"/>
          <w:szCs w:val="24"/>
          <w14:textFill>
            <w14:solidFill>
              <w14:schemeClr w14:val="tx1"/>
            </w14:solidFill>
          </w14:textFill>
        </w:rPr>
      </w:pPr>
    </w:p>
    <w:p w14:paraId="74FEF54D">
      <w:pPr>
        <w:rPr>
          <w:b/>
          <w:bCs/>
          <w:color w:val="000000" w:themeColor="text1"/>
          <w:sz w:val="24"/>
          <w:szCs w:val="24"/>
          <w14:textFill>
            <w14:solidFill>
              <w14:schemeClr w14:val="tx1"/>
            </w14:solidFill>
          </w14:textFill>
        </w:rPr>
      </w:pPr>
    </w:p>
    <w:p w14:paraId="38A7A3C7">
      <w:pPr>
        <w:rPr>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Sociálny fond</w:t>
      </w:r>
    </w:p>
    <w:p w14:paraId="4072D3EE">
      <w:pPr>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Obec vytvára sociálny fond v zmysle zákona č. 152/1994 Z. z. v z. n. p.. Tvorbu a použitie sociálneho fondu upravuje kolektívna zmluva.</w:t>
      </w:r>
    </w:p>
    <w:p w14:paraId="2B182841">
      <w:pPr>
        <w:tabs>
          <w:tab w:val="right" w:pos="7560"/>
        </w:tabs>
        <w:rPr>
          <w:color w:val="000000" w:themeColor="text1"/>
          <w:sz w:val="24"/>
          <w:szCs w:val="24"/>
          <w14:textFill>
            <w14:solidFill>
              <w14:schemeClr w14:val="tx1"/>
            </w14:solidFill>
          </w14:textFill>
        </w:rPr>
      </w:pPr>
    </w:p>
    <w:tbl>
      <w:tblPr>
        <w:tblStyle w:val="3"/>
        <w:tblW w:w="9060" w:type="dxa"/>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4921"/>
        <w:gridCol w:w="4139"/>
      </w:tblGrid>
      <w:tr w14:paraId="044125E6">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798C6EFF">
            <w:pPr>
              <w:rPr>
                <w:sz w:val="24"/>
                <w:szCs w:val="24"/>
              </w:rPr>
            </w:pPr>
            <w:r>
              <w:rPr>
                <w:b/>
                <w:bCs/>
                <w:sz w:val="24"/>
                <w:szCs w:val="24"/>
              </w:rPr>
              <w:t>Sociálny fond</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tcPr>
          <w:p w14:paraId="1CC54570">
            <w:pPr>
              <w:jc w:val="center"/>
              <w:rPr>
                <w:sz w:val="24"/>
                <w:szCs w:val="24"/>
              </w:rPr>
            </w:pPr>
            <w:r>
              <w:rPr>
                <w:b/>
                <w:bCs/>
                <w:sz w:val="24"/>
                <w:szCs w:val="24"/>
              </w:rPr>
              <w:t>Suma v EUR</w:t>
            </w:r>
          </w:p>
        </w:tc>
      </w:tr>
      <w:tr w14:paraId="34C8EDF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481590A">
            <w:pPr>
              <w:rPr>
                <w:sz w:val="24"/>
                <w:szCs w:val="24"/>
              </w:rPr>
            </w:pPr>
            <w:r>
              <w:rPr>
                <w:sz w:val="24"/>
                <w:szCs w:val="24"/>
              </w:rPr>
              <w:t>ZS k 1.1.2024</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63D4F18F">
            <w:pPr>
              <w:jc w:val="right"/>
              <w:rPr>
                <w:sz w:val="24"/>
                <w:szCs w:val="24"/>
              </w:rPr>
            </w:pPr>
            <w:r>
              <w:rPr>
                <w:sz w:val="24"/>
                <w:szCs w:val="24"/>
              </w:rPr>
              <w:t>363,15</w:t>
            </w:r>
          </w:p>
        </w:tc>
      </w:tr>
      <w:tr w14:paraId="52D5E5C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25479D4">
            <w:pPr>
              <w:rPr>
                <w:sz w:val="24"/>
                <w:szCs w:val="24"/>
              </w:rPr>
            </w:pPr>
            <w:r>
              <w:rPr>
                <w:sz w:val="24"/>
                <w:szCs w:val="24"/>
              </w:rPr>
              <w:t xml:space="preserve">Prírastky - povinný prídel -        %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53BF62B8">
            <w:pPr>
              <w:jc w:val="right"/>
              <w:rPr>
                <w:sz w:val="24"/>
                <w:szCs w:val="24"/>
              </w:rPr>
            </w:pPr>
            <w:r>
              <w:rPr>
                <w:sz w:val="24"/>
                <w:szCs w:val="24"/>
              </w:rPr>
              <w:t>336,62</w:t>
            </w:r>
          </w:p>
        </w:tc>
      </w:tr>
      <w:tr w14:paraId="68C0D21D">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E74BBF8">
            <w:pPr>
              <w:rPr>
                <w:sz w:val="24"/>
                <w:szCs w:val="24"/>
              </w:rPr>
            </w:pPr>
            <w:r>
              <w:rPr>
                <w:sz w:val="24"/>
                <w:szCs w:val="24"/>
              </w:rPr>
              <w:t xml:space="preserve">               - povinný prídel -        %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16033A3">
            <w:pPr>
              <w:jc w:val="right"/>
              <w:rPr>
                <w:sz w:val="24"/>
                <w:szCs w:val="24"/>
              </w:rPr>
            </w:pPr>
          </w:p>
        </w:tc>
      </w:tr>
      <w:tr w14:paraId="1E041E48">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0323B63">
            <w:pPr>
              <w:rPr>
                <w:sz w:val="24"/>
                <w:szCs w:val="24"/>
              </w:rPr>
            </w:pPr>
            <w:r>
              <w:rPr>
                <w:sz w:val="24"/>
                <w:szCs w:val="24"/>
              </w:rPr>
              <w:t xml:space="preserve">               - ostatné prírastky</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59D84199">
            <w:pPr>
              <w:jc w:val="right"/>
              <w:rPr>
                <w:sz w:val="24"/>
                <w:szCs w:val="24"/>
              </w:rPr>
            </w:pPr>
          </w:p>
        </w:tc>
      </w:tr>
      <w:tr w14:paraId="5E972550">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4F3A9FC">
            <w:pPr>
              <w:rPr>
                <w:sz w:val="24"/>
                <w:szCs w:val="24"/>
              </w:rPr>
            </w:pPr>
            <w:r>
              <w:rPr>
                <w:sz w:val="24"/>
                <w:szCs w:val="24"/>
              </w:rPr>
              <w:t xml:space="preserve">Úbytky   - závodné stravovanie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14BE8FB0">
            <w:pPr>
              <w:jc w:val="right"/>
              <w:rPr>
                <w:sz w:val="24"/>
                <w:szCs w:val="24"/>
              </w:rPr>
            </w:pPr>
          </w:p>
        </w:tc>
      </w:tr>
      <w:tr w14:paraId="13DB48A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9E943E0">
            <w:pPr>
              <w:rPr>
                <w:sz w:val="24"/>
                <w:szCs w:val="24"/>
              </w:rPr>
            </w:pPr>
            <w:r>
              <w:rPr>
                <w:sz w:val="24"/>
                <w:szCs w:val="24"/>
              </w:rPr>
              <w:t xml:space="preserve">               - regeneráciu PS, dopravu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46D169F2">
            <w:pPr>
              <w:jc w:val="right"/>
              <w:rPr>
                <w:sz w:val="24"/>
                <w:szCs w:val="24"/>
              </w:rPr>
            </w:pPr>
          </w:p>
        </w:tc>
      </w:tr>
      <w:tr w14:paraId="31A4D6FA">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7357439">
            <w:pPr>
              <w:rPr>
                <w:sz w:val="24"/>
                <w:szCs w:val="24"/>
              </w:rPr>
            </w:pPr>
            <w:r>
              <w:rPr>
                <w:sz w:val="24"/>
                <w:szCs w:val="24"/>
              </w:rPr>
              <w:t xml:space="preserve">               - dopravné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79846A87">
            <w:pPr>
              <w:jc w:val="right"/>
              <w:rPr>
                <w:sz w:val="24"/>
                <w:szCs w:val="24"/>
              </w:rPr>
            </w:pPr>
          </w:p>
        </w:tc>
      </w:tr>
      <w:tr w14:paraId="40F2C0C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892CDF8">
            <w:pPr>
              <w:rPr>
                <w:sz w:val="24"/>
                <w:szCs w:val="24"/>
              </w:rPr>
            </w:pPr>
            <w:r>
              <w:rPr>
                <w:sz w:val="24"/>
                <w:szCs w:val="24"/>
              </w:rPr>
              <w:t xml:space="preserve">               - ostatné úbytky                                               </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E06D1AB">
            <w:pPr>
              <w:jc w:val="right"/>
              <w:rPr>
                <w:sz w:val="24"/>
                <w:szCs w:val="24"/>
              </w:rPr>
            </w:pPr>
            <w:r>
              <w:rPr>
                <w:sz w:val="24"/>
                <w:szCs w:val="24"/>
              </w:rPr>
              <w:t>350,00</w:t>
            </w:r>
          </w:p>
        </w:tc>
      </w:tr>
      <w:tr w14:paraId="409D256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21"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2E93BE92">
            <w:pPr>
              <w:rPr>
                <w:sz w:val="24"/>
                <w:szCs w:val="24"/>
              </w:rPr>
            </w:pPr>
            <w:r>
              <w:rPr>
                <w:sz w:val="24"/>
                <w:szCs w:val="24"/>
              </w:rPr>
              <w:t>KZ k 31.12.2024</w:t>
            </w:r>
          </w:p>
        </w:tc>
        <w:tc>
          <w:tcPr>
            <w:tcW w:w="413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tcPr>
          <w:p w14:paraId="46BCBD76">
            <w:pPr>
              <w:jc w:val="right"/>
              <w:rPr>
                <w:sz w:val="24"/>
                <w:szCs w:val="24"/>
              </w:rPr>
            </w:pPr>
            <w:r>
              <w:rPr>
                <w:sz w:val="24"/>
                <w:szCs w:val="24"/>
              </w:rPr>
              <w:t>349,77</w:t>
            </w:r>
          </w:p>
        </w:tc>
      </w:tr>
    </w:tbl>
    <w:p w14:paraId="4A695446">
      <w:pPr>
        <w:pStyle w:val="10"/>
        <w:jc w:val="both"/>
        <w:rPr>
          <w:rFonts w:ascii="Times New Roman" w:hAnsi="Times New Roman" w:eastAsia="Calibri" w:cs="Times New Roman"/>
          <w:b/>
          <w:bCs/>
          <w:highlight w:val="lightGray"/>
        </w:rPr>
      </w:pPr>
    </w:p>
    <w:p w14:paraId="7EEE5FE3">
      <w:pPr>
        <w:pStyle w:val="10"/>
        <w:jc w:val="both"/>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rPr>
        <w:t xml:space="preserve"> </w:t>
      </w:r>
      <w:r>
        <w:rPr>
          <w:rFonts w:ascii="Times New Roman" w:hAnsi="Times New Roman" w:eastAsia="Calibri" w:cs="Times New Roman"/>
          <w:b/>
          <w:bCs/>
          <w:color w:val="000000" w:themeColor="text1"/>
          <w14:textFill>
            <w14:solidFill>
              <w14:schemeClr w14:val="tx1"/>
            </w14:solidFill>
          </w14:textFill>
        </w:rPr>
        <w:t>9.Hospodársky výsledok za rok 2023 – vývoj nákladov a výnosov</w:t>
      </w:r>
    </w:p>
    <w:tbl>
      <w:tblPr>
        <w:tblStyle w:val="18"/>
        <w:tblW w:w="0" w:type="auto"/>
        <w:tblInd w:w="0" w:type="dxa"/>
        <w:tblLayout w:type="fixed"/>
        <w:tblCellMar>
          <w:top w:w="15" w:type="dxa"/>
          <w:left w:w="15" w:type="dxa"/>
          <w:bottom w:w="15" w:type="dxa"/>
          <w:right w:w="15" w:type="dxa"/>
        </w:tblCellMar>
      </w:tblPr>
      <w:tblGrid>
        <w:gridCol w:w="3240"/>
        <w:gridCol w:w="2661"/>
        <w:gridCol w:w="2994"/>
      </w:tblGrid>
      <w:tr w14:paraId="51AD21F8">
        <w:tblPrEx>
          <w:tblCellMar>
            <w:top w:w="15" w:type="dxa"/>
            <w:left w:w="15" w:type="dxa"/>
            <w:bottom w:w="15" w:type="dxa"/>
            <w:right w:w="15" w:type="dxa"/>
          </w:tblCellMar>
        </w:tblPrEx>
        <w:tc>
          <w:tcPr>
            <w:tcW w:w="3240"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773761D3">
            <w:pPr>
              <w:pStyle w:val="10"/>
              <w:jc w:val="both"/>
              <w:rPr>
                <w:rFonts w:ascii="Times New Roman" w:hAnsi="Times New Roman" w:eastAsia="Calibri" w:cs="Times New Roman"/>
                <w:b/>
                <w:bCs/>
                <w:color w:val="000000" w:themeColor="text1"/>
                <w:highlight w:val="lightGray"/>
                <w14:textFill>
                  <w14:solidFill>
                    <w14:schemeClr w14:val="tx1"/>
                  </w14:solidFill>
                </w14:textFill>
              </w:rPr>
            </w:pPr>
            <w:r>
              <w:rPr>
                <w:rFonts w:ascii="Times New Roman" w:hAnsi="Times New Roman" w:eastAsia="Calibri" w:cs="Times New Roman"/>
                <w:color w:val="000000" w:themeColor="text1"/>
                <w:highlight w:val="lightGray"/>
                <w14:textFill>
                  <w14:solidFill>
                    <w14:schemeClr w14:val="tx1"/>
                  </w14:solidFill>
                </w14:textFill>
              </w:rPr>
              <w:t>Názov</w:t>
            </w:r>
          </w:p>
        </w:tc>
        <w:tc>
          <w:tcPr>
            <w:tcW w:w="2661"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48CFB5A7">
            <w:pPr>
              <w:pStyle w:val="10"/>
              <w:jc w:val="center"/>
              <w:rPr>
                <w:rFonts w:ascii="Times New Roman" w:hAnsi="Times New Roman" w:eastAsia="Calibri" w:cs="Times New Roman"/>
                <w:b/>
                <w:bCs/>
                <w:color w:val="000000" w:themeColor="text1"/>
                <w:highlight w:val="lightGray"/>
                <w14:textFill>
                  <w14:solidFill>
                    <w14:schemeClr w14:val="tx1"/>
                  </w14:solidFill>
                </w14:textFill>
              </w:rPr>
            </w:pPr>
            <w:r>
              <w:rPr>
                <w:rFonts w:ascii="Times New Roman" w:hAnsi="Times New Roman" w:eastAsia="Calibri" w:cs="Times New Roman"/>
                <w:b/>
                <w:bCs/>
                <w:color w:val="000000" w:themeColor="text1"/>
                <w:highlight w:val="lightGray"/>
                <w14:textFill>
                  <w14:solidFill>
                    <w14:schemeClr w14:val="tx1"/>
                  </w14:solidFill>
                </w14:textFill>
              </w:rPr>
              <w:t>Skutočnosť k 31.12.2023</w:t>
            </w:r>
          </w:p>
        </w:tc>
        <w:tc>
          <w:tcPr>
            <w:tcW w:w="2994" w:type="dxa"/>
            <w:tcBorders>
              <w:top w:val="outset" w:color="auto" w:sz="6" w:space="0"/>
              <w:left w:val="outset" w:color="auto" w:sz="6" w:space="0"/>
              <w:bottom w:val="outset" w:color="auto" w:sz="6" w:space="0"/>
              <w:right w:val="outset" w:color="auto" w:sz="6" w:space="0"/>
            </w:tcBorders>
            <w:shd w:val="clear" w:color="auto" w:fill="BEBEBE" w:themeFill="background1" w:themeFillShade="BF"/>
          </w:tcPr>
          <w:p w14:paraId="0AA64145">
            <w:pPr>
              <w:pStyle w:val="10"/>
              <w:jc w:val="center"/>
              <w:rPr>
                <w:rFonts w:ascii="Times New Roman" w:hAnsi="Times New Roman" w:eastAsia="Calibri" w:cs="Times New Roman"/>
                <w:b/>
                <w:bCs/>
                <w:color w:val="000000" w:themeColor="text1"/>
                <w:highlight w:val="lightGray"/>
                <w14:textFill>
                  <w14:solidFill>
                    <w14:schemeClr w14:val="tx1"/>
                  </w14:solidFill>
                </w14:textFill>
              </w:rPr>
            </w:pPr>
            <w:r>
              <w:rPr>
                <w:rFonts w:ascii="Times New Roman" w:hAnsi="Times New Roman" w:eastAsia="Calibri" w:cs="Times New Roman"/>
                <w:b/>
                <w:bCs/>
                <w:color w:val="000000" w:themeColor="text1"/>
                <w:highlight w:val="lightGray"/>
                <w14:textFill>
                  <w14:solidFill>
                    <w14:schemeClr w14:val="tx1"/>
                  </w14:solidFill>
                </w14:textFill>
              </w:rPr>
              <w:t>Skutočnosť k 31.12.2024</w:t>
            </w:r>
          </w:p>
        </w:tc>
      </w:tr>
      <w:tr w14:paraId="5A980AEC">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shd w:val="clear" w:color="auto" w:fill="BEBEBE" w:themeFill="background1" w:themeFillShade="BF"/>
          </w:tcPr>
          <w:p w14:paraId="2C0D2DC0">
            <w:pPr>
              <w:pStyle w:val="10"/>
              <w:jc w:val="both"/>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 xml:space="preserve">Náklady </w:t>
            </w:r>
          </w:p>
        </w:tc>
        <w:tc>
          <w:tcPr>
            <w:tcW w:w="2661" w:type="dxa"/>
            <w:tcBorders>
              <w:top w:val="nil"/>
              <w:left w:val="outset" w:color="auto" w:sz="6" w:space="0"/>
              <w:bottom w:val="outset" w:color="auto" w:sz="6" w:space="0"/>
              <w:right w:val="outset" w:color="auto" w:sz="6" w:space="0"/>
            </w:tcBorders>
            <w:shd w:val="clear" w:color="auto" w:fill="BEBEBE" w:themeFill="background1" w:themeFillShade="BF"/>
          </w:tcPr>
          <w:p w14:paraId="6403649B">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159 618,94</w:t>
            </w:r>
          </w:p>
        </w:tc>
        <w:tc>
          <w:tcPr>
            <w:tcW w:w="2994" w:type="dxa"/>
            <w:tcBorders>
              <w:top w:val="nil"/>
              <w:left w:val="outset" w:color="auto" w:sz="6" w:space="0"/>
              <w:bottom w:val="outset" w:color="auto" w:sz="6" w:space="0"/>
              <w:right w:val="outset" w:color="auto" w:sz="6" w:space="0"/>
            </w:tcBorders>
            <w:shd w:val="clear" w:color="auto" w:fill="BEBEBE" w:themeFill="background1" w:themeFillShade="BF"/>
          </w:tcPr>
          <w:p w14:paraId="27343567">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134 108,29</w:t>
            </w:r>
          </w:p>
        </w:tc>
      </w:tr>
      <w:tr w14:paraId="1F9A61BD">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1C35068F">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50 – Spotrebné nákupy</w:t>
            </w:r>
          </w:p>
        </w:tc>
        <w:tc>
          <w:tcPr>
            <w:tcW w:w="2661" w:type="dxa"/>
            <w:tcBorders>
              <w:top w:val="nil"/>
              <w:left w:val="outset" w:color="auto" w:sz="6" w:space="0"/>
              <w:bottom w:val="outset" w:color="auto" w:sz="6" w:space="0"/>
              <w:right w:val="outset" w:color="auto" w:sz="6" w:space="0"/>
            </w:tcBorders>
          </w:tcPr>
          <w:p w14:paraId="32F6CBB9">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32 690,92</w:t>
            </w:r>
          </w:p>
        </w:tc>
        <w:tc>
          <w:tcPr>
            <w:tcW w:w="2994" w:type="dxa"/>
            <w:tcBorders>
              <w:top w:val="nil"/>
              <w:left w:val="outset" w:color="auto" w:sz="6" w:space="0"/>
              <w:bottom w:val="outset" w:color="auto" w:sz="6" w:space="0"/>
              <w:right w:val="outset" w:color="auto" w:sz="6" w:space="0"/>
            </w:tcBorders>
          </w:tcPr>
          <w:p w14:paraId="205EA28A">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22 952,01</w:t>
            </w:r>
          </w:p>
        </w:tc>
      </w:tr>
      <w:tr w14:paraId="40CD5AEB">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0A40FF85">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51 – Služby</w:t>
            </w:r>
          </w:p>
        </w:tc>
        <w:tc>
          <w:tcPr>
            <w:tcW w:w="2661" w:type="dxa"/>
            <w:tcBorders>
              <w:top w:val="nil"/>
              <w:left w:val="outset" w:color="auto" w:sz="6" w:space="0"/>
              <w:bottom w:val="outset" w:color="auto" w:sz="6" w:space="0"/>
              <w:right w:val="outset" w:color="auto" w:sz="6" w:space="0"/>
            </w:tcBorders>
          </w:tcPr>
          <w:p w14:paraId="20725054">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20 550,94</w:t>
            </w:r>
          </w:p>
        </w:tc>
        <w:tc>
          <w:tcPr>
            <w:tcW w:w="2994" w:type="dxa"/>
            <w:tcBorders>
              <w:top w:val="nil"/>
              <w:left w:val="outset" w:color="auto" w:sz="6" w:space="0"/>
              <w:bottom w:val="outset" w:color="auto" w:sz="6" w:space="0"/>
              <w:right w:val="outset" w:color="auto" w:sz="6" w:space="0"/>
            </w:tcBorders>
          </w:tcPr>
          <w:p w14:paraId="742B37BB">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18 821,92</w:t>
            </w:r>
          </w:p>
        </w:tc>
      </w:tr>
      <w:tr w14:paraId="1788E974">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5FCC9D78">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52 – Osobné náklady</w:t>
            </w:r>
          </w:p>
        </w:tc>
        <w:tc>
          <w:tcPr>
            <w:tcW w:w="2661" w:type="dxa"/>
            <w:tcBorders>
              <w:top w:val="nil"/>
              <w:left w:val="outset" w:color="auto" w:sz="6" w:space="0"/>
              <w:bottom w:val="outset" w:color="auto" w:sz="6" w:space="0"/>
              <w:right w:val="outset" w:color="auto" w:sz="6" w:space="0"/>
            </w:tcBorders>
          </w:tcPr>
          <w:p w14:paraId="2736123A">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63 058,16</w:t>
            </w:r>
          </w:p>
        </w:tc>
        <w:tc>
          <w:tcPr>
            <w:tcW w:w="2994" w:type="dxa"/>
            <w:tcBorders>
              <w:top w:val="nil"/>
              <w:left w:val="outset" w:color="auto" w:sz="6" w:space="0"/>
              <w:bottom w:val="outset" w:color="auto" w:sz="6" w:space="0"/>
              <w:right w:val="outset" w:color="auto" w:sz="6" w:space="0"/>
            </w:tcBorders>
          </w:tcPr>
          <w:p w14:paraId="5FB351A9">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61 463,71</w:t>
            </w:r>
          </w:p>
        </w:tc>
      </w:tr>
      <w:tr w14:paraId="73E79F62">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6A0F745C">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53 – Dane a popl.</w:t>
            </w:r>
          </w:p>
        </w:tc>
        <w:tc>
          <w:tcPr>
            <w:tcW w:w="2661" w:type="dxa"/>
            <w:tcBorders>
              <w:top w:val="nil"/>
              <w:left w:val="outset" w:color="auto" w:sz="6" w:space="0"/>
              <w:bottom w:val="outset" w:color="auto" w:sz="6" w:space="0"/>
              <w:right w:val="outset" w:color="auto" w:sz="6" w:space="0"/>
            </w:tcBorders>
          </w:tcPr>
          <w:p w14:paraId="304E132C">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418,00</w:t>
            </w:r>
          </w:p>
        </w:tc>
        <w:tc>
          <w:tcPr>
            <w:tcW w:w="2994" w:type="dxa"/>
            <w:tcBorders>
              <w:top w:val="nil"/>
              <w:left w:val="outset" w:color="auto" w:sz="6" w:space="0"/>
              <w:bottom w:val="outset" w:color="auto" w:sz="6" w:space="0"/>
              <w:right w:val="outset" w:color="auto" w:sz="6" w:space="0"/>
            </w:tcBorders>
          </w:tcPr>
          <w:p w14:paraId="45C9F4FE">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10,00</w:t>
            </w:r>
          </w:p>
        </w:tc>
      </w:tr>
      <w:tr w14:paraId="5528F9E6">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64FA68C5">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54 – Ostatné náklady na prev.činnosť</w:t>
            </w:r>
          </w:p>
        </w:tc>
        <w:tc>
          <w:tcPr>
            <w:tcW w:w="2661" w:type="dxa"/>
            <w:tcBorders>
              <w:top w:val="nil"/>
              <w:left w:val="outset" w:color="auto" w:sz="6" w:space="0"/>
              <w:bottom w:val="outset" w:color="auto" w:sz="6" w:space="0"/>
              <w:right w:val="outset" w:color="auto" w:sz="6" w:space="0"/>
            </w:tcBorders>
          </w:tcPr>
          <w:p w14:paraId="4EE74DE8">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603,02</w:t>
            </w:r>
          </w:p>
        </w:tc>
        <w:tc>
          <w:tcPr>
            <w:tcW w:w="2994" w:type="dxa"/>
            <w:tcBorders>
              <w:top w:val="nil"/>
              <w:left w:val="outset" w:color="auto" w:sz="6" w:space="0"/>
              <w:bottom w:val="outset" w:color="auto" w:sz="6" w:space="0"/>
              <w:right w:val="outset" w:color="auto" w:sz="6" w:space="0"/>
            </w:tcBorders>
          </w:tcPr>
          <w:p w14:paraId="443F03C1">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2 797,82</w:t>
            </w:r>
          </w:p>
        </w:tc>
      </w:tr>
      <w:tr w14:paraId="5B531D8F">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70424291">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55 – Odpisy, rez. a OP, z prev.činnostia fin.činn.,časové rozl.</w:t>
            </w:r>
          </w:p>
        </w:tc>
        <w:tc>
          <w:tcPr>
            <w:tcW w:w="2661" w:type="dxa"/>
            <w:tcBorders>
              <w:top w:val="nil"/>
              <w:left w:val="outset" w:color="auto" w:sz="6" w:space="0"/>
              <w:bottom w:val="outset" w:color="auto" w:sz="6" w:space="0"/>
              <w:right w:val="outset" w:color="auto" w:sz="6" w:space="0"/>
            </w:tcBorders>
          </w:tcPr>
          <w:p w14:paraId="75E196A5">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39 137,87</w:t>
            </w:r>
          </w:p>
        </w:tc>
        <w:tc>
          <w:tcPr>
            <w:tcW w:w="2994" w:type="dxa"/>
            <w:tcBorders>
              <w:top w:val="nil"/>
              <w:left w:val="outset" w:color="auto" w:sz="6" w:space="0"/>
              <w:bottom w:val="outset" w:color="auto" w:sz="6" w:space="0"/>
              <w:right w:val="outset" w:color="auto" w:sz="6" w:space="0"/>
            </w:tcBorders>
          </w:tcPr>
          <w:p w14:paraId="3D8F5E57">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26 486,33</w:t>
            </w:r>
          </w:p>
        </w:tc>
      </w:tr>
      <w:tr w14:paraId="5CDD5E13">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470AA959">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56 – Finančné nákl.</w:t>
            </w:r>
          </w:p>
        </w:tc>
        <w:tc>
          <w:tcPr>
            <w:tcW w:w="2661" w:type="dxa"/>
            <w:tcBorders>
              <w:top w:val="nil"/>
              <w:left w:val="outset" w:color="auto" w:sz="6" w:space="0"/>
              <w:bottom w:val="outset" w:color="auto" w:sz="6" w:space="0"/>
              <w:right w:val="outset" w:color="auto" w:sz="6" w:space="0"/>
            </w:tcBorders>
          </w:tcPr>
          <w:p w14:paraId="66575A83">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2 860,03</w:t>
            </w:r>
          </w:p>
        </w:tc>
        <w:tc>
          <w:tcPr>
            <w:tcW w:w="2994" w:type="dxa"/>
            <w:tcBorders>
              <w:top w:val="nil"/>
              <w:left w:val="outset" w:color="auto" w:sz="6" w:space="0"/>
              <w:bottom w:val="outset" w:color="auto" w:sz="6" w:space="0"/>
              <w:right w:val="outset" w:color="auto" w:sz="6" w:space="0"/>
            </w:tcBorders>
          </w:tcPr>
          <w:p w14:paraId="2A1A936D">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1 476,50</w:t>
            </w:r>
          </w:p>
        </w:tc>
      </w:tr>
      <w:tr w14:paraId="6902F6AA">
        <w:tblPrEx>
          <w:tblCellMar>
            <w:top w:w="15" w:type="dxa"/>
            <w:left w:w="15" w:type="dxa"/>
            <w:bottom w:w="15" w:type="dxa"/>
            <w:right w:w="15" w:type="dxa"/>
          </w:tblCellMar>
        </w:tblPrEx>
        <w:trPr>
          <w:trHeight w:val="300" w:hRule="atLeast"/>
        </w:trPr>
        <w:tc>
          <w:tcPr>
            <w:tcW w:w="3240" w:type="dxa"/>
            <w:tcBorders>
              <w:top w:val="nil"/>
              <w:left w:val="outset" w:color="auto" w:sz="6" w:space="0"/>
              <w:bottom w:val="outset" w:color="auto" w:sz="6" w:space="0"/>
              <w:right w:val="outset" w:color="auto" w:sz="6" w:space="0"/>
            </w:tcBorders>
          </w:tcPr>
          <w:p w14:paraId="7A86EAEE">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58 – Náklady na transf.</w:t>
            </w:r>
          </w:p>
        </w:tc>
        <w:tc>
          <w:tcPr>
            <w:tcW w:w="2661" w:type="dxa"/>
            <w:tcBorders>
              <w:top w:val="nil"/>
              <w:left w:val="outset" w:color="auto" w:sz="6" w:space="0"/>
              <w:bottom w:val="outset" w:color="auto" w:sz="6" w:space="0"/>
              <w:right w:val="outset" w:color="auto" w:sz="6" w:space="0"/>
            </w:tcBorders>
          </w:tcPr>
          <w:p w14:paraId="4C115691">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300,00</w:t>
            </w:r>
          </w:p>
        </w:tc>
        <w:tc>
          <w:tcPr>
            <w:tcW w:w="2994" w:type="dxa"/>
            <w:tcBorders>
              <w:top w:val="nil"/>
              <w:left w:val="outset" w:color="auto" w:sz="6" w:space="0"/>
              <w:bottom w:val="outset" w:color="auto" w:sz="6" w:space="0"/>
              <w:right w:val="outset" w:color="auto" w:sz="6" w:space="0"/>
            </w:tcBorders>
          </w:tcPr>
          <w:p w14:paraId="7394021C">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100,00</w:t>
            </w:r>
          </w:p>
        </w:tc>
      </w:tr>
      <w:tr w14:paraId="15BDB93B">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3CC70281">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59- Daň z príjmov</w:t>
            </w:r>
          </w:p>
        </w:tc>
        <w:tc>
          <w:tcPr>
            <w:tcW w:w="2661" w:type="dxa"/>
            <w:tcBorders>
              <w:top w:val="nil"/>
              <w:left w:val="outset" w:color="auto" w:sz="6" w:space="0"/>
              <w:bottom w:val="outset" w:color="auto" w:sz="6" w:space="0"/>
              <w:right w:val="outset" w:color="auto" w:sz="6" w:space="0"/>
            </w:tcBorders>
          </w:tcPr>
          <w:p w14:paraId="579F9DF6">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c>
          <w:tcPr>
            <w:tcW w:w="2994" w:type="dxa"/>
            <w:tcBorders>
              <w:top w:val="nil"/>
              <w:left w:val="outset" w:color="auto" w:sz="6" w:space="0"/>
              <w:bottom w:val="outset" w:color="auto" w:sz="6" w:space="0"/>
              <w:right w:val="outset" w:color="auto" w:sz="6" w:space="0"/>
            </w:tcBorders>
          </w:tcPr>
          <w:p w14:paraId="0146225B">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r>
      <w:tr w14:paraId="3FB4BFD7">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shd w:val="clear" w:color="auto" w:fill="BEBEBE" w:themeFill="background1" w:themeFillShade="BF"/>
          </w:tcPr>
          <w:p w14:paraId="1E420992">
            <w:pPr>
              <w:pStyle w:val="10"/>
              <w:jc w:val="both"/>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Výnosy</w:t>
            </w:r>
          </w:p>
        </w:tc>
        <w:tc>
          <w:tcPr>
            <w:tcW w:w="2661" w:type="dxa"/>
            <w:tcBorders>
              <w:top w:val="nil"/>
              <w:left w:val="outset" w:color="auto" w:sz="6" w:space="0"/>
              <w:bottom w:val="outset" w:color="auto" w:sz="6" w:space="0"/>
              <w:right w:val="outset" w:color="auto" w:sz="6" w:space="0"/>
            </w:tcBorders>
            <w:shd w:val="clear" w:color="auto" w:fill="BEBEBE" w:themeFill="background1" w:themeFillShade="BF"/>
          </w:tcPr>
          <w:p w14:paraId="439A6907">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143 585,29</w:t>
            </w:r>
          </w:p>
        </w:tc>
        <w:tc>
          <w:tcPr>
            <w:tcW w:w="2994" w:type="dxa"/>
            <w:tcBorders>
              <w:top w:val="nil"/>
              <w:left w:val="outset" w:color="auto" w:sz="6" w:space="0"/>
              <w:bottom w:val="outset" w:color="auto" w:sz="6" w:space="0"/>
              <w:right w:val="outset" w:color="auto" w:sz="6" w:space="0"/>
            </w:tcBorders>
            <w:shd w:val="clear" w:color="auto" w:fill="BEBEBE" w:themeFill="background1" w:themeFillShade="BF"/>
          </w:tcPr>
          <w:p w14:paraId="221AB592">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128 000,53</w:t>
            </w:r>
          </w:p>
        </w:tc>
      </w:tr>
      <w:tr w14:paraId="75FF721D">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1106B14E">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60 – Tržby za vlastné výkony a tovar</w:t>
            </w:r>
          </w:p>
        </w:tc>
        <w:tc>
          <w:tcPr>
            <w:tcW w:w="2661" w:type="dxa"/>
            <w:tcBorders>
              <w:top w:val="nil"/>
              <w:left w:val="outset" w:color="auto" w:sz="6" w:space="0"/>
              <w:bottom w:val="outset" w:color="auto" w:sz="6" w:space="0"/>
              <w:right w:val="outset" w:color="auto" w:sz="6" w:space="0"/>
            </w:tcBorders>
          </w:tcPr>
          <w:p w14:paraId="2FA00FC9">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2 810,00</w:t>
            </w:r>
          </w:p>
        </w:tc>
        <w:tc>
          <w:tcPr>
            <w:tcW w:w="2994" w:type="dxa"/>
            <w:tcBorders>
              <w:top w:val="nil"/>
              <w:left w:val="outset" w:color="auto" w:sz="6" w:space="0"/>
              <w:bottom w:val="outset" w:color="auto" w:sz="6" w:space="0"/>
              <w:right w:val="outset" w:color="auto" w:sz="6" w:space="0"/>
            </w:tcBorders>
          </w:tcPr>
          <w:p w14:paraId="7E7615F5">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3 236,97</w:t>
            </w:r>
          </w:p>
        </w:tc>
      </w:tr>
      <w:tr w14:paraId="39BCEAE0">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4CA5C7BD">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61 – Zmena stavu</w:t>
            </w:r>
          </w:p>
        </w:tc>
        <w:tc>
          <w:tcPr>
            <w:tcW w:w="2661" w:type="dxa"/>
            <w:tcBorders>
              <w:top w:val="nil"/>
              <w:left w:val="outset" w:color="auto" w:sz="6" w:space="0"/>
              <w:bottom w:val="outset" w:color="auto" w:sz="6" w:space="0"/>
              <w:right w:val="outset" w:color="auto" w:sz="6" w:space="0"/>
            </w:tcBorders>
          </w:tcPr>
          <w:p w14:paraId="376ACD3D">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c>
          <w:tcPr>
            <w:tcW w:w="2994" w:type="dxa"/>
            <w:tcBorders>
              <w:top w:val="nil"/>
              <w:left w:val="outset" w:color="auto" w:sz="6" w:space="0"/>
              <w:bottom w:val="outset" w:color="auto" w:sz="6" w:space="0"/>
              <w:right w:val="outset" w:color="auto" w:sz="6" w:space="0"/>
            </w:tcBorders>
          </w:tcPr>
          <w:p w14:paraId="425EC4E6">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r>
      <w:tr w14:paraId="6AEB9A90">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2B8F5329">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62 – Aktivácia</w:t>
            </w:r>
          </w:p>
        </w:tc>
        <w:tc>
          <w:tcPr>
            <w:tcW w:w="2661" w:type="dxa"/>
            <w:tcBorders>
              <w:top w:val="nil"/>
              <w:left w:val="outset" w:color="auto" w:sz="6" w:space="0"/>
              <w:bottom w:val="outset" w:color="auto" w:sz="6" w:space="0"/>
              <w:right w:val="outset" w:color="auto" w:sz="6" w:space="0"/>
            </w:tcBorders>
          </w:tcPr>
          <w:p w14:paraId="105568B2">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c>
          <w:tcPr>
            <w:tcW w:w="2994" w:type="dxa"/>
            <w:tcBorders>
              <w:top w:val="nil"/>
              <w:left w:val="outset" w:color="auto" w:sz="6" w:space="0"/>
              <w:bottom w:val="outset" w:color="auto" w:sz="6" w:space="0"/>
              <w:right w:val="outset" w:color="auto" w:sz="6" w:space="0"/>
            </w:tcBorders>
          </w:tcPr>
          <w:p w14:paraId="3588C638">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r>
      <w:tr w14:paraId="3A82A298">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2D2BD5DB">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63 – Daň.a col.výnosy z popl.</w:t>
            </w:r>
          </w:p>
        </w:tc>
        <w:tc>
          <w:tcPr>
            <w:tcW w:w="2661" w:type="dxa"/>
            <w:tcBorders>
              <w:top w:val="nil"/>
              <w:left w:val="outset" w:color="auto" w:sz="6" w:space="0"/>
              <w:bottom w:val="outset" w:color="auto" w:sz="6" w:space="0"/>
              <w:right w:val="outset" w:color="auto" w:sz="6" w:space="0"/>
            </w:tcBorders>
          </w:tcPr>
          <w:p w14:paraId="3E788DC6">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94 490,44</w:t>
            </w:r>
          </w:p>
        </w:tc>
        <w:tc>
          <w:tcPr>
            <w:tcW w:w="2994" w:type="dxa"/>
            <w:tcBorders>
              <w:top w:val="nil"/>
              <w:left w:val="outset" w:color="auto" w:sz="6" w:space="0"/>
              <w:bottom w:val="outset" w:color="auto" w:sz="6" w:space="0"/>
              <w:right w:val="outset" w:color="auto" w:sz="6" w:space="0"/>
            </w:tcBorders>
          </w:tcPr>
          <w:p w14:paraId="03052EC3">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96 736,21</w:t>
            </w:r>
          </w:p>
        </w:tc>
      </w:tr>
      <w:tr w14:paraId="1DE9637E">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1ADB6454">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64 – Ostatné výnosy</w:t>
            </w:r>
          </w:p>
        </w:tc>
        <w:tc>
          <w:tcPr>
            <w:tcW w:w="2661" w:type="dxa"/>
            <w:tcBorders>
              <w:top w:val="nil"/>
              <w:left w:val="outset" w:color="auto" w:sz="6" w:space="0"/>
              <w:bottom w:val="outset" w:color="auto" w:sz="6" w:space="0"/>
              <w:right w:val="outset" w:color="auto" w:sz="6" w:space="0"/>
            </w:tcBorders>
          </w:tcPr>
          <w:p w14:paraId="7DE8DE6B">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4 421,46</w:t>
            </w:r>
          </w:p>
        </w:tc>
        <w:tc>
          <w:tcPr>
            <w:tcW w:w="2994" w:type="dxa"/>
            <w:tcBorders>
              <w:top w:val="nil"/>
              <w:left w:val="outset" w:color="auto" w:sz="6" w:space="0"/>
              <w:bottom w:val="outset" w:color="auto" w:sz="6" w:space="0"/>
              <w:right w:val="outset" w:color="auto" w:sz="6" w:space="0"/>
            </w:tcBorders>
          </w:tcPr>
          <w:p w14:paraId="6B08F6D1">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4 819,65</w:t>
            </w:r>
          </w:p>
        </w:tc>
      </w:tr>
      <w:tr w14:paraId="2635FD4B">
        <w:tblPrEx>
          <w:tblCellMar>
            <w:top w:w="15" w:type="dxa"/>
            <w:left w:w="15" w:type="dxa"/>
            <w:bottom w:w="15" w:type="dxa"/>
            <w:right w:w="15" w:type="dxa"/>
          </w:tblCellMar>
        </w:tblPrEx>
        <w:tc>
          <w:tcPr>
            <w:tcW w:w="3240" w:type="dxa"/>
            <w:tcBorders>
              <w:top w:val="nil"/>
              <w:left w:val="outset" w:color="auto" w:sz="6" w:space="0"/>
              <w:bottom w:val="outset" w:color="auto" w:sz="6" w:space="0"/>
              <w:right w:val="outset" w:color="auto" w:sz="6" w:space="0"/>
            </w:tcBorders>
          </w:tcPr>
          <w:p w14:paraId="1D6EB441">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65 – Zúčtov.rezer a op.polož.fina.činnosti</w:t>
            </w:r>
          </w:p>
        </w:tc>
        <w:tc>
          <w:tcPr>
            <w:tcW w:w="2661" w:type="dxa"/>
            <w:tcBorders>
              <w:top w:val="nil"/>
              <w:left w:val="outset" w:color="auto" w:sz="6" w:space="0"/>
              <w:bottom w:val="outset" w:color="auto" w:sz="6" w:space="0"/>
              <w:right w:val="outset" w:color="auto" w:sz="6" w:space="0"/>
            </w:tcBorders>
          </w:tcPr>
          <w:p w14:paraId="3658B496">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500,00</w:t>
            </w:r>
          </w:p>
        </w:tc>
        <w:tc>
          <w:tcPr>
            <w:tcW w:w="2994" w:type="dxa"/>
            <w:tcBorders>
              <w:top w:val="nil"/>
              <w:left w:val="outset" w:color="auto" w:sz="6" w:space="0"/>
              <w:bottom w:val="outset" w:color="auto" w:sz="6" w:space="0"/>
              <w:right w:val="outset" w:color="auto" w:sz="6" w:space="0"/>
            </w:tcBorders>
          </w:tcPr>
          <w:p w14:paraId="26311801">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500,0</w:t>
            </w:r>
          </w:p>
        </w:tc>
      </w:tr>
      <w:tr w14:paraId="51F66EF3">
        <w:tblPrEx>
          <w:tblCellMar>
            <w:top w:w="15" w:type="dxa"/>
            <w:left w:w="15" w:type="dxa"/>
            <w:bottom w:w="15" w:type="dxa"/>
            <w:right w:w="15" w:type="dxa"/>
          </w:tblCellMar>
        </w:tblPrEx>
        <w:tc>
          <w:tcPr>
            <w:tcW w:w="3240" w:type="dxa"/>
            <w:tcBorders>
              <w:top w:val="nil"/>
              <w:left w:val="outset" w:color="auto" w:sz="6" w:space="0"/>
              <w:bottom w:val="single" w:color="auto" w:sz="4" w:space="0"/>
              <w:right w:val="outset" w:color="auto" w:sz="6" w:space="0"/>
            </w:tcBorders>
          </w:tcPr>
          <w:p w14:paraId="14C78288">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66 – Finančné výnosy</w:t>
            </w:r>
          </w:p>
        </w:tc>
        <w:tc>
          <w:tcPr>
            <w:tcW w:w="2661" w:type="dxa"/>
            <w:tcBorders>
              <w:top w:val="nil"/>
              <w:left w:val="outset" w:color="auto" w:sz="6" w:space="0"/>
              <w:bottom w:val="single" w:color="auto" w:sz="4" w:space="0"/>
              <w:right w:val="outset" w:color="auto" w:sz="6" w:space="0"/>
            </w:tcBorders>
          </w:tcPr>
          <w:p w14:paraId="4F98B916">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c>
          <w:tcPr>
            <w:tcW w:w="2994" w:type="dxa"/>
            <w:tcBorders>
              <w:top w:val="nil"/>
              <w:left w:val="outset" w:color="auto" w:sz="6" w:space="0"/>
              <w:bottom w:val="single" w:color="auto" w:sz="4" w:space="0"/>
              <w:right w:val="outset" w:color="auto" w:sz="6" w:space="0"/>
            </w:tcBorders>
          </w:tcPr>
          <w:p w14:paraId="4D4F4C04">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r>
      <w:tr w14:paraId="264B662E">
        <w:tblPrEx>
          <w:tblCellMar>
            <w:top w:w="15" w:type="dxa"/>
            <w:left w:w="15" w:type="dxa"/>
            <w:bottom w:w="15" w:type="dxa"/>
            <w:right w:w="15" w:type="dxa"/>
          </w:tblCellMar>
        </w:tblPrEx>
        <w:tc>
          <w:tcPr>
            <w:tcW w:w="3240" w:type="dxa"/>
            <w:tcBorders>
              <w:top w:val="single" w:color="auto" w:sz="4" w:space="0"/>
              <w:left w:val="single" w:color="auto" w:sz="4" w:space="0"/>
              <w:bottom w:val="single" w:color="auto" w:sz="4" w:space="0"/>
              <w:right w:val="single" w:color="auto" w:sz="4" w:space="0"/>
            </w:tcBorders>
          </w:tcPr>
          <w:p w14:paraId="2CD5C0CC">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67 – Mimoriad.výnosy</w:t>
            </w:r>
          </w:p>
        </w:tc>
        <w:tc>
          <w:tcPr>
            <w:tcW w:w="2661" w:type="dxa"/>
            <w:tcBorders>
              <w:top w:val="single" w:color="auto" w:sz="4" w:space="0"/>
              <w:left w:val="single" w:color="auto" w:sz="4" w:space="0"/>
              <w:bottom w:val="single" w:color="auto" w:sz="4" w:space="0"/>
              <w:right w:val="single" w:color="auto" w:sz="4" w:space="0"/>
            </w:tcBorders>
          </w:tcPr>
          <w:p w14:paraId="77711DA9">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c>
          <w:tcPr>
            <w:tcW w:w="2994" w:type="dxa"/>
            <w:tcBorders>
              <w:top w:val="single" w:color="auto" w:sz="4" w:space="0"/>
              <w:left w:val="single" w:color="auto" w:sz="4" w:space="0"/>
              <w:bottom w:val="single" w:color="auto" w:sz="4" w:space="0"/>
              <w:right w:val="single" w:color="auto" w:sz="4" w:space="0"/>
            </w:tcBorders>
          </w:tcPr>
          <w:p w14:paraId="22FCA754">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0,00</w:t>
            </w:r>
          </w:p>
        </w:tc>
      </w:tr>
      <w:tr w14:paraId="23C197E9">
        <w:tblPrEx>
          <w:tblCellMar>
            <w:top w:w="15" w:type="dxa"/>
            <w:left w:w="15" w:type="dxa"/>
            <w:bottom w:w="15" w:type="dxa"/>
            <w:right w:w="15" w:type="dxa"/>
          </w:tblCellMar>
        </w:tblPrEx>
        <w:trPr>
          <w:trHeight w:val="126" w:hRule="atLeast"/>
        </w:trPr>
        <w:tc>
          <w:tcPr>
            <w:tcW w:w="3240" w:type="dxa"/>
            <w:tcBorders>
              <w:top w:val="single" w:color="auto" w:sz="4" w:space="0"/>
              <w:left w:val="single" w:color="auto" w:sz="4" w:space="0"/>
              <w:bottom w:val="single" w:color="auto" w:sz="4" w:space="0"/>
              <w:right w:val="single" w:color="auto" w:sz="4" w:space="0"/>
            </w:tcBorders>
          </w:tcPr>
          <w:p w14:paraId="05677D59">
            <w:pPr>
              <w:pStyle w:val="10"/>
              <w:jc w:val="both"/>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69 – Výnosy z tran.a rozp. Príjm.</w:t>
            </w:r>
          </w:p>
        </w:tc>
        <w:tc>
          <w:tcPr>
            <w:tcW w:w="2661" w:type="dxa"/>
            <w:tcBorders>
              <w:top w:val="single" w:color="auto" w:sz="4" w:space="0"/>
              <w:left w:val="single" w:color="auto" w:sz="4" w:space="0"/>
              <w:bottom w:val="single" w:color="auto" w:sz="4" w:space="0"/>
              <w:right w:val="single" w:color="auto" w:sz="4" w:space="0"/>
            </w:tcBorders>
          </w:tcPr>
          <w:p w14:paraId="22299430">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41 363,39</w:t>
            </w:r>
          </w:p>
        </w:tc>
        <w:tc>
          <w:tcPr>
            <w:tcW w:w="2994" w:type="dxa"/>
            <w:tcBorders>
              <w:top w:val="single" w:color="auto" w:sz="4" w:space="0"/>
              <w:left w:val="single" w:color="auto" w:sz="4" w:space="0"/>
              <w:bottom w:val="single" w:color="auto" w:sz="4" w:space="0"/>
              <w:right w:val="single" w:color="auto" w:sz="4" w:space="0"/>
            </w:tcBorders>
          </w:tcPr>
          <w:p w14:paraId="6CE0CD0E">
            <w:pPr>
              <w:pStyle w:val="10"/>
              <w:jc w:val="center"/>
              <w:rPr>
                <w:rFonts w:ascii="Times New Roman" w:hAnsi="Times New Roman" w:eastAsia="Calibri" w:cs="Times New Roman"/>
                <w:color w:val="000000" w:themeColor="text1"/>
                <w14:textFill>
                  <w14:solidFill>
                    <w14:schemeClr w14:val="tx1"/>
                  </w14:solidFill>
                </w14:textFill>
              </w:rPr>
            </w:pPr>
            <w:r>
              <w:rPr>
                <w:rFonts w:ascii="Times New Roman" w:hAnsi="Times New Roman" w:eastAsia="Calibri" w:cs="Times New Roman"/>
                <w:color w:val="000000" w:themeColor="text1"/>
                <w14:textFill>
                  <w14:solidFill>
                    <w14:schemeClr w14:val="tx1"/>
                  </w14:solidFill>
                </w14:textFill>
              </w:rPr>
              <w:t>22 707,70</w:t>
            </w:r>
          </w:p>
        </w:tc>
      </w:tr>
      <w:tr w14:paraId="12CEA8D4">
        <w:tblPrEx>
          <w:tblCellMar>
            <w:top w:w="15" w:type="dxa"/>
            <w:left w:w="15" w:type="dxa"/>
            <w:bottom w:w="15" w:type="dxa"/>
            <w:right w:w="15" w:type="dxa"/>
          </w:tblCellMar>
        </w:tblPrEx>
        <w:tc>
          <w:tcPr>
            <w:tcW w:w="3240" w:type="dxa"/>
            <w:tcBorders>
              <w:top w:val="single" w:color="auto" w:sz="4" w:space="0"/>
              <w:left w:val="single" w:color="auto" w:sz="4" w:space="0"/>
              <w:bottom w:val="single" w:color="auto" w:sz="4" w:space="0"/>
              <w:right w:val="single" w:color="auto" w:sz="4" w:space="0"/>
            </w:tcBorders>
            <w:shd w:val="clear" w:color="auto" w:fill="BEBEBE" w:themeFill="background1" w:themeFillShade="BF"/>
          </w:tcPr>
          <w:p w14:paraId="747C319F">
            <w:pPr>
              <w:pStyle w:val="10"/>
              <w:jc w:val="both"/>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Hospodársky výsledok</w:t>
            </w:r>
          </w:p>
        </w:tc>
        <w:tc>
          <w:tcPr>
            <w:tcW w:w="2661" w:type="dxa"/>
            <w:tcBorders>
              <w:top w:val="single" w:color="auto" w:sz="4" w:space="0"/>
              <w:left w:val="single" w:color="auto" w:sz="4" w:space="0"/>
              <w:bottom w:val="single" w:color="auto" w:sz="4" w:space="0"/>
              <w:right w:val="single" w:color="auto" w:sz="4" w:space="0"/>
            </w:tcBorders>
            <w:shd w:val="clear" w:color="auto" w:fill="BEBEBE" w:themeFill="background1" w:themeFillShade="BF"/>
          </w:tcPr>
          <w:p w14:paraId="31C9CEBF">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-16 033,65</w:t>
            </w:r>
          </w:p>
        </w:tc>
        <w:tc>
          <w:tcPr>
            <w:tcW w:w="2994" w:type="dxa"/>
            <w:tcBorders>
              <w:top w:val="single" w:color="auto" w:sz="4" w:space="0"/>
              <w:left w:val="single" w:color="auto" w:sz="4" w:space="0"/>
              <w:bottom w:val="single" w:color="auto" w:sz="4" w:space="0"/>
              <w:right w:val="single" w:color="auto" w:sz="4" w:space="0"/>
            </w:tcBorders>
            <w:shd w:val="clear" w:color="auto" w:fill="BEBEBE" w:themeFill="background1" w:themeFillShade="BF"/>
          </w:tcPr>
          <w:p w14:paraId="20BA47B4">
            <w:pPr>
              <w:pStyle w:val="10"/>
              <w:jc w:val="center"/>
              <w:rPr>
                <w:rFonts w:ascii="Times New Roman" w:hAnsi="Times New Roman" w:eastAsia="Calibri" w:cs="Times New Roman"/>
                <w:b/>
                <w:bCs/>
                <w:color w:val="000000" w:themeColor="text1"/>
                <w14:textFill>
                  <w14:solidFill>
                    <w14:schemeClr w14:val="tx1"/>
                  </w14:solidFill>
                </w14:textFill>
              </w:rPr>
            </w:pPr>
            <w:r>
              <w:rPr>
                <w:rFonts w:ascii="Times New Roman" w:hAnsi="Times New Roman" w:eastAsia="Calibri" w:cs="Times New Roman"/>
                <w:b/>
                <w:bCs/>
                <w:color w:val="000000" w:themeColor="text1"/>
                <w14:textFill>
                  <w14:solidFill>
                    <w14:schemeClr w14:val="tx1"/>
                  </w14:solidFill>
                </w14:textFill>
              </w:rPr>
              <w:t>-6 107,76</w:t>
            </w:r>
          </w:p>
        </w:tc>
      </w:tr>
    </w:tbl>
    <w:p w14:paraId="29E22490">
      <w:pPr>
        <w:pStyle w:val="10"/>
        <w:spacing w:line="360" w:lineRule="auto"/>
        <w:jc w:val="both"/>
        <w:rPr>
          <w:rFonts w:ascii="Times New Roman" w:hAnsi="Times New Roman" w:eastAsia="Calibri" w:cs="Times New Roman"/>
          <w:color w:val="auto"/>
        </w:rPr>
      </w:pPr>
      <w:r>
        <w:rPr>
          <w:rFonts w:ascii="Times New Roman" w:hAnsi="Times New Roman" w:eastAsia="Calibri" w:cs="Times New Roman"/>
          <w:color w:val="auto"/>
        </w:rPr>
        <w:t xml:space="preserve">Záporný hospodársky  výsledok v sume </w:t>
      </w:r>
      <w:r>
        <w:rPr>
          <w:rFonts w:ascii="Times New Roman" w:hAnsi="Times New Roman" w:eastAsia="Calibri" w:cs="Times New Roman"/>
          <w:b/>
          <w:bCs/>
          <w:color w:val="auto"/>
        </w:rPr>
        <w:t>-6 107,76</w:t>
      </w:r>
      <w:r>
        <w:rPr>
          <w:rFonts w:ascii="Times New Roman" w:hAnsi="Times New Roman" w:eastAsia="Calibri" w:cs="Times New Roman"/>
          <w:color w:val="auto"/>
        </w:rPr>
        <w:t xml:space="preserve"> EUR bol zaúčtovaný  na účet 428 – nevysporiadaný  VH minulých rokov.</w:t>
      </w:r>
      <w:bookmarkStart w:id="0" w:name="_GoBack"/>
      <w:bookmarkEnd w:id="0"/>
    </w:p>
    <w:p w14:paraId="3851FEF6">
      <w:pPr>
        <w:pStyle w:val="10"/>
        <w:spacing w:line="360" w:lineRule="auto"/>
        <w:jc w:val="both"/>
        <w:rPr>
          <w:rFonts w:ascii="Times New Roman" w:hAnsi="Times New Roman" w:eastAsia="Calibri" w:cs="Times New Roman"/>
        </w:rPr>
      </w:pPr>
      <w:r>
        <w:rPr>
          <w:rFonts w:ascii="Times New Roman" w:hAnsi="Times New Roman" w:eastAsia="Calibri" w:cs="Times New Roman"/>
          <w:b/>
          <w:bCs/>
        </w:rPr>
        <w:t xml:space="preserve">Prijaté dotácie </w:t>
      </w:r>
    </w:p>
    <w:tbl>
      <w:tblPr>
        <w:tblStyle w:val="3"/>
        <w:tblW w:w="9060" w:type="dxa"/>
        <w:tblInd w:w="105"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108" w:type="dxa"/>
          <w:bottom w:w="0" w:type="dxa"/>
          <w:right w:w="108" w:type="dxa"/>
        </w:tblCellMar>
      </w:tblPr>
      <w:tblGrid>
        <w:gridCol w:w="1425"/>
        <w:gridCol w:w="3619"/>
        <w:gridCol w:w="1412"/>
        <w:gridCol w:w="1412"/>
        <w:gridCol w:w="1192"/>
      </w:tblGrid>
      <w:tr w14:paraId="2989094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434E1CBF">
            <w:pPr>
              <w:rPr>
                <w:color w:val="000000" w:themeColor="text1"/>
                <w14:textFill>
                  <w14:solidFill>
                    <w14:schemeClr w14:val="tx1"/>
                  </w14:solidFill>
                </w14:textFill>
              </w:rPr>
            </w:pPr>
            <w:r>
              <w:rPr>
                <w:b/>
                <w:bCs/>
                <w:color w:val="000000" w:themeColor="text1"/>
                <w14:textFill>
                  <w14:solidFill>
                    <w14:schemeClr w14:val="tx1"/>
                  </w14:solidFill>
                </w14:textFill>
              </w:rPr>
              <w:t xml:space="preserve">Poskytovateľ </w:t>
            </w:r>
          </w:p>
          <w:p w14:paraId="7D4B42C3">
            <w:pPr>
              <w:rPr>
                <w:color w:val="000000" w:themeColor="text1"/>
                <w14:textFill>
                  <w14:solidFill>
                    <w14:schemeClr w14:val="tx1"/>
                  </w14:solidFill>
                </w14:textFill>
              </w:rPr>
            </w:pPr>
          </w:p>
          <w:p w14:paraId="6CE043E2">
            <w:pPr>
              <w:rPr>
                <w:color w:val="000000" w:themeColor="text1"/>
                <w14:textFill>
                  <w14:solidFill>
                    <w14:schemeClr w14:val="tx1"/>
                  </w14:solidFill>
                </w14:textFill>
              </w:rPr>
            </w:pPr>
          </w:p>
          <w:p w14:paraId="70FF4881">
            <w:pPr>
              <w:rPr>
                <w:color w:val="000000" w:themeColor="text1"/>
                <w14:textFill>
                  <w14:solidFill>
                    <w14:schemeClr w14:val="tx1"/>
                  </w14:solidFill>
                </w14:textFill>
              </w:rPr>
            </w:pPr>
            <w:r>
              <w:rPr>
                <w:b/>
                <w:bCs/>
                <w:color w:val="000000" w:themeColor="text1"/>
                <w14:textFill>
                  <w14:solidFill>
                    <w14:schemeClr w14:val="tx1"/>
                  </w14:solidFill>
                </w14:textFill>
              </w:rPr>
              <w:t xml:space="preserve">   </w:t>
            </w:r>
          </w:p>
          <w:p w14:paraId="2E4C006B">
            <w:pPr>
              <w:rPr>
                <w:color w:val="000000" w:themeColor="text1"/>
                <w14:textFill>
                  <w14:solidFill>
                    <w14:schemeClr w14:val="tx1"/>
                  </w14:solidFill>
                </w14:textFill>
              </w:rPr>
            </w:pPr>
            <w:r>
              <w:rPr>
                <w:b/>
                <w:bCs/>
                <w:color w:val="000000" w:themeColor="text1"/>
                <w14:textFill>
                  <w14:solidFill>
                    <w14:schemeClr w14:val="tx1"/>
                  </w14:solidFill>
                </w14:textFill>
              </w:rPr>
              <w:t xml:space="preserve">        - 1 -</w:t>
            </w:r>
          </w:p>
        </w:tc>
        <w:tc>
          <w:tcPr>
            <w:tcW w:w="3619"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2BE1FEBB">
            <w:pPr>
              <w:rPr>
                <w:color w:val="000000" w:themeColor="text1"/>
                <w14:textFill>
                  <w14:solidFill>
                    <w14:schemeClr w14:val="tx1"/>
                  </w14:solidFill>
                </w14:textFill>
              </w:rPr>
            </w:pPr>
            <w:r>
              <w:rPr>
                <w:b/>
                <w:bCs/>
                <w:color w:val="000000" w:themeColor="text1"/>
                <w14:textFill>
                  <w14:solidFill>
                    <w14:schemeClr w14:val="tx1"/>
                  </w14:solidFill>
                </w14:textFill>
              </w:rPr>
              <w:t xml:space="preserve">Účelové určenie grantu, transferu uviesť : školstvo, matrika, .... </w:t>
            </w:r>
          </w:p>
          <w:p w14:paraId="48DBF2BC">
            <w:pPr>
              <w:rPr>
                <w:color w:val="000000" w:themeColor="text1"/>
                <w14:textFill>
                  <w14:solidFill>
                    <w14:schemeClr w14:val="tx1"/>
                  </w14:solidFill>
                </w14:textFill>
              </w:rPr>
            </w:pPr>
            <w:r>
              <w:rPr>
                <w:b/>
                <w:bCs/>
                <w:color w:val="000000" w:themeColor="text1"/>
                <w14:textFill>
                  <w14:solidFill>
                    <w14:schemeClr w14:val="tx1"/>
                  </w14:solidFill>
                </w14:textFill>
              </w:rPr>
              <w:t>- bežné výdavky</w:t>
            </w:r>
          </w:p>
          <w:p w14:paraId="41260283">
            <w:pPr>
              <w:rPr>
                <w:color w:val="000000" w:themeColor="text1"/>
                <w14:textFill>
                  <w14:solidFill>
                    <w14:schemeClr w14:val="tx1"/>
                  </w14:solidFill>
                </w14:textFill>
              </w:rPr>
            </w:pPr>
            <w:r>
              <w:rPr>
                <w:b/>
                <w:bCs/>
                <w:color w:val="000000" w:themeColor="text1"/>
                <w14:textFill>
                  <w14:solidFill>
                    <w14:schemeClr w14:val="tx1"/>
                  </w14:solidFill>
                </w14:textFill>
              </w:rPr>
              <w:t>- kapitálové výdavky</w:t>
            </w:r>
          </w:p>
          <w:p w14:paraId="303C3DD6">
            <w:pPr>
              <w:jc w:val="center"/>
              <w:rPr>
                <w:color w:val="000000" w:themeColor="text1"/>
                <w14:textFill>
                  <w14:solidFill>
                    <w14:schemeClr w14:val="tx1"/>
                  </w14:solidFill>
                </w14:textFill>
              </w:rPr>
            </w:pPr>
            <w:r>
              <w:rPr>
                <w:b/>
                <w:bCs/>
                <w:color w:val="000000" w:themeColor="text1"/>
                <w14:textFill>
                  <w14:solidFill>
                    <w14:schemeClr w14:val="tx1"/>
                  </w14:solidFill>
                </w14:textFill>
              </w:rPr>
              <w:t>- 2 -</w:t>
            </w:r>
          </w:p>
        </w:tc>
        <w:tc>
          <w:tcPr>
            <w:tcW w:w="1412"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4B91A79B">
            <w:pPr>
              <w:rPr>
                <w:color w:val="000000" w:themeColor="text1"/>
                <w14:textFill>
                  <w14:solidFill>
                    <w14:schemeClr w14:val="tx1"/>
                  </w14:solidFill>
                </w14:textFill>
              </w:rPr>
            </w:pPr>
            <w:r>
              <w:rPr>
                <w:b/>
                <w:bCs/>
                <w:color w:val="000000" w:themeColor="text1"/>
                <w14:textFill>
                  <w14:solidFill>
                    <w14:schemeClr w14:val="tx1"/>
                  </w14:solidFill>
                </w14:textFill>
              </w:rPr>
              <w:t>Suma  poskytnutých</w:t>
            </w:r>
          </w:p>
          <w:p w14:paraId="50117422">
            <w:pPr>
              <w:rPr>
                <w:color w:val="000000" w:themeColor="text1"/>
                <w14:textFill>
                  <w14:solidFill>
                    <w14:schemeClr w14:val="tx1"/>
                  </w14:solidFill>
                </w14:textFill>
              </w:rPr>
            </w:pPr>
            <w:r>
              <w:rPr>
                <w:b/>
                <w:bCs/>
                <w:color w:val="000000" w:themeColor="text1"/>
                <w14:textFill>
                  <w14:solidFill>
                    <w14:schemeClr w14:val="tx1"/>
                  </w14:solidFill>
                </w14:textFill>
              </w:rPr>
              <w:t xml:space="preserve">finančných prostriedkov </w:t>
            </w:r>
          </w:p>
          <w:p w14:paraId="57E2F2B5">
            <w:pPr>
              <w:jc w:val="center"/>
              <w:rPr>
                <w:color w:val="000000" w:themeColor="text1"/>
                <w14:textFill>
                  <w14:solidFill>
                    <w14:schemeClr w14:val="tx1"/>
                  </w14:solidFill>
                </w14:textFill>
              </w:rPr>
            </w:pPr>
            <w:r>
              <w:rPr>
                <w:b/>
                <w:bCs/>
                <w:color w:val="000000" w:themeColor="text1"/>
                <w14:textFill>
                  <w14:solidFill>
                    <w14:schemeClr w14:val="tx1"/>
                  </w14:solidFill>
                </w14:textFill>
              </w:rPr>
              <w:t>- 3 -</w:t>
            </w:r>
          </w:p>
        </w:tc>
        <w:tc>
          <w:tcPr>
            <w:tcW w:w="1412" w:type="dxa"/>
            <w:tcBorders>
              <w:top w:val="single" w:color="000000" w:themeColor="text1" w:sz="6" w:space="0"/>
              <w:left w:val="single" w:color="000000" w:themeColor="text1" w:sz="6" w:space="0"/>
              <w:bottom w:val="single" w:color="000000" w:themeColor="text1" w:sz="6" w:space="0"/>
            </w:tcBorders>
            <w:shd w:val="clear" w:color="auto" w:fill="D8D8D8" w:themeFill="background1" w:themeFillShade="D9"/>
            <w:tcMar>
              <w:left w:w="105" w:type="dxa"/>
              <w:right w:w="105" w:type="dxa"/>
            </w:tcMar>
          </w:tcPr>
          <w:p w14:paraId="2E499729">
            <w:pPr>
              <w:rPr>
                <w:color w:val="000000" w:themeColor="text1"/>
                <w14:textFill>
                  <w14:solidFill>
                    <w14:schemeClr w14:val="tx1"/>
                  </w14:solidFill>
                </w14:textFill>
              </w:rPr>
            </w:pPr>
            <w:r>
              <w:rPr>
                <w:b/>
                <w:bCs/>
                <w:color w:val="000000" w:themeColor="text1"/>
                <w14:textFill>
                  <w14:solidFill>
                    <w14:schemeClr w14:val="tx1"/>
                  </w14:solidFill>
                </w14:textFill>
              </w:rPr>
              <w:t xml:space="preserve">Suma skutočne použitých finančných prostriedkov  </w:t>
            </w:r>
          </w:p>
          <w:p w14:paraId="6C924BC5">
            <w:pPr>
              <w:jc w:val="center"/>
              <w:rPr>
                <w:color w:val="000000" w:themeColor="text1"/>
                <w14:textFill>
                  <w14:solidFill>
                    <w14:schemeClr w14:val="tx1"/>
                  </w14:solidFill>
                </w14:textFill>
              </w:rPr>
            </w:pPr>
            <w:r>
              <w:rPr>
                <w:b/>
                <w:bCs/>
                <w:color w:val="000000" w:themeColor="text1"/>
                <w14:textFill>
                  <w14:solidFill>
                    <w14:schemeClr w14:val="tx1"/>
                  </w14:solidFill>
                </w14:textFill>
              </w:rPr>
              <w:t>- 4 -</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hemeFill="background1" w:themeFillShade="D9"/>
            <w:tcMar>
              <w:left w:w="105" w:type="dxa"/>
              <w:right w:w="105" w:type="dxa"/>
            </w:tcMar>
          </w:tcPr>
          <w:p w14:paraId="1043B4F0">
            <w:pPr>
              <w:rPr>
                <w:color w:val="000000" w:themeColor="text1"/>
                <w14:textFill>
                  <w14:solidFill>
                    <w14:schemeClr w14:val="tx1"/>
                  </w14:solidFill>
                </w14:textFill>
              </w:rPr>
            </w:pPr>
            <w:r>
              <w:rPr>
                <w:b/>
                <w:bCs/>
                <w:color w:val="000000" w:themeColor="text1"/>
                <w14:textFill>
                  <w14:solidFill>
                    <w14:schemeClr w14:val="tx1"/>
                  </w14:solidFill>
                </w14:textFill>
              </w:rPr>
              <w:t>Rozdiel</w:t>
            </w:r>
          </w:p>
          <w:p w14:paraId="062C95CA">
            <w:pPr>
              <w:rPr>
                <w:color w:val="000000" w:themeColor="text1"/>
                <w14:textFill>
                  <w14:solidFill>
                    <w14:schemeClr w14:val="tx1"/>
                  </w14:solidFill>
                </w14:textFill>
              </w:rPr>
            </w:pPr>
            <w:r>
              <w:rPr>
                <w:b/>
                <w:bCs/>
                <w:color w:val="000000" w:themeColor="text1"/>
                <w14:textFill>
                  <w14:solidFill>
                    <w14:schemeClr w14:val="tx1"/>
                  </w14:solidFill>
                </w14:textFill>
              </w:rPr>
              <w:t>(stĺ.3 - stĺ.4 )</w:t>
            </w:r>
          </w:p>
          <w:p w14:paraId="6F7E0914">
            <w:pPr>
              <w:rPr>
                <w:color w:val="000000" w:themeColor="text1"/>
                <w14:textFill>
                  <w14:solidFill>
                    <w14:schemeClr w14:val="tx1"/>
                  </w14:solidFill>
                </w14:textFill>
              </w:rPr>
            </w:pPr>
          </w:p>
          <w:p w14:paraId="1F9B9C9B">
            <w:pPr>
              <w:rPr>
                <w:color w:val="000000" w:themeColor="text1"/>
                <w14:textFill>
                  <w14:solidFill>
                    <w14:schemeClr w14:val="tx1"/>
                  </w14:solidFill>
                </w14:textFill>
              </w:rPr>
            </w:pPr>
          </w:p>
          <w:p w14:paraId="1CA3BF9A">
            <w:pPr>
              <w:jc w:val="center"/>
              <w:rPr>
                <w:color w:val="000000" w:themeColor="text1"/>
                <w14:textFill>
                  <w14:solidFill>
                    <w14:schemeClr w14:val="tx1"/>
                  </w14:solidFill>
                </w14:textFill>
              </w:rPr>
            </w:pPr>
            <w:r>
              <w:rPr>
                <w:b/>
                <w:bCs/>
                <w:color w:val="000000" w:themeColor="text1"/>
                <w14:textFill>
                  <w14:solidFill>
                    <w14:schemeClr w14:val="tx1"/>
                  </w14:solidFill>
                </w14:textFill>
              </w:rPr>
              <w:t>- 5 -</w:t>
            </w:r>
          </w:p>
        </w:tc>
      </w:tr>
      <w:tr w14:paraId="3391E445">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7361E6F1">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DPO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9CEC7D0">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Dotácia DHZ</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01B087FA">
            <w:pPr>
              <w:tabs>
                <w:tab w:val="decimal" w:pos="883"/>
              </w:tabs>
              <w:jc w:val="cente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3 000,00</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vAlign w:val="center"/>
          </w:tcPr>
          <w:p w14:paraId="50B7F2EC">
            <w:pPr>
              <w:tabs>
                <w:tab w:val="decimal" w:pos="883"/>
              </w:tabs>
              <w:jc w:val="cente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3 000,00</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508C400">
            <w:pPr>
              <w:jc w:val="righ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04E8DCC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82F5757">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MF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0720595">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Voľby do EP</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C068FA0">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1 148,92</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B490494">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1 148,92</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2141FFC">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65757463">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73013AE">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MV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67CA053">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Voľby prezidenta</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9EC30BC">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2 058,07</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18034D8">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2 058,07</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2E9E9E8D">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169C03EE">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DE4541D">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MV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3098308A">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Energošeky</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4294660">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49,14</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500180E">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49,14</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02F469A2">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0FE68CA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76242955">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MV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039AACFA">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REGOB</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FC56998">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89,76</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8F7BBD7">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89,76</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5EE5E1C9">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601989C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9403482">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MV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4D52DAFE">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Register adries</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BE2FABF">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21,20</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140D60A1">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21,20</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369AEB4C">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r w14:paraId="18AD40EF">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42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51A0F360">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MV SR</w:t>
            </w:r>
          </w:p>
        </w:tc>
        <w:tc>
          <w:tcPr>
            <w:tcW w:w="3619"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D0A3E8A">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Starostlivosť o ŽP</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295753E5">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142,27</w:t>
            </w:r>
          </w:p>
        </w:tc>
        <w:tc>
          <w:tcPr>
            <w:tcW w:w="1412"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14:paraId="6E017CA2">
            <w:pPr>
              <w:tabs>
                <w:tab w:val="decimal" w:pos="883"/>
              </w:tabs>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142,27</w:t>
            </w:r>
          </w:p>
        </w:tc>
        <w:tc>
          <w:tcPr>
            <w:tcW w:w="119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14:paraId="79904DBA">
            <w:pP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0,00</w:t>
            </w:r>
          </w:p>
        </w:tc>
      </w:tr>
    </w:tbl>
    <w:p w14:paraId="2A3F7BD9">
      <w:pPr>
        <w:pStyle w:val="10"/>
        <w:spacing w:line="360" w:lineRule="auto"/>
        <w:jc w:val="both"/>
        <w:rPr>
          <w:rFonts w:ascii="Times New Roman" w:hAnsi="Times New Roman" w:eastAsia="Calibri" w:cs="Times New Roman"/>
          <w:b/>
          <w:bCs/>
        </w:rPr>
      </w:pPr>
    </w:p>
    <w:p w14:paraId="48E34938">
      <w:pPr>
        <w:pStyle w:val="10"/>
        <w:spacing w:line="360" w:lineRule="auto"/>
        <w:jc w:val="both"/>
        <w:rPr>
          <w:rFonts w:ascii="Times New Roman" w:hAnsi="Times New Roman" w:eastAsia="Calibri" w:cs="Times New Roman"/>
          <w:b/>
          <w:bCs/>
        </w:rPr>
      </w:pPr>
    </w:p>
    <w:p w14:paraId="2A56EE2E">
      <w:pPr>
        <w:pStyle w:val="10"/>
        <w:spacing w:line="360" w:lineRule="auto"/>
        <w:jc w:val="both"/>
        <w:rPr>
          <w:rFonts w:ascii="Times New Roman" w:hAnsi="Times New Roman" w:eastAsia="Calibri" w:cs="Times New Roman"/>
          <w:b/>
          <w:bCs/>
        </w:rPr>
      </w:pPr>
      <w:r>
        <w:rPr>
          <w:rFonts w:ascii="Times New Roman" w:hAnsi="Times New Roman" w:eastAsia="Calibri" w:cs="Times New Roman"/>
          <w:b/>
          <w:bCs/>
        </w:rPr>
        <w:t>10.Ostatné dôležité informácie</w:t>
      </w:r>
    </w:p>
    <w:p w14:paraId="47BDF30C">
      <w:pPr>
        <w:pStyle w:val="10"/>
        <w:jc w:val="both"/>
        <w:rPr>
          <w:rFonts w:ascii="Times New Roman" w:hAnsi="Times New Roman" w:eastAsia="Calibri" w:cs="Times New Roman"/>
          <w:b/>
          <w:bCs/>
        </w:rPr>
      </w:pPr>
      <w:r>
        <w:rPr>
          <w:rFonts w:ascii="Times New Roman" w:hAnsi="Times New Roman" w:eastAsia="Calibri" w:cs="Times New Roman"/>
          <w:b/>
          <w:bCs/>
        </w:rPr>
        <w:t>10.1.Prijaté granty a transfery</w:t>
      </w:r>
    </w:p>
    <w:p w14:paraId="716FDD87">
      <w:pPr>
        <w:pStyle w:val="10"/>
        <w:jc w:val="both"/>
        <w:rPr>
          <w:rFonts w:ascii="Times New Roman" w:hAnsi="Times New Roman" w:eastAsia="Calibri" w:cs="Times New Roman"/>
          <w:b/>
          <w:bCs/>
        </w:rPr>
      </w:pPr>
      <w:r>
        <w:rPr>
          <w:rFonts w:ascii="Times New Roman" w:hAnsi="Times New Roman" w:eastAsia="Calibri" w:cs="Times New Roman"/>
          <w:b/>
          <w:bCs/>
        </w:rPr>
        <w:t>10.2.Poskytnutie  dotácie</w:t>
      </w:r>
    </w:p>
    <w:p w14:paraId="4D0590B3">
      <w:pPr>
        <w:pStyle w:val="10"/>
        <w:jc w:val="both"/>
        <w:rPr>
          <w:rFonts w:ascii="Times New Roman" w:hAnsi="Times New Roman" w:eastAsia="Calibri" w:cs="Times New Roman"/>
        </w:rPr>
      </w:pPr>
      <w:r>
        <w:rPr>
          <w:rFonts w:ascii="Times New Roman" w:hAnsi="Times New Roman" w:eastAsia="Calibri" w:cs="Times New Roman"/>
        </w:rPr>
        <w:t xml:space="preserve">Obec Hendrichovce v roku 2024 neposkytla zo svojho rozpočtu žiadne dotácie. </w:t>
      </w:r>
    </w:p>
    <w:p w14:paraId="1ABD40F3">
      <w:pPr>
        <w:pStyle w:val="10"/>
        <w:jc w:val="both"/>
        <w:rPr>
          <w:rFonts w:ascii="Times New Roman" w:hAnsi="Times New Roman" w:eastAsia="Calibri" w:cs="Times New Roman"/>
          <w:b/>
          <w:bCs/>
        </w:rPr>
      </w:pPr>
      <w:r>
        <w:rPr>
          <w:rFonts w:ascii="Times New Roman" w:hAnsi="Times New Roman" w:eastAsia="Calibri" w:cs="Times New Roman"/>
          <w:b/>
          <w:bCs/>
        </w:rPr>
        <w:t>10.3.Významné investičné akcie v roku 2024</w:t>
      </w:r>
    </w:p>
    <w:p w14:paraId="2D572937">
      <w:pPr>
        <w:pStyle w:val="10"/>
        <w:jc w:val="both"/>
        <w:rPr>
          <w:rFonts w:ascii="Times New Roman" w:hAnsi="Times New Roman" w:eastAsia="Calibri" w:cs="Times New Roman"/>
          <w:b/>
          <w:bCs/>
        </w:rPr>
      </w:pPr>
      <w:r>
        <w:rPr>
          <w:rFonts w:ascii="Times New Roman" w:hAnsi="Times New Roman" w:eastAsia="Calibri" w:cs="Times New Roman"/>
          <w:b/>
          <w:bCs/>
        </w:rPr>
        <w:t xml:space="preserve">10.4.Predpokladaný budúci vývoj činnosti </w:t>
      </w:r>
    </w:p>
    <w:p w14:paraId="6E3F5E06">
      <w:pPr>
        <w:pStyle w:val="10"/>
        <w:jc w:val="both"/>
        <w:rPr>
          <w:rFonts w:ascii="Times New Roman" w:hAnsi="Times New Roman" w:eastAsia="Calibri" w:cs="Times New Roman"/>
          <w:b/>
          <w:bCs/>
        </w:rPr>
      </w:pPr>
      <w:r>
        <w:rPr>
          <w:rFonts w:ascii="Times New Roman" w:hAnsi="Times New Roman" w:eastAsia="Calibri" w:cs="Times New Roman"/>
          <w:b/>
          <w:bCs/>
        </w:rPr>
        <w:t>10.5.Udalosti osobitného významu po skončení účtovného obdobia</w:t>
      </w:r>
    </w:p>
    <w:p w14:paraId="46030B17">
      <w:pPr>
        <w:pStyle w:val="10"/>
        <w:jc w:val="both"/>
        <w:rPr>
          <w:rFonts w:ascii="Times New Roman" w:hAnsi="Times New Roman" w:eastAsia="Calibri" w:cs="Times New Roman"/>
        </w:rPr>
      </w:pPr>
      <w:r>
        <w:rPr>
          <w:rFonts w:ascii="Times New Roman" w:hAnsi="Times New Roman" w:eastAsia="Calibri" w:cs="Times New Roman"/>
        </w:rPr>
        <w:t>Obec nezaznamenala žiadne udalosti osobitného významu po skončení účtovného obdobia</w:t>
      </w:r>
    </w:p>
    <w:p w14:paraId="382FD018">
      <w:pPr>
        <w:pStyle w:val="10"/>
        <w:jc w:val="both"/>
        <w:rPr>
          <w:rFonts w:ascii="Times New Roman" w:hAnsi="Times New Roman" w:eastAsia="Calibri" w:cs="Times New Roman"/>
          <w:b/>
          <w:bCs/>
        </w:rPr>
      </w:pPr>
      <w:r>
        <w:rPr>
          <w:rFonts w:ascii="Times New Roman" w:hAnsi="Times New Roman" w:eastAsia="Calibri" w:cs="Times New Roman"/>
          <w:b/>
          <w:bCs/>
        </w:rPr>
        <w:t xml:space="preserve">10.6.Významné riziká a neistoty, ktorým je účtovná jednotka vystavená </w:t>
      </w:r>
    </w:p>
    <w:p w14:paraId="02C5A95B">
      <w:pPr>
        <w:pStyle w:val="10"/>
        <w:jc w:val="both"/>
        <w:rPr>
          <w:rFonts w:ascii="Times New Roman" w:hAnsi="Times New Roman" w:eastAsia="Calibri" w:cs="Times New Roman"/>
        </w:rPr>
      </w:pPr>
      <w:r>
        <w:rPr>
          <w:rFonts w:ascii="Times New Roman" w:hAnsi="Times New Roman" w:eastAsia="Calibri" w:cs="Times New Roman"/>
        </w:rPr>
        <w:t>Obec nevedie žiadny súdny spor.</w:t>
      </w:r>
    </w:p>
    <w:p w14:paraId="463F29E8">
      <w:pPr>
        <w:pStyle w:val="10"/>
        <w:jc w:val="both"/>
        <w:rPr>
          <w:rFonts w:ascii="Times New Roman" w:hAnsi="Times New Roman" w:eastAsia="Calibri" w:cs="Times New Roman"/>
        </w:rPr>
      </w:pPr>
    </w:p>
    <w:p w14:paraId="5630AD66">
      <w:pPr>
        <w:pStyle w:val="10"/>
        <w:jc w:val="both"/>
        <w:rPr>
          <w:rFonts w:ascii="Times New Roman" w:hAnsi="Times New Roman" w:eastAsia="Calibri" w:cs="Times New Roman"/>
        </w:rPr>
      </w:pPr>
    </w:p>
    <w:p w14:paraId="61829076">
      <w:pPr>
        <w:pStyle w:val="10"/>
        <w:jc w:val="both"/>
        <w:rPr>
          <w:rFonts w:ascii="Times New Roman" w:hAnsi="Times New Roman" w:eastAsia="Calibri" w:cs="Times New Roman"/>
        </w:rPr>
      </w:pPr>
    </w:p>
    <w:p w14:paraId="5A1FAE9B">
      <w:pPr>
        <w:pStyle w:val="10"/>
        <w:jc w:val="right"/>
        <w:rPr>
          <w:rFonts w:ascii="Times New Roman" w:hAnsi="Times New Roman" w:eastAsia="Calibri" w:cs="Times New Roman"/>
        </w:rPr>
      </w:pPr>
      <w:r>
        <w:rPr>
          <w:rFonts w:ascii="Times New Roman" w:hAnsi="Times New Roman" w:eastAsia="Calibri" w:cs="Times New Roman"/>
        </w:rPr>
        <w:t xml:space="preserve">Schválil:  Martin Martaus </w:t>
      </w:r>
    </w:p>
    <w:p w14:paraId="24919A7E">
      <w:pPr>
        <w:pStyle w:val="10"/>
        <w:jc w:val="both"/>
        <w:rPr>
          <w:rFonts w:ascii="Times New Roman" w:hAnsi="Times New Roman" w:eastAsia="Calibri" w:cs="Times New Roman"/>
        </w:rPr>
      </w:pPr>
      <w:r>
        <w:rPr>
          <w:rFonts w:ascii="Times New Roman" w:hAnsi="Times New Roman" w:eastAsia="Calibri" w:cs="Times New Roman"/>
        </w:rPr>
        <w:t xml:space="preserve">                                                                                                                      Starosta obce</w:t>
      </w:r>
    </w:p>
    <w:p w14:paraId="074597FA">
      <w:pPr>
        <w:pStyle w:val="10"/>
        <w:jc w:val="both"/>
        <w:rPr>
          <w:rFonts w:ascii="Times New Roman" w:hAnsi="Times New Roman" w:eastAsia="Calibri" w:cs="Times New Roman"/>
        </w:rPr>
      </w:pPr>
      <w:r>
        <w:rPr>
          <w:rFonts w:ascii="Times New Roman" w:hAnsi="Times New Roman" w:eastAsia="Calibri" w:cs="Times New Roman"/>
        </w:rPr>
        <w:t xml:space="preserve">V Hendrichovciach dňa :   </w:t>
      </w:r>
    </w:p>
    <w:sectPr>
      <w:footerReference r:id="rId3" w:type="default"/>
      <w:footerReference r:id="rId4" w:type="even"/>
      <w:pgSz w:w="11906" w:h="16838"/>
      <w:pgMar w:top="1417" w:right="1417" w:bottom="1417" w:left="1417" w:header="708" w:footer="708" w:gutter="0"/>
      <w:cols w:space="708"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Arial">
    <w:panose1 w:val="020B0604020202020204"/>
    <w:charset w:val="EE"/>
    <w:family w:val="swiss"/>
    <w:pitch w:val="default"/>
    <w:sig w:usb0="E0002EFF" w:usb1="C000785B" w:usb2="00000009" w:usb3="00000000" w:csb0="400001FF" w:csb1="FFFF0000"/>
  </w:font>
  <w:font w:name="Calibri">
    <w:panose1 w:val="020F0502020204030204"/>
    <w:charset w:val="EE"/>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 w:name="Segoe UI">
    <w:panose1 w:val="020B0502040204020203"/>
    <w:charset w:val="EE"/>
    <w:family w:val="swiss"/>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15837">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8"/>
      </w:rPr>
      <w:id w:val="-417788960"/>
      <w:docPartObj>
        <w:docPartGallery w:val="AutoText"/>
      </w:docPartObj>
    </w:sdtPr>
    <w:sdtEndPr>
      <w:rPr>
        <w:rStyle w:val="8"/>
      </w:rPr>
    </w:sdtEndPr>
    <w:sdtContent>
      <w:p w14:paraId="521A9B6E">
        <w:pPr>
          <w:pStyle w:val="6"/>
          <w:framePr w:wrap="auto" w:vAnchor="text" w:hAnchor="margin" w:xAlign="center" w:y="1"/>
          <w:rPr>
            <w:rStyle w:val="8"/>
          </w:rPr>
        </w:pPr>
        <w:r>
          <w:rPr>
            <w:rStyle w:val="8"/>
          </w:rPr>
          <w:fldChar w:fldCharType="begin"/>
        </w:r>
        <w:r>
          <w:rPr>
            <w:rStyle w:val="8"/>
          </w:rPr>
          <w:instrText xml:space="preserve"> PAGE </w:instrText>
        </w:r>
        <w:r>
          <w:rPr>
            <w:rStyle w:val="8"/>
          </w:rPr>
          <w:fldChar w:fldCharType="end"/>
        </w:r>
      </w:p>
    </w:sdtContent>
  </w:sdt>
  <w:p w14:paraId="0368448E">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5E2225"/>
    <w:multiLevelType w:val="multilevel"/>
    <w:tmpl w:val="015E2225"/>
    <w:lvl w:ilvl="0" w:tentative="0">
      <w:start w:val="1"/>
      <w:numFmt w:val="decimal"/>
      <w:lvlText w:val="%1."/>
      <w:lvlJc w:val="left"/>
      <w:pPr>
        <w:ind w:left="720" w:hanging="360"/>
      </w:pPr>
      <w:rPr>
        <w:rFonts w:hint="default" w:ascii="Times New Roman" w:hAnsi="Times New Roman" w:cs="Times New Roman"/>
      </w:rPr>
    </w:lvl>
    <w:lvl w:ilvl="1" w:tentative="0">
      <w:start w:val="1"/>
      <w:numFmt w:val="decimal"/>
      <w:isLgl/>
      <w:lvlText w:val="%1.%2."/>
      <w:lvlJc w:val="left"/>
      <w:pPr>
        <w:ind w:left="1440" w:hanging="360"/>
      </w:pPr>
      <w:rPr>
        <w:rFonts w:hint="default" w:ascii="Times New Roman" w:hAnsi="Times New Roman" w:cs="Times New Roman"/>
      </w:rPr>
    </w:lvl>
    <w:lvl w:ilvl="2" w:tentative="0">
      <w:start w:val="1"/>
      <w:numFmt w:val="decimal"/>
      <w:isLgl/>
      <w:lvlText w:val="%1.%2.%3."/>
      <w:lvlJc w:val="left"/>
      <w:pPr>
        <w:ind w:left="2160" w:hanging="360"/>
      </w:pPr>
      <w:rPr>
        <w:rFonts w:hint="default" w:ascii="Times New Roman" w:hAnsi="Times New Roman" w:cs="Times New Roman"/>
      </w:rPr>
    </w:lvl>
    <w:lvl w:ilvl="3" w:tentative="0">
      <w:start w:val="1"/>
      <w:numFmt w:val="decimal"/>
      <w:isLgl/>
      <w:lvlText w:val="%1.%2.%3.%4."/>
      <w:lvlJc w:val="left"/>
      <w:pPr>
        <w:ind w:left="2880" w:hanging="360"/>
      </w:pPr>
      <w:rPr>
        <w:rFonts w:hint="default" w:ascii="Times New Roman" w:hAnsi="Times New Roman" w:cs="Times New Roman"/>
      </w:rPr>
    </w:lvl>
    <w:lvl w:ilvl="4" w:tentative="0">
      <w:start w:val="1"/>
      <w:numFmt w:val="decimal"/>
      <w:isLgl/>
      <w:lvlText w:val="%1.%2.%3.%4.%5."/>
      <w:lvlJc w:val="left"/>
      <w:pPr>
        <w:ind w:left="3600" w:hanging="360"/>
      </w:pPr>
      <w:rPr>
        <w:rFonts w:hint="default" w:ascii="Times New Roman" w:hAnsi="Times New Roman" w:cs="Times New Roman"/>
      </w:rPr>
    </w:lvl>
    <w:lvl w:ilvl="5" w:tentative="0">
      <w:start w:val="1"/>
      <w:numFmt w:val="decimal"/>
      <w:isLgl/>
      <w:lvlText w:val="%1.%2.%3.%4.%5.%6."/>
      <w:lvlJc w:val="left"/>
      <w:pPr>
        <w:ind w:left="4320" w:hanging="360"/>
      </w:pPr>
      <w:rPr>
        <w:rFonts w:hint="default" w:ascii="Times New Roman" w:hAnsi="Times New Roman" w:cs="Times New Roman"/>
      </w:rPr>
    </w:lvl>
    <w:lvl w:ilvl="6" w:tentative="0">
      <w:start w:val="1"/>
      <w:numFmt w:val="decimal"/>
      <w:isLgl/>
      <w:lvlText w:val="%1.%2.%3.%4.%5.%6.%7."/>
      <w:lvlJc w:val="left"/>
      <w:pPr>
        <w:ind w:left="5040" w:hanging="360"/>
      </w:pPr>
      <w:rPr>
        <w:rFonts w:hint="default" w:ascii="Times New Roman" w:hAnsi="Times New Roman" w:cs="Times New Roman"/>
      </w:rPr>
    </w:lvl>
    <w:lvl w:ilvl="7" w:tentative="0">
      <w:start w:val="1"/>
      <w:numFmt w:val="decimal"/>
      <w:isLgl/>
      <w:lvlText w:val="%1.%2.%3.%4.%5.%6.%7.%8."/>
      <w:lvlJc w:val="left"/>
      <w:pPr>
        <w:ind w:left="5760" w:hanging="360"/>
      </w:pPr>
      <w:rPr>
        <w:rFonts w:hint="default" w:ascii="Times New Roman" w:hAnsi="Times New Roman" w:cs="Times New Roman"/>
      </w:rPr>
    </w:lvl>
    <w:lvl w:ilvl="8" w:tentative="0">
      <w:start w:val="1"/>
      <w:numFmt w:val="decimal"/>
      <w:isLgl/>
      <w:lvlText w:val="%1.%2.%3.%4.%5.%6.%7.%8.%9."/>
      <w:lvlJc w:val="left"/>
      <w:pPr>
        <w:ind w:left="6480" w:hanging="360"/>
      </w:pPr>
      <w:rPr>
        <w:rFonts w:hint="default" w:ascii="Times New Roman" w:hAnsi="Times New Roman" w:cs="Times New Roman"/>
      </w:rPr>
    </w:lvl>
  </w:abstractNum>
  <w:abstractNum w:abstractNumId="1">
    <w:nsid w:val="0833D056"/>
    <w:multiLevelType w:val="multilevel"/>
    <w:tmpl w:val="0833D056"/>
    <w:lvl w:ilvl="0" w:tentative="0">
      <w:start w:val="4"/>
      <w:numFmt w:val="lowerLetter"/>
      <w:lvlText w:val="%1)"/>
      <w:lvlJc w:val="left"/>
      <w:pPr>
        <w:ind w:left="720" w:hanging="72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13EE9DC5"/>
    <w:multiLevelType w:val="multilevel"/>
    <w:tmpl w:val="13EE9DC5"/>
    <w:lvl w:ilvl="0" w:tentative="0">
      <w:start w:val="1"/>
      <w:numFmt w:val="lowerLetter"/>
      <w:lvlText w:val="%1)"/>
      <w:lvlJc w:val="left"/>
      <w:pPr>
        <w:ind w:left="720" w:hanging="72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6E11B3B"/>
    <w:multiLevelType w:val="multilevel"/>
    <w:tmpl w:val="16E11B3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246A2430"/>
    <w:multiLevelType w:val="multilevel"/>
    <w:tmpl w:val="246A2430"/>
    <w:lvl w:ilvl="0" w:tentative="0">
      <w:start w:val="1"/>
      <w:numFmt w:val="decimal"/>
      <w:lvlText w:val="%1."/>
      <w:lvlJc w:val="left"/>
      <w:pPr>
        <w:ind w:left="720" w:hanging="360"/>
      </w:pPr>
      <w:rPr>
        <w:rFonts w:hint="default" w:ascii="Times New Roman" w:hAnsi="Times New Roman" w:cs="Times New Roman"/>
      </w:rPr>
    </w:lvl>
    <w:lvl w:ilvl="1" w:tentative="0">
      <w:start w:val="1"/>
      <w:numFmt w:val="lowerLetter"/>
      <w:lvlText w:val="%2."/>
      <w:lvlJc w:val="left"/>
      <w:pPr>
        <w:ind w:left="1440" w:hanging="360"/>
      </w:pPr>
      <w:rPr>
        <w:rFonts w:hint="default" w:ascii="Times New Roman" w:hAnsi="Times New Roman" w:cs="Times New Roman"/>
      </w:rPr>
    </w:lvl>
    <w:lvl w:ilvl="2" w:tentative="0">
      <w:start w:val="1"/>
      <w:numFmt w:val="lowerRoman"/>
      <w:lvlText w:val="%3."/>
      <w:lvlJc w:val="right"/>
      <w:pPr>
        <w:ind w:left="2160" w:hanging="360"/>
      </w:pPr>
      <w:rPr>
        <w:rFonts w:hint="default" w:ascii="Times New Roman" w:hAnsi="Times New Roman" w:cs="Times New Roman"/>
      </w:rPr>
    </w:lvl>
    <w:lvl w:ilvl="3" w:tentative="0">
      <w:start w:val="1"/>
      <w:numFmt w:val="decimal"/>
      <w:lvlText w:val="%4."/>
      <w:lvlJc w:val="left"/>
      <w:pPr>
        <w:ind w:left="2880" w:hanging="360"/>
      </w:pPr>
      <w:rPr>
        <w:rFonts w:hint="default" w:ascii="Times New Roman" w:hAnsi="Times New Roman" w:cs="Times New Roman"/>
      </w:rPr>
    </w:lvl>
    <w:lvl w:ilvl="4" w:tentative="0">
      <w:start w:val="1"/>
      <w:numFmt w:val="lowerLetter"/>
      <w:lvlText w:val="%5."/>
      <w:lvlJc w:val="left"/>
      <w:pPr>
        <w:ind w:left="3600" w:hanging="360"/>
      </w:pPr>
      <w:rPr>
        <w:rFonts w:hint="default" w:ascii="Times New Roman" w:hAnsi="Times New Roman" w:cs="Times New Roman"/>
      </w:rPr>
    </w:lvl>
    <w:lvl w:ilvl="5" w:tentative="0">
      <w:start w:val="1"/>
      <w:numFmt w:val="lowerRoman"/>
      <w:lvlText w:val="%6."/>
      <w:lvlJc w:val="right"/>
      <w:pPr>
        <w:ind w:left="4320" w:hanging="360"/>
      </w:pPr>
      <w:rPr>
        <w:rFonts w:hint="default" w:ascii="Times New Roman" w:hAnsi="Times New Roman" w:cs="Times New Roman"/>
      </w:rPr>
    </w:lvl>
    <w:lvl w:ilvl="6" w:tentative="0">
      <w:start w:val="1"/>
      <w:numFmt w:val="decimal"/>
      <w:lvlText w:val="%7."/>
      <w:lvlJc w:val="left"/>
      <w:pPr>
        <w:ind w:left="5040" w:hanging="360"/>
      </w:pPr>
      <w:rPr>
        <w:rFonts w:hint="default" w:ascii="Times New Roman" w:hAnsi="Times New Roman" w:cs="Times New Roman"/>
      </w:rPr>
    </w:lvl>
    <w:lvl w:ilvl="7" w:tentative="0">
      <w:start w:val="1"/>
      <w:numFmt w:val="lowerLetter"/>
      <w:lvlText w:val="%8."/>
      <w:lvlJc w:val="left"/>
      <w:pPr>
        <w:ind w:left="5760" w:hanging="360"/>
      </w:pPr>
      <w:rPr>
        <w:rFonts w:hint="default" w:ascii="Times New Roman" w:hAnsi="Times New Roman" w:cs="Times New Roman"/>
      </w:rPr>
    </w:lvl>
    <w:lvl w:ilvl="8" w:tentative="0">
      <w:start w:val="1"/>
      <w:numFmt w:val="lowerRoman"/>
      <w:lvlText w:val="%9."/>
      <w:lvlJc w:val="right"/>
      <w:pPr>
        <w:ind w:left="6480" w:hanging="360"/>
      </w:pPr>
      <w:rPr>
        <w:rFonts w:hint="default" w:ascii="Times New Roman" w:hAnsi="Times New Roman" w:cs="Times New Roman"/>
      </w:rPr>
    </w:lvl>
  </w:abstractNum>
  <w:abstractNum w:abstractNumId="5">
    <w:nsid w:val="267D50E4"/>
    <w:multiLevelType w:val="multilevel"/>
    <w:tmpl w:val="267D50E4"/>
    <w:lvl w:ilvl="0" w:tentative="0">
      <w:start w:val="3"/>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26AF2DAD"/>
    <w:multiLevelType w:val="multilevel"/>
    <w:tmpl w:val="26AF2DAD"/>
    <w:lvl w:ilvl="0" w:tentative="0">
      <w:start w:val="1"/>
      <w:numFmt w:val="decimal"/>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3386625C"/>
    <w:multiLevelType w:val="multilevel"/>
    <w:tmpl w:val="3386625C"/>
    <w:lvl w:ilvl="0" w:tentative="0">
      <w:start w:val="3"/>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
    <w:nsid w:val="3BC2370A"/>
    <w:multiLevelType w:val="multilevel"/>
    <w:tmpl w:val="3BC2370A"/>
    <w:lvl w:ilvl="0" w:tentative="0">
      <w:start w:val="2"/>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
    <w:nsid w:val="3E01A6E5"/>
    <w:multiLevelType w:val="multilevel"/>
    <w:tmpl w:val="3E01A6E5"/>
    <w:lvl w:ilvl="0" w:tentative="0">
      <w:start w:val="2"/>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43739724"/>
    <w:multiLevelType w:val="multilevel"/>
    <w:tmpl w:val="43739724"/>
    <w:lvl w:ilvl="0" w:tentative="0">
      <w:start w:val="4"/>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46735A37"/>
    <w:multiLevelType w:val="multilevel"/>
    <w:tmpl w:val="46735A37"/>
    <w:lvl w:ilvl="0" w:tentative="0">
      <w:start w:val="4"/>
      <w:numFmt w:val="decimal"/>
      <w:lvlText w:val="%1."/>
      <w:lvlJc w:val="left"/>
      <w:pPr>
        <w:tabs>
          <w:tab w:val="left" w:pos="720"/>
        </w:tabs>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2">
    <w:nsid w:val="4FB3B9AB"/>
    <w:multiLevelType w:val="multilevel"/>
    <w:tmpl w:val="4FB3B9AB"/>
    <w:lvl w:ilvl="0" w:tentative="0">
      <w:start w:val="1"/>
      <w:numFmt w:val="bullet"/>
      <w:lvlText w:val="-"/>
      <w:lvlJc w:val="left"/>
      <w:pPr>
        <w:ind w:left="720" w:hanging="360"/>
      </w:pPr>
      <w:rPr>
        <w:rFonts w:hint="default" w:ascii="Times New Roman" w:hAnsi="Times New Roman"/>
      </w:rPr>
    </w:lvl>
    <w:lvl w:ilvl="1" w:tentative="0">
      <w:start w:val="1"/>
      <w:numFmt w:val="bullet"/>
      <w:lvlText w:val="o"/>
      <w:lvlJc w:val="left"/>
      <w:pPr>
        <w:ind w:left="1440" w:hanging="360"/>
      </w:pPr>
      <w:rPr>
        <w:rFonts w:hint="default" w:ascii="Courier New" w:hAnsi="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rPr>
    </w:lvl>
    <w:lvl w:ilvl="8" w:tentative="0">
      <w:start w:val="1"/>
      <w:numFmt w:val="bullet"/>
      <w:lvlText w:val=""/>
      <w:lvlJc w:val="left"/>
      <w:pPr>
        <w:ind w:left="6480" w:hanging="360"/>
      </w:pPr>
      <w:rPr>
        <w:rFonts w:hint="default" w:ascii="Wingdings" w:hAnsi="Wingdings"/>
      </w:rPr>
    </w:lvl>
  </w:abstractNum>
  <w:abstractNum w:abstractNumId="13">
    <w:nsid w:val="5C5EFDBC"/>
    <w:multiLevelType w:val="multilevel"/>
    <w:tmpl w:val="5C5EFDBC"/>
    <w:lvl w:ilvl="0" w:tentative="0">
      <w:start w:val="2"/>
      <w:numFmt w:val="lowerLetter"/>
      <w:lvlText w:val="%1)"/>
      <w:lvlJc w:val="left"/>
      <w:pPr>
        <w:ind w:left="720" w:hanging="72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6BAA313A"/>
    <w:multiLevelType w:val="multilevel"/>
    <w:tmpl w:val="6BAA313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5">
    <w:nsid w:val="7B4D142D"/>
    <w:multiLevelType w:val="multilevel"/>
    <w:tmpl w:val="7B4D142D"/>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7C06F7E8"/>
    <w:multiLevelType w:val="multilevel"/>
    <w:tmpl w:val="7C06F7E8"/>
    <w:lvl w:ilvl="0" w:tentative="0">
      <w:start w:val="3"/>
      <w:numFmt w:val="lowerLetter"/>
      <w:lvlText w:val="%1)"/>
      <w:lvlJc w:val="left"/>
      <w:pPr>
        <w:ind w:left="720" w:hanging="72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5"/>
  </w:num>
  <w:num w:numId="5">
    <w:abstractNumId w:val="3"/>
  </w:num>
  <w:num w:numId="6">
    <w:abstractNumId w:val="2"/>
  </w:num>
  <w:num w:numId="7">
    <w:abstractNumId w:val="13"/>
  </w:num>
  <w:num w:numId="8">
    <w:abstractNumId w:val="16"/>
  </w:num>
  <w:num w:numId="9">
    <w:abstractNumId w:val="1"/>
  </w:num>
  <w:num w:numId="10">
    <w:abstractNumId w:val="9"/>
  </w:num>
  <w:num w:numId="11">
    <w:abstractNumId w:val="5"/>
  </w:num>
  <w:num w:numId="12">
    <w:abstractNumId w:val="10"/>
  </w:num>
  <w:num w:numId="13">
    <w:abstractNumId w:val="6"/>
  </w:num>
  <w:num w:numId="14">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554"/>
    <w:rsid w:val="0006123B"/>
    <w:rsid w:val="00066588"/>
    <w:rsid w:val="000C1AB5"/>
    <w:rsid w:val="000C623B"/>
    <w:rsid w:val="00141650"/>
    <w:rsid w:val="00143E55"/>
    <w:rsid w:val="001D7909"/>
    <w:rsid w:val="001E744B"/>
    <w:rsid w:val="00265385"/>
    <w:rsid w:val="00317555"/>
    <w:rsid w:val="003F2FE9"/>
    <w:rsid w:val="00425AFB"/>
    <w:rsid w:val="00573FC0"/>
    <w:rsid w:val="005F2311"/>
    <w:rsid w:val="007422C0"/>
    <w:rsid w:val="00813870"/>
    <w:rsid w:val="0082179E"/>
    <w:rsid w:val="008A193C"/>
    <w:rsid w:val="008E313F"/>
    <w:rsid w:val="00905B62"/>
    <w:rsid w:val="00985B90"/>
    <w:rsid w:val="009A5B36"/>
    <w:rsid w:val="009B1ACA"/>
    <w:rsid w:val="00AA01F1"/>
    <w:rsid w:val="00AC5E82"/>
    <w:rsid w:val="00B93D96"/>
    <w:rsid w:val="00C07823"/>
    <w:rsid w:val="00C30795"/>
    <w:rsid w:val="00C54325"/>
    <w:rsid w:val="00CD0AA1"/>
    <w:rsid w:val="00D84F98"/>
    <w:rsid w:val="00DC6554"/>
    <w:rsid w:val="00DE0FCA"/>
    <w:rsid w:val="00E8588F"/>
    <w:rsid w:val="00F578C5"/>
    <w:rsid w:val="00F729E0"/>
    <w:rsid w:val="00FD68AD"/>
    <w:rsid w:val="01C175DA"/>
    <w:rsid w:val="01E4CED0"/>
    <w:rsid w:val="01E73593"/>
    <w:rsid w:val="0225C49C"/>
    <w:rsid w:val="0420F374"/>
    <w:rsid w:val="04B96F50"/>
    <w:rsid w:val="0539A8FB"/>
    <w:rsid w:val="05D64A37"/>
    <w:rsid w:val="06F8E034"/>
    <w:rsid w:val="077D4D15"/>
    <w:rsid w:val="0843DC6A"/>
    <w:rsid w:val="087A759A"/>
    <w:rsid w:val="08C5D099"/>
    <w:rsid w:val="09246C92"/>
    <w:rsid w:val="09C5D5B0"/>
    <w:rsid w:val="0B62E024"/>
    <w:rsid w:val="0B707903"/>
    <w:rsid w:val="0BF5B2AA"/>
    <w:rsid w:val="0C557974"/>
    <w:rsid w:val="0CEF7500"/>
    <w:rsid w:val="0D1E07AC"/>
    <w:rsid w:val="0D3B90F6"/>
    <w:rsid w:val="0E51A3BC"/>
    <w:rsid w:val="0F557154"/>
    <w:rsid w:val="0FDF27F5"/>
    <w:rsid w:val="10B274CF"/>
    <w:rsid w:val="11AE6C4A"/>
    <w:rsid w:val="13AAAB86"/>
    <w:rsid w:val="143EC24B"/>
    <w:rsid w:val="14E47BC5"/>
    <w:rsid w:val="150D9944"/>
    <w:rsid w:val="158D495B"/>
    <w:rsid w:val="159A5334"/>
    <w:rsid w:val="173B9881"/>
    <w:rsid w:val="17847A4F"/>
    <w:rsid w:val="187CE4DB"/>
    <w:rsid w:val="19104BB5"/>
    <w:rsid w:val="1A7C8F66"/>
    <w:rsid w:val="1A9A1E0D"/>
    <w:rsid w:val="1AED28BA"/>
    <w:rsid w:val="1BD35F32"/>
    <w:rsid w:val="1BEA34D6"/>
    <w:rsid w:val="1C2056E5"/>
    <w:rsid w:val="1C40F2FF"/>
    <w:rsid w:val="1C433218"/>
    <w:rsid w:val="1D33B5A0"/>
    <w:rsid w:val="1E278B9E"/>
    <w:rsid w:val="1F6D3BD5"/>
    <w:rsid w:val="1F7ADBF2"/>
    <w:rsid w:val="20A230A4"/>
    <w:rsid w:val="2226BB3B"/>
    <w:rsid w:val="2232C74F"/>
    <w:rsid w:val="2362A82F"/>
    <w:rsid w:val="23E76294"/>
    <w:rsid w:val="2400B3E9"/>
    <w:rsid w:val="241100F5"/>
    <w:rsid w:val="244162B4"/>
    <w:rsid w:val="24CCE82D"/>
    <w:rsid w:val="26895726"/>
    <w:rsid w:val="278A1609"/>
    <w:rsid w:val="28ADCA0E"/>
    <w:rsid w:val="29C67101"/>
    <w:rsid w:val="2A91E6D5"/>
    <w:rsid w:val="2B580F97"/>
    <w:rsid w:val="2BC49B97"/>
    <w:rsid w:val="2C7AA418"/>
    <w:rsid w:val="2C7BEC83"/>
    <w:rsid w:val="2D0A9BAF"/>
    <w:rsid w:val="2D6A0BD6"/>
    <w:rsid w:val="2DF4F1B1"/>
    <w:rsid w:val="2DF7B679"/>
    <w:rsid w:val="31607F20"/>
    <w:rsid w:val="328321B8"/>
    <w:rsid w:val="32A0E0E4"/>
    <w:rsid w:val="33FD46DA"/>
    <w:rsid w:val="34197B55"/>
    <w:rsid w:val="346C0879"/>
    <w:rsid w:val="34F2FF00"/>
    <w:rsid w:val="3810055C"/>
    <w:rsid w:val="38957AB4"/>
    <w:rsid w:val="3910B780"/>
    <w:rsid w:val="39D5F21A"/>
    <w:rsid w:val="3A0EE707"/>
    <w:rsid w:val="3B015680"/>
    <w:rsid w:val="3B6C6559"/>
    <w:rsid w:val="3B8A7FED"/>
    <w:rsid w:val="3C3B68C1"/>
    <w:rsid w:val="3CAF99F2"/>
    <w:rsid w:val="3D4FF347"/>
    <w:rsid w:val="3D883460"/>
    <w:rsid w:val="3DDE8FE1"/>
    <w:rsid w:val="3E724EF7"/>
    <w:rsid w:val="3E808440"/>
    <w:rsid w:val="3EE580A5"/>
    <w:rsid w:val="4050CBC1"/>
    <w:rsid w:val="4104D889"/>
    <w:rsid w:val="41085A60"/>
    <w:rsid w:val="418E7CED"/>
    <w:rsid w:val="42180D51"/>
    <w:rsid w:val="428ECB31"/>
    <w:rsid w:val="42B5CDBC"/>
    <w:rsid w:val="42C52F81"/>
    <w:rsid w:val="436938BF"/>
    <w:rsid w:val="436D5A9F"/>
    <w:rsid w:val="43845310"/>
    <w:rsid w:val="44022CD3"/>
    <w:rsid w:val="45EB3C13"/>
    <w:rsid w:val="46181633"/>
    <w:rsid w:val="4653E0FF"/>
    <w:rsid w:val="4656C7A3"/>
    <w:rsid w:val="47536CEF"/>
    <w:rsid w:val="477BA94A"/>
    <w:rsid w:val="478703E4"/>
    <w:rsid w:val="478BEA43"/>
    <w:rsid w:val="480F5CC5"/>
    <w:rsid w:val="48A4FD73"/>
    <w:rsid w:val="493AC853"/>
    <w:rsid w:val="4944D8C6"/>
    <w:rsid w:val="499D70FA"/>
    <w:rsid w:val="4A058EFC"/>
    <w:rsid w:val="4A4D5A5C"/>
    <w:rsid w:val="4B8FF3BC"/>
    <w:rsid w:val="4BB3089D"/>
    <w:rsid w:val="4E6D41E2"/>
    <w:rsid w:val="4EC127BE"/>
    <w:rsid w:val="4ED691AC"/>
    <w:rsid w:val="4F50866C"/>
    <w:rsid w:val="4F72D9AF"/>
    <w:rsid w:val="4F9308B0"/>
    <w:rsid w:val="5067DF4A"/>
    <w:rsid w:val="510444A3"/>
    <w:rsid w:val="51242D8F"/>
    <w:rsid w:val="5145251D"/>
    <w:rsid w:val="515AAFA5"/>
    <w:rsid w:val="51A7DFE1"/>
    <w:rsid w:val="5205B44C"/>
    <w:rsid w:val="5279F33D"/>
    <w:rsid w:val="53EE6BD7"/>
    <w:rsid w:val="545611F5"/>
    <w:rsid w:val="5518000D"/>
    <w:rsid w:val="564D312C"/>
    <w:rsid w:val="565A2FBA"/>
    <w:rsid w:val="569E5792"/>
    <w:rsid w:val="56BAF6A0"/>
    <w:rsid w:val="588D3937"/>
    <w:rsid w:val="58D44E95"/>
    <w:rsid w:val="590EF897"/>
    <w:rsid w:val="59769018"/>
    <w:rsid w:val="59FA1B68"/>
    <w:rsid w:val="5A04F886"/>
    <w:rsid w:val="5A09605F"/>
    <w:rsid w:val="5ABB337A"/>
    <w:rsid w:val="5B09ADD6"/>
    <w:rsid w:val="5B1605F8"/>
    <w:rsid w:val="5B2D96E7"/>
    <w:rsid w:val="5B7BC06E"/>
    <w:rsid w:val="5C14087F"/>
    <w:rsid w:val="5C186AA8"/>
    <w:rsid w:val="5C3BB330"/>
    <w:rsid w:val="5CC2AFB0"/>
    <w:rsid w:val="5CCB151C"/>
    <w:rsid w:val="5CCE982B"/>
    <w:rsid w:val="5F11D5FD"/>
    <w:rsid w:val="5F3CECC1"/>
    <w:rsid w:val="60FD5AC0"/>
    <w:rsid w:val="612F815F"/>
    <w:rsid w:val="61570DF8"/>
    <w:rsid w:val="6158ECB4"/>
    <w:rsid w:val="61E4C578"/>
    <w:rsid w:val="622ECBA9"/>
    <w:rsid w:val="6297C37F"/>
    <w:rsid w:val="6497172C"/>
    <w:rsid w:val="6569FBA1"/>
    <w:rsid w:val="6614FE2F"/>
    <w:rsid w:val="66A87672"/>
    <w:rsid w:val="66BB1B63"/>
    <w:rsid w:val="6701C80C"/>
    <w:rsid w:val="671BFEA0"/>
    <w:rsid w:val="681DFFF1"/>
    <w:rsid w:val="684EF3D4"/>
    <w:rsid w:val="6856EE84"/>
    <w:rsid w:val="69B1CCA8"/>
    <w:rsid w:val="6BA1A104"/>
    <w:rsid w:val="6BA66A97"/>
    <w:rsid w:val="6BBD1006"/>
    <w:rsid w:val="6BE28FDD"/>
    <w:rsid w:val="6BEE5483"/>
    <w:rsid w:val="6C24AF1A"/>
    <w:rsid w:val="6C302A3B"/>
    <w:rsid w:val="6C5B3F53"/>
    <w:rsid w:val="6DB4D747"/>
    <w:rsid w:val="6DC222B2"/>
    <w:rsid w:val="6DC2EC6C"/>
    <w:rsid w:val="6DE4B127"/>
    <w:rsid w:val="6EE628A0"/>
    <w:rsid w:val="6F9FD66B"/>
    <w:rsid w:val="7032F83B"/>
    <w:rsid w:val="7104824D"/>
    <w:rsid w:val="7167E70B"/>
    <w:rsid w:val="729BFDCF"/>
    <w:rsid w:val="7411997C"/>
    <w:rsid w:val="743160ED"/>
    <w:rsid w:val="74747A09"/>
    <w:rsid w:val="74E599C5"/>
    <w:rsid w:val="752D5A70"/>
    <w:rsid w:val="7557D12D"/>
    <w:rsid w:val="7586CFA8"/>
    <w:rsid w:val="75A27D36"/>
    <w:rsid w:val="75B23371"/>
    <w:rsid w:val="76AAE51F"/>
    <w:rsid w:val="780A2F6C"/>
    <w:rsid w:val="784FBE92"/>
    <w:rsid w:val="78507A0F"/>
    <w:rsid w:val="78632C1C"/>
    <w:rsid w:val="78CB39B2"/>
    <w:rsid w:val="78E93D9B"/>
    <w:rsid w:val="798F6D3C"/>
    <w:rsid w:val="7AAC2426"/>
    <w:rsid w:val="7ADACC0A"/>
    <w:rsid w:val="7BDC9A9A"/>
    <w:rsid w:val="7CA4AC95"/>
    <w:rsid w:val="7D41301C"/>
    <w:rsid w:val="7D9698F4"/>
    <w:rsid w:val="7E463797"/>
    <w:rsid w:val="7E5AB9ED"/>
    <w:rsid w:val="7E98C0C8"/>
    <w:rsid w:val="7F37A80D"/>
  </w:rsids>
  <m:mathPr>
    <m:mathFont m:val="Cambria Math"/>
    <m:brkBin m:val="before"/>
    <m:brkBinSub m:val="--"/>
    <m:smallFrac m:val="0"/>
    <m:dispDef/>
    <m:lMargin m:val="0"/>
    <m:rMargin m:val="0"/>
    <m:defJc m:val="centerGroup"/>
    <m:wrapIndent m:val="1440"/>
    <m:intLim m:val="subSup"/>
    <m:naryLim m:val="undOvr"/>
  </m:mathPr>
  <w:themeFontLang w:val="sk-SK"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lang w:val="sk-SK" w:eastAsia="sk-SK" w:bidi="ar-SA"/>
    </w:rPr>
  </w:style>
  <w:style w:type="character" w:default="1" w:styleId="2">
    <w:name w:val="Default Paragraph Font"/>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Emphasis"/>
    <w:basedOn w:val="2"/>
    <w:qFormat/>
    <w:uiPriority w:val="20"/>
    <w:rPr>
      <w:i/>
      <w:iCs/>
    </w:rPr>
  </w:style>
  <w:style w:type="character" w:styleId="5">
    <w:name w:val="FollowedHyperlink"/>
    <w:basedOn w:val="2"/>
    <w:unhideWhenUsed/>
    <w:qFormat/>
    <w:uiPriority w:val="99"/>
    <w:rPr>
      <w:color w:val="800080"/>
      <w:u w:val="single"/>
    </w:rPr>
  </w:style>
  <w:style w:type="paragraph" w:styleId="6">
    <w:name w:val="footer"/>
    <w:basedOn w:val="1"/>
    <w:link w:val="21"/>
    <w:unhideWhenUsed/>
    <w:qFormat/>
    <w:uiPriority w:val="99"/>
    <w:pPr>
      <w:tabs>
        <w:tab w:val="center" w:pos="4536"/>
        <w:tab w:val="right" w:pos="9072"/>
      </w:tabs>
    </w:pPr>
  </w:style>
  <w:style w:type="character" w:styleId="7">
    <w:name w:val="Hyperlink"/>
    <w:basedOn w:val="2"/>
    <w:unhideWhenUsed/>
    <w:qFormat/>
    <w:uiPriority w:val="99"/>
    <w:rPr>
      <w:color w:val="0000FF"/>
      <w:u w:val="single"/>
    </w:rPr>
  </w:style>
  <w:style w:type="character" w:styleId="8">
    <w:name w:val="page number"/>
    <w:basedOn w:val="2"/>
    <w:semiHidden/>
    <w:unhideWhenUsed/>
    <w:qFormat/>
    <w:uiPriority w:val="99"/>
  </w:style>
  <w:style w:type="table" w:styleId="9">
    <w:name w:val="Table Grid"/>
    <w:basedOn w:val="3"/>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0">
    <w:name w:val="Normálny1"/>
    <w:uiPriority w:val="0"/>
    <w:pPr>
      <w:spacing w:before="100" w:beforeAutospacing="1" w:after="100" w:afterAutospacing="1" w:line="256" w:lineRule="auto"/>
    </w:pPr>
    <w:rPr>
      <w:rFonts w:ascii="Calibri" w:hAnsi="Calibri" w:eastAsia="Times New Roman" w:cs="Calibri"/>
      <w:sz w:val="24"/>
      <w:szCs w:val="24"/>
      <w:lang w:val="sk-SK" w:eastAsia="sk-SK" w:bidi="ar-SA"/>
    </w:rPr>
  </w:style>
  <w:style w:type="paragraph" w:customStyle="1" w:styleId="11">
    <w:name w:val="msonormal"/>
    <w:basedOn w:val="1"/>
    <w:qFormat/>
    <w:uiPriority w:val="0"/>
    <w:pPr>
      <w:spacing w:before="100" w:beforeAutospacing="1" w:after="100" w:afterAutospacing="1"/>
    </w:pPr>
    <w:rPr>
      <w:sz w:val="24"/>
      <w:szCs w:val="24"/>
    </w:rPr>
  </w:style>
  <w:style w:type="paragraph" w:customStyle="1" w:styleId="12">
    <w:name w:val="Odsek zoznamu1"/>
    <w:basedOn w:val="1"/>
    <w:uiPriority w:val="0"/>
    <w:pPr>
      <w:spacing w:before="100" w:beforeAutospacing="1" w:after="100" w:afterAutospacing="1" w:line="256" w:lineRule="auto"/>
    </w:pPr>
    <w:rPr>
      <w:rFonts w:ascii="Calibri" w:hAnsi="Calibri" w:cs="Calibri"/>
      <w:sz w:val="24"/>
      <w:szCs w:val="24"/>
    </w:rPr>
  </w:style>
  <w:style w:type="paragraph" w:customStyle="1" w:styleId="13">
    <w:name w:val="paragraph"/>
    <w:basedOn w:val="1"/>
    <w:uiPriority w:val="0"/>
    <w:pPr>
      <w:spacing w:before="100" w:beforeAutospacing="1" w:after="100" w:afterAutospacing="1"/>
    </w:pPr>
    <w:rPr>
      <w:sz w:val="24"/>
      <w:szCs w:val="24"/>
    </w:rPr>
  </w:style>
  <w:style w:type="character" w:customStyle="1" w:styleId="14">
    <w:name w:val="10"/>
    <w:basedOn w:val="2"/>
    <w:uiPriority w:val="0"/>
    <w:rPr>
      <w:rFonts w:hint="default" w:ascii="Calibri" w:hAnsi="Calibri" w:cs="Calibri"/>
    </w:rPr>
  </w:style>
  <w:style w:type="character" w:customStyle="1" w:styleId="15">
    <w:name w:val="15"/>
    <w:basedOn w:val="2"/>
    <w:qFormat/>
    <w:uiPriority w:val="0"/>
    <w:rPr>
      <w:rFonts w:hint="default" w:ascii="Calibri" w:hAnsi="Calibri" w:cs="Calibri"/>
    </w:rPr>
  </w:style>
  <w:style w:type="character" w:customStyle="1" w:styleId="16">
    <w:name w:val="16"/>
    <w:basedOn w:val="2"/>
    <w:qFormat/>
    <w:uiPriority w:val="0"/>
    <w:rPr>
      <w:rFonts w:hint="default" w:ascii="Calibri" w:hAnsi="Calibri" w:cs="Calibri"/>
    </w:rPr>
  </w:style>
  <w:style w:type="character" w:customStyle="1" w:styleId="17">
    <w:name w:val="17"/>
    <w:basedOn w:val="2"/>
    <w:qFormat/>
    <w:uiPriority w:val="0"/>
    <w:rPr>
      <w:rFonts w:hint="default" w:ascii="Calibri" w:hAnsi="Calibri" w:cs="Calibri"/>
      <w:color w:val="0563C1"/>
      <w:u w:val="single"/>
    </w:rPr>
  </w:style>
  <w:style w:type="table" w:customStyle="1" w:styleId="18">
    <w:name w:val="Table Normal1"/>
    <w:semiHidden/>
    <w:qFormat/>
    <w:uiPriority w:val="0"/>
    <w:rPr>
      <w:rFonts w:ascii="Times New Roman" w:hAnsi="Times New Roman" w:eastAsia="Times New Roman" w:cs="Times New Roman"/>
    </w:rPr>
    <w:tblPr>
      <w:tblCellMar>
        <w:top w:w="0" w:type="dxa"/>
        <w:left w:w="0" w:type="dxa"/>
        <w:bottom w:w="0" w:type="dxa"/>
        <w:right w:w="0" w:type="dxa"/>
      </w:tblCellMar>
    </w:tblPr>
  </w:style>
  <w:style w:type="character" w:customStyle="1" w:styleId="19">
    <w:name w:val="WW8Num1z0"/>
    <w:basedOn w:val="2"/>
    <w:uiPriority w:val="1"/>
    <w:rPr>
      <w:rFonts w:ascii="Times New Roman" w:hAnsi="Times New Roman" w:eastAsia="Times New Roman" w:cs="Times New Roman"/>
      <w:color w:val="auto"/>
    </w:rPr>
  </w:style>
  <w:style w:type="paragraph" w:styleId="20">
    <w:name w:val="List Paragraph"/>
    <w:basedOn w:val="1"/>
    <w:qFormat/>
    <w:uiPriority w:val="34"/>
    <w:pPr>
      <w:ind w:left="720"/>
      <w:contextualSpacing/>
    </w:pPr>
  </w:style>
  <w:style w:type="character" w:customStyle="1" w:styleId="21">
    <w:name w:val="Päta Char"/>
    <w:basedOn w:val="2"/>
    <w:link w:val="6"/>
    <w:uiPriority w:val="99"/>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338DE52B060A9248B57B723E67CC145C" ma:contentTypeVersion="10" ma:contentTypeDescription="Umožňuje vytvoriť nový dokument." ma:contentTypeScope="" ma:versionID="a331d1cae0e1a074bfb8dffc2039e153">
  <xsd:schema xmlns:xsd="http://www.w3.org/2001/XMLSchema" xmlns:xs="http://www.w3.org/2001/XMLSchema" xmlns:p="http://schemas.microsoft.com/office/2006/metadata/properties" xmlns:ns2="edcce9ab-6db8-4d02-8d6c-e9b0e261cf45" targetNamespace="http://schemas.microsoft.com/office/2006/metadata/properties" ma:root="true" ma:fieldsID="518c9cb6dfc4fcbcd72015c9107f1532" ns2:_="">
    <xsd:import namespace="edcce9ab-6db8-4d02-8d6c-e9b0e261cf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cce9ab-6db8-4d02-8d6c-e9b0e261cf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D799A4-071B-4845-9B80-781308815CD1}">
  <ds:schemaRefs/>
</ds:datastoreItem>
</file>

<file path=customXml/itemProps2.xml><?xml version="1.0" encoding="utf-8"?>
<ds:datastoreItem xmlns:ds="http://schemas.openxmlformats.org/officeDocument/2006/customXml" ds:itemID="{B8F9C84E-593E-4550-84B8-5CDCF7D4A6B5}">
  <ds:schemaRefs/>
</ds:datastoreItem>
</file>

<file path=customXml/itemProps3.xml><?xml version="1.0" encoding="utf-8"?>
<ds:datastoreItem xmlns:ds="http://schemas.openxmlformats.org/officeDocument/2006/customXml" ds:itemID="{E503F500-DF6C-4C84-A016-7B1B1E44386C}">
  <ds:schemaRefs/>
</ds:datastoreItem>
</file>

<file path=customXml/itemProps4.xml><?xml version="1.0" encoding="utf-8"?>
<ds:datastoreItem xmlns:ds="http://schemas.openxmlformats.org/officeDocument/2006/customXml" ds:itemID="{FFEDF723-4767-4573-831C-632AF1C3F8F2}">
  <ds:schemaRefs/>
</ds:datastoreItem>
</file>

<file path=docProps/app.xml><?xml version="1.0" encoding="utf-8"?>
<Properties xmlns="http://schemas.openxmlformats.org/officeDocument/2006/extended-properties" xmlns:vt="http://schemas.openxmlformats.org/officeDocument/2006/docPropsVTypes">
  <Template>Normal.dotm</Template>
  <Pages>19</Pages>
  <Words>4346</Words>
  <Characters>24776</Characters>
  <Lines>206</Lines>
  <Paragraphs>58</Paragraphs>
  <TotalTime>100</TotalTime>
  <ScaleCrop>false</ScaleCrop>
  <LinksUpToDate>false</LinksUpToDate>
  <CharactersWithSpaces>29064</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2024-09-13T09:59:00Z</dcterms:created>
  <dc:creator>Jana Mariňaková</dc:creator>
  <cp:lastModifiedBy>Úradovňa</cp:lastModifiedBy>
  <dcterms:modified xsi:type="dcterms:W3CDTF">2025-12-16T12:13:16Z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1033-12.2.0.23131</vt:lpwstr>
  </property>
  <property fmtid="{D5CDD505-2E9C-101B-9397-08002B2CF9AE}" pid="3" name="ICV">
    <vt:lpwstr>739EFB3453AC47119F363B41364C14E4_12</vt:lpwstr>
  </property>
  <property fmtid="{D5CDD505-2E9C-101B-9397-08002B2CF9AE}" pid="4" name="ContentTypeId">
    <vt:lpwstr>0x010100338DE52B060A9248B57B723E67CC145C</vt:lpwstr>
  </property>
  <property fmtid="{D5CDD505-2E9C-101B-9397-08002B2CF9AE}" pid="5" name="MediaServiceImageTags">
    <vt:lpwstr/>
  </property>
  <property fmtid="{D5CDD505-2E9C-101B-9397-08002B2CF9AE}" pid="6" name="Order">
    <vt:r8>144000</vt:r8>
  </property>
  <property fmtid="{D5CDD505-2E9C-101B-9397-08002B2CF9AE}" pid="7" name="xd_Signature">
    <vt:bool>false</vt:bool>
  </property>
  <property fmtid="{D5CDD505-2E9C-101B-9397-08002B2CF9AE}" pid="8" name="xd_ProgID">
    <vt:lpwstr/>
  </property>
  <property fmtid="{D5CDD505-2E9C-101B-9397-08002B2CF9AE}" pid="9" name="TriggerFlowInfo">
    <vt:lpwstr/>
  </property>
  <property fmtid="{D5CDD505-2E9C-101B-9397-08002B2CF9AE}" pid="10" name="_SourceUrl">
    <vt:lpwstr/>
  </property>
  <property fmtid="{D5CDD505-2E9C-101B-9397-08002B2CF9AE}" pid="11" name="_SharedFileIndex">
    <vt:lpwstr/>
  </property>
  <property fmtid="{D5CDD505-2E9C-101B-9397-08002B2CF9AE}" pid="12" name="ComplianceAssetId">
    <vt:lpwstr/>
  </property>
  <property fmtid="{D5CDD505-2E9C-101B-9397-08002B2CF9AE}" pid="13" name="TemplateUrl">
    <vt:lpwstr/>
  </property>
  <property fmtid="{D5CDD505-2E9C-101B-9397-08002B2CF9AE}" pid="14" name="_ExtendedDescription">
    <vt:lpwstr/>
  </property>
</Properties>
</file>