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media/image1.png" ContentType="image/png"/>
  <Override PartName="/word/media/image2.png" ContentType="image/png"/>
  <Override PartName="/word/media/image3.png" ContentType="image/png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Title"/>
        <w:spacing w:before="73" w:after="0"/>
        <w:rPr/>
      </w:pPr>
      <w:r>
        <w:rPr/>
        <w:t>Poznámky</w:t>
      </w:r>
      <w:r>
        <w:rPr>
          <w:spacing w:val="-1"/>
        </w:rPr>
        <w:t xml:space="preserve"> </w:t>
      </w:r>
      <w:r>
        <w:rPr/>
        <w:t>k</w:t>
      </w:r>
      <w:r>
        <w:rPr>
          <w:spacing w:val="-1"/>
        </w:rPr>
        <w:t xml:space="preserve"> </w:t>
      </w:r>
      <w:r>
        <w:rPr/>
        <w:t>31.12.2025 -</w:t>
      </w:r>
      <w:r>
        <w:rPr>
          <w:spacing w:val="-3"/>
        </w:rPr>
        <w:t xml:space="preserve"> </w:t>
      </w:r>
      <w:r>
        <w:rPr/>
        <w:t>textová</w:t>
      </w:r>
      <w:r>
        <w:rPr>
          <w:spacing w:val="-1"/>
        </w:rPr>
        <w:t xml:space="preserve"> </w:t>
      </w:r>
      <w:r>
        <w:rPr/>
        <w:t>časť</w:t>
      </w:r>
    </w:p>
    <w:p>
      <w:pPr>
        <w:pStyle w:val="BodyText"/>
        <w:spacing w:before="1" w:after="0"/>
        <w:rPr>
          <w:b/>
          <w:sz w:val="16"/>
        </w:rPr>
      </w:pPr>
      <w:r>
        <w:rPr>
          <w:b/>
          <w:sz w:val="16"/>
        </w:rPr>
      </w:r>
    </w:p>
    <w:p>
      <w:pPr>
        <w:sectPr>
          <w:footerReference w:type="even" r:id="rId2"/>
          <w:footerReference w:type="default" r:id="rId3"/>
          <w:footerReference w:type="first" r:id="rId4"/>
          <w:type w:val="nextPage"/>
          <w:pgSz w:w="11906" w:h="16838"/>
          <w:pgMar w:left="1020" w:right="400" w:gutter="0" w:header="0" w:top="760" w:footer="650" w:bottom="840"/>
          <w:pgNumType w:fmt="decimal"/>
          <w:formProt w:val="false"/>
          <w:textDirection w:val="lrTb"/>
        </w:sectPr>
      </w:pPr>
    </w:p>
    <w:p>
      <w:pPr>
        <w:pStyle w:val="BodyText"/>
        <w:rPr>
          <w:b/>
          <w:sz w:val="26"/>
        </w:rPr>
      </w:pPr>
      <w:r>
        <w:rPr>
          <w:b/>
          <w:sz w:val="26"/>
        </w:rPr>
      </w:r>
    </w:p>
    <w:p>
      <w:pPr>
        <w:pStyle w:val="BodyText"/>
        <w:spacing w:before="9" w:after="0"/>
        <w:rPr>
          <w:b/>
          <w:sz w:val="29"/>
        </w:rPr>
      </w:pPr>
      <w:r>
        <w:rPr>
          <w:b/>
          <w:sz w:val="29"/>
        </w:rPr>
      </w:r>
    </w:p>
    <w:p>
      <w:pPr>
        <w:pStyle w:val="ListParagraph"/>
        <w:numPr>
          <w:ilvl w:val="0"/>
          <w:numId w:val="5"/>
        </w:numPr>
        <w:tabs>
          <w:tab w:val="clear" w:pos="720"/>
          <w:tab w:val="left" w:pos="397" w:leader="none"/>
        </w:tabs>
        <w:ind w:hanging="285" w:left="396"/>
        <w:rPr>
          <w:b/>
          <w:sz w:val="24"/>
        </w:rPr>
      </w:pPr>
      <w:r>
        <w:rPr>
          <w:b/>
          <w:sz w:val="24"/>
        </w:rPr>
        <w:t>Identifikačné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údaje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účtovnej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jednotky</w:t>
      </w:r>
    </w:p>
    <w:p>
      <w:pPr>
        <w:pStyle w:val="Normal"/>
        <w:spacing w:before="0" w:after="0"/>
        <w:ind w:left="9" w:right="4393"/>
        <w:jc w:val="center"/>
        <w:rPr>
          <w:b/>
          <w:sz w:val="24"/>
        </w:rPr>
      </w:pPr>
      <w:r>
        <w:br w:type="column"/>
      </w:r>
      <w:r>
        <w:rPr>
          <w:b/>
          <w:sz w:val="24"/>
        </w:rPr>
        <w:t>Čl.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I</w:t>
      </w:r>
    </w:p>
    <w:p>
      <w:pPr>
        <w:pStyle w:val="Normal"/>
        <w:ind w:left="9" w:right="4396"/>
        <w:jc w:val="center"/>
        <w:rPr>
          <w:b/>
          <w:sz w:val="24"/>
        </w:rPr>
      </w:pPr>
      <w:r>
        <w:rPr>
          <w:b/>
          <w:sz w:val="24"/>
        </w:rPr>
        <w:t>Všeobecné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údaje</w:t>
      </w:r>
    </w:p>
    <w:p>
      <w:pPr>
        <w:sectPr>
          <w:type w:val="continuous"/>
          <w:pgSz w:w="11906" w:h="16838"/>
          <w:pgMar w:left="1020" w:right="400" w:gutter="0" w:header="0" w:top="760" w:footer="650" w:bottom="840"/>
          <w:cols w:num="2" w:equalWidth="false" w:sep="false">
            <w:col w:w="4292" w:space="40"/>
            <w:col w:w="6153"/>
          </w:cols>
          <w:formProt w:val="false"/>
          <w:textDirection w:val="lrTb"/>
          <w:docGrid w:type="default" w:linePitch="312" w:charSpace="4294965247"/>
        </w:sectPr>
      </w:pPr>
    </w:p>
    <w:p>
      <w:pPr>
        <w:pStyle w:val="BodyText"/>
        <w:spacing w:before="1" w:after="0"/>
        <w:rPr>
          <w:b/>
        </w:rPr>
      </w:pPr>
      <w:r>
        <w:rPr>
          <w:b/>
        </w:rPr>
      </w:r>
    </w:p>
    <w:tbl>
      <w:tblPr>
        <w:tblStyle w:val="TableNormal"/>
        <w:tblW w:w="10263" w:type="dxa"/>
        <w:jc w:val="left"/>
        <w:tblInd w:w="118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firstRow="1" w:noVBand="0" w:lastRow="1" w:firstColumn="1" w:lastColumn="1" w:noHBand="0" w:val="01e0"/>
      </w:tblPr>
      <w:tblGrid>
        <w:gridCol w:w="4782"/>
        <w:gridCol w:w="5480"/>
      </w:tblGrid>
      <w:tr>
        <w:trPr>
          <w:trHeight w:val="275" w:hRule="atLeast"/>
        </w:trPr>
        <w:tc>
          <w:tcPr>
            <w:tcW w:w="4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56" w:before="0" w:after="0"/>
              <w:ind w:left="107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a)</w:t>
            </w:r>
          </w:p>
        </w:tc>
        <w:tc>
          <w:tcPr>
            <w:tcW w:w="5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auto" w:line="240" w:before="0" w:after="0"/>
              <w:jc w:val="left"/>
              <w:rPr>
                <w:sz w:val="20"/>
              </w:rPr>
            </w:pPr>
            <w:r>
              <w:rPr>
                <w:kern w:val="0"/>
                <w:sz w:val="20"/>
                <w:szCs w:val="22"/>
                <w:lang w:eastAsia="en-US" w:bidi="ar-SA"/>
              </w:rPr>
            </w:r>
          </w:p>
        </w:tc>
      </w:tr>
      <w:tr>
        <w:trPr>
          <w:trHeight w:val="275" w:hRule="atLeast"/>
        </w:trPr>
        <w:tc>
          <w:tcPr>
            <w:tcW w:w="4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56" w:before="0" w:after="0"/>
              <w:ind w:left="107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Názov</w:t>
            </w: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účtovnej</w:t>
            </w:r>
            <w:r>
              <w:rPr>
                <w:spacing w:val="-1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jednotky</w:t>
            </w:r>
          </w:p>
        </w:tc>
        <w:tc>
          <w:tcPr>
            <w:tcW w:w="5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56" w:before="0" w:after="0"/>
              <w:ind w:left="110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Základná</w:t>
            </w: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škola,</w:t>
            </w:r>
            <w:r>
              <w:rPr>
                <w:spacing w:val="-1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Rokycany</w:t>
            </w:r>
            <w:r>
              <w:rPr>
                <w:spacing w:val="-1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46</w:t>
            </w:r>
          </w:p>
        </w:tc>
      </w:tr>
      <w:tr>
        <w:trPr>
          <w:trHeight w:val="275" w:hRule="atLeast"/>
        </w:trPr>
        <w:tc>
          <w:tcPr>
            <w:tcW w:w="4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56" w:before="0" w:after="0"/>
              <w:ind w:left="107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Sídlo</w:t>
            </w:r>
            <w:r>
              <w:rPr>
                <w:spacing w:val="-1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účtovnej jednotky</w:t>
            </w:r>
          </w:p>
        </w:tc>
        <w:tc>
          <w:tcPr>
            <w:tcW w:w="5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56" w:before="0" w:after="0"/>
              <w:ind w:left="110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082</w:t>
            </w:r>
            <w:r>
              <w:rPr>
                <w:spacing w:val="-1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41</w:t>
            </w:r>
            <w:r>
              <w:rPr>
                <w:spacing w:val="59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Rokycany 46</w:t>
            </w:r>
          </w:p>
        </w:tc>
      </w:tr>
      <w:tr>
        <w:trPr>
          <w:trHeight w:val="277" w:hRule="atLeast"/>
        </w:trPr>
        <w:tc>
          <w:tcPr>
            <w:tcW w:w="4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57" w:before="1" w:after="0"/>
              <w:ind w:left="107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IČO</w:t>
            </w:r>
          </w:p>
        </w:tc>
        <w:tc>
          <w:tcPr>
            <w:tcW w:w="5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57" w:before="1" w:after="0"/>
              <w:ind w:left="110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51843927</w:t>
            </w:r>
          </w:p>
        </w:tc>
      </w:tr>
      <w:tr>
        <w:trPr>
          <w:trHeight w:val="275" w:hRule="atLeast"/>
        </w:trPr>
        <w:tc>
          <w:tcPr>
            <w:tcW w:w="4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56" w:before="0" w:after="0"/>
              <w:ind w:left="107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Dátum</w:t>
            </w:r>
            <w:r>
              <w:rPr>
                <w:spacing w:val="-3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zriadenia</w:t>
            </w:r>
          </w:p>
        </w:tc>
        <w:tc>
          <w:tcPr>
            <w:tcW w:w="5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56" w:before="0" w:after="0"/>
              <w:ind w:left="110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Základná</w:t>
            </w: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škola</w:t>
            </w: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bola zriadená</w:t>
            </w: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k</w:t>
            </w:r>
            <w:r>
              <w:rPr>
                <w:spacing w:val="-1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01.09.2018</w:t>
            </w:r>
          </w:p>
        </w:tc>
      </w:tr>
      <w:tr>
        <w:trPr>
          <w:trHeight w:val="551" w:hRule="atLeast"/>
        </w:trPr>
        <w:tc>
          <w:tcPr>
            <w:tcW w:w="4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75" w:before="0" w:after="0"/>
              <w:ind w:left="107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Spôsob</w:t>
            </w: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zriadenia</w:t>
            </w:r>
          </w:p>
        </w:tc>
        <w:tc>
          <w:tcPr>
            <w:tcW w:w="5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76" w:before="0" w:after="0"/>
              <w:ind w:left="110" w:right="681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Rozhodnutím</w:t>
            </w: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zriaďovateľa</w:t>
            </w:r>
            <w:r>
              <w:rPr>
                <w:spacing w:val="-3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v</w:t>
            </w: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súlade</w:t>
            </w:r>
            <w:r>
              <w:rPr>
                <w:spacing w:val="-3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so</w:t>
            </w:r>
            <w:r>
              <w:rPr>
                <w:spacing w:val="-3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zákonom</w:t>
            </w:r>
            <w:r>
              <w:rPr>
                <w:spacing w:val="-57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o</w:t>
            </w:r>
            <w:r>
              <w:rPr>
                <w:spacing w:val="-1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rozpočtových</w:t>
            </w: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pravidlách verejnej</w:t>
            </w:r>
            <w:r>
              <w:rPr>
                <w:spacing w:val="-1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správy</w:t>
            </w:r>
          </w:p>
        </w:tc>
      </w:tr>
      <w:tr>
        <w:trPr>
          <w:trHeight w:val="276" w:hRule="atLeast"/>
        </w:trPr>
        <w:tc>
          <w:tcPr>
            <w:tcW w:w="4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56" w:before="0" w:after="0"/>
              <w:ind w:left="107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Názov</w:t>
            </w:r>
            <w:r>
              <w:rPr>
                <w:spacing w:val="-3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zriaďovateľa</w:t>
            </w:r>
          </w:p>
        </w:tc>
        <w:tc>
          <w:tcPr>
            <w:tcW w:w="5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56" w:before="0" w:after="0"/>
              <w:ind w:left="110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Obec</w:t>
            </w: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Rokycany</w:t>
            </w:r>
          </w:p>
        </w:tc>
      </w:tr>
      <w:tr>
        <w:trPr>
          <w:trHeight w:val="275" w:hRule="atLeast"/>
        </w:trPr>
        <w:tc>
          <w:tcPr>
            <w:tcW w:w="4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56" w:before="0" w:after="0"/>
              <w:ind w:left="107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Sídlo</w:t>
            </w: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zriaďovateľa</w:t>
            </w:r>
          </w:p>
        </w:tc>
        <w:tc>
          <w:tcPr>
            <w:tcW w:w="5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56" w:before="0" w:after="0"/>
              <w:ind w:left="110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Rokycany</w:t>
            </w:r>
            <w:r>
              <w:rPr>
                <w:spacing w:val="-1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45, 082</w:t>
            </w:r>
            <w:r>
              <w:rPr>
                <w:spacing w:val="-1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41</w:t>
            </w:r>
            <w:r>
              <w:rPr>
                <w:spacing w:val="59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Bajerov</w:t>
            </w:r>
          </w:p>
        </w:tc>
      </w:tr>
      <w:tr>
        <w:trPr>
          <w:trHeight w:val="551" w:hRule="atLeast"/>
        </w:trPr>
        <w:tc>
          <w:tcPr>
            <w:tcW w:w="4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76" w:before="0" w:after="0"/>
              <w:ind w:left="107" w:right="799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b) Právny dôvod na zostavenie účtovnej</w:t>
            </w:r>
            <w:r>
              <w:rPr>
                <w:spacing w:val="-58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závierky</w:t>
            </w:r>
          </w:p>
        </w:tc>
        <w:tc>
          <w:tcPr>
            <w:tcW w:w="5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76" w:before="0" w:after="0"/>
              <w:ind w:hanging="502" w:left="626" w:right="3664"/>
              <w:jc w:val="left"/>
              <w:rPr>
                <w:sz w:val="24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drawing>
                <wp:inline distT="0" distB="0" distL="0" distR="0">
                  <wp:extent cx="155575" cy="155575"/>
                  <wp:effectExtent l="0" t="0" r="0" b="0"/>
                  <wp:docPr id="3" name="image1.png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image1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5575" cy="1555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>
              <w:rPr>
                <w:kern w:val="0"/>
                <w:sz w:val="20"/>
                <w:szCs w:val="22"/>
                <w:lang w:eastAsia="en-US" w:bidi="ar-SA"/>
              </w:rPr>
              <w:t xml:space="preserve">    </w:t>
            </w:r>
            <w:r>
              <w:rPr>
                <w:spacing w:val="7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riadna</w:t>
            </w:r>
            <w:r>
              <w:rPr>
                <w:spacing w:val="1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mimoriadna</w:t>
            </w:r>
          </w:p>
        </w:tc>
      </w:tr>
      <w:tr>
        <w:trPr>
          <w:trHeight w:val="553" w:hRule="atLeast"/>
        </w:trPr>
        <w:tc>
          <w:tcPr>
            <w:tcW w:w="4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atLeast" w:line="270" w:before="0" w:after="0"/>
              <w:ind w:left="107" w:right="1543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c) Účtovná jednotka je súčasťou</w:t>
            </w:r>
            <w:r>
              <w:rPr>
                <w:spacing w:val="-58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konsolidovaného</w:t>
            </w:r>
            <w:r>
              <w:rPr>
                <w:spacing w:val="-1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celku</w:t>
            </w:r>
          </w:p>
        </w:tc>
        <w:tc>
          <w:tcPr>
            <w:tcW w:w="5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atLeast" w:line="270" w:before="0" w:after="0"/>
              <w:ind w:hanging="502" w:left="626" w:right="4477"/>
              <w:jc w:val="left"/>
              <w:rPr>
                <w:sz w:val="24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drawing>
                <wp:inline distT="0" distB="0" distL="0" distR="0">
                  <wp:extent cx="155575" cy="155575"/>
                  <wp:effectExtent l="0" t="0" r="0" b="0"/>
                  <wp:docPr id="4" name="Obrázok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Obrázok2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5575" cy="1555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>
              <w:rPr>
                <w:kern w:val="0"/>
                <w:sz w:val="20"/>
                <w:szCs w:val="22"/>
                <w:lang w:eastAsia="en-US" w:bidi="ar-SA"/>
              </w:rPr>
              <w:t xml:space="preserve">    </w:t>
            </w:r>
            <w:r>
              <w:rPr>
                <w:spacing w:val="7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áno nie</w:t>
            </w:r>
          </w:p>
        </w:tc>
      </w:tr>
      <w:tr>
        <w:trPr>
          <w:trHeight w:val="551" w:hRule="atLeast"/>
        </w:trPr>
        <w:tc>
          <w:tcPr>
            <w:tcW w:w="4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76" w:before="0" w:after="0"/>
              <w:ind w:left="107" w:right="470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d) Účtovná jednotka je súčasťou súhrnného</w:t>
            </w:r>
            <w:r>
              <w:rPr>
                <w:spacing w:val="-57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celku</w:t>
            </w:r>
            <w:r>
              <w:rPr>
                <w:spacing w:val="-1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verejnej správy</w:t>
            </w:r>
          </w:p>
        </w:tc>
        <w:tc>
          <w:tcPr>
            <w:tcW w:w="5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76" w:before="0" w:after="0"/>
              <w:ind w:hanging="502" w:left="626" w:right="4477"/>
              <w:jc w:val="left"/>
              <w:rPr>
                <w:sz w:val="24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drawing>
                <wp:inline distT="0" distB="0" distL="0" distR="0">
                  <wp:extent cx="155575" cy="155575"/>
                  <wp:effectExtent l="0" t="0" r="0" b="0"/>
                  <wp:docPr id="5" name="Obrázok3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Obrázok3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5575" cy="1555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>
              <w:rPr>
                <w:kern w:val="0"/>
                <w:sz w:val="20"/>
                <w:szCs w:val="22"/>
                <w:lang w:eastAsia="en-US" w:bidi="ar-SA"/>
              </w:rPr>
              <w:t xml:space="preserve">    </w:t>
            </w:r>
            <w:r>
              <w:rPr>
                <w:spacing w:val="7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áno nie</w:t>
            </w:r>
          </w:p>
        </w:tc>
      </w:tr>
    </w:tbl>
    <w:p>
      <w:pPr>
        <w:pStyle w:val="BodyText"/>
        <w:spacing w:before="1" w:after="0"/>
        <w:rPr>
          <w:b/>
          <w:sz w:val="16"/>
        </w:rPr>
      </w:pPr>
      <w:r>
        <w:rPr>
          <w:b/>
          <w:sz w:val="16"/>
        </w:rPr>
      </w:r>
    </w:p>
    <w:p>
      <w:pPr>
        <w:pStyle w:val="ListParagraph"/>
        <w:numPr>
          <w:ilvl w:val="0"/>
          <w:numId w:val="5"/>
        </w:numPr>
        <w:tabs>
          <w:tab w:val="clear" w:pos="720"/>
          <w:tab w:val="left" w:pos="397" w:leader="none"/>
        </w:tabs>
        <w:spacing w:before="90" w:after="0"/>
        <w:ind w:hanging="285" w:left="396"/>
        <w:rPr>
          <w:b/>
          <w:sz w:val="24"/>
        </w:rPr>
      </w:pPr>
      <w:r>
        <mc:AlternateContent>
          <mc:Choice Requires="wps">
            <w:drawing>
              <wp:anchor behindDoc="1" distT="0" distB="0" distL="0" distR="0" simplePos="0" locked="0" layoutInCell="0" allowOverlap="1" relativeHeight="4" wp14:anchorId="1C8DAD1C">
                <wp:simplePos x="0" y="0"/>
                <wp:positionH relativeFrom="page">
                  <wp:posOffset>3839845</wp:posOffset>
                </wp:positionH>
                <wp:positionV relativeFrom="paragraph">
                  <wp:posOffset>-1000125</wp:posOffset>
                </wp:positionV>
                <wp:extent cx="146050" cy="146050"/>
                <wp:effectExtent l="4445" t="4445" r="4445" b="4445"/>
                <wp:wrapNone/>
                <wp:docPr id="6" name="Rectangle 6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6160" cy="146160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ctangle 6" path="m0,0l-2147483645,0l-2147483645,-2147483646l0,-2147483646xe" stroked="t" o:allowincell="f" style="position:absolute;margin-left:302.35pt;margin-top:-78.75pt;width:11.45pt;height:11.45pt;mso-wrap-style:none;v-text-anchor:middle;mso-position-horizontal-relative:page" wp14:anchorId="1C8DAD1C">
                <v:fill o:detectmouseclick="t" on="false"/>
                <v:stroke color="black" weight="9000" joinstyle="miter" endcap="flat"/>
                <w10:wrap type="none"/>
              </v:rect>
            </w:pict>
          </mc:Fallback>
        </mc:AlternateContent>
        <mc:AlternateContent>
          <mc:Choice Requires="wps">
            <w:drawing>
              <wp:anchor behindDoc="1" distT="0" distB="0" distL="0" distR="0" simplePos="0" locked="0" layoutInCell="0" allowOverlap="1" relativeHeight="5" wp14:anchorId="0236C625">
                <wp:simplePos x="0" y="0"/>
                <wp:positionH relativeFrom="page">
                  <wp:posOffset>3839845</wp:posOffset>
                </wp:positionH>
                <wp:positionV relativeFrom="paragraph">
                  <wp:posOffset>-641985</wp:posOffset>
                </wp:positionV>
                <wp:extent cx="146050" cy="146050"/>
                <wp:effectExtent l="4445" t="4445" r="4445" b="4445"/>
                <wp:wrapNone/>
                <wp:docPr id="7" name="Rectangle 5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6160" cy="146160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ctangle 5" path="m0,0l-2147483645,0l-2147483645,-2147483646l0,-2147483646xe" stroked="t" o:allowincell="f" style="position:absolute;margin-left:302.35pt;margin-top:-50.55pt;width:11.45pt;height:11.45pt;mso-wrap-style:none;v-text-anchor:middle;mso-position-horizontal-relative:page" wp14:anchorId="0236C625">
                <v:fill o:detectmouseclick="t" on="false"/>
                <v:stroke color="black" weight="9000" joinstyle="miter" endcap="flat"/>
                <w10:wrap type="none"/>
              </v:rect>
            </w:pict>
          </mc:Fallback>
        </mc:AlternateContent>
        <mc:AlternateContent>
          <mc:Choice Requires="wps">
            <w:drawing>
              <wp:anchor behindDoc="1" distT="0" distB="0" distL="0" distR="0" simplePos="0" locked="0" layoutInCell="0" allowOverlap="1" relativeHeight="6" wp14:anchorId="0A5C2B0C">
                <wp:simplePos x="0" y="0"/>
                <wp:positionH relativeFrom="page">
                  <wp:posOffset>3839845</wp:posOffset>
                </wp:positionH>
                <wp:positionV relativeFrom="paragraph">
                  <wp:posOffset>-285115</wp:posOffset>
                </wp:positionV>
                <wp:extent cx="146050" cy="146050"/>
                <wp:effectExtent l="4445" t="4445" r="4445" b="4445"/>
                <wp:wrapNone/>
                <wp:docPr id="8" name="Rectangle 4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6160" cy="146160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ctangle 4" path="m0,0l-2147483645,0l-2147483645,-2147483646l0,-2147483646xe" stroked="t" o:allowincell="f" style="position:absolute;margin-left:302.35pt;margin-top:-22.45pt;width:11.45pt;height:11.45pt;mso-wrap-style:none;v-text-anchor:middle;mso-position-horizontal-relative:page" wp14:anchorId="0A5C2B0C">
                <v:fill o:detectmouseclick="t" on="false"/>
                <v:stroke color="black" weight="9000" joinstyle="miter" endcap="flat"/>
                <w10:wrap type="none"/>
              </v:rect>
            </w:pict>
          </mc:Fallback>
        </mc:AlternateContent>
      </w:r>
      <w:r>
        <w:rPr>
          <w:b/>
          <w:sz w:val="24"/>
        </w:rPr>
        <w:t>Opis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činnosti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účtovnej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jednotky</w:t>
      </w:r>
    </w:p>
    <w:p>
      <w:pPr>
        <w:pStyle w:val="BodyText"/>
        <w:spacing w:before="1" w:after="0"/>
        <w:rPr>
          <w:b/>
        </w:rPr>
      </w:pPr>
      <w:r>
        <w:rPr>
          <w:b/>
        </w:rPr>
      </w:r>
    </w:p>
    <w:tbl>
      <w:tblPr>
        <w:tblStyle w:val="TableNormal"/>
        <w:tblW w:w="10263" w:type="dxa"/>
        <w:jc w:val="left"/>
        <w:tblInd w:w="118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firstRow="1" w:noVBand="0" w:lastRow="1" w:firstColumn="1" w:lastColumn="1" w:noHBand="0" w:val="01e0"/>
      </w:tblPr>
      <w:tblGrid>
        <w:gridCol w:w="4782"/>
        <w:gridCol w:w="5480"/>
      </w:tblGrid>
      <w:tr>
        <w:trPr>
          <w:trHeight w:val="1932" w:hRule="atLeast"/>
        </w:trPr>
        <w:tc>
          <w:tcPr>
            <w:tcW w:w="4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75" w:before="0" w:after="0"/>
              <w:ind w:left="107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Hlavná</w:t>
            </w:r>
            <w:r>
              <w:rPr>
                <w:spacing w:val="-3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činnosť</w:t>
            </w: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účtovnej</w:t>
            </w:r>
            <w:r>
              <w:rPr>
                <w:spacing w:val="1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jednotky</w:t>
            </w:r>
          </w:p>
        </w:tc>
        <w:tc>
          <w:tcPr>
            <w:tcW w:w="5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auto" w:line="240" w:before="0" w:after="0"/>
              <w:ind w:left="110" w:right="262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Základná škola podľa § 29 zákona č. 245/2008 Z.z,.</w:t>
            </w:r>
            <w:r>
              <w:rPr>
                <w:spacing w:val="1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o výchove a vzdelávaní (školský zákon) zabezpečuje</w:t>
            </w:r>
            <w:r>
              <w:rPr>
                <w:spacing w:val="-57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výchovu a vzdelávanie prostredníctvom školských</w:t>
            </w:r>
            <w:r>
              <w:rPr>
                <w:spacing w:val="1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vzdelávacích programov, ktoré poskytujú základné</w:t>
            </w:r>
            <w:r>
              <w:rPr>
                <w:spacing w:val="1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vzdelanie,</w:t>
            </w: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členiace</w:t>
            </w:r>
            <w:r>
              <w:rPr>
                <w:spacing w:val="-3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sa</w:t>
            </w:r>
            <w:r>
              <w:rPr>
                <w:spacing w:val="-4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na</w:t>
            </w: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primárne</w:t>
            </w:r>
            <w:r>
              <w:rPr>
                <w:spacing w:val="-4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vzdelávanie</w:t>
            </w: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(prvý</w:t>
            </w:r>
          </w:p>
          <w:p>
            <w:pPr>
              <w:pStyle w:val="TableParagraph"/>
              <w:widowControl w:val="false"/>
              <w:spacing w:lineRule="atLeast" w:line="270" w:before="0" w:after="0"/>
              <w:ind w:left="110" w:right="328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stupeň základnej školy) a nižšie stredné vzdelávanie</w:t>
            </w:r>
            <w:r>
              <w:rPr>
                <w:spacing w:val="-57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(druhý</w:t>
            </w:r>
            <w:r>
              <w:rPr>
                <w:spacing w:val="-1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stupeň základnej</w:t>
            </w:r>
            <w:r>
              <w:rPr>
                <w:spacing w:val="2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školy)</w:t>
            </w:r>
          </w:p>
        </w:tc>
      </w:tr>
    </w:tbl>
    <w:p>
      <w:pPr>
        <w:pStyle w:val="BodyText"/>
        <w:spacing w:before="10" w:after="0"/>
        <w:rPr>
          <w:b/>
          <w:sz w:val="23"/>
        </w:rPr>
      </w:pPr>
      <w:r>
        <w:rPr>
          <w:b/>
          <w:sz w:val="23"/>
        </w:rPr>
      </w:r>
    </w:p>
    <w:p>
      <w:pPr>
        <w:pStyle w:val="ListParagraph"/>
        <w:numPr>
          <w:ilvl w:val="0"/>
          <w:numId w:val="5"/>
        </w:numPr>
        <w:tabs>
          <w:tab w:val="clear" w:pos="720"/>
          <w:tab w:val="left" w:pos="397" w:leader="none"/>
        </w:tabs>
        <w:ind w:hanging="285" w:left="396"/>
        <w:rPr>
          <w:b/>
          <w:sz w:val="24"/>
        </w:rPr>
      </w:pPr>
      <w:r>
        <w:rPr>
          <w:b/>
          <w:sz w:val="24"/>
        </w:rPr>
        <w:t>Informácie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o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štatutárnych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zástupcoch a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o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organizačnej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štruktúre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účtovnej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jednotky</w:t>
      </w:r>
    </w:p>
    <w:p>
      <w:pPr>
        <w:pStyle w:val="BodyText"/>
        <w:spacing w:before="1" w:after="0"/>
        <w:rPr>
          <w:b/>
        </w:rPr>
      </w:pPr>
      <w:r>
        <w:rPr>
          <w:b/>
        </w:rPr>
      </w:r>
    </w:p>
    <w:tbl>
      <w:tblPr>
        <w:tblStyle w:val="TableNormal"/>
        <w:tblW w:w="10263" w:type="dxa"/>
        <w:jc w:val="left"/>
        <w:tblInd w:w="118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firstRow="1" w:noVBand="0" w:lastRow="1" w:firstColumn="1" w:lastColumn="1" w:noHBand="0" w:val="01e0"/>
      </w:tblPr>
      <w:tblGrid>
        <w:gridCol w:w="4782"/>
        <w:gridCol w:w="5480"/>
      </w:tblGrid>
      <w:tr>
        <w:trPr>
          <w:trHeight w:val="551" w:hRule="atLeast"/>
        </w:trPr>
        <w:tc>
          <w:tcPr>
            <w:tcW w:w="4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76" w:before="0" w:after="0"/>
              <w:ind w:left="107" w:right="793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Štatutárny zástupca (meno a priezvisko)</w:t>
            </w:r>
            <w:r>
              <w:rPr>
                <w:spacing w:val="-57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Funkcia</w:t>
            </w:r>
          </w:p>
        </w:tc>
        <w:tc>
          <w:tcPr>
            <w:tcW w:w="5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76" w:before="0" w:after="0"/>
              <w:ind w:left="110" w:right="2984"/>
              <w:jc w:val="left"/>
              <w:rPr>
                <w:color w:val="FF0000"/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Mgr. Iveta Markovičová</w:t>
            </w:r>
            <w:r>
              <w:rPr>
                <w:spacing w:val="-8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riaditeľka</w:t>
            </w:r>
            <w:r>
              <w:rPr>
                <w:spacing w:val="-9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školy</w:t>
            </w:r>
          </w:p>
        </w:tc>
      </w:tr>
      <w:tr>
        <w:trPr>
          <w:trHeight w:val="564" w:hRule="atLeast"/>
        </w:trPr>
        <w:tc>
          <w:tcPr>
            <w:tcW w:w="4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76" w:before="0" w:after="0"/>
              <w:ind w:left="107" w:right="1056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Priemerný</w:t>
            </w:r>
            <w:r>
              <w:rPr>
                <w:spacing w:val="-7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počet</w:t>
            </w:r>
            <w:r>
              <w:rPr>
                <w:spacing w:val="-4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zamestnancov</w:t>
            </w:r>
            <w:r>
              <w:rPr>
                <w:spacing w:val="-6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počas</w:t>
            </w:r>
            <w:r>
              <w:rPr>
                <w:spacing w:val="-57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účtovného</w:t>
            </w:r>
            <w:r>
              <w:rPr>
                <w:spacing w:val="-1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obdobia</w:t>
            </w:r>
          </w:p>
        </w:tc>
        <w:tc>
          <w:tcPr>
            <w:tcW w:w="5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75" w:before="0" w:after="0"/>
              <w:ind w:left="110"/>
              <w:jc w:val="left"/>
              <w:rPr>
                <w:color w:val="FF0000"/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13,5</w:t>
            </w:r>
          </w:p>
        </w:tc>
      </w:tr>
      <w:tr>
        <w:trPr>
          <w:trHeight w:val="1170" w:hRule="atLeast"/>
        </w:trPr>
        <w:tc>
          <w:tcPr>
            <w:tcW w:w="4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auto" w:line="240" w:before="0" w:after="0"/>
              <w:ind w:left="107" w:right="259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Počet zamestnancov ku dňu, ku ktorému sa</w:t>
            </w:r>
            <w:r>
              <w:rPr>
                <w:spacing w:val="1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zostavuje účtovná závierka účtovnej jednotky</w:t>
            </w:r>
            <w:r>
              <w:rPr>
                <w:spacing w:val="-58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z</w:t>
            </w:r>
            <w:r>
              <w:rPr>
                <w:spacing w:val="-1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toho:</w:t>
            </w:r>
          </w:p>
          <w:p>
            <w:pPr>
              <w:pStyle w:val="TableParagraph"/>
              <w:widowControl w:val="false"/>
              <w:spacing w:lineRule="auto" w:line="240" w:before="0" w:after="0"/>
              <w:ind w:left="141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- počet</w:t>
            </w:r>
            <w:r>
              <w:rPr>
                <w:spacing w:val="-1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vedúcich</w:t>
            </w:r>
            <w:r>
              <w:rPr>
                <w:spacing w:val="-1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zamestnancov</w:t>
            </w:r>
          </w:p>
        </w:tc>
        <w:tc>
          <w:tcPr>
            <w:tcW w:w="5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auto" w:line="240" w:before="0" w:after="0"/>
              <w:jc w:val="left"/>
              <w:rPr>
                <w:b/>
                <w:color w:val="FF0000"/>
                <w:sz w:val="26"/>
              </w:rPr>
            </w:pPr>
            <w:r>
              <w:rPr>
                <w:b/>
                <w:color w:val="FF0000"/>
                <w:kern w:val="0"/>
                <w:sz w:val="26"/>
                <w:szCs w:val="22"/>
                <w:lang w:eastAsia="en-US" w:bidi="ar-SA"/>
              </w:rPr>
            </w:r>
          </w:p>
          <w:p>
            <w:pPr>
              <w:pStyle w:val="TableParagraph"/>
              <w:widowControl w:val="false"/>
              <w:spacing w:lineRule="auto" w:line="240" w:before="10" w:after="0"/>
              <w:jc w:val="left"/>
              <w:rPr>
                <w:b/>
                <w:color w:val="FF0000"/>
                <w:sz w:val="21"/>
              </w:rPr>
            </w:pPr>
            <w:r>
              <w:rPr>
                <w:b/>
                <w:color w:val="FF0000"/>
                <w:kern w:val="0"/>
                <w:sz w:val="21"/>
                <w:szCs w:val="22"/>
                <w:lang w:eastAsia="en-US" w:bidi="ar-SA"/>
              </w:rPr>
            </w:r>
          </w:p>
          <w:p>
            <w:pPr>
              <w:pStyle w:val="TableParagraph"/>
              <w:widowControl w:val="false"/>
              <w:spacing w:lineRule="auto" w:line="240" w:before="0" w:after="0"/>
              <w:ind w:left="110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15 /z toho 1 na dlhodobej PN a 1 na MD/</w:t>
            </w:r>
          </w:p>
          <w:p>
            <w:pPr>
              <w:pStyle w:val="TableParagraph"/>
              <w:widowControl w:val="false"/>
              <w:spacing w:lineRule="auto" w:line="240" w:before="0" w:after="0"/>
              <w:ind w:left="230"/>
              <w:jc w:val="left"/>
              <w:rPr>
                <w:color w:val="FF0000"/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1</w:t>
            </w:r>
          </w:p>
        </w:tc>
      </w:tr>
    </w:tbl>
    <w:p>
      <w:pPr>
        <w:pStyle w:val="BodyText"/>
        <w:rPr>
          <w:b/>
          <w:sz w:val="26"/>
        </w:rPr>
      </w:pPr>
      <w:r>
        <w:rPr>
          <w:b/>
          <w:sz w:val="26"/>
        </w:rPr>
      </w:r>
    </w:p>
    <w:p>
      <w:pPr>
        <w:pStyle w:val="BodyText"/>
        <w:spacing w:before="10" w:after="0"/>
        <w:rPr>
          <w:b/>
          <w:sz w:val="21"/>
        </w:rPr>
      </w:pPr>
      <w:r>
        <w:rPr>
          <w:b/>
          <w:sz w:val="21"/>
        </w:rPr>
      </w:r>
    </w:p>
    <w:p>
      <w:pPr>
        <w:pStyle w:val="Normal"/>
        <w:ind w:left="2303" w:right="2355"/>
        <w:jc w:val="center"/>
        <w:rPr>
          <w:b/>
          <w:sz w:val="24"/>
        </w:rPr>
      </w:pPr>
      <w:r>
        <w:rPr>
          <w:b/>
          <w:sz w:val="24"/>
        </w:rPr>
        <w:t>Čl.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II</w:t>
      </w:r>
    </w:p>
    <w:p>
      <w:pPr>
        <w:pStyle w:val="Normal"/>
        <w:ind w:left="2303" w:right="2355"/>
        <w:jc w:val="center"/>
        <w:rPr>
          <w:b/>
          <w:sz w:val="24"/>
        </w:rPr>
      </w:pPr>
      <w:r>
        <w:rPr>
          <w:b/>
          <w:sz w:val="24"/>
        </w:rPr>
        <w:t>Informácie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o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účtovných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zásadách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a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účtovných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metódach</w:t>
      </w:r>
    </w:p>
    <w:p>
      <w:pPr>
        <w:pStyle w:val="BodyText"/>
        <w:rPr>
          <w:b/>
        </w:rPr>
      </w:pPr>
      <w:r>
        <w:rPr>
          <w:b/>
        </w:rPr>
      </w:r>
    </w:p>
    <w:p>
      <w:pPr>
        <w:pStyle w:val="ListParagraph"/>
        <w:numPr>
          <w:ilvl w:val="0"/>
          <w:numId w:val="4"/>
        </w:numPr>
        <w:tabs>
          <w:tab w:val="clear" w:pos="720"/>
          <w:tab w:val="left" w:pos="397" w:leader="none"/>
          <w:tab w:val="left" w:pos="7398" w:leader="none"/>
          <w:tab w:val="left" w:pos="9109" w:leader="none"/>
        </w:tabs>
        <w:spacing w:before="0" w:after="0"/>
        <w:ind w:hanging="284" w:left="396" w:right="168"/>
        <w:rPr>
          <w:b/>
        </w:rPr>
      </w:pPr>
      <w:r>
        <mc:AlternateContent>
          <mc:Choice Requires="wps">
            <w:drawing>
              <wp:anchor behindDoc="1" distT="0" distB="0" distL="0" distR="0" simplePos="0" locked="0" layoutInCell="0" allowOverlap="1" relativeHeight="7" wp14:anchorId="0CEC2848">
                <wp:simplePos x="0" y="0"/>
                <wp:positionH relativeFrom="page">
                  <wp:posOffset>6216015</wp:posOffset>
                </wp:positionH>
                <wp:positionV relativeFrom="paragraph">
                  <wp:posOffset>201930</wp:posOffset>
                </wp:positionV>
                <wp:extent cx="130810" cy="131445"/>
                <wp:effectExtent l="4445" t="5080" r="4445" b="3810"/>
                <wp:wrapNone/>
                <wp:docPr id="9" name="Rectangle 3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0680" cy="131400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ctangle 3" path="m0,0l-2147483645,0l-2147483645,-2147483646l0,-2147483646xe" stroked="t" o:allowincell="f" style="position:absolute;margin-left:489.45pt;margin-top:15.9pt;width:10.25pt;height:10.3pt;mso-wrap-style:none;v-text-anchor:middle;mso-position-horizontal-relative:page" wp14:anchorId="0CEC2848">
                <v:fill o:detectmouseclick="t" on="false"/>
                <v:stroke color="black" weight="9000" joinstyle="miter" endcap="flat"/>
                <w10:wrap type="none"/>
              </v:rect>
            </w:pict>
          </mc:Fallback>
        </mc:AlternateContent>
      </w:r>
      <w:r>
        <w:rPr>
          <w:b/>
          <w:sz w:val="24"/>
        </w:rPr>
        <w:t>Účtovná</w:t>
      </w:r>
      <w:r>
        <w:rPr>
          <w:b/>
          <w:spacing w:val="41"/>
          <w:sz w:val="24"/>
        </w:rPr>
        <w:t xml:space="preserve"> </w:t>
      </w:r>
      <w:r>
        <w:rPr>
          <w:b/>
          <w:sz w:val="24"/>
        </w:rPr>
        <w:t>závierka</w:t>
      </w:r>
      <w:r>
        <w:rPr>
          <w:b/>
          <w:spacing w:val="40"/>
          <w:sz w:val="24"/>
        </w:rPr>
        <w:t xml:space="preserve"> </w:t>
      </w:r>
      <w:r>
        <w:rPr>
          <w:b/>
          <w:sz w:val="24"/>
        </w:rPr>
        <w:t>je</w:t>
      </w:r>
      <w:r>
        <w:rPr>
          <w:b/>
          <w:spacing w:val="42"/>
          <w:sz w:val="24"/>
        </w:rPr>
        <w:t xml:space="preserve"> </w:t>
      </w:r>
      <w:r>
        <w:rPr>
          <w:b/>
          <w:sz w:val="24"/>
        </w:rPr>
        <w:t>zostavená</w:t>
      </w:r>
      <w:r>
        <w:rPr>
          <w:b/>
          <w:spacing w:val="40"/>
          <w:sz w:val="24"/>
        </w:rPr>
        <w:t xml:space="preserve"> </w:t>
      </w:r>
      <w:r>
        <w:rPr>
          <w:b/>
          <w:sz w:val="24"/>
        </w:rPr>
        <w:t>za</w:t>
      </w:r>
      <w:r>
        <w:rPr>
          <w:b/>
          <w:spacing w:val="44"/>
          <w:sz w:val="24"/>
        </w:rPr>
        <w:t xml:space="preserve"> </w:t>
      </w:r>
      <w:r>
        <w:rPr>
          <w:b/>
          <w:sz w:val="24"/>
        </w:rPr>
        <w:t>splnenia</w:t>
      </w:r>
      <w:r>
        <w:rPr>
          <w:b/>
          <w:spacing w:val="43"/>
          <w:sz w:val="24"/>
        </w:rPr>
        <w:t xml:space="preserve"> </w:t>
      </w:r>
      <w:r>
        <w:rPr>
          <w:b/>
          <w:sz w:val="24"/>
        </w:rPr>
        <w:t>predpokladu</w:t>
      </w:r>
      <w:r>
        <w:rPr>
          <w:b/>
          <w:spacing w:val="41"/>
          <w:sz w:val="24"/>
        </w:rPr>
        <w:t xml:space="preserve"> </w:t>
      </w:r>
      <w:r>
        <w:rPr>
          <w:b/>
          <w:sz w:val="24"/>
        </w:rPr>
        <w:t>nepretržitého</w:t>
      </w:r>
      <w:r>
        <w:rPr>
          <w:b/>
          <w:spacing w:val="40"/>
          <w:sz w:val="24"/>
        </w:rPr>
        <w:t xml:space="preserve"> </w:t>
      </w:r>
      <w:r>
        <w:rPr>
          <w:b/>
          <w:sz w:val="24"/>
        </w:rPr>
        <w:t>pokračovania</w:t>
      </w:r>
      <w:r>
        <w:rPr>
          <w:b/>
          <w:spacing w:val="42"/>
          <w:sz w:val="24"/>
        </w:rPr>
        <w:t xml:space="preserve"> </w:t>
      </w:r>
      <w:r>
        <w:rPr>
          <w:b/>
          <w:sz w:val="24"/>
        </w:rPr>
        <w:t>účtovnej</w:t>
      </w:r>
      <w:r>
        <w:rPr>
          <w:b/>
          <w:spacing w:val="-57"/>
          <w:sz w:val="24"/>
        </w:rPr>
        <w:t xml:space="preserve"> </w:t>
      </w:r>
      <w:r>
        <w:rPr>
          <w:b/>
          <w:sz w:val="24"/>
        </w:rPr>
        <w:t>jednotky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vo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svojej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činnosti</w:t>
        <w:tab/>
      </w:r>
      <w:r>
        <w:rPr/>
        <w:drawing>
          <wp:inline distT="0" distB="0" distL="0" distR="0">
            <wp:extent cx="140335" cy="140335"/>
            <wp:effectExtent l="0" t="0" r="0" b="0"/>
            <wp:docPr id="10" name="image2.png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2.png" descr="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335" cy="1403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sz w:val="24"/>
        </w:rPr>
        <w:t xml:space="preserve"> </w:t>
      </w:r>
      <w:r>
        <w:rPr>
          <w:spacing w:val="7"/>
          <w:sz w:val="24"/>
        </w:rPr>
        <w:t xml:space="preserve"> </w:t>
      </w:r>
      <w:r>
        <w:rPr>
          <w:b/>
        </w:rPr>
        <w:t>áno</w:t>
        <w:tab/>
        <w:t>nie</w:t>
      </w:r>
    </w:p>
    <w:p>
      <w:pPr>
        <w:sectPr>
          <w:type w:val="continuous"/>
          <w:pgSz w:w="11906" w:h="16838"/>
          <w:pgMar w:left="1020" w:right="400" w:gutter="0" w:header="0" w:top="760" w:footer="650" w:bottom="840"/>
          <w:formProt w:val="false"/>
          <w:textDirection w:val="lrTb"/>
          <w:docGrid w:type="default" w:linePitch="312" w:charSpace="4294965247"/>
        </w:sectPr>
      </w:pPr>
    </w:p>
    <w:p>
      <w:pPr>
        <w:pStyle w:val="ListParagraph"/>
        <w:numPr>
          <w:ilvl w:val="0"/>
          <w:numId w:val="4"/>
        </w:numPr>
        <w:tabs>
          <w:tab w:val="clear" w:pos="720"/>
          <w:tab w:val="left" w:pos="397" w:leader="none"/>
        </w:tabs>
        <w:spacing w:before="72" w:after="0"/>
        <w:ind w:hanging="285" w:left="396"/>
        <w:rPr>
          <w:b/>
          <w:sz w:val="24"/>
        </w:rPr>
      </w:pPr>
      <w:r>
        <w:rPr>
          <w:b/>
          <w:sz w:val="24"/>
        </w:rPr>
        <w:t>Zmeny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účtovných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metód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a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účtovných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zásad</w:t>
      </w:r>
    </w:p>
    <w:p>
      <w:pPr>
        <w:pStyle w:val="BodyText"/>
        <w:tabs>
          <w:tab w:val="clear" w:pos="720"/>
          <w:tab w:val="left" w:pos="7782" w:leader="none"/>
          <w:tab w:val="left" w:pos="8800" w:leader="none"/>
        </w:tabs>
        <w:ind w:left="396" w:right="168"/>
        <w:rPr>
          <w:b/>
          <w:sz w:val="22"/>
        </w:rPr>
      </w:pPr>
      <w:r>
        <mc:AlternateContent>
          <mc:Choice Requires="wps">
            <w:drawing>
              <wp:anchor behindDoc="1" distT="0" distB="0" distL="0" distR="0" simplePos="0" locked="0" layoutInCell="0" allowOverlap="1" relativeHeight="8" wp14:anchorId="517AAE89">
                <wp:simplePos x="0" y="0"/>
                <wp:positionH relativeFrom="page">
                  <wp:posOffset>5372735</wp:posOffset>
                </wp:positionH>
                <wp:positionV relativeFrom="paragraph">
                  <wp:posOffset>201930</wp:posOffset>
                </wp:positionV>
                <wp:extent cx="130810" cy="131445"/>
                <wp:effectExtent l="4445" t="5080" r="4445" b="3810"/>
                <wp:wrapNone/>
                <wp:docPr id="11" name="Rectangle 2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0680" cy="131400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ctangle 2" path="m0,0l-2147483645,0l-2147483645,-2147483646l0,-2147483646xe" stroked="t" o:allowincell="f" style="position:absolute;margin-left:423.05pt;margin-top:15.9pt;width:10.25pt;height:10.3pt;mso-wrap-style:none;v-text-anchor:middle;mso-position-horizontal-relative:page" wp14:anchorId="517AAE89">
                <v:fill o:detectmouseclick="t" on="false"/>
                <v:stroke color="black" weight="9000" joinstyle="miter" endcap="flat"/>
                <w10:wrap type="none"/>
              </v:rect>
            </w:pict>
          </mc:Fallback>
        </mc:AlternateContent>
      </w:r>
      <w:r>
        <w:rPr/>
        <w:t>Účtovná</w:t>
      </w:r>
      <w:r>
        <w:rPr>
          <w:spacing w:val="5"/>
        </w:rPr>
        <w:t xml:space="preserve"> </w:t>
      </w:r>
      <w:r>
        <w:rPr/>
        <w:t>jednotka</w:t>
      </w:r>
      <w:r>
        <w:rPr>
          <w:spacing w:val="4"/>
        </w:rPr>
        <w:t xml:space="preserve"> </w:t>
      </w:r>
      <w:r>
        <w:rPr/>
        <w:t>zmenila</w:t>
      </w:r>
      <w:r>
        <w:rPr>
          <w:spacing w:val="4"/>
        </w:rPr>
        <w:t xml:space="preserve"> </w:t>
      </w:r>
      <w:r>
        <w:rPr/>
        <w:t>účtovné</w:t>
      </w:r>
      <w:r>
        <w:rPr>
          <w:spacing w:val="5"/>
        </w:rPr>
        <w:t xml:space="preserve"> </w:t>
      </w:r>
      <w:r>
        <w:rPr/>
        <w:t>metódy,</w:t>
      </w:r>
      <w:r>
        <w:rPr>
          <w:spacing w:val="6"/>
        </w:rPr>
        <w:t xml:space="preserve"> </w:t>
      </w:r>
      <w:r>
        <w:rPr/>
        <w:t>účtovné</w:t>
      </w:r>
      <w:r>
        <w:rPr>
          <w:spacing w:val="4"/>
        </w:rPr>
        <w:t xml:space="preserve"> </w:t>
      </w:r>
      <w:r>
        <w:rPr/>
        <w:t>zásady</w:t>
      </w:r>
      <w:r>
        <w:rPr>
          <w:spacing w:val="5"/>
        </w:rPr>
        <w:t xml:space="preserve"> </w:t>
      </w:r>
      <w:r>
        <w:rPr/>
        <w:t>oproti</w:t>
      </w:r>
      <w:r>
        <w:rPr>
          <w:spacing w:val="5"/>
        </w:rPr>
        <w:t xml:space="preserve"> </w:t>
      </w:r>
      <w:r>
        <w:rPr/>
        <w:t>predchádzajúcemu</w:t>
      </w:r>
      <w:r>
        <w:rPr>
          <w:spacing w:val="6"/>
        </w:rPr>
        <w:t xml:space="preserve"> </w:t>
      </w:r>
      <w:r>
        <w:rPr/>
        <w:t>účtovnému</w:t>
      </w:r>
      <w:r>
        <w:rPr>
          <w:spacing w:val="-57"/>
        </w:rPr>
        <w:t xml:space="preserve"> </w:t>
      </w:r>
      <w:r>
        <w:rPr/>
        <w:t>obdobiu</w:t>
        <w:tab/>
      </w:r>
      <w:r>
        <w:rPr>
          <w:b/>
          <w:sz w:val="22"/>
        </w:rPr>
        <w:t>áno</w:t>
        <w:tab/>
      </w:r>
      <w:r>
        <w:rPr/>
        <w:drawing>
          <wp:inline distT="0" distB="0" distL="0" distR="0">
            <wp:extent cx="140335" cy="140335"/>
            <wp:effectExtent l="0" t="0" r="0" b="0"/>
            <wp:docPr id="12" name="image3.png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3.png" descr="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335" cy="1403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sz w:val="22"/>
        </w:rPr>
        <w:t xml:space="preserve"> </w:t>
      </w:r>
      <w:r>
        <w:rPr>
          <w:spacing w:val="17"/>
          <w:sz w:val="22"/>
        </w:rPr>
        <w:t xml:space="preserve"> </w:t>
      </w:r>
      <w:r>
        <w:rPr>
          <w:b/>
          <w:sz w:val="22"/>
        </w:rPr>
        <w:t>nie</w:t>
      </w:r>
    </w:p>
    <w:p>
      <w:pPr>
        <w:pStyle w:val="BodyText"/>
        <w:rPr>
          <w:b/>
          <w:sz w:val="22"/>
        </w:rPr>
      </w:pPr>
      <w:r>
        <w:rPr>
          <w:b/>
          <w:sz w:val="22"/>
        </w:rPr>
      </w:r>
    </w:p>
    <w:p>
      <w:pPr>
        <w:pStyle w:val="ListParagraph"/>
        <w:numPr>
          <w:ilvl w:val="0"/>
          <w:numId w:val="4"/>
        </w:numPr>
        <w:tabs>
          <w:tab w:val="clear" w:pos="720"/>
          <w:tab w:val="left" w:pos="397" w:leader="none"/>
        </w:tabs>
        <w:ind w:hanging="285" w:left="396"/>
        <w:rPr>
          <w:b/>
          <w:sz w:val="24"/>
        </w:rPr>
      </w:pPr>
      <w:r>
        <w:rPr>
          <w:b/>
          <w:sz w:val="24"/>
        </w:rPr>
        <w:t>Spôsob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ocenenia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jednotlivých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položiek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majetku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a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záväzkov</w:t>
      </w:r>
    </w:p>
    <w:p>
      <w:pPr>
        <w:pStyle w:val="BodyText"/>
        <w:spacing w:before="1" w:after="0"/>
        <w:rPr>
          <w:b/>
        </w:rPr>
      </w:pPr>
      <w:r>
        <w:rPr>
          <w:b/>
        </w:rPr>
      </w:r>
    </w:p>
    <w:tbl>
      <w:tblPr>
        <w:tblStyle w:val="TableNormal"/>
        <w:tblW w:w="10263" w:type="dxa"/>
        <w:jc w:val="left"/>
        <w:tblInd w:w="118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firstRow="1" w:noVBand="0" w:lastRow="1" w:firstColumn="1" w:lastColumn="1" w:noHBand="0" w:val="01e0"/>
      </w:tblPr>
      <w:tblGrid>
        <w:gridCol w:w="6380"/>
        <w:gridCol w:w="3882"/>
      </w:tblGrid>
      <w:tr>
        <w:trPr>
          <w:trHeight w:val="275" w:hRule="atLeast"/>
        </w:trPr>
        <w:tc>
          <w:tcPr>
            <w:tcW w:w="6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1F1F1" w:val="clear"/>
          </w:tcPr>
          <w:p>
            <w:pPr>
              <w:pStyle w:val="TableParagraph"/>
              <w:widowControl w:val="false"/>
              <w:spacing w:lineRule="exact" w:line="256" w:before="0" w:after="0"/>
              <w:ind w:left="2762" w:right="2755"/>
              <w:jc w:val="center"/>
              <w:rPr>
                <w:b/>
                <w:sz w:val="24"/>
              </w:rPr>
            </w:pPr>
            <w:r>
              <w:rPr>
                <w:b/>
                <w:kern w:val="0"/>
                <w:sz w:val="24"/>
                <w:szCs w:val="22"/>
                <w:lang w:eastAsia="en-US" w:bidi="ar-SA"/>
              </w:rPr>
              <w:t>Položky</w:t>
            </w:r>
          </w:p>
        </w:tc>
        <w:tc>
          <w:tcPr>
            <w:tcW w:w="3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1F1F1" w:val="clear"/>
          </w:tcPr>
          <w:p>
            <w:pPr>
              <w:pStyle w:val="TableParagraph"/>
              <w:widowControl w:val="false"/>
              <w:spacing w:lineRule="exact" w:line="256" w:before="0" w:after="0"/>
              <w:ind w:left="968"/>
              <w:jc w:val="left"/>
              <w:rPr>
                <w:b/>
                <w:sz w:val="24"/>
              </w:rPr>
            </w:pPr>
            <w:r>
              <w:rPr>
                <w:b/>
                <w:kern w:val="0"/>
                <w:sz w:val="24"/>
                <w:szCs w:val="22"/>
                <w:lang w:eastAsia="en-US" w:bidi="ar-SA"/>
              </w:rPr>
              <w:t>Spôsob</w:t>
            </w:r>
            <w:r>
              <w:rPr>
                <w:b/>
                <w:spacing w:val="-1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24"/>
                <w:szCs w:val="22"/>
                <w:lang w:eastAsia="en-US" w:bidi="ar-SA"/>
              </w:rPr>
              <w:t>oceňovania</w:t>
            </w:r>
          </w:p>
        </w:tc>
      </w:tr>
      <w:tr>
        <w:trPr>
          <w:trHeight w:val="275" w:hRule="atLeast"/>
        </w:trPr>
        <w:tc>
          <w:tcPr>
            <w:tcW w:w="6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56" w:before="0" w:after="0"/>
              <w:ind w:left="107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a)</w:t>
            </w:r>
            <w:r>
              <w:rPr>
                <w:spacing w:val="36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dlhodobý nehmotný</w:t>
            </w:r>
            <w:r>
              <w:rPr>
                <w:spacing w:val="-1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majetok</w:t>
            </w:r>
            <w:r>
              <w:rPr>
                <w:spacing w:val="-1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nakupovaný</w:t>
            </w:r>
          </w:p>
        </w:tc>
        <w:tc>
          <w:tcPr>
            <w:tcW w:w="3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56" w:before="0" w:after="0"/>
              <w:ind w:left="107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obstarávacou</w:t>
            </w: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cenou</w:t>
            </w:r>
          </w:p>
        </w:tc>
      </w:tr>
      <w:tr>
        <w:trPr>
          <w:trHeight w:val="275" w:hRule="atLeast"/>
        </w:trPr>
        <w:tc>
          <w:tcPr>
            <w:tcW w:w="6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56" w:before="0" w:after="0"/>
              <w:ind w:left="107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b)</w:t>
            </w:r>
            <w:r>
              <w:rPr>
                <w:spacing w:val="22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dlhodobý</w:t>
            </w:r>
            <w:r>
              <w:rPr>
                <w:spacing w:val="-1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nehmotný majetok vytvorený vlastnou</w:t>
            </w:r>
            <w:r>
              <w:rPr>
                <w:spacing w:val="-1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činnosťou</w:t>
            </w:r>
          </w:p>
        </w:tc>
        <w:tc>
          <w:tcPr>
            <w:tcW w:w="3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56" w:before="0" w:after="0"/>
              <w:ind w:left="107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vlastnými</w:t>
            </w:r>
            <w:r>
              <w:rPr>
                <w:spacing w:val="-1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nákladmi</w:t>
            </w:r>
          </w:p>
        </w:tc>
      </w:tr>
      <w:tr>
        <w:trPr>
          <w:trHeight w:val="278" w:hRule="atLeast"/>
        </w:trPr>
        <w:tc>
          <w:tcPr>
            <w:tcW w:w="6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57" w:before="1" w:after="0"/>
              <w:ind w:left="107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c)</w:t>
            </w:r>
            <w:r>
              <w:rPr>
                <w:spacing w:val="36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dlhodobý hmotný</w:t>
            </w:r>
            <w:r>
              <w:rPr>
                <w:spacing w:val="-1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majetok</w:t>
            </w:r>
            <w:r>
              <w:rPr>
                <w:spacing w:val="-1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nakupovaný</w:t>
            </w:r>
          </w:p>
        </w:tc>
        <w:tc>
          <w:tcPr>
            <w:tcW w:w="3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57" w:before="1" w:after="0"/>
              <w:ind w:left="107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obstarávacou</w:t>
            </w: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cenou</w:t>
            </w:r>
          </w:p>
        </w:tc>
      </w:tr>
      <w:tr>
        <w:trPr>
          <w:trHeight w:val="275" w:hRule="atLeast"/>
        </w:trPr>
        <w:tc>
          <w:tcPr>
            <w:tcW w:w="6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56" w:before="0" w:after="0"/>
              <w:ind w:left="107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d)</w:t>
            </w:r>
            <w:r>
              <w:rPr>
                <w:spacing w:val="22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dlhodobý hmotný majetok</w:t>
            </w:r>
            <w:r>
              <w:rPr>
                <w:spacing w:val="-1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vytvorený vlastnou činnosťou</w:t>
            </w:r>
          </w:p>
        </w:tc>
        <w:tc>
          <w:tcPr>
            <w:tcW w:w="3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56" w:before="0" w:after="0"/>
              <w:ind w:left="107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vlastnými</w:t>
            </w:r>
            <w:r>
              <w:rPr>
                <w:spacing w:val="-1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nákladmi</w:t>
            </w:r>
          </w:p>
        </w:tc>
      </w:tr>
      <w:tr>
        <w:trPr>
          <w:trHeight w:val="551" w:hRule="atLeast"/>
        </w:trPr>
        <w:tc>
          <w:tcPr>
            <w:tcW w:w="6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76" w:before="0" w:after="0"/>
              <w:ind w:hanging="284" w:left="391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e)</w:t>
            </w:r>
            <w:r>
              <w:rPr>
                <w:spacing w:val="34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dlhodobý</w:t>
            </w: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nehmotný</w:t>
            </w: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majetok</w:t>
            </w: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a</w:t>
            </w:r>
            <w:r>
              <w:rPr>
                <w:spacing w:val="-3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dlhodobý</w:t>
            </w: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hmotný</w:t>
            </w: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majetok</w:t>
            </w:r>
            <w:r>
              <w:rPr>
                <w:spacing w:val="-57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získaný</w:t>
            </w:r>
            <w:r>
              <w:rPr>
                <w:spacing w:val="-1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bezodplatne</w:t>
            </w:r>
          </w:p>
        </w:tc>
        <w:tc>
          <w:tcPr>
            <w:tcW w:w="3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75" w:before="0" w:after="0"/>
              <w:ind w:left="107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reálnou</w:t>
            </w: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hodnotou</w:t>
            </w:r>
          </w:p>
        </w:tc>
      </w:tr>
      <w:tr>
        <w:trPr>
          <w:trHeight w:val="275" w:hRule="atLeast"/>
        </w:trPr>
        <w:tc>
          <w:tcPr>
            <w:tcW w:w="6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55" w:before="0" w:after="0"/>
              <w:ind w:left="107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f)</w:t>
            </w:r>
            <w:r>
              <w:rPr>
                <w:spacing w:val="4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dlhodobý</w:t>
            </w:r>
            <w:r>
              <w:rPr>
                <w:spacing w:val="-1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finančný majetok</w:t>
            </w:r>
          </w:p>
        </w:tc>
        <w:tc>
          <w:tcPr>
            <w:tcW w:w="3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55" w:before="0" w:after="0"/>
              <w:ind w:left="107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obstarávacou</w:t>
            </w: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cenou</w:t>
            </w:r>
          </w:p>
        </w:tc>
      </w:tr>
      <w:tr>
        <w:trPr>
          <w:trHeight w:val="276" w:hRule="atLeast"/>
        </w:trPr>
        <w:tc>
          <w:tcPr>
            <w:tcW w:w="6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56" w:before="0" w:after="0"/>
              <w:ind w:left="107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g)</w:t>
            </w:r>
            <w:r>
              <w:rPr>
                <w:spacing w:val="21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zásoby</w:t>
            </w: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nakupované</w:t>
            </w:r>
          </w:p>
        </w:tc>
        <w:tc>
          <w:tcPr>
            <w:tcW w:w="3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56" w:before="0" w:after="0"/>
              <w:ind w:left="107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obstarávacou</w:t>
            </w: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cenou</w:t>
            </w:r>
          </w:p>
        </w:tc>
      </w:tr>
      <w:tr>
        <w:trPr>
          <w:trHeight w:val="275" w:hRule="atLeast"/>
        </w:trPr>
        <w:tc>
          <w:tcPr>
            <w:tcW w:w="6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56" w:before="0" w:after="0"/>
              <w:ind w:left="107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h)</w:t>
            </w:r>
            <w:r>
              <w:rPr>
                <w:spacing w:val="20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zásoby</w:t>
            </w: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vytvorené</w:t>
            </w:r>
            <w:r>
              <w:rPr>
                <w:spacing w:val="-3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vlastnou</w:t>
            </w:r>
            <w:r>
              <w:rPr>
                <w:spacing w:val="-1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činnosťou</w:t>
            </w:r>
          </w:p>
        </w:tc>
        <w:tc>
          <w:tcPr>
            <w:tcW w:w="3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56" w:before="0" w:after="0"/>
              <w:ind w:left="107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vlastnými</w:t>
            </w:r>
            <w:r>
              <w:rPr>
                <w:spacing w:val="-1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nákladmi</w:t>
            </w:r>
          </w:p>
        </w:tc>
      </w:tr>
      <w:tr>
        <w:trPr>
          <w:trHeight w:val="278" w:hRule="atLeast"/>
        </w:trPr>
        <w:tc>
          <w:tcPr>
            <w:tcW w:w="6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57" w:before="1" w:after="0"/>
              <w:ind w:left="107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i)</w:t>
            </w:r>
            <w:r>
              <w:rPr>
                <w:spacing w:val="15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zásoby</w:t>
            </w:r>
            <w:r>
              <w:rPr>
                <w:spacing w:val="-3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získané</w:t>
            </w: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bezodplatne</w:t>
            </w:r>
          </w:p>
        </w:tc>
        <w:tc>
          <w:tcPr>
            <w:tcW w:w="3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57" w:before="1" w:after="0"/>
              <w:ind w:left="107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reálnou</w:t>
            </w: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hodnotou</w:t>
            </w:r>
          </w:p>
        </w:tc>
      </w:tr>
      <w:tr>
        <w:trPr>
          <w:trHeight w:val="275" w:hRule="atLeast"/>
        </w:trPr>
        <w:tc>
          <w:tcPr>
            <w:tcW w:w="6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56" w:before="0" w:after="0"/>
              <w:ind w:left="107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j)</w:t>
            </w:r>
            <w:r>
              <w:rPr>
                <w:spacing w:val="15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pohľadávky</w:t>
            </w:r>
          </w:p>
        </w:tc>
        <w:tc>
          <w:tcPr>
            <w:tcW w:w="3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56" w:before="0" w:after="0"/>
              <w:ind w:left="107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menovitou</w:t>
            </w:r>
            <w:r>
              <w:rPr>
                <w:spacing w:val="-1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hodnotou</w:t>
            </w:r>
          </w:p>
        </w:tc>
      </w:tr>
      <w:tr>
        <w:trPr>
          <w:trHeight w:val="275" w:hRule="atLeast"/>
        </w:trPr>
        <w:tc>
          <w:tcPr>
            <w:tcW w:w="6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56" w:before="0" w:after="0"/>
              <w:ind w:left="107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k)</w:t>
            </w:r>
            <w:r>
              <w:rPr>
                <w:spacing w:val="22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krátkodobý</w:t>
            </w:r>
            <w:r>
              <w:rPr>
                <w:spacing w:val="-1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finančný</w:t>
            </w:r>
            <w:r>
              <w:rPr>
                <w:spacing w:val="-1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majetok</w:t>
            </w:r>
          </w:p>
        </w:tc>
        <w:tc>
          <w:tcPr>
            <w:tcW w:w="3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56" w:before="0" w:after="0"/>
              <w:ind w:left="107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menovitou</w:t>
            </w:r>
            <w:r>
              <w:rPr>
                <w:spacing w:val="-1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hodnotou</w:t>
            </w:r>
          </w:p>
        </w:tc>
      </w:tr>
      <w:tr>
        <w:trPr>
          <w:trHeight w:val="1379" w:hRule="atLeast"/>
        </w:trPr>
        <w:tc>
          <w:tcPr>
            <w:tcW w:w="6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75" w:before="0" w:after="0"/>
              <w:ind w:left="107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l)</w:t>
            </w:r>
            <w:r>
              <w:rPr>
                <w:spacing w:val="15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časové</w:t>
            </w: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rozlíšenie</w:t>
            </w:r>
            <w:r>
              <w:rPr>
                <w:spacing w:val="-1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na</w:t>
            </w:r>
            <w:r>
              <w:rPr>
                <w:spacing w:val="-3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strane aktív</w:t>
            </w:r>
          </w:p>
        </w:tc>
        <w:tc>
          <w:tcPr>
            <w:tcW w:w="3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auto" w:line="240" w:before="0" w:after="0"/>
              <w:ind w:left="107" w:right="146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náklady budúcich období a príjmy</w:t>
            </w:r>
            <w:r>
              <w:rPr>
                <w:spacing w:val="1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budúcich období sa vykazujú vo</w:t>
            </w:r>
            <w:r>
              <w:rPr>
                <w:spacing w:val="1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výške, ktorá je potrebná na dodržanie</w:t>
            </w:r>
            <w:r>
              <w:rPr>
                <w:spacing w:val="-58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zásady</w:t>
            </w: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vecnej</w:t>
            </w:r>
            <w:r>
              <w:rPr>
                <w:spacing w:val="-1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a</w:t>
            </w:r>
            <w:r>
              <w:rPr>
                <w:spacing w:val="-1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časovej</w:t>
            </w:r>
            <w:r>
              <w:rPr>
                <w:spacing w:val="-1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súvislosti</w:t>
            </w:r>
          </w:p>
          <w:p>
            <w:pPr>
              <w:pStyle w:val="TableParagraph"/>
              <w:widowControl w:val="false"/>
              <w:spacing w:lineRule="exact" w:line="257" w:before="0" w:after="0"/>
              <w:ind w:left="107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s</w:t>
            </w: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účtovným obdobím</w:t>
            </w:r>
          </w:p>
        </w:tc>
      </w:tr>
      <w:tr>
        <w:trPr>
          <w:trHeight w:val="828" w:hRule="atLeast"/>
        </w:trPr>
        <w:tc>
          <w:tcPr>
            <w:tcW w:w="6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auto" w:line="240" w:before="0" w:after="0"/>
              <w:ind w:hanging="284" w:left="391" w:right="1526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m)záväzky,</w:t>
            </w:r>
            <w:r>
              <w:rPr>
                <w:spacing w:val="1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vrátane</w:t>
            </w:r>
            <w:r>
              <w:rPr>
                <w:spacing w:val="1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dlhopisov,</w:t>
            </w:r>
            <w:r>
              <w:rPr>
                <w:spacing w:val="1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pôžičiek</w:t>
            </w:r>
            <w:r>
              <w:rPr>
                <w:spacing w:val="1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a</w:t>
            </w:r>
            <w:r>
              <w:rPr>
                <w:spacing w:val="2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úverov</w:t>
            </w:r>
            <w:r>
              <w:rPr>
                <w:spacing w:val="-57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rezervy</w:t>
            </w:r>
          </w:p>
        </w:tc>
        <w:tc>
          <w:tcPr>
            <w:tcW w:w="3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75" w:before="0" w:after="0"/>
              <w:ind w:left="107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menovitou</w:t>
            </w:r>
            <w:r>
              <w:rPr>
                <w:spacing w:val="-1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hodnotou</w:t>
            </w:r>
          </w:p>
          <w:p>
            <w:pPr>
              <w:pStyle w:val="TableParagraph"/>
              <w:widowControl w:val="false"/>
              <w:spacing w:lineRule="exact" w:line="276" w:before="0" w:after="0"/>
              <w:ind w:left="107" w:right="786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oceňujú sa v očakávanej výške</w:t>
            </w:r>
            <w:r>
              <w:rPr>
                <w:spacing w:val="-57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záväzku</w:t>
            </w:r>
          </w:p>
        </w:tc>
      </w:tr>
      <w:tr>
        <w:trPr>
          <w:trHeight w:val="1379" w:hRule="atLeast"/>
        </w:trPr>
        <w:tc>
          <w:tcPr>
            <w:tcW w:w="6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75" w:before="0" w:after="0"/>
              <w:ind w:left="107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n)</w:t>
            </w:r>
            <w:r>
              <w:rPr>
                <w:spacing w:val="20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časové</w:t>
            </w: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rozlíšenie</w:t>
            </w: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na</w:t>
            </w:r>
            <w:r>
              <w:rPr>
                <w:spacing w:val="-3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strane</w:t>
            </w:r>
            <w:r>
              <w:rPr>
                <w:spacing w:val="-1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pasív</w:t>
            </w:r>
          </w:p>
        </w:tc>
        <w:tc>
          <w:tcPr>
            <w:tcW w:w="3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76" w:before="0" w:after="0"/>
              <w:ind w:left="140" w:right="113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výdavky budúcich období a výnosy</w:t>
            </w:r>
            <w:r>
              <w:rPr>
                <w:spacing w:val="1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budúcich období sa vykazujú vo</w:t>
            </w:r>
            <w:r>
              <w:rPr>
                <w:spacing w:val="1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výške, ktorá je potrebná na dodržanie</w:t>
            </w:r>
            <w:r>
              <w:rPr>
                <w:spacing w:val="-57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zásady vecnej a časovej súvislosti s</w:t>
            </w:r>
            <w:r>
              <w:rPr>
                <w:spacing w:val="1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účtovným</w:t>
            </w:r>
            <w:r>
              <w:rPr>
                <w:spacing w:val="-1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obdobím</w:t>
            </w:r>
          </w:p>
        </w:tc>
      </w:tr>
      <w:tr>
        <w:trPr>
          <w:trHeight w:val="275" w:hRule="atLeast"/>
        </w:trPr>
        <w:tc>
          <w:tcPr>
            <w:tcW w:w="6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55" w:before="0" w:after="0"/>
              <w:ind w:left="107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o)</w:t>
            </w:r>
            <w:r>
              <w:rPr>
                <w:spacing w:val="21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deriváty</w:t>
            </w:r>
            <w:r>
              <w:rPr>
                <w:spacing w:val="-1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pri</w:t>
            </w:r>
            <w:r>
              <w:rPr>
                <w:spacing w:val="-1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nadobudnutí</w:t>
            </w:r>
          </w:p>
        </w:tc>
        <w:tc>
          <w:tcPr>
            <w:tcW w:w="3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55" w:before="0" w:after="0"/>
              <w:ind w:left="140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reálnou</w:t>
            </w: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hodnotou</w:t>
            </w:r>
          </w:p>
        </w:tc>
      </w:tr>
      <w:tr>
        <w:trPr>
          <w:trHeight w:val="278" w:hRule="atLeast"/>
        </w:trPr>
        <w:tc>
          <w:tcPr>
            <w:tcW w:w="6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57" w:before="1" w:after="0"/>
              <w:ind w:left="107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p)</w:t>
            </w:r>
            <w:r>
              <w:rPr>
                <w:spacing w:val="21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majetok a</w:t>
            </w: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záväzky</w:t>
            </w:r>
            <w:r>
              <w:rPr>
                <w:spacing w:val="-1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zabezpečené</w:t>
            </w: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derivátmi</w:t>
            </w:r>
          </w:p>
        </w:tc>
        <w:tc>
          <w:tcPr>
            <w:tcW w:w="3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57" w:before="1" w:after="0"/>
              <w:ind w:left="140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reálnou</w:t>
            </w: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hodnotou</w:t>
            </w:r>
          </w:p>
        </w:tc>
      </w:tr>
    </w:tbl>
    <w:p>
      <w:pPr>
        <w:pStyle w:val="BodyText"/>
        <w:rPr>
          <w:b/>
          <w:sz w:val="26"/>
        </w:rPr>
      </w:pPr>
      <w:r>
        <w:rPr>
          <w:b/>
          <w:sz w:val="26"/>
        </w:rPr>
      </w:r>
    </w:p>
    <w:p>
      <w:pPr>
        <w:pStyle w:val="ListParagraph"/>
        <w:numPr>
          <w:ilvl w:val="0"/>
          <w:numId w:val="4"/>
        </w:numPr>
        <w:tabs>
          <w:tab w:val="clear" w:pos="720"/>
          <w:tab w:val="left" w:pos="397" w:leader="none"/>
        </w:tabs>
        <w:spacing w:before="228" w:after="0"/>
        <w:ind w:hanging="284" w:left="396" w:right="160"/>
        <w:rPr>
          <w:b/>
          <w:sz w:val="24"/>
        </w:rPr>
      </w:pPr>
      <w:r>
        <w:rPr>
          <w:b/>
          <w:sz w:val="24"/>
        </w:rPr>
        <w:t>Spôsob</w:t>
      </w:r>
      <w:r>
        <w:rPr>
          <w:b/>
          <w:spacing w:val="27"/>
          <w:sz w:val="24"/>
        </w:rPr>
        <w:t xml:space="preserve"> </w:t>
      </w:r>
      <w:r>
        <w:rPr>
          <w:b/>
          <w:sz w:val="24"/>
        </w:rPr>
        <w:t>zostavenia</w:t>
      </w:r>
      <w:r>
        <w:rPr>
          <w:b/>
          <w:spacing w:val="28"/>
          <w:sz w:val="24"/>
        </w:rPr>
        <w:t xml:space="preserve"> </w:t>
      </w:r>
      <w:r>
        <w:rPr>
          <w:b/>
          <w:sz w:val="24"/>
        </w:rPr>
        <w:t>odpisového</w:t>
      </w:r>
      <w:r>
        <w:rPr>
          <w:b/>
          <w:spacing w:val="27"/>
          <w:sz w:val="24"/>
        </w:rPr>
        <w:t xml:space="preserve"> </w:t>
      </w:r>
      <w:r>
        <w:rPr>
          <w:b/>
          <w:sz w:val="24"/>
        </w:rPr>
        <w:t>plánu</w:t>
      </w:r>
      <w:r>
        <w:rPr>
          <w:b/>
          <w:spacing w:val="28"/>
          <w:sz w:val="24"/>
        </w:rPr>
        <w:t xml:space="preserve"> </w:t>
      </w:r>
      <w:r>
        <w:rPr>
          <w:b/>
          <w:sz w:val="24"/>
        </w:rPr>
        <w:t>pre</w:t>
      </w:r>
      <w:r>
        <w:rPr>
          <w:b/>
          <w:spacing w:val="26"/>
          <w:sz w:val="24"/>
        </w:rPr>
        <w:t xml:space="preserve"> </w:t>
      </w:r>
      <w:r>
        <w:rPr>
          <w:b/>
          <w:sz w:val="24"/>
        </w:rPr>
        <w:t>dlhodobý</w:t>
      </w:r>
      <w:r>
        <w:rPr>
          <w:b/>
          <w:spacing w:val="27"/>
          <w:sz w:val="24"/>
        </w:rPr>
        <w:t xml:space="preserve"> </w:t>
      </w:r>
      <w:r>
        <w:rPr>
          <w:b/>
          <w:sz w:val="24"/>
        </w:rPr>
        <w:t>majetok,</w:t>
      </w:r>
      <w:r>
        <w:rPr>
          <w:b/>
          <w:spacing w:val="26"/>
          <w:sz w:val="24"/>
        </w:rPr>
        <w:t xml:space="preserve"> </w:t>
      </w:r>
      <w:r>
        <w:rPr>
          <w:b/>
          <w:sz w:val="24"/>
        </w:rPr>
        <w:t>doba</w:t>
      </w:r>
      <w:r>
        <w:rPr>
          <w:b/>
          <w:spacing w:val="27"/>
          <w:sz w:val="24"/>
        </w:rPr>
        <w:t xml:space="preserve"> </w:t>
      </w:r>
      <w:r>
        <w:rPr>
          <w:b/>
          <w:sz w:val="24"/>
        </w:rPr>
        <w:t>odpisovania,</w:t>
      </w:r>
      <w:r>
        <w:rPr>
          <w:b/>
          <w:spacing w:val="28"/>
          <w:sz w:val="24"/>
        </w:rPr>
        <w:t xml:space="preserve"> </w:t>
      </w:r>
      <w:r>
        <w:rPr>
          <w:b/>
          <w:sz w:val="24"/>
        </w:rPr>
        <w:t>sadzby</w:t>
      </w:r>
      <w:r>
        <w:rPr>
          <w:b/>
          <w:spacing w:val="27"/>
          <w:sz w:val="24"/>
        </w:rPr>
        <w:t xml:space="preserve"> </w:t>
      </w:r>
      <w:r>
        <w:rPr>
          <w:b/>
          <w:sz w:val="24"/>
        </w:rPr>
        <w:t>odpisov</w:t>
      </w:r>
      <w:r>
        <w:rPr>
          <w:b/>
          <w:spacing w:val="-57"/>
          <w:sz w:val="24"/>
        </w:rPr>
        <w:t xml:space="preserve"> </w:t>
      </w:r>
      <w:r>
        <w:rPr>
          <w:b/>
          <w:sz w:val="24"/>
        </w:rPr>
        <w:t>a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odpisové metódy pri stanovení účtovných odpisov</w:t>
      </w:r>
    </w:p>
    <w:p>
      <w:pPr>
        <w:pStyle w:val="BodyText"/>
        <w:rPr>
          <w:b/>
        </w:rPr>
      </w:pPr>
      <w:r>
        <w:rPr>
          <w:b/>
        </w:rPr>
      </w:r>
    </w:p>
    <w:p>
      <w:pPr>
        <w:pStyle w:val="BodyText"/>
        <w:spacing w:before="1" w:after="0"/>
        <w:ind w:left="112" w:right="161"/>
        <w:rPr/>
      </w:pPr>
      <w:r>
        <w:rPr/>
        <w:t>Účtovné</w:t>
      </w:r>
      <w:r>
        <w:rPr>
          <w:spacing w:val="34"/>
        </w:rPr>
        <w:t xml:space="preserve"> </w:t>
      </w:r>
      <w:r>
        <w:rPr/>
        <w:t>odpisy</w:t>
      </w:r>
      <w:r>
        <w:rPr>
          <w:spacing w:val="34"/>
        </w:rPr>
        <w:t xml:space="preserve"> </w:t>
      </w:r>
      <w:r>
        <w:rPr/>
        <w:t>sa</w:t>
      </w:r>
      <w:r>
        <w:rPr>
          <w:spacing w:val="37"/>
        </w:rPr>
        <w:t xml:space="preserve"> </w:t>
      </w:r>
      <w:r>
        <w:rPr/>
        <w:t>zaokrúhľujú</w:t>
      </w:r>
      <w:r>
        <w:rPr>
          <w:spacing w:val="34"/>
        </w:rPr>
        <w:t xml:space="preserve"> </w:t>
      </w:r>
      <w:r>
        <w:rPr/>
        <w:t>matematicky.</w:t>
      </w:r>
      <w:r>
        <w:rPr>
          <w:spacing w:val="37"/>
        </w:rPr>
        <w:t xml:space="preserve"> </w:t>
      </w:r>
      <w:r>
        <w:rPr/>
        <w:t>Metóda</w:t>
      </w:r>
      <w:r>
        <w:rPr>
          <w:spacing w:val="34"/>
        </w:rPr>
        <w:t xml:space="preserve"> </w:t>
      </w:r>
      <w:r>
        <w:rPr/>
        <w:t>odpisovania</w:t>
      </w:r>
      <w:r>
        <w:rPr>
          <w:spacing w:val="34"/>
        </w:rPr>
        <w:t xml:space="preserve"> </w:t>
      </w:r>
      <w:r>
        <w:rPr/>
        <w:t>sa</w:t>
      </w:r>
      <w:r>
        <w:rPr>
          <w:spacing w:val="34"/>
        </w:rPr>
        <w:t xml:space="preserve"> </w:t>
      </w:r>
      <w:r>
        <w:rPr/>
        <w:t>používa</w:t>
      </w:r>
      <w:r>
        <w:rPr>
          <w:spacing w:val="34"/>
        </w:rPr>
        <w:t xml:space="preserve"> </w:t>
      </w:r>
      <w:r>
        <w:rPr/>
        <w:t>lineárna.</w:t>
      </w:r>
      <w:r>
        <w:rPr>
          <w:spacing w:val="35"/>
        </w:rPr>
        <w:t xml:space="preserve"> </w:t>
      </w:r>
      <w:r>
        <w:rPr/>
        <w:t>Predpokladaná</w:t>
      </w:r>
      <w:r>
        <w:rPr>
          <w:spacing w:val="-57"/>
        </w:rPr>
        <w:t xml:space="preserve"> </w:t>
      </w:r>
      <w:r>
        <w:rPr/>
        <w:t>doba</w:t>
      </w:r>
      <w:r>
        <w:rPr>
          <w:spacing w:val="-2"/>
        </w:rPr>
        <w:t xml:space="preserve"> </w:t>
      </w:r>
      <w:r>
        <w:rPr/>
        <w:t>užívania</w:t>
      </w:r>
      <w:r>
        <w:rPr>
          <w:spacing w:val="1"/>
        </w:rPr>
        <w:t xml:space="preserve"> </w:t>
      </w:r>
      <w:r>
        <w:rPr/>
        <w:t>a</w:t>
      </w:r>
      <w:r>
        <w:rPr>
          <w:spacing w:val="-1"/>
        </w:rPr>
        <w:t xml:space="preserve"> </w:t>
      </w:r>
      <w:r>
        <w:rPr/>
        <w:t>odpisové</w:t>
      </w:r>
      <w:r>
        <w:rPr>
          <w:spacing w:val="1"/>
        </w:rPr>
        <w:t xml:space="preserve"> </w:t>
      </w:r>
      <w:r>
        <w:rPr/>
        <w:t>sadzby sú</w:t>
      </w:r>
      <w:r>
        <w:rPr>
          <w:spacing w:val="-1"/>
        </w:rPr>
        <w:t xml:space="preserve"> </w:t>
      </w:r>
      <w:r>
        <w:rPr/>
        <w:t>stanovené</w:t>
      </w:r>
      <w:r>
        <w:rPr>
          <w:spacing w:val="-1"/>
        </w:rPr>
        <w:t xml:space="preserve"> </w:t>
      </w:r>
      <w:r>
        <w:rPr/>
        <w:t>takto:</w:t>
      </w:r>
    </w:p>
    <w:tbl>
      <w:tblPr>
        <w:tblStyle w:val="TableNormal"/>
        <w:tblW w:w="10210" w:type="dxa"/>
        <w:jc w:val="left"/>
        <w:tblInd w:w="118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firstRow="1" w:noVBand="0" w:lastRow="1" w:firstColumn="1" w:lastColumn="1" w:noHBand="0" w:val="01e0"/>
      </w:tblPr>
      <w:tblGrid>
        <w:gridCol w:w="2962"/>
        <w:gridCol w:w="7247"/>
      </w:tblGrid>
      <w:tr>
        <w:trPr>
          <w:trHeight w:val="460" w:hRule="atLeast"/>
        </w:trPr>
        <w:tc>
          <w:tcPr>
            <w:tcW w:w="2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auto" w:line="240" w:before="0" w:after="0"/>
              <w:ind w:left="690" w:right="686"/>
              <w:jc w:val="center"/>
              <w:rPr>
                <w:b/>
                <w:sz w:val="20"/>
              </w:rPr>
            </w:pPr>
            <w:r>
              <w:rPr>
                <w:b/>
                <w:kern w:val="0"/>
                <w:sz w:val="20"/>
                <w:szCs w:val="22"/>
                <w:lang w:eastAsia="en-US" w:bidi="ar-SA"/>
              </w:rPr>
              <w:t>Odpisová</w:t>
            </w:r>
            <w:r>
              <w:rPr>
                <w:b/>
                <w:spacing w:val="-3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20"/>
                <w:szCs w:val="22"/>
                <w:lang w:eastAsia="en-US" w:bidi="ar-SA"/>
              </w:rPr>
              <w:t>skupina</w:t>
            </w:r>
          </w:p>
        </w:tc>
        <w:tc>
          <w:tcPr>
            <w:tcW w:w="7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atLeast" w:line="230" w:before="0" w:after="0"/>
              <w:ind w:left="2731" w:right="2721"/>
              <w:jc w:val="center"/>
              <w:rPr>
                <w:b/>
                <w:sz w:val="20"/>
              </w:rPr>
            </w:pPr>
            <w:r>
              <w:rPr>
                <w:b/>
                <w:kern w:val="0"/>
                <w:sz w:val="20"/>
                <w:szCs w:val="22"/>
                <w:lang w:eastAsia="en-US" w:bidi="ar-SA"/>
              </w:rPr>
              <w:t>Predpokladaná</w:t>
            </w:r>
            <w:r>
              <w:rPr>
                <w:b/>
                <w:spacing w:val="-10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20"/>
                <w:szCs w:val="22"/>
                <w:lang w:eastAsia="en-US" w:bidi="ar-SA"/>
              </w:rPr>
              <w:t>doba</w:t>
            </w:r>
            <w:r>
              <w:rPr>
                <w:b/>
                <w:spacing w:val="-47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20"/>
                <w:szCs w:val="22"/>
                <w:lang w:eastAsia="en-US" w:bidi="ar-SA"/>
              </w:rPr>
              <w:t>používania</w:t>
            </w:r>
            <w:r>
              <w:rPr>
                <w:b/>
                <w:spacing w:val="-3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20"/>
                <w:szCs w:val="22"/>
                <w:lang w:eastAsia="en-US" w:bidi="ar-SA"/>
              </w:rPr>
              <w:t>v</w:t>
            </w:r>
            <w:r>
              <w:rPr>
                <w:b/>
                <w:spacing w:val="-1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20"/>
                <w:szCs w:val="22"/>
                <w:lang w:eastAsia="en-US" w:bidi="ar-SA"/>
              </w:rPr>
              <w:t>rokoch</w:t>
            </w:r>
          </w:p>
        </w:tc>
      </w:tr>
      <w:tr>
        <w:trPr>
          <w:trHeight w:val="230" w:hRule="atLeast"/>
        </w:trPr>
        <w:tc>
          <w:tcPr>
            <w:tcW w:w="2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ind w:left="7"/>
              <w:jc w:val="center"/>
              <w:rPr>
                <w:sz w:val="20"/>
              </w:rPr>
            </w:pPr>
            <w:r>
              <w:rPr>
                <w:w w:val="99"/>
                <w:kern w:val="0"/>
                <w:sz w:val="20"/>
                <w:szCs w:val="22"/>
                <w:lang w:eastAsia="en-US" w:bidi="ar-SA"/>
              </w:rPr>
              <w:t>1</w:t>
            </w:r>
          </w:p>
        </w:tc>
        <w:tc>
          <w:tcPr>
            <w:tcW w:w="7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ind w:left="3496"/>
              <w:jc w:val="left"/>
              <w:rPr>
                <w:sz w:val="20"/>
              </w:rPr>
            </w:pPr>
            <w:r>
              <w:rPr>
                <w:kern w:val="0"/>
                <w:sz w:val="20"/>
                <w:szCs w:val="22"/>
                <w:lang w:eastAsia="en-US" w:bidi="ar-SA"/>
              </w:rPr>
              <w:t>1/4</w:t>
            </w:r>
          </w:p>
        </w:tc>
      </w:tr>
      <w:tr>
        <w:trPr>
          <w:trHeight w:val="230" w:hRule="atLeast"/>
        </w:trPr>
        <w:tc>
          <w:tcPr>
            <w:tcW w:w="2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ind w:left="7"/>
              <w:jc w:val="center"/>
              <w:rPr>
                <w:sz w:val="20"/>
              </w:rPr>
            </w:pPr>
            <w:r>
              <w:rPr>
                <w:w w:val="99"/>
                <w:kern w:val="0"/>
                <w:sz w:val="20"/>
                <w:szCs w:val="22"/>
                <w:lang w:eastAsia="en-US" w:bidi="ar-SA"/>
              </w:rPr>
              <w:t>2</w:t>
            </w:r>
          </w:p>
        </w:tc>
        <w:tc>
          <w:tcPr>
            <w:tcW w:w="7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ind w:left="3496"/>
              <w:jc w:val="left"/>
              <w:rPr>
                <w:sz w:val="20"/>
              </w:rPr>
            </w:pPr>
            <w:r>
              <w:rPr>
                <w:kern w:val="0"/>
                <w:sz w:val="20"/>
                <w:szCs w:val="22"/>
                <w:lang w:eastAsia="en-US" w:bidi="ar-SA"/>
              </w:rPr>
              <w:t>1/6</w:t>
            </w:r>
          </w:p>
        </w:tc>
      </w:tr>
      <w:tr>
        <w:trPr>
          <w:trHeight w:val="230" w:hRule="atLeast"/>
        </w:trPr>
        <w:tc>
          <w:tcPr>
            <w:tcW w:w="2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ind w:left="7"/>
              <w:jc w:val="center"/>
              <w:rPr>
                <w:sz w:val="20"/>
              </w:rPr>
            </w:pPr>
            <w:r>
              <w:rPr>
                <w:w w:val="99"/>
                <w:kern w:val="0"/>
                <w:sz w:val="20"/>
                <w:szCs w:val="22"/>
                <w:lang w:eastAsia="en-US" w:bidi="ar-SA"/>
              </w:rPr>
              <w:t>3</w:t>
            </w:r>
          </w:p>
        </w:tc>
        <w:tc>
          <w:tcPr>
            <w:tcW w:w="7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ind w:left="3496"/>
              <w:jc w:val="left"/>
              <w:rPr>
                <w:sz w:val="20"/>
              </w:rPr>
            </w:pPr>
            <w:r>
              <w:rPr>
                <w:kern w:val="0"/>
                <w:sz w:val="20"/>
                <w:szCs w:val="22"/>
                <w:lang w:eastAsia="en-US" w:bidi="ar-SA"/>
              </w:rPr>
              <w:t>1/8</w:t>
            </w:r>
          </w:p>
        </w:tc>
      </w:tr>
      <w:tr>
        <w:trPr>
          <w:trHeight w:val="230" w:hRule="atLeast"/>
        </w:trPr>
        <w:tc>
          <w:tcPr>
            <w:tcW w:w="2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ind w:left="7"/>
              <w:jc w:val="center"/>
              <w:rPr>
                <w:sz w:val="20"/>
              </w:rPr>
            </w:pPr>
            <w:r>
              <w:rPr>
                <w:w w:val="99"/>
                <w:kern w:val="0"/>
                <w:sz w:val="20"/>
                <w:szCs w:val="22"/>
                <w:lang w:eastAsia="en-US" w:bidi="ar-SA"/>
              </w:rPr>
              <w:t>4</w:t>
            </w:r>
          </w:p>
        </w:tc>
        <w:tc>
          <w:tcPr>
            <w:tcW w:w="7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ind w:left="3446"/>
              <w:jc w:val="left"/>
              <w:rPr>
                <w:sz w:val="20"/>
              </w:rPr>
            </w:pPr>
            <w:r>
              <w:rPr>
                <w:kern w:val="0"/>
                <w:sz w:val="20"/>
                <w:szCs w:val="22"/>
                <w:lang w:eastAsia="en-US" w:bidi="ar-SA"/>
              </w:rPr>
              <w:t>1/12</w:t>
            </w:r>
          </w:p>
        </w:tc>
      </w:tr>
      <w:tr>
        <w:trPr>
          <w:trHeight w:val="230" w:hRule="atLeast"/>
        </w:trPr>
        <w:tc>
          <w:tcPr>
            <w:tcW w:w="2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ind w:left="7"/>
              <w:jc w:val="center"/>
              <w:rPr>
                <w:sz w:val="20"/>
              </w:rPr>
            </w:pPr>
            <w:r>
              <w:rPr>
                <w:w w:val="99"/>
                <w:kern w:val="0"/>
                <w:sz w:val="20"/>
                <w:szCs w:val="22"/>
                <w:lang w:eastAsia="en-US" w:bidi="ar-SA"/>
              </w:rPr>
              <w:t>5</w:t>
            </w:r>
          </w:p>
        </w:tc>
        <w:tc>
          <w:tcPr>
            <w:tcW w:w="7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ind w:left="3446"/>
              <w:jc w:val="left"/>
              <w:rPr>
                <w:sz w:val="20"/>
              </w:rPr>
            </w:pPr>
            <w:r>
              <w:rPr>
                <w:kern w:val="0"/>
                <w:sz w:val="20"/>
                <w:szCs w:val="22"/>
                <w:lang w:eastAsia="en-US" w:bidi="ar-SA"/>
              </w:rPr>
              <w:t>1/20</w:t>
            </w:r>
          </w:p>
        </w:tc>
      </w:tr>
      <w:tr>
        <w:trPr>
          <w:trHeight w:val="230" w:hRule="atLeast"/>
        </w:trPr>
        <w:tc>
          <w:tcPr>
            <w:tcW w:w="2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ind w:left="7"/>
              <w:jc w:val="center"/>
              <w:rPr>
                <w:sz w:val="20"/>
              </w:rPr>
            </w:pPr>
            <w:r>
              <w:rPr>
                <w:w w:val="99"/>
                <w:kern w:val="0"/>
                <w:sz w:val="20"/>
                <w:szCs w:val="22"/>
                <w:lang w:eastAsia="en-US" w:bidi="ar-SA"/>
              </w:rPr>
              <w:t>6</w:t>
            </w:r>
          </w:p>
        </w:tc>
        <w:tc>
          <w:tcPr>
            <w:tcW w:w="7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ind w:left="3446"/>
              <w:jc w:val="left"/>
              <w:rPr>
                <w:sz w:val="20"/>
              </w:rPr>
            </w:pPr>
            <w:r>
              <w:rPr>
                <w:kern w:val="0"/>
                <w:sz w:val="20"/>
                <w:szCs w:val="22"/>
                <w:lang w:eastAsia="en-US" w:bidi="ar-SA"/>
              </w:rPr>
              <w:t>1/40</w:t>
            </w:r>
          </w:p>
        </w:tc>
      </w:tr>
    </w:tbl>
    <w:p>
      <w:pPr>
        <w:pStyle w:val="BodyText"/>
        <w:spacing w:before="11" w:after="0"/>
        <w:rPr>
          <w:sz w:val="23"/>
        </w:rPr>
      </w:pPr>
      <w:r>
        <w:rPr>
          <w:sz w:val="23"/>
        </w:rPr>
      </w:r>
    </w:p>
    <w:p>
      <w:pPr>
        <w:pStyle w:val="BodyText"/>
        <w:tabs>
          <w:tab w:val="clear" w:pos="720"/>
          <w:tab w:val="left" w:pos="3860" w:leader="none"/>
        </w:tabs>
        <w:ind w:left="112" w:right="164"/>
        <w:rPr/>
      </w:pPr>
      <w:r>
        <w:rPr/>
        <w:t>Drobný</w:t>
      </w:r>
      <w:r>
        <w:rPr>
          <w:spacing w:val="41"/>
        </w:rPr>
        <w:t xml:space="preserve"> </w:t>
      </w:r>
      <w:r>
        <w:rPr/>
        <w:t>nehmotný</w:t>
      </w:r>
      <w:r>
        <w:rPr>
          <w:spacing w:val="43"/>
        </w:rPr>
        <w:t xml:space="preserve"> </w:t>
      </w:r>
      <w:r>
        <w:rPr/>
        <w:t>majetok</w:t>
      </w:r>
      <w:r>
        <w:rPr>
          <w:spacing w:val="41"/>
        </w:rPr>
        <w:t xml:space="preserve"> </w:t>
      </w:r>
      <w:r>
        <w:rPr/>
        <w:t>od</w:t>
      </w:r>
      <w:r>
        <w:rPr>
          <w:spacing w:val="44"/>
        </w:rPr>
        <w:t xml:space="preserve"> </w:t>
      </w:r>
      <w:r>
        <w:rPr/>
        <w:t>0,00</w:t>
        <w:tab/>
        <w:t>€</w:t>
      </w:r>
      <w:r>
        <w:rPr>
          <w:spacing w:val="42"/>
        </w:rPr>
        <w:t xml:space="preserve"> </w:t>
      </w:r>
      <w:r>
        <w:rPr/>
        <w:t>do</w:t>
      </w:r>
      <w:r>
        <w:rPr>
          <w:spacing w:val="42"/>
        </w:rPr>
        <w:t xml:space="preserve"> </w:t>
      </w:r>
      <w:r>
        <w:rPr/>
        <w:t>2.400</w:t>
      </w:r>
      <w:r>
        <w:rPr>
          <w:spacing w:val="41"/>
        </w:rPr>
        <w:t xml:space="preserve"> </w:t>
      </w:r>
      <w:r>
        <w:rPr/>
        <w:t>€,</w:t>
      </w:r>
      <w:r>
        <w:rPr>
          <w:spacing w:val="41"/>
        </w:rPr>
        <w:t xml:space="preserve"> </w:t>
      </w:r>
      <w:r>
        <w:rPr/>
        <w:t>ktorý</w:t>
      </w:r>
      <w:r>
        <w:rPr>
          <w:spacing w:val="41"/>
        </w:rPr>
        <w:t xml:space="preserve"> </w:t>
      </w:r>
      <w:r>
        <w:rPr/>
        <w:t>podľa</w:t>
      </w:r>
      <w:r>
        <w:rPr>
          <w:spacing w:val="41"/>
        </w:rPr>
        <w:t xml:space="preserve"> </w:t>
      </w:r>
      <w:r>
        <w:rPr/>
        <w:t>rozhodnutia</w:t>
      </w:r>
      <w:r>
        <w:rPr>
          <w:spacing w:val="41"/>
        </w:rPr>
        <w:t xml:space="preserve"> </w:t>
      </w:r>
      <w:r>
        <w:rPr/>
        <w:t>účtovnej</w:t>
      </w:r>
      <w:r>
        <w:rPr>
          <w:spacing w:val="41"/>
        </w:rPr>
        <w:t xml:space="preserve"> </w:t>
      </w:r>
      <w:r>
        <w:rPr/>
        <w:t>jednotky</w:t>
      </w:r>
      <w:r>
        <w:rPr>
          <w:spacing w:val="42"/>
        </w:rPr>
        <w:t xml:space="preserve"> </w:t>
      </w:r>
      <w:r>
        <w:rPr/>
        <w:t>nie</w:t>
      </w:r>
      <w:r>
        <w:rPr>
          <w:spacing w:val="41"/>
        </w:rPr>
        <w:t xml:space="preserve"> </w:t>
      </w:r>
      <w:r>
        <w:rPr/>
        <w:t>je</w:t>
      </w:r>
      <w:r>
        <w:rPr>
          <w:spacing w:val="-57"/>
        </w:rPr>
        <w:t xml:space="preserve"> </w:t>
      </w:r>
      <w:r>
        <w:rPr/>
        <w:t>dlhodobým</w:t>
      </w:r>
      <w:r>
        <w:rPr>
          <w:spacing w:val="-1"/>
        </w:rPr>
        <w:t xml:space="preserve"> </w:t>
      </w:r>
      <w:r>
        <w:rPr/>
        <w:t>nehmotným</w:t>
      </w:r>
      <w:r>
        <w:rPr>
          <w:spacing w:val="-2"/>
        </w:rPr>
        <w:t xml:space="preserve"> </w:t>
      </w:r>
      <w:r>
        <w:rPr/>
        <w:t>majetkom</w:t>
      </w:r>
      <w:r>
        <w:rPr>
          <w:spacing w:val="-1"/>
        </w:rPr>
        <w:t xml:space="preserve"> </w:t>
      </w:r>
      <w:r>
        <w:rPr/>
        <w:t>sa</w:t>
      </w:r>
      <w:r>
        <w:rPr>
          <w:spacing w:val="-1"/>
        </w:rPr>
        <w:t xml:space="preserve"> </w:t>
      </w:r>
      <w:r>
        <w:rPr/>
        <w:t>účtuje</w:t>
      </w:r>
      <w:r>
        <w:rPr>
          <w:spacing w:val="-2"/>
        </w:rPr>
        <w:t xml:space="preserve"> </w:t>
      </w:r>
      <w:r>
        <w:rPr/>
        <w:t>pri obstaraní</w:t>
      </w:r>
      <w:r>
        <w:rPr>
          <w:spacing w:val="-1"/>
        </w:rPr>
        <w:t xml:space="preserve"> </w:t>
      </w:r>
      <w:r>
        <w:rPr/>
        <w:t>do nákladov</w:t>
      </w:r>
      <w:r>
        <w:rPr>
          <w:spacing w:val="-1"/>
        </w:rPr>
        <w:t xml:space="preserve"> </w:t>
      </w:r>
      <w:r>
        <w:rPr/>
        <w:t>na</w:t>
      </w:r>
      <w:r>
        <w:rPr>
          <w:spacing w:val="1"/>
        </w:rPr>
        <w:t xml:space="preserve"> </w:t>
      </w:r>
      <w:r>
        <w:rPr/>
        <w:t>účet</w:t>
      </w:r>
      <w:r>
        <w:rPr>
          <w:spacing w:val="-1"/>
        </w:rPr>
        <w:t xml:space="preserve"> </w:t>
      </w:r>
      <w:r>
        <w:rPr/>
        <w:t>518</w:t>
      </w:r>
      <w:r>
        <w:rPr>
          <w:spacing w:val="4"/>
        </w:rPr>
        <w:t xml:space="preserve"> </w:t>
      </w:r>
      <w:r>
        <w:rPr/>
        <w:t>-</w:t>
      </w:r>
      <w:r>
        <w:rPr>
          <w:spacing w:val="-2"/>
        </w:rPr>
        <w:t xml:space="preserve"> </w:t>
      </w:r>
      <w:r>
        <w:rPr/>
        <w:t>Ostatné služby.</w:t>
      </w:r>
    </w:p>
    <w:p>
      <w:pPr>
        <w:sectPr>
          <w:footerReference w:type="default" r:id="rId10"/>
          <w:type w:val="nextPage"/>
          <w:pgSz w:w="11906" w:h="16838"/>
          <w:pgMar w:left="1020" w:right="400" w:gutter="0" w:header="0" w:top="760" w:footer="650" w:bottom="840"/>
          <w:pgNumType w:fmt="decimal"/>
          <w:formProt w:val="false"/>
          <w:textDirection w:val="lrTb"/>
          <w:docGrid w:type="default" w:linePitch="100" w:charSpace="0"/>
        </w:sectPr>
        <w:pStyle w:val="BodyText"/>
        <w:spacing w:before="0" w:after="0"/>
        <w:ind w:left="112" w:right="168"/>
        <w:rPr/>
      </w:pPr>
      <w:r>
        <w:rPr/>
        <w:t>Drobný</w:t>
      </w:r>
      <w:r>
        <w:rPr>
          <w:spacing w:val="4"/>
        </w:rPr>
        <w:t xml:space="preserve"> </w:t>
      </w:r>
      <w:r>
        <w:rPr/>
        <w:t>hmotný</w:t>
      </w:r>
      <w:r>
        <w:rPr>
          <w:spacing w:val="5"/>
        </w:rPr>
        <w:t xml:space="preserve"> </w:t>
      </w:r>
      <w:r>
        <w:rPr/>
        <w:t>majetok</w:t>
      </w:r>
      <w:r>
        <w:rPr>
          <w:spacing w:val="4"/>
        </w:rPr>
        <w:t xml:space="preserve"> </w:t>
      </w:r>
      <w:r>
        <w:rPr/>
        <w:t>od</w:t>
      </w:r>
      <w:r>
        <w:rPr>
          <w:spacing w:val="5"/>
        </w:rPr>
        <w:t xml:space="preserve"> </w:t>
      </w:r>
      <w:r>
        <w:rPr/>
        <w:t>0,00</w:t>
      </w:r>
      <w:r>
        <w:rPr>
          <w:spacing w:val="4"/>
        </w:rPr>
        <w:t xml:space="preserve"> </w:t>
      </w:r>
      <w:r>
        <w:rPr/>
        <w:t>€</w:t>
      </w:r>
      <w:r>
        <w:rPr>
          <w:spacing w:val="4"/>
        </w:rPr>
        <w:t xml:space="preserve"> </w:t>
      </w:r>
      <w:r>
        <w:rPr/>
        <w:t>do</w:t>
      </w:r>
      <w:r>
        <w:rPr>
          <w:spacing w:val="4"/>
        </w:rPr>
        <w:t xml:space="preserve"> </w:t>
      </w:r>
      <w:r>
        <w:rPr/>
        <w:t>1.700</w:t>
      </w:r>
      <w:r>
        <w:rPr>
          <w:spacing w:val="7"/>
        </w:rPr>
        <w:t xml:space="preserve"> </w:t>
      </w:r>
      <w:r>
        <w:rPr/>
        <w:t>€,</w:t>
      </w:r>
      <w:r>
        <w:rPr>
          <w:spacing w:val="4"/>
        </w:rPr>
        <w:t xml:space="preserve"> </w:t>
      </w:r>
      <w:r>
        <w:rPr/>
        <w:t>ktorý</w:t>
      </w:r>
      <w:r>
        <w:rPr>
          <w:spacing w:val="4"/>
        </w:rPr>
        <w:t xml:space="preserve"> </w:t>
      </w:r>
      <w:r>
        <w:rPr/>
        <w:t>podľa</w:t>
      </w:r>
      <w:r>
        <w:rPr>
          <w:spacing w:val="3"/>
        </w:rPr>
        <w:t xml:space="preserve"> </w:t>
      </w:r>
      <w:r>
        <w:rPr/>
        <w:t>rozhodnutia</w:t>
      </w:r>
      <w:r>
        <w:rPr>
          <w:spacing w:val="3"/>
        </w:rPr>
        <w:t xml:space="preserve"> </w:t>
      </w:r>
      <w:r>
        <w:rPr/>
        <w:t>účtovnej</w:t>
      </w:r>
      <w:r>
        <w:rPr>
          <w:spacing w:val="4"/>
        </w:rPr>
        <w:t xml:space="preserve"> </w:t>
      </w:r>
      <w:r>
        <w:rPr/>
        <w:t>jednotky</w:t>
      </w:r>
      <w:r>
        <w:rPr>
          <w:spacing w:val="7"/>
        </w:rPr>
        <w:t xml:space="preserve"> </w:t>
      </w:r>
      <w:r>
        <w:rPr/>
        <w:t>nie</w:t>
      </w:r>
      <w:r>
        <w:rPr>
          <w:spacing w:val="4"/>
        </w:rPr>
        <w:t xml:space="preserve"> </w:t>
      </w:r>
      <w:r>
        <w:rPr/>
        <w:t>je</w:t>
      </w:r>
      <w:r>
        <w:rPr>
          <w:spacing w:val="-57"/>
        </w:rPr>
        <w:t xml:space="preserve"> </w:t>
      </w:r>
      <w:r>
        <w:rPr/>
        <w:t>dlhodobým</w:t>
      </w:r>
      <w:r>
        <w:rPr>
          <w:spacing w:val="-1"/>
        </w:rPr>
        <w:t xml:space="preserve"> </w:t>
      </w:r>
      <w:r>
        <w:rPr/>
        <w:t>hmotným majetkom sa</w:t>
      </w:r>
      <w:r>
        <w:rPr>
          <w:spacing w:val="-1"/>
        </w:rPr>
        <w:t xml:space="preserve"> </w:t>
      </w:r>
      <w:r>
        <w:rPr/>
        <w:t>účtuje do nákladov na</w:t>
      </w:r>
      <w:r>
        <w:rPr>
          <w:spacing w:val="-1"/>
        </w:rPr>
        <w:t xml:space="preserve"> </w:t>
      </w:r>
      <w:r>
        <w:rPr/>
        <w:t>účet 501 – spotreba</w:t>
      </w:r>
      <w:r>
        <w:rPr>
          <w:spacing w:val="-1"/>
        </w:rPr>
        <w:t xml:space="preserve"> </w:t>
      </w:r>
      <w:r>
        <w:rPr/>
        <w:t>materiálu.</w:t>
      </w:r>
    </w:p>
    <w:p>
      <w:pPr>
        <w:pStyle w:val="ListParagraph"/>
        <w:numPr>
          <w:ilvl w:val="0"/>
          <w:numId w:val="4"/>
        </w:numPr>
        <w:tabs>
          <w:tab w:val="clear" w:pos="720"/>
          <w:tab w:val="left" w:pos="397" w:leader="none"/>
        </w:tabs>
        <w:spacing w:before="72" w:after="0"/>
        <w:ind w:hanging="285" w:left="396"/>
        <w:rPr>
          <w:b/>
          <w:sz w:val="24"/>
        </w:rPr>
      </w:pPr>
      <w:r>
        <w:rPr>
          <w:b/>
          <w:sz w:val="24"/>
        </w:rPr>
        <w:t>Zásady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pre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vykazovanie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transferov.</w:t>
      </w:r>
    </w:p>
    <w:p>
      <w:pPr>
        <w:pStyle w:val="BodyText"/>
        <w:ind w:left="112" w:right="161"/>
        <w:rPr/>
      </w:pPr>
      <w:r>
        <w:rPr/>
        <w:t>O</w:t>
      </w:r>
      <w:r>
        <w:rPr>
          <w:spacing w:val="-1"/>
        </w:rPr>
        <w:t xml:space="preserve"> </w:t>
      </w:r>
      <w:r>
        <w:rPr/>
        <w:t>nároku</w:t>
      </w:r>
      <w:r>
        <w:rPr>
          <w:spacing w:val="34"/>
        </w:rPr>
        <w:t xml:space="preserve"> </w:t>
      </w:r>
      <w:r>
        <w:rPr/>
        <w:t>na</w:t>
      </w:r>
      <w:r>
        <w:rPr>
          <w:spacing w:val="33"/>
        </w:rPr>
        <w:t xml:space="preserve"> </w:t>
      </w:r>
      <w:r>
        <w:rPr/>
        <w:t>dotácie</w:t>
      </w:r>
      <w:r>
        <w:rPr>
          <w:spacing w:val="34"/>
        </w:rPr>
        <w:t xml:space="preserve"> </w:t>
      </w:r>
      <w:r>
        <w:rPr/>
        <w:t>zo</w:t>
      </w:r>
      <w:r>
        <w:rPr>
          <w:spacing w:val="37"/>
        </w:rPr>
        <w:t xml:space="preserve"> </w:t>
      </w:r>
      <w:r>
        <w:rPr/>
        <w:t>štátneho</w:t>
      </w:r>
      <w:r>
        <w:rPr>
          <w:spacing w:val="34"/>
        </w:rPr>
        <w:t xml:space="preserve"> </w:t>
      </w:r>
      <w:r>
        <w:rPr/>
        <w:t>rozpočtu</w:t>
      </w:r>
      <w:r>
        <w:rPr>
          <w:spacing w:val="35"/>
        </w:rPr>
        <w:t xml:space="preserve"> </w:t>
      </w:r>
      <w:r>
        <w:rPr/>
        <w:t>sa</w:t>
      </w:r>
      <w:r>
        <w:rPr>
          <w:spacing w:val="34"/>
        </w:rPr>
        <w:t xml:space="preserve"> </w:t>
      </w:r>
      <w:r>
        <w:rPr/>
        <w:t>účtuje,</w:t>
      </w:r>
      <w:r>
        <w:rPr>
          <w:spacing w:val="34"/>
        </w:rPr>
        <w:t xml:space="preserve"> </w:t>
      </w:r>
      <w:r>
        <w:rPr/>
        <w:t>ak</w:t>
      </w:r>
      <w:r>
        <w:rPr>
          <w:spacing w:val="34"/>
        </w:rPr>
        <w:t xml:space="preserve"> </w:t>
      </w:r>
      <w:r>
        <w:rPr/>
        <w:t>je</w:t>
      </w:r>
      <w:r>
        <w:rPr>
          <w:spacing w:val="33"/>
        </w:rPr>
        <w:t xml:space="preserve"> </w:t>
      </w:r>
      <w:r>
        <w:rPr/>
        <w:t>takmer</w:t>
      </w:r>
      <w:r>
        <w:rPr>
          <w:spacing w:val="34"/>
        </w:rPr>
        <w:t xml:space="preserve"> </w:t>
      </w:r>
      <w:r>
        <w:rPr/>
        <w:t>isté,</w:t>
      </w:r>
      <w:r>
        <w:rPr>
          <w:spacing w:val="34"/>
        </w:rPr>
        <w:t xml:space="preserve"> </w:t>
      </w:r>
      <w:r>
        <w:rPr/>
        <w:t>že</w:t>
      </w:r>
      <w:r>
        <w:rPr>
          <w:spacing w:val="33"/>
        </w:rPr>
        <w:t xml:space="preserve"> </w:t>
      </w:r>
      <w:r>
        <w:rPr/>
        <w:t>sa</w:t>
      </w:r>
      <w:r>
        <w:rPr>
          <w:spacing w:val="34"/>
        </w:rPr>
        <w:t xml:space="preserve"> </w:t>
      </w:r>
      <w:r>
        <w:rPr/>
        <w:t>splnia</w:t>
      </w:r>
      <w:r>
        <w:rPr>
          <w:spacing w:val="33"/>
        </w:rPr>
        <w:t xml:space="preserve"> </w:t>
      </w:r>
      <w:r>
        <w:rPr/>
        <w:t>všetky</w:t>
      </w:r>
      <w:r>
        <w:rPr>
          <w:spacing w:val="35"/>
        </w:rPr>
        <w:t xml:space="preserve"> </w:t>
      </w:r>
      <w:r>
        <w:rPr/>
        <w:t>podmienky</w:t>
      </w:r>
      <w:r>
        <w:rPr>
          <w:spacing w:val="-57"/>
        </w:rPr>
        <w:t xml:space="preserve"> </w:t>
      </w:r>
      <w:r>
        <w:rPr/>
        <w:t>súvisiace</w:t>
      </w:r>
      <w:r>
        <w:rPr>
          <w:spacing w:val="-2"/>
        </w:rPr>
        <w:t xml:space="preserve"> </w:t>
      </w:r>
      <w:r>
        <w:rPr/>
        <w:t>s</w:t>
      </w:r>
      <w:r>
        <w:rPr>
          <w:spacing w:val="1"/>
        </w:rPr>
        <w:t xml:space="preserve"> </w:t>
      </w:r>
      <w:r>
        <w:rPr/>
        <w:t>dotáciou a</w:t>
      </w:r>
      <w:r>
        <w:rPr>
          <w:spacing w:val="-1"/>
        </w:rPr>
        <w:t xml:space="preserve"> </w:t>
      </w:r>
      <w:r>
        <w:rPr/>
        <w:t>súčasne, že</w:t>
      </w:r>
      <w:r>
        <w:rPr>
          <w:spacing w:val="-1"/>
        </w:rPr>
        <w:t xml:space="preserve"> </w:t>
      </w:r>
      <w:r>
        <w:rPr/>
        <w:t>sa</w:t>
      </w:r>
      <w:r>
        <w:rPr>
          <w:spacing w:val="-1"/>
        </w:rPr>
        <w:t xml:space="preserve"> </w:t>
      </w:r>
      <w:r>
        <w:rPr/>
        <w:t>dotácia</w:t>
      </w:r>
      <w:r>
        <w:rPr>
          <w:spacing w:val="-1"/>
        </w:rPr>
        <w:t xml:space="preserve"> </w:t>
      </w:r>
      <w:r>
        <w:rPr/>
        <w:t>poskytne.</w:t>
      </w:r>
    </w:p>
    <w:p>
      <w:pPr>
        <w:pStyle w:val="BodyText"/>
        <w:tabs>
          <w:tab w:val="clear" w:pos="720"/>
          <w:tab w:val="left" w:pos="5121" w:leader="none"/>
          <w:tab w:val="left" w:pos="7295" w:leader="none"/>
        </w:tabs>
        <w:spacing w:before="1" w:after="0"/>
        <w:ind w:left="112" w:right="161"/>
        <w:rPr/>
      </w:pPr>
      <w:r>
        <w:rPr>
          <w:b/>
        </w:rPr>
        <w:t xml:space="preserve">Bežný transfer </w:t>
      </w:r>
      <w:r>
        <w:rPr/>
        <w:t xml:space="preserve">od </w:t>
      </w:r>
      <w:r>
        <w:rPr>
          <w:u w:val="single"/>
        </w:rPr>
        <w:t>cudzích subjektov</w:t>
      </w:r>
      <w:r>
        <w:rPr/>
        <w:t xml:space="preserve"> - sa</w:t>
      </w:r>
      <w:r>
        <w:rPr>
          <w:spacing w:val="1"/>
        </w:rPr>
        <w:t xml:space="preserve"> </w:t>
      </w:r>
      <w:r>
        <w:rPr/>
        <w:t>zúčtuje do výnosov</w:t>
      </w:r>
      <w:r>
        <w:rPr>
          <w:spacing w:val="1"/>
        </w:rPr>
        <w:t xml:space="preserve"> </w:t>
      </w:r>
      <w:r>
        <w:rPr/>
        <w:t>vo vecnej a časovej súvislosti s nákladmi.</w:t>
      </w:r>
      <w:r>
        <w:rPr>
          <w:spacing w:val="1"/>
        </w:rPr>
        <w:t xml:space="preserve"> </w:t>
      </w:r>
      <w:r>
        <w:rPr>
          <w:b/>
        </w:rPr>
        <w:t>Kapitálový</w:t>
      </w:r>
      <w:r>
        <w:rPr>
          <w:b/>
          <w:spacing w:val="43"/>
        </w:rPr>
        <w:t xml:space="preserve"> </w:t>
      </w:r>
      <w:r>
        <w:rPr>
          <w:b/>
        </w:rPr>
        <w:t>transfer</w:t>
      </w:r>
      <w:r>
        <w:rPr>
          <w:b/>
          <w:spacing w:val="44"/>
        </w:rPr>
        <w:t xml:space="preserve"> </w:t>
      </w:r>
      <w:r>
        <w:rPr/>
        <w:t>od</w:t>
      </w:r>
      <w:r>
        <w:rPr>
          <w:spacing w:val="47"/>
        </w:rPr>
        <w:t xml:space="preserve"> </w:t>
      </w:r>
      <w:r>
        <w:rPr>
          <w:u w:val="single"/>
        </w:rPr>
        <w:t>cudzích</w:t>
      </w:r>
      <w:r>
        <w:rPr>
          <w:spacing w:val="46"/>
          <w:u w:val="single"/>
        </w:rPr>
        <w:t xml:space="preserve"> </w:t>
      </w:r>
      <w:r>
        <w:rPr>
          <w:u w:val="single"/>
        </w:rPr>
        <w:t>subjektov</w:t>
      </w:r>
      <w:r>
        <w:rPr>
          <w:spacing w:val="45"/>
        </w:rPr>
        <w:t xml:space="preserve"> </w:t>
      </w:r>
      <w:r>
        <w:rPr/>
        <w:t>-</w:t>
      </w:r>
      <w:r>
        <w:rPr>
          <w:spacing w:val="43"/>
        </w:rPr>
        <w:t xml:space="preserve"> </w:t>
      </w:r>
      <w:r>
        <w:rPr/>
        <w:t>sa</w:t>
        <w:tab/>
        <w:t>zúčtuje</w:t>
      </w:r>
      <w:r>
        <w:rPr>
          <w:spacing w:val="46"/>
        </w:rPr>
        <w:t xml:space="preserve"> </w:t>
      </w:r>
      <w:r>
        <w:rPr/>
        <w:t>do</w:t>
      </w:r>
      <w:r>
        <w:rPr>
          <w:spacing w:val="44"/>
        </w:rPr>
        <w:t xml:space="preserve"> </w:t>
      </w:r>
      <w:r>
        <w:rPr/>
        <w:t>výnosov</w:t>
        <w:tab/>
        <w:t>vo</w:t>
      </w:r>
      <w:r>
        <w:rPr>
          <w:spacing w:val="42"/>
        </w:rPr>
        <w:t xml:space="preserve"> </w:t>
      </w:r>
      <w:r>
        <w:rPr/>
        <w:t>vecnej</w:t>
      </w:r>
      <w:r>
        <w:rPr>
          <w:spacing w:val="45"/>
        </w:rPr>
        <w:t xml:space="preserve"> </w:t>
      </w:r>
      <w:r>
        <w:rPr/>
        <w:t>a</w:t>
      </w:r>
      <w:r>
        <w:rPr>
          <w:spacing w:val="43"/>
        </w:rPr>
        <w:t xml:space="preserve"> </w:t>
      </w:r>
      <w:r>
        <w:rPr/>
        <w:t>časovej</w:t>
      </w:r>
      <w:r>
        <w:rPr>
          <w:spacing w:val="42"/>
        </w:rPr>
        <w:t xml:space="preserve"> </w:t>
      </w:r>
      <w:r>
        <w:rPr/>
        <w:t>súvislosti</w:t>
      </w:r>
      <w:r>
        <w:rPr>
          <w:spacing w:val="-57"/>
        </w:rPr>
        <w:t xml:space="preserve"> </w:t>
      </w:r>
      <w:r>
        <w:rPr/>
        <w:t>s</w:t>
      </w:r>
      <w:r>
        <w:rPr>
          <w:spacing w:val="45"/>
        </w:rPr>
        <w:t xml:space="preserve"> </w:t>
      </w:r>
      <w:r>
        <w:rPr/>
        <w:t>nákladmi</w:t>
      </w:r>
      <w:r>
        <w:rPr>
          <w:spacing w:val="47"/>
        </w:rPr>
        <w:t xml:space="preserve"> </w:t>
      </w:r>
      <w:r>
        <w:rPr/>
        <w:t>(napr.</w:t>
      </w:r>
      <w:r>
        <w:rPr>
          <w:spacing w:val="46"/>
        </w:rPr>
        <w:t xml:space="preserve"> </w:t>
      </w:r>
      <w:r>
        <w:rPr/>
        <w:t>s</w:t>
      </w:r>
      <w:r>
        <w:rPr>
          <w:spacing w:val="47"/>
        </w:rPr>
        <w:t xml:space="preserve"> </w:t>
      </w:r>
      <w:r>
        <w:rPr/>
        <w:t>odpismi,</w:t>
      </w:r>
      <w:r>
        <w:rPr>
          <w:spacing w:val="46"/>
        </w:rPr>
        <w:t xml:space="preserve"> </w:t>
      </w:r>
      <w:r>
        <w:rPr/>
        <w:t>s</w:t>
      </w:r>
      <w:r>
        <w:rPr>
          <w:spacing w:val="1"/>
        </w:rPr>
        <w:t xml:space="preserve"> </w:t>
      </w:r>
      <w:r>
        <w:rPr/>
        <w:t>opravnou</w:t>
      </w:r>
      <w:r>
        <w:rPr>
          <w:spacing w:val="46"/>
        </w:rPr>
        <w:t xml:space="preserve"> </w:t>
      </w:r>
      <w:r>
        <w:rPr/>
        <w:t>položkou,</w:t>
      </w:r>
      <w:r>
        <w:rPr>
          <w:spacing w:val="47"/>
        </w:rPr>
        <w:t xml:space="preserve"> </w:t>
      </w:r>
      <w:r>
        <w:rPr/>
        <w:t>so</w:t>
      </w:r>
      <w:r>
        <w:rPr>
          <w:spacing w:val="47"/>
        </w:rPr>
        <w:t xml:space="preserve"> </w:t>
      </w:r>
      <w:r>
        <w:rPr/>
        <w:t>zostatkovou</w:t>
      </w:r>
      <w:r>
        <w:rPr>
          <w:spacing w:val="47"/>
        </w:rPr>
        <w:t xml:space="preserve"> </w:t>
      </w:r>
      <w:r>
        <w:rPr/>
        <w:t>hodnotou</w:t>
      </w:r>
      <w:r>
        <w:rPr>
          <w:spacing w:val="48"/>
        </w:rPr>
        <w:t xml:space="preserve"> </w:t>
      </w:r>
      <w:r>
        <w:rPr/>
        <w:t>vyradeného</w:t>
      </w:r>
      <w:r>
        <w:rPr>
          <w:spacing w:val="47"/>
        </w:rPr>
        <w:t xml:space="preserve"> </w:t>
      </w:r>
      <w:r>
        <w:rPr/>
        <w:t>dlhodobého</w:t>
      </w:r>
      <w:r>
        <w:rPr>
          <w:spacing w:val="-57"/>
        </w:rPr>
        <w:t xml:space="preserve"> </w:t>
      </w:r>
      <w:r>
        <w:rPr/>
        <w:t>majetku).</w:t>
      </w:r>
    </w:p>
    <w:p>
      <w:pPr>
        <w:pStyle w:val="BodyText"/>
        <w:rPr>
          <w:sz w:val="26"/>
        </w:rPr>
      </w:pPr>
      <w:r>
        <w:rPr>
          <w:sz w:val="26"/>
        </w:rPr>
      </w:r>
    </w:p>
    <w:p>
      <w:pPr>
        <w:pStyle w:val="BodyText"/>
        <w:spacing w:before="9" w:after="0"/>
        <w:rPr>
          <w:sz w:val="21"/>
        </w:rPr>
      </w:pPr>
      <w:r>
        <w:rPr>
          <w:sz w:val="21"/>
        </w:rPr>
      </w:r>
    </w:p>
    <w:p>
      <w:pPr>
        <w:pStyle w:val="Normal"/>
        <w:ind w:left="2303" w:right="2353"/>
        <w:jc w:val="center"/>
        <w:rPr>
          <w:b/>
          <w:sz w:val="24"/>
        </w:rPr>
      </w:pPr>
      <w:r>
        <w:rPr>
          <w:b/>
          <w:sz w:val="24"/>
        </w:rPr>
        <w:t>Čl.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III</w:t>
      </w:r>
    </w:p>
    <w:p>
      <w:pPr>
        <w:pStyle w:val="Normal"/>
        <w:ind w:left="2302" w:right="2355"/>
        <w:jc w:val="center"/>
        <w:rPr>
          <w:b/>
          <w:sz w:val="24"/>
        </w:rPr>
      </w:pPr>
      <w:r>
        <w:rPr>
          <w:b/>
          <w:sz w:val="24"/>
        </w:rPr>
        <w:t>Informácie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o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údajoch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na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strane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aktív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súvahy</w:t>
      </w:r>
    </w:p>
    <w:p>
      <w:pPr>
        <w:pStyle w:val="BodyText"/>
        <w:rPr>
          <w:b/>
          <w:sz w:val="26"/>
        </w:rPr>
      </w:pPr>
      <w:r>
        <w:rPr>
          <w:b/>
          <w:sz w:val="26"/>
        </w:rPr>
      </w:r>
    </w:p>
    <w:p>
      <w:pPr>
        <w:pStyle w:val="BodyText"/>
        <w:rPr>
          <w:b/>
          <w:sz w:val="22"/>
        </w:rPr>
      </w:pPr>
      <w:r>
        <w:rPr>
          <w:b/>
          <w:sz w:val="22"/>
        </w:rPr>
      </w:r>
    </w:p>
    <w:p>
      <w:pPr>
        <w:pStyle w:val="Normal"/>
        <w:ind w:left="112"/>
        <w:rPr>
          <w:b/>
          <w:sz w:val="24"/>
        </w:rPr>
      </w:pPr>
      <w:r>
        <w:rPr>
          <w:b/>
          <w:sz w:val="24"/>
        </w:rPr>
        <w:t>A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Neobežný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majetok</w:t>
      </w:r>
    </w:p>
    <w:p>
      <w:pPr>
        <w:pStyle w:val="Normal"/>
        <w:tabs>
          <w:tab w:val="clear" w:pos="720"/>
          <w:tab w:val="left" w:pos="756" w:leader="none"/>
        </w:tabs>
        <w:spacing w:before="1" w:after="0"/>
        <w:ind w:left="396"/>
        <w:rPr>
          <w:b/>
          <w:sz w:val="24"/>
        </w:rPr>
      </w:pPr>
      <w:r>
        <w:rPr>
          <w:b/>
          <w:sz w:val="24"/>
        </w:rPr>
        <w:t>1</w:t>
        <w:tab/>
        <w:t>Dlhodobý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nehmotný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majetok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a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dlhodobý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hmotný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majetok</w:t>
      </w:r>
    </w:p>
    <w:p>
      <w:pPr>
        <w:pStyle w:val="ListParagraph"/>
        <w:numPr>
          <w:ilvl w:val="0"/>
          <w:numId w:val="3"/>
        </w:numPr>
        <w:tabs>
          <w:tab w:val="clear" w:pos="720"/>
          <w:tab w:val="left" w:pos="397" w:leader="none"/>
        </w:tabs>
        <w:ind w:hanging="285" w:left="396"/>
        <w:rPr>
          <w:sz w:val="24"/>
        </w:rPr>
      </w:pPr>
      <w:r>
        <w:rPr>
          <w:b/>
          <w:sz w:val="24"/>
        </w:rPr>
        <w:t>prehľad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o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pohybe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dlhodobého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majetku</w:t>
      </w:r>
      <w:r>
        <w:rPr>
          <w:b/>
          <w:spacing w:val="1"/>
          <w:sz w:val="24"/>
        </w:rPr>
        <w:t xml:space="preserve"> </w:t>
      </w:r>
      <w:r>
        <w:rPr>
          <w:sz w:val="24"/>
        </w:rPr>
        <w:t>(tabuľka</w:t>
      </w:r>
      <w:r>
        <w:rPr>
          <w:spacing w:val="-3"/>
          <w:sz w:val="24"/>
        </w:rPr>
        <w:t xml:space="preserve"> </w:t>
      </w:r>
      <w:r>
        <w:rPr>
          <w:sz w:val="24"/>
        </w:rPr>
        <w:t>č.1)</w:t>
      </w:r>
    </w:p>
    <w:p>
      <w:pPr>
        <w:pStyle w:val="BodyText"/>
        <w:rPr/>
      </w:pPr>
      <w:r>
        <w:rPr/>
      </w:r>
    </w:p>
    <w:p>
      <w:pPr>
        <w:pStyle w:val="ListParagraph"/>
        <w:numPr>
          <w:ilvl w:val="0"/>
          <w:numId w:val="3"/>
        </w:numPr>
        <w:tabs>
          <w:tab w:val="clear" w:pos="720"/>
          <w:tab w:val="left" w:pos="397" w:leader="none"/>
        </w:tabs>
        <w:ind w:hanging="285" w:left="396"/>
        <w:rPr>
          <w:b/>
          <w:sz w:val="24"/>
        </w:rPr>
      </w:pPr>
      <w:r>
        <w:rPr>
          <w:b/>
          <w:sz w:val="24"/>
        </w:rPr>
        <w:t>opis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a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hodnota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dlhodobého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majetku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vo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vlastníctve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účtovnej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jednotky</w:t>
      </w:r>
    </w:p>
    <w:p>
      <w:pPr>
        <w:pStyle w:val="BodyText"/>
        <w:rPr>
          <w:b/>
          <w:sz w:val="20"/>
        </w:rPr>
      </w:pPr>
      <w:r>
        <w:rPr>
          <w:b/>
          <w:sz w:val="20"/>
        </w:rPr>
      </w:r>
    </w:p>
    <w:p>
      <w:pPr>
        <w:pStyle w:val="BodyText"/>
        <w:spacing w:before="1" w:after="0"/>
        <w:rPr>
          <w:b/>
          <w:sz w:val="28"/>
        </w:rPr>
      </w:pPr>
      <w:r>
        <w:rPr>
          <w:b/>
          <w:sz w:val="28"/>
        </w:rPr>
      </w:r>
    </w:p>
    <w:tbl>
      <w:tblPr>
        <w:tblStyle w:val="TableNormal"/>
        <w:tblW w:w="10208" w:type="dxa"/>
        <w:jc w:val="left"/>
        <w:tblInd w:w="118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firstRow="1" w:noVBand="0" w:lastRow="1" w:firstColumn="1" w:lastColumn="1" w:noHBand="0" w:val="01e0"/>
      </w:tblPr>
      <w:tblGrid>
        <w:gridCol w:w="5221"/>
        <w:gridCol w:w="4986"/>
      </w:tblGrid>
      <w:tr>
        <w:trPr>
          <w:trHeight w:val="460" w:hRule="atLeast"/>
        </w:trPr>
        <w:tc>
          <w:tcPr>
            <w:tcW w:w="5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auto" w:line="240" w:before="0" w:after="0"/>
              <w:ind w:left="582" w:right="575"/>
              <w:jc w:val="center"/>
              <w:rPr>
                <w:b/>
                <w:sz w:val="20"/>
              </w:rPr>
            </w:pPr>
            <w:r>
              <w:rPr>
                <w:b/>
                <w:kern w:val="0"/>
                <w:sz w:val="20"/>
                <w:szCs w:val="22"/>
                <w:lang w:eastAsia="en-US" w:bidi="ar-SA"/>
              </w:rPr>
              <w:t>Majetok,</w:t>
            </w:r>
          </w:p>
          <w:p>
            <w:pPr>
              <w:pStyle w:val="TableParagraph"/>
              <w:widowControl w:val="false"/>
              <w:spacing w:before="0" w:after="0"/>
              <w:ind w:left="583" w:right="575"/>
              <w:jc w:val="center"/>
              <w:rPr>
                <w:sz w:val="20"/>
              </w:rPr>
            </w:pPr>
            <w:r>
              <w:rPr>
                <w:kern w:val="0"/>
                <w:sz w:val="20"/>
                <w:szCs w:val="22"/>
                <w:lang w:eastAsia="en-US" w:bidi="ar-SA"/>
              </w:rPr>
              <w:t>ku</w:t>
            </w:r>
            <w:r>
              <w:rPr>
                <w:spacing w:val="-1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0"/>
                <w:szCs w:val="22"/>
                <w:lang w:eastAsia="en-US" w:bidi="ar-SA"/>
              </w:rPr>
              <w:t>ktorému</w:t>
            </w:r>
            <w:r>
              <w:rPr>
                <w:spacing w:val="-2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20"/>
                <w:szCs w:val="22"/>
                <w:lang w:eastAsia="en-US" w:bidi="ar-SA"/>
              </w:rPr>
              <w:t>má</w:t>
            </w:r>
            <w:r>
              <w:rPr>
                <w:b/>
                <w:spacing w:val="-2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0"/>
                <w:szCs w:val="22"/>
                <w:lang w:eastAsia="en-US" w:bidi="ar-SA"/>
              </w:rPr>
              <w:t>účtovná</w:t>
            </w:r>
            <w:r>
              <w:rPr>
                <w:spacing w:val="-2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0"/>
                <w:szCs w:val="22"/>
                <w:lang w:eastAsia="en-US" w:bidi="ar-SA"/>
              </w:rPr>
              <w:t>jednotka</w:t>
            </w:r>
            <w:r>
              <w:rPr>
                <w:spacing w:val="-2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0"/>
                <w:szCs w:val="22"/>
                <w:lang w:eastAsia="en-US" w:bidi="ar-SA"/>
              </w:rPr>
              <w:t>vlastnícke</w:t>
            </w:r>
            <w:r>
              <w:rPr>
                <w:spacing w:val="-1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0"/>
                <w:szCs w:val="22"/>
                <w:lang w:eastAsia="en-US" w:bidi="ar-SA"/>
              </w:rPr>
              <w:t>právo</w:t>
            </w:r>
          </w:p>
        </w:tc>
        <w:tc>
          <w:tcPr>
            <w:tcW w:w="4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auto" w:line="240" w:before="0" w:after="0"/>
              <w:ind w:left="2228" w:right="2219"/>
              <w:jc w:val="center"/>
              <w:rPr>
                <w:b/>
                <w:sz w:val="20"/>
              </w:rPr>
            </w:pPr>
            <w:r>
              <w:rPr>
                <w:b/>
                <w:kern w:val="0"/>
                <w:sz w:val="20"/>
                <w:szCs w:val="22"/>
                <w:lang w:eastAsia="en-US" w:bidi="ar-SA"/>
              </w:rPr>
              <w:t>Suma</w:t>
            </w:r>
          </w:p>
        </w:tc>
      </w:tr>
      <w:tr>
        <w:trPr>
          <w:trHeight w:val="230" w:hRule="atLeast"/>
        </w:trPr>
        <w:tc>
          <w:tcPr>
            <w:tcW w:w="5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ind w:left="107"/>
              <w:jc w:val="left"/>
              <w:rPr>
                <w:sz w:val="20"/>
              </w:rPr>
            </w:pPr>
            <w:r>
              <w:rPr>
                <w:kern w:val="0"/>
                <w:sz w:val="20"/>
                <w:szCs w:val="22"/>
                <w:lang w:eastAsia="en-US" w:bidi="ar-SA"/>
              </w:rPr>
              <w:t>Stroje,</w:t>
            </w:r>
            <w:r>
              <w:rPr>
                <w:spacing w:val="-3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0"/>
                <w:szCs w:val="22"/>
                <w:lang w:eastAsia="en-US" w:bidi="ar-SA"/>
              </w:rPr>
              <w:t>prístroje,</w:t>
            </w:r>
            <w:r>
              <w:rPr>
                <w:spacing w:val="-3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0"/>
                <w:szCs w:val="22"/>
                <w:lang w:eastAsia="en-US" w:bidi="ar-SA"/>
              </w:rPr>
              <w:t>zariadenia,</w:t>
            </w:r>
            <w:r>
              <w:rPr>
                <w:spacing w:val="-3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0"/>
                <w:szCs w:val="22"/>
                <w:lang w:eastAsia="en-US" w:bidi="ar-SA"/>
              </w:rPr>
              <w:t>inventár</w:t>
            </w:r>
          </w:p>
        </w:tc>
        <w:tc>
          <w:tcPr>
            <w:tcW w:w="4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ind w:right="96"/>
              <w:jc w:val="right"/>
              <w:rPr>
                <w:sz w:val="20"/>
              </w:rPr>
            </w:pPr>
            <w:r>
              <w:rPr>
                <w:kern w:val="0"/>
                <w:sz w:val="20"/>
                <w:szCs w:val="22"/>
                <w:lang w:eastAsia="en-US" w:bidi="ar-SA"/>
              </w:rPr>
              <w:t>2200,00</w:t>
            </w:r>
            <w:r>
              <w:rPr>
                <w:spacing w:val="-3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0"/>
                <w:szCs w:val="22"/>
                <w:lang w:eastAsia="en-US" w:bidi="ar-SA"/>
              </w:rPr>
              <w:t>EUR</w:t>
            </w:r>
          </w:p>
        </w:tc>
      </w:tr>
    </w:tbl>
    <w:p>
      <w:pPr>
        <w:pStyle w:val="BodyText"/>
        <w:rPr>
          <w:b/>
          <w:sz w:val="20"/>
        </w:rPr>
      </w:pPr>
      <w:r>
        <w:rPr>
          <w:b/>
          <w:sz w:val="20"/>
        </w:rPr>
      </w:r>
    </w:p>
    <w:p>
      <w:pPr>
        <w:pStyle w:val="BodyText"/>
        <w:spacing w:before="1" w:after="0"/>
        <w:rPr>
          <w:b/>
          <w:sz w:val="20"/>
        </w:rPr>
      </w:pPr>
      <w:r>
        <w:rPr>
          <w:b/>
          <w:sz w:val="20"/>
        </w:rPr>
      </w:r>
    </w:p>
    <w:p>
      <w:pPr>
        <w:pStyle w:val="Normal"/>
        <w:spacing w:before="90" w:after="0"/>
        <w:ind w:left="112"/>
        <w:rPr>
          <w:b/>
          <w:sz w:val="24"/>
        </w:rPr>
      </w:pPr>
      <w:r>
        <w:rPr>
          <w:b/>
          <w:sz w:val="24"/>
        </w:rPr>
        <w:t>B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Obežný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majetok</w:t>
      </w:r>
    </w:p>
    <w:p>
      <w:pPr>
        <w:pStyle w:val="BodyText"/>
        <w:rPr>
          <w:b/>
        </w:rPr>
      </w:pPr>
      <w:r>
        <w:rPr>
          <w:b/>
        </w:rPr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756" w:leader="none"/>
          <w:tab w:val="left" w:pos="757" w:leader="none"/>
        </w:tabs>
        <w:ind w:hanging="361" w:left="756"/>
        <w:rPr>
          <w:b/>
          <w:sz w:val="24"/>
        </w:rPr>
      </w:pPr>
      <w:r>
        <w:rPr>
          <w:b/>
          <w:sz w:val="24"/>
        </w:rPr>
        <w:t>Zásoby</w:t>
      </w:r>
    </w:p>
    <w:p>
      <w:pPr>
        <w:pStyle w:val="BodyText"/>
        <w:jc w:val="left"/>
        <w:rPr>
          <w:b w:val="false"/>
          <w:bCs w:val="false"/>
        </w:rPr>
      </w:pPr>
      <w:r>
        <w:rPr>
          <w:b w:val="false"/>
          <w:bCs w:val="false"/>
        </w:rPr>
        <w:t>Základná škola eviduje zásoby v sume 66,93 € ktoré sú tvorené zostatkom potravín, ktoré boli prijaté z školského programu.</w:t>
      </w:r>
    </w:p>
    <w:p>
      <w:pPr>
        <w:pStyle w:val="BodyText"/>
        <w:jc w:val="left"/>
        <w:rPr>
          <w:b w:val="false"/>
          <w:bCs w:val="false"/>
        </w:rPr>
      </w:pPr>
      <w:r>
        <w:rPr>
          <w:b w:val="false"/>
          <w:bCs w:val="false"/>
        </w:rPr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756" w:leader="none"/>
          <w:tab w:val="left" w:pos="757" w:leader="none"/>
        </w:tabs>
        <w:ind w:hanging="361" w:left="756"/>
        <w:rPr>
          <w:b/>
          <w:sz w:val="24"/>
        </w:rPr>
      </w:pPr>
      <w:r>
        <w:rPr>
          <w:b/>
          <w:sz w:val="24"/>
        </w:rPr>
        <w:t>Pohľadávky</w:t>
      </w:r>
    </w:p>
    <w:p>
      <w:pPr>
        <w:pStyle w:val="BodyText"/>
        <w:ind w:left="112" w:right="2725"/>
        <w:rPr/>
      </w:pPr>
      <w:r>
        <w:rPr/>
        <w:t>a)</w:t>
      </w:r>
      <w:r>
        <w:rPr>
          <w:spacing w:val="36"/>
        </w:rPr>
        <w:t xml:space="preserve"> </w:t>
      </w:r>
      <w:r>
        <w:rPr/>
        <w:t>pohľadávky</w:t>
      </w:r>
      <w:r>
        <w:rPr>
          <w:spacing w:val="-1"/>
        </w:rPr>
        <w:t xml:space="preserve"> </w:t>
      </w:r>
      <w:r>
        <w:rPr/>
        <w:t>podľa</w:t>
      </w:r>
      <w:r>
        <w:rPr>
          <w:spacing w:val="-1"/>
        </w:rPr>
        <w:t xml:space="preserve"> </w:t>
      </w:r>
      <w:r>
        <w:rPr>
          <w:b/>
        </w:rPr>
        <w:t>doby</w:t>
      </w:r>
      <w:r>
        <w:rPr>
          <w:b/>
          <w:spacing w:val="-1"/>
        </w:rPr>
        <w:t xml:space="preserve"> </w:t>
      </w:r>
      <w:r>
        <w:rPr>
          <w:b/>
        </w:rPr>
        <w:t xml:space="preserve">splatnosti </w:t>
      </w:r>
      <w:r>
        <w:rPr/>
        <w:t>(riadky</w:t>
      </w:r>
      <w:r>
        <w:rPr>
          <w:spacing w:val="-1"/>
        </w:rPr>
        <w:t xml:space="preserve"> </w:t>
      </w:r>
      <w:r>
        <w:rPr/>
        <w:t>048</w:t>
      </w:r>
      <w:r>
        <w:rPr>
          <w:spacing w:val="-1"/>
        </w:rPr>
        <w:t xml:space="preserve"> </w:t>
      </w:r>
      <w:r>
        <w:rPr/>
        <w:t>až</w:t>
      </w:r>
      <w:r>
        <w:rPr>
          <w:spacing w:val="1"/>
        </w:rPr>
        <w:t xml:space="preserve"> </w:t>
      </w:r>
      <w:r>
        <w:rPr/>
        <w:t>060</w:t>
      </w:r>
      <w:r>
        <w:rPr>
          <w:spacing w:val="-1"/>
        </w:rPr>
        <w:t xml:space="preserve"> </w:t>
      </w:r>
      <w:r>
        <w:rPr/>
        <w:t>súvahy)</w:t>
      </w:r>
      <w:r>
        <w:rPr>
          <w:spacing w:val="-2"/>
        </w:rPr>
        <w:t xml:space="preserve"> </w:t>
      </w:r>
      <w:r>
        <w:rPr/>
        <w:t>-</w:t>
      </w:r>
      <w:r>
        <w:rPr>
          <w:spacing w:val="-2"/>
        </w:rPr>
        <w:t xml:space="preserve"> </w:t>
      </w:r>
      <w:r>
        <w:rPr/>
        <w:t>tabuľka</w:t>
      </w:r>
      <w:r>
        <w:rPr>
          <w:spacing w:val="1"/>
        </w:rPr>
        <w:t xml:space="preserve"> </w:t>
      </w:r>
      <w:r>
        <w:rPr/>
        <w:t>č.4</w:t>
      </w:r>
      <w:r>
        <w:rPr>
          <w:spacing w:val="-57"/>
        </w:rPr>
        <w:t xml:space="preserve"> </w:t>
      </w:r>
      <w:r>
        <w:rPr/>
        <w:t>Textová</w:t>
      </w:r>
      <w:r>
        <w:rPr>
          <w:spacing w:val="-1"/>
        </w:rPr>
        <w:t xml:space="preserve"> </w:t>
      </w:r>
      <w:r>
        <w:rPr/>
        <w:t>časť k tabuľke</w:t>
      </w:r>
      <w:r>
        <w:rPr>
          <w:spacing w:val="1"/>
        </w:rPr>
        <w:t xml:space="preserve"> </w:t>
      </w:r>
      <w:r>
        <w:rPr/>
        <w:t>č.4</w:t>
      </w:r>
    </w:p>
    <w:p>
      <w:pPr>
        <w:pStyle w:val="BodyText"/>
        <w:spacing w:before="1" w:after="0"/>
        <w:rPr/>
      </w:pPr>
      <w:r>
        <w:rPr/>
      </w:r>
    </w:p>
    <w:tbl>
      <w:tblPr>
        <w:tblStyle w:val="TableNormal"/>
        <w:tblW w:w="9355" w:type="dxa"/>
        <w:jc w:val="left"/>
        <w:tblInd w:w="118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firstRow="1" w:noVBand="0" w:lastRow="1" w:firstColumn="1" w:lastColumn="1" w:noHBand="0" w:val="01e0"/>
      </w:tblPr>
      <w:tblGrid>
        <w:gridCol w:w="5103"/>
        <w:gridCol w:w="1418"/>
        <w:gridCol w:w="2834"/>
      </w:tblGrid>
      <w:tr>
        <w:trPr>
          <w:trHeight w:val="690" w:hRule="atLeast"/>
        </w:trPr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1F1F1" w:val="clear"/>
          </w:tcPr>
          <w:p>
            <w:pPr>
              <w:pStyle w:val="TableParagraph"/>
              <w:widowControl w:val="false"/>
              <w:spacing w:lineRule="auto" w:line="240" w:before="0" w:after="0"/>
              <w:ind w:left="2007" w:right="1995"/>
              <w:jc w:val="center"/>
              <w:rPr>
                <w:b/>
                <w:sz w:val="20"/>
              </w:rPr>
            </w:pPr>
            <w:r>
              <w:rPr>
                <w:b/>
                <w:kern w:val="0"/>
                <w:sz w:val="20"/>
                <w:szCs w:val="22"/>
                <w:lang w:eastAsia="en-US" w:bidi="ar-SA"/>
              </w:rPr>
              <w:t>Pohľadávky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1F1F1" w:val="clear"/>
          </w:tcPr>
          <w:p>
            <w:pPr>
              <w:pStyle w:val="TableParagraph"/>
              <w:widowControl w:val="false"/>
              <w:spacing w:lineRule="auto" w:line="240" w:before="0" w:after="0"/>
              <w:ind w:firstLine="153" w:left="178" w:right="166"/>
              <w:jc w:val="left"/>
              <w:rPr>
                <w:b/>
                <w:sz w:val="20"/>
              </w:rPr>
            </w:pPr>
            <w:r>
              <w:rPr>
                <w:b/>
                <w:kern w:val="0"/>
                <w:sz w:val="20"/>
                <w:szCs w:val="22"/>
                <w:lang w:eastAsia="en-US" w:bidi="ar-SA"/>
              </w:rPr>
              <w:t>Zostatok</w:t>
            </w:r>
            <w:r>
              <w:rPr>
                <w:b/>
                <w:spacing w:val="1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20"/>
                <w:szCs w:val="22"/>
                <w:lang w:eastAsia="en-US" w:bidi="ar-SA"/>
              </w:rPr>
              <w:t>k</w:t>
            </w:r>
            <w:r>
              <w:rPr>
                <w:b/>
                <w:spacing w:val="-12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20"/>
                <w:szCs w:val="22"/>
                <w:lang w:eastAsia="en-US" w:bidi="ar-SA"/>
              </w:rPr>
              <w:t>31.12.2025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1F1F1" w:val="clear"/>
          </w:tcPr>
          <w:p>
            <w:pPr>
              <w:pStyle w:val="TableParagraph"/>
              <w:widowControl w:val="false"/>
              <w:spacing w:lineRule="auto" w:line="240" w:before="0" w:after="0"/>
              <w:ind w:left="183" w:right="170"/>
              <w:jc w:val="center"/>
              <w:rPr>
                <w:b/>
                <w:sz w:val="20"/>
              </w:rPr>
            </w:pPr>
            <w:r>
              <w:rPr>
                <w:b/>
                <w:kern w:val="0"/>
                <w:sz w:val="20"/>
                <w:szCs w:val="22"/>
                <w:lang w:eastAsia="en-US" w:bidi="ar-SA"/>
              </w:rPr>
              <w:t>Z</w:t>
            </w:r>
            <w:r>
              <w:rPr>
                <w:b/>
                <w:spacing w:val="-5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20"/>
                <w:szCs w:val="22"/>
                <w:lang w:eastAsia="en-US" w:bidi="ar-SA"/>
              </w:rPr>
              <w:t>toho</w:t>
            </w:r>
            <w:r>
              <w:rPr>
                <w:b/>
                <w:spacing w:val="-3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20"/>
                <w:szCs w:val="22"/>
                <w:lang w:eastAsia="en-US" w:bidi="ar-SA"/>
              </w:rPr>
              <w:t>pohľadávky</w:t>
            </w:r>
            <w:r>
              <w:rPr>
                <w:b/>
                <w:spacing w:val="-4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20"/>
                <w:szCs w:val="22"/>
                <w:lang w:eastAsia="en-US" w:bidi="ar-SA"/>
              </w:rPr>
              <w:t>po</w:t>
            </w:r>
            <w:r>
              <w:rPr>
                <w:b/>
                <w:spacing w:val="-4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20"/>
                <w:szCs w:val="22"/>
                <w:lang w:eastAsia="en-US" w:bidi="ar-SA"/>
              </w:rPr>
              <w:t>lehote</w:t>
            </w:r>
            <w:r>
              <w:rPr>
                <w:b/>
                <w:spacing w:val="-47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20"/>
                <w:szCs w:val="22"/>
                <w:lang w:eastAsia="en-US" w:bidi="ar-SA"/>
              </w:rPr>
              <w:t>splatnosti</w:t>
            </w:r>
          </w:p>
          <w:p>
            <w:pPr>
              <w:pStyle w:val="TableParagraph"/>
              <w:widowControl w:val="false"/>
              <w:spacing w:before="1" w:after="0"/>
              <w:ind w:left="182" w:right="170"/>
              <w:jc w:val="center"/>
              <w:rPr>
                <w:b/>
                <w:sz w:val="20"/>
              </w:rPr>
            </w:pPr>
            <w:r>
              <w:rPr>
                <w:b/>
                <w:kern w:val="0"/>
                <w:sz w:val="20"/>
                <w:szCs w:val="22"/>
                <w:lang w:eastAsia="en-US" w:bidi="ar-SA"/>
              </w:rPr>
              <w:t>suma,</w:t>
            </w:r>
            <w:r>
              <w:rPr>
                <w:b/>
                <w:spacing w:val="-2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20"/>
                <w:szCs w:val="22"/>
                <w:lang w:eastAsia="en-US" w:bidi="ar-SA"/>
              </w:rPr>
              <w:t>popis</w:t>
            </w:r>
          </w:p>
        </w:tc>
      </w:tr>
      <w:tr>
        <w:trPr>
          <w:trHeight w:val="230" w:hRule="atLeast"/>
        </w:trPr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ind w:left="71"/>
              <w:jc w:val="left"/>
              <w:rPr>
                <w:b/>
                <w:sz w:val="20"/>
              </w:rPr>
            </w:pPr>
            <w:r>
              <w:rPr>
                <w:b/>
                <w:kern w:val="0"/>
                <w:sz w:val="20"/>
                <w:szCs w:val="22"/>
                <w:lang w:eastAsia="en-US" w:bidi="ar-SA"/>
              </w:rPr>
              <w:t>Dlhodobé</w:t>
            </w:r>
            <w:r>
              <w:rPr>
                <w:b/>
                <w:spacing w:val="-4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20"/>
                <w:szCs w:val="22"/>
                <w:lang w:eastAsia="en-US" w:bidi="ar-SA"/>
              </w:rPr>
              <w:t>pohľadávky</w:t>
            </w:r>
            <w:r>
              <w:rPr>
                <w:b/>
                <w:spacing w:val="-4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20"/>
                <w:szCs w:val="22"/>
                <w:lang w:eastAsia="en-US" w:bidi="ar-SA"/>
              </w:rPr>
              <w:t>z</w:t>
            </w:r>
            <w:r>
              <w:rPr>
                <w:b/>
                <w:spacing w:val="-1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20"/>
                <w:szCs w:val="22"/>
                <w:lang w:eastAsia="en-US" w:bidi="ar-SA"/>
              </w:rPr>
              <w:t>toho: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ind w:left="12"/>
              <w:jc w:val="center"/>
              <w:rPr>
                <w:sz w:val="20"/>
              </w:rPr>
            </w:pPr>
            <w:r>
              <w:rPr>
                <w:w w:val="99"/>
                <w:kern w:val="0"/>
                <w:sz w:val="20"/>
                <w:szCs w:val="22"/>
                <w:lang w:eastAsia="en-US" w:bidi="ar-SA"/>
              </w:rPr>
              <w:t>0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auto" w:line="240" w:before="0" w:after="0"/>
              <w:jc w:val="left"/>
              <w:rPr>
                <w:sz w:val="16"/>
              </w:rPr>
            </w:pPr>
            <w:r>
              <w:rPr>
                <w:kern w:val="0"/>
                <w:sz w:val="16"/>
                <w:szCs w:val="22"/>
                <w:lang w:eastAsia="en-US" w:bidi="ar-SA"/>
              </w:rPr>
            </w:r>
          </w:p>
        </w:tc>
      </w:tr>
      <w:tr>
        <w:trPr>
          <w:trHeight w:val="230" w:hRule="atLeast"/>
        </w:trPr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ind w:left="71"/>
              <w:jc w:val="left"/>
              <w:rPr>
                <w:b/>
                <w:sz w:val="20"/>
              </w:rPr>
            </w:pPr>
            <w:r>
              <w:rPr>
                <w:b/>
                <w:kern w:val="0"/>
                <w:sz w:val="20"/>
                <w:szCs w:val="22"/>
                <w:lang w:eastAsia="en-US" w:bidi="ar-SA"/>
              </w:rPr>
              <w:t>Krátkodobé</w:t>
            </w:r>
            <w:r>
              <w:rPr>
                <w:b/>
                <w:spacing w:val="-4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20"/>
                <w:szCs w:val="22"/>
                <w:lang w:eastAsia="en-US" w:bidi="ar-SA"/>
              </w:rPr>
              <w:t>pohľadávky</w:t>
            </w:r>
            <w:r>
              <w:rPr>
                <w:b/>
                <w:spacing w:val="-4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20"/>
                <w:szCs w:val="22"/>
                <w:lang w:eastAsia="en-US" w:bidi="ar-SA"/>
              </w:rPr>
              <w:t>z</w:t>
            </w:r>
            <w:r>
              <w:rPr>
                <w:b/>
                <w:spacing w:val="-1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20"/>
                <w:szCs w:val="22"/>
                <w:lang w:eastAsia="en-US" w:bidi="ar-SA"/>
              </w:rPr>
              <w:t>toho: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ind w:left="414" w:right="403"/>
              <w:jc w:val="center"/>
              <w:rPr>
                <w:sz w:val="20"/>
              </w:rPr>
            </w:pPr>
            <w:r>
              <w:rPr>
                <w:kern w:val="0"/>
                <w:sz w:val="20"/>
                <w:szCs w:val="22"/>
                <w:lang w:eastAsia="en-US" w:bidi="ar-SA"/>
              </w:rPr>
              <w:t>0,00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auto" w:line="240" w:before="0" w:after="0"/>
              <w:jc w:val="left"/>
              <w:rPr>
                <w:sz w:val="16"/>
              </w:rPr>
            </w:pPr>
            <w:r>
              <w:rPr>
                <w:kern w:val="0"/>
                <w:sz w:val="16"/>
                <w:szCs w:val="22"/>
                <w:lang w:eastAsia="en-US" w:bidi="ar-SA"/>
              </w:rPr>
            </w:r>
          </w:p>
        </w:tc>
      </w:tr>
      <w:tr>
        <w:trPr>
          <w:trHeight w:val="230" w:hRule="atLeast"/>
        </w:trPr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ind w:left="144"/>
              <w:jc w:val="left"/>
              <w:rPr>
                <w:sz w:val="20"/>
              </w:rPr>
            </w:pPr>
            <w:r>
              <w:rPr>
                <w:kern w:val="0"/>
                <w:sz w:val="20"/>
                <w:szCs w:val="22"/>
                <w:lang w:eastAsia="en-US" w:bidi="ar-SA"/>
              </w:rPr>
              <w:t>-</w:t>
            </w:r>
            <w:r>
              <w:rPr>
                <w:spacing w:val="23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0"/>
                <w:szCs w:val="22"/>
                <w:lang w:eastAsia="en-US" w:bidi="ar-SA"/>
              </w:rPr>
              <w:t>pohľadávky</w:t>
            </w:r>
            <w:r>
              <w:rPr>
                <w:spacing w:val="-3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0"/>
                <w:szCs w:val="22"/>
                <w:lang w:eastAsia="en-US" w:bidi="ar-SA"/>
              </w:rPr>
              <w:t>voči</w:t>
            </w:r>
            <w:r>
              <w:rPr>
                <w:spacing w:val="-1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0"/>
                <w:szCs w:val="22"/>
                <w:lang w:eastAsia="en-US" w:bidi="ar-SA"/>
              </w:rPr>
              <w:t>zamestnancom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ind w:left="414" w:right="403"/>
              <w:jc w:val="center"/>
              <w:rPr>
                <w:sz w:val="20"/>
              </w:rPr>
            </w:pPr>
            <w:r>
              <w:rPr>
                <w:kern w:val="0"/>
                <w:sz w:val="20"/>
                <w:szCs w:val="22"/>
                <w:lang w:eastAsia="en-US" w:bidi="ar-SA"/>
              </w:rPr>
              <w:t>0,00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auto" w:line="240" w:before="0" w:after="0"/>
              <w:jc w:val="left"/>
              <w:rPr>
                <w:sz w:val="16"/>
              </w:rPr>
            </w:pPr>
            <w:r>
              <w:rPr>
                <w:kern w:val="0"/>
                <w:sz w:val="16"/>
                <w:szCs w:val="22"/>
                <w:lang w:eastAsia="en-US" w:bidi="ar-SA"/>
              </w:rPr>
            </w:r>
          </w:p>
        </w:tc>
      </w:tr>
    </w:tbl>
    <w:p>
      <w:pPr>
        <w:pStyle w:val="BodyText"/>
        <w:spacing w:before="11" w:after="0"/>
        <w:rPr>
          <w:sz w:val="23"/>
        </w:rPr>
      </w:pPr>
      <w:r>
        <w:rPr>
          <w:sz w:val="23"/>
        </w:rPr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756" w:leader="none"/>
          <w:tab w:val="left" w:pos="757" w:leader="none"/>
        </w:tabs>
        <w:ind w:hanging="361" w:left="756"/>
        <w:rPr>
          <w:b/>
          <w:sz w:val="24"/>
        </w:rPr>
      </w:pPr>
      <w:r>
        <w:rPr>
          <w:b/>
          <w:sz w:val="24"/>
        </w:rPr>
        <w:t>Finančný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majetok</w:t>
      </w:r>
    </w:p>
    <w:p>
      <w:pPr>
        <w:pStyle w:val="Normal"/>
        <w:ind w:left="112"/>
        <w:rPr>
          <w:b/>
          <w:sz w:val="24"/>
        </w:rPr>
      </w:pPr>
      <w:r>
        <w:rPr>
          <w:sz w:val="24"/>
        </w:rPr>
        <w:t>a)</w:t>
      </w:r>
      <w:r>
        <w:rPr>
          <w:spacing w:val="35"/>
          <w:sz w:val="24"/>
        </w:rPr>
        <w:t xml:space="preserve"> </w:t>
      </w:r>
      <w:r>
        <w:rPr>
          <w:sz w:val="24"/>
        </w:rPr>
        <w:t>významné</w:t>
      </w:r>
      <w:r>
        <w:rPr>
          <w:spacing w:val="-3"/>
          <w:sz w:val="24"/>
        </w:rPr>
        <w:t xml:space="preserve"> </w:t>
      </w:r>
      <w:r>
        <w:rPr>
          <w:sz w:val="24"/>
        </w:rPr>
        <w:t>zložky</w:t>
      </w:r>
      <w:r>
        <w:rPr>
          <w:spacing w:val="-1"/>
          <w:sz w:val="24"/>
        </w:rPr>
        <w:t xml:space="preserve"> </w:t>
      </w:r>
      <w:r>
        <w:rPr>
          <w:b/>
          <w:sz w:val="24"/>
        </w:rPr>
        <w:t>krátkodobého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finančného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majetku</w:t>
      </w:r>
    </w:p>
    <w:p>
      <w:pPr>
        <w:pStyle w:val="BodyText"/>
        <w:spacing w:before="1" w:after="0"/>
        <w:rPr>
          <w:b/>
        </w:rPr>
      </w:pPr>
      <w:r>
        <w:rPr>
          <w:b/>
        </w:rPr>
      </w:r>
    </w:p>
    <w:tbl>
      <w:tblPr>
        <w:tblStyle w:val="TableNormal"/>
        <w:tblW w:w="10261" w:type="dxa"/>
        <w:jc w:val="left"/>
        <w:tblInd w:w="118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firstRow="1" w:noVBand="0" w:lastRow="1" w:firstColumn="1" w:lastColumn="1" w:noHBand="0" w:val="01e0"/>
      </w:tblPr>
      <w:tblGrid>
        <w:gridCol w:w="3060"/>
        <w:gridCol w:w="2520"/>
        <w:gridCol w:w="4681"/>
      </w:tblGrid>
      <w:tr>
        <w:trPr>
          <w:trHeight w:val="230" w:hRule="atLeast"/>
        </w:trPr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ind w:left="211"/>
              <w:jc w:val="left"/>
              <w:rPr>
                <w:b/>
                <w:sz w:val="20"/>
              </w:rPr>
            </w:pPr>
            <w:r>
              <w:rPr>
                <w:b/>
                <w:kern w:val="0"/>
                <w:sz w:val="20"/>
                <w:szCs w:val="22"/>
                <w:lang w:eastAsia="en-US" w:bidi="ar-SA"/>
              </w:rPr>
              <w:t>Krátkodobý</w:t>
            </w:r>
            <w:r>
              <w:rPr>
                <w:b/>
                <w:spacing w:val="42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20"/>
                <w:szCs w:val="22"/>
                <w:lang w:eastAsia="en-US" w:bidi="ar-SA"/>
              </w:rPr>
              <w:t>finančný</w:t>
            </w:r>
            <w:r>
              <w:rPr>
                <w:b/>
                <w:spacing w:val="-4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20"/>
                <w:szCs w:val="22"/>
                <w:lang w:eastAsia="en-US" w:bidi="ar-SA"/>
              </w:rPr>
              <w:t>majetok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ind w:left="607" w:right="593"/>
              <w:jc w:val="center"/>
              <w:rPr>
                <w:b/>
                <w:sz w:val="20"/>
              </w:rPr>
            </w:pPr>
            <w:r>
              <w:rPr>
                <w:b/>
                <w:kern w:val="0"/>
                <w:sz w:val="20"/>
                <w:szCs w:val="22"/>
                <w:lang w:eastAsia="en-US" w:bidi="ar-SA"/>
              </w:rPr>
              <w:t>Riadok</w:t>
            </w:r>
            <w:r>
              <w:rPr>
                <w:b/>
                <w:spacing w:val="-4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20"/>
                <w:szCs w:val="22"/>
                <w:lang w:eastAsia="en-US" w:bidi="ar-SA"/>
              </w:rPr>
              <w:t>súvahy</w:t>
            </w:r>
          </w:p>
        </w:tc>
        <w:tc>
          <w:tcPr>
            <w:tcW w:w="4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ind w:left="1408"/>
              <w:jc w:val="left"/>
              <w:rPr>
                <w:b/>
                <w:sz w:val="20"/>
              </w:rPr>
            </w:pPr>
            <w:r>
              <w:rPr>
                <w:b/>
                <w:kern w:val="0"/>
                <w:sz w:val="20"/>
                <w:szCs w:val="22"/>
                <w:lang w:eastAsia="en-US" w:bidi="ar-SA"/>
              </w:rPr>
              <w:t>Zostatok</w:t>
            </w:r>
            <w:r>
              <w:rPr>
                <w:b/>
                <w:spacing w:val="-4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20"/>
                <w:szCs w:val="22"/>
                <w:lang w:eastAsia="en-US" w:bidi="ar-SA"/>
              </w:rPr>
              <w:t>k</w:t>
            </w:r>
            <w:r>
              <w:rPr>
                <w:b/>
                <w:spacing w:val="1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20"/>
                <w:szCs w:val="22"/>
                <w:lang w:eastAsia="en-US" w:bidi="ar-SA"/>
              </w:rPr>
              <w:t>31.12.2025</w:t>
            </w:r>
          </w:p>
        </w:tc>
      </w:tr>
      <w:tr>
        <w:trPr>
          <w:trHeight w:val="263" w:hRule="atLeast"/>
        </w:trPr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auto" w:line="240" w:before="0" w:after="0"/>
              <w:ind w:left="71"/>
              <w:jc w:val="left"/>
              <w:rPr>
                <w:sz w:val="20"/>
              </w:rPr>
            </w:pPr>
            <w:r>
              <w:rPr>
                <w:kern w:val="0"/>
                <w:sz w:val="20"/>
                <w:szCs w:val="22"/>
                <w:lang w:eastAsia="en-US" w:bidi="ar-SA"/>
              </w:rPr>
              <w:t>Pokladnica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auto" w:line="240" w:before="0" w:after="0"/>
              <w:ind w:left="607" w:right="593"/>
              <w:jc w:val="center"/>
              <w:rPr>
                <w:sz w:val="20"/>
              </w:rPr>
            </w:pPr>
            <w:r>
              <w:rPr>
                <w:kern w:val="0"/>
                <w:sz w:val="20"/>
                <w:szCs w:val="22"/>
                <w:lang w:eastAsia="en-US" w:bidi="ar-SA"/>
              </w:rPr>
              <w:t>086</w:t>
            </w:r>
          </w:p>
        </w:tc>
        <w:tc>
          <w:tcPr>
            <w:tcW w:w="4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auto" w:line="240" w:before="0" w:after="0"/>
              <w:ind w:left="2112" w:right="1368"/>
              <w:jc w:val="center"/>
              <w:rPr>
                <w:sz w:val="20"/>
              </w:rPr>
            </w:pPr>
            <w:r>
              <w:rPr>
                <w:kern w:val="0"/>
                <w:sz w:val="20"/>
                <w:szCs w:val="22"/>
                <w:lang w:eastAsia="en-US" w:bidi="ar-SA"/>
              </w:rPr>
              <w:t>0,00</w:t>
            </w:r>
          </w:p>
        </w:tc>
      </w:tr>
      <w:tr>
        <w:trPr>
          <w:trHeight w:val="263" w:hRule="atLeast"/>
        </w:trPr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auto" w:line="240" w:before="0" w:after="0"/>
              <w:ind w:left="71"/>
              <w:jc w:val="left"/>
              <w:rPr>
                <w:sz w:val="20"/>
              </w:rPr>
            </w:pPr>
            <w:r>
              <w:rPr>
                <w:kern w:val="0"/>
                <w:sz w:val="20"/>
                <w:szCs w:val="22"/>
                <w:lang w:eastAsia="en-US" w:bidi="ar-SA"/>
              </w:rPr>
              <w:t>Ceniny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auto" w:line="240" w:before="0" w:after="0"/>
              <w:ind w:left="607" w:right="593"/>
              <w:jc w:val="center"/>
              <w:rPr>
                <w:sz w:val="20"/>
              </w:rPr>
            </w:pPr>
            <w:r>
              <w:rPr>
                <w:kern w:val="0"/>
                <w:sz w:val="20"/>
                <w:szCs w:val="22"/>
                <w:lang w:eastAsia="en-US" w:bidi="ar-SA"/>
              </w:rPr>
              <w:t>087</w:t>
            </w:r>
          </w:p>
        </w:tc>
        <w:tc>
          <w:tcPr>
            <w:tcW w:w="4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auto" w:line="240" w:before="0" w:after="0"/>
              <w:ind w:left="2112" w:right="1469"/>
              <w:jc w:val="center"/>
              <w:rPr>
                <w:sz w:val="20"/>
              </w:rPr>
            </w:pPr>
            <w:r>
              <w:rPr>
                <w:kern w:val="0"/>
                <w:sz w:val="20"/>
                <w:szCs w:val="22"/>
                <w:lang w:eastAsia="en-US" w:bidi="ar-SA"/>
              </w:rPr>
              <w:t xml:space="preserve">   </w:t>
            </w:r>
            <w:r>
              <w:rPr>
                <w:kern w:val="0"/>
                <w:sz w:val="20"/>
                <w:szCs w:val="22"/>
                <w:lang w:eastAsia="en-US" w:bidi="ar-SA"/>
              </w:rPr>
              <w:t>0,00</w:t>
            </w:r>
          </w:p>
        </w:tc>
      </w:tr>
      <w:tr>
        <w:trPr>
          <w:trHeight w:val="261" w:hRule="atLeast"/>
        </w:trPr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28" w:before="0" w:after="0"/>
              <w:ind w:left="71"/>
              <w:jc w:val="left"/>
              <w:rPr>
                <w:sz w:val="20"/>
              </w:rPr>
            </w:pPr>
            <w:r>
              <w:rPr>
                <w:kern w:val="0"/>
                <w:sz w:val="20"/>
                <w:szCs w:val="22"/>
                <w:lang w:eastAsia="en-US" w:bidi="ar-SA"/>
              </w:rPr>
              <w:t>Bankové</w:t>
            </w:r>
            <w:r>
              <w:rPr>
                <w:spacing w:val="-1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0"/>
                <w:szCs w:val="22"/>
                <w:lang w:eastAsia="en-US" w:bidi="ar-SA"/>
              </w:rPr>
              <w:t>účty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28" w:before="0" w:after="0"/>
              <w:ind w:left="607" w:right="593"/>
              <w:jc w:val="center"/>
              <w:rPr>
                <w:sz w:val="20"/>
              </w:rPr>
            </w:pPr>
            <w:r>
              <w:rPr>
                <w:kern w:val="0"/>
                <w:sz w:val="20"/>
                <w:szCs w:val="22"/>
                <w:lang w:eastAsia="en-US" w:bidi="ar-SA"/>
              </w:rPr>
              <w:t>088</w:t>
            </w:r>
          </w:p>
        </w:tc>
        <w:tc>
          <w:tcPr>
            <w:tcW w:w="4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28" w:before="0" w:after="0"/>
              <w:ind w:left="2112" w:right="1717"/>
              <w:jc w:val="center"/>
              <w:rPr>
                <w:sz w:val="20"/>
              </w:rPr>
            </w:pPr>
            <w:r>
              <w:rPr>
                <w:kern w:val="0"/>
                <w:sz w:val="20"/>
                <w:szCs w:val="22"/>
                <w:lang w:eastAsia="en-US" w:bidi="ar-SA"/>
              </w:rPr>
              <w:t>58 879,91</w:t>
            </w:r>
          </w:p>
        </w:tc>
      </w:tr>
      <w:tr>
        <w:trPr>
          <w:trHeight w:val="230" w:hRule="atLeast"/>
        </w:trPr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ind w:left="71"/>
              <w:jc w:val="left"/>
              <w:rPr>
                <w:b/>
                <w:sz w:val="20"/>
              </w:rPr>
            </w:pPr>
            <w:r>
              <w:rPr>
                <w:b/>
                <w:kern w:val="0"/>
                <w:sz w:val="20"/>
                <w:szCs w:val="22"/>
                <w:lang w:eastAsia="en-US" w:bidi="ar-SA"/>
              </w:rPr>
              <w:t>Spolu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auto" w:line="240" w:before="0" w:after="0"/>
              <w:jc w:val="left"/>
              <w:rPr>
                <w:sz w:val="16"/>
              </w:rPr>
            </w:pPr>
            <w:r>
              <w:rPr>
                <w:kern w:val="0"/>
                <w:sz w:val="16"/>
                <w:szCs w:val="22"/>
                <w:lang w:eastAsia="en-US" w:bidi="ar-SA"/>
              </w:rPr>
            </w:r>
          </w:p>
        </w:tc>
        <w:tc>
          <w:tcPr>
            <w:tcW w:w="4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ind w:left="2108" w:right="1718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kern w:val="0"/>
                <w:sz w:val="20"/>
                <w:szCs w:val="22"/>
                <w:lang w:eastAsia="en-US" w:bidi="ar-SA"/>
              </w:rPr>
              <w:t>58 879,91</w:t>
            </w:r>
          </w:p>
        </w:tc>
      </w:tr>
    </w:tbl>
    <w:p>
      <w:pPr>
        <w:pStyle w:val="BodyText"/>
        <w:rPr>
          <w:b/>
          <w:sz w:val="20"/>
        </w:rPr>
      </w:pPr>
      <w:r>
        <w:rPr>
          <w:b/>
          <w:sz w:val="20"/>
        </w:rPr>
      </w:r>
    </w:p>
    <w:p>
      <w:pPr>
        <w:pStyle w:val="BodyText"/>
        <w:rPr>
          <w:b/>
          <w:sz w:val="20"/>
        </w:rPr>
      </w:pPr>
      <w:r>
        <w:rPr>
          <w:b/>
          <w:sz w:val="20"/>
        </w:rPr>
      </w:r>
    </w:p>
    <w:p>
      <w:pPr>
        <w:pStyle w:val="BodyText"/>
        <w:rPr>
          <w:b/>
          <w:sz w:val="20"/>
        </w:rPr>
      </w:pPr>
      <w:r>
        <w:rPr>
          <w:b/>
          <w:sz w:val="20"/>
        </w:rPr>
      </w:r>
    </w:p>
    <w:p>
      <w:pPr>
        <w:pStyle w:val="BodyText"/>
        <w:rPr>
          <w:b/>
          <w:sz w:val="20"/>
        </w:rPr>
      </w:pPr>
      <w:r>
        <w:rPr>
          <w:b/>
          <w:sz w:val="20"/>
        </w:rPr>
      </w:r>
    </w:p>
    <w:p>
      <w:pPr>
        <w:pStyle w:val="BodyText"/>
        <w:rPr>
          <w:b/>
          <w:sz w:val="20"/>
        </w:rPr>
      </w:pPr>
      <w:r>
        <w:rPr>
          <w:b/>
          <w:sz w:val="20"/>
        </w:rPr>
      </w:r>
    </w:p>
    <w:p>
      <w:pPr>
        <w:pStyle w:val="BodyText"/>
        <w:rPr>
          <w:b/>
          <w:sz w:val="20"/>
        </w:rPr>
      </w:pPr>
      <w:r>
        <w:rPr>
          <w:b/>
          <w:sz w:val="20"/>
        </w:rPr>
      </w:r>
    </w:p>
    <w:p>
      <w:pPr>
        <w:pStyle w:val="BodyText"/>
        <w:rPr>
          <w:b/>
          <w:sz w:val="20"/>
        </w:rPr>
      </w:pPr>
      <w:r>
        <w:rPr>
          <w:b/>
          <w:sz w:val="20"/>
        </w:rPr>
      </w:r>
    </w:p>
    <w:p>
      <w:pPr>
        <w:pStyle w:val="Normal"/>
        <w:ind w:left="112"/>
        <w:jc w:val="center"/>
        <w:rPr>
          <w:b/>
          <w:sz w:val="24"/>
        </w:rPr>
      </w:pPr>
      <w:r>
        <w:rPr>
          <w:b/>
          <w:sz w:val="24"/>
        </w:rPr>
        <w:t>Čl.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IV</w:t>
      </w:r>
    </w:p>
    <w:p>
      <w:pPr>
        <w:pStyle w:val="Normal"/>
        <w:ind w:left="112"/>
        <w:jc w:val="center"/>
        <w:rPr>
          <w:b/>
          <w:sz w:val="24"/>
        </w:rPr>
      </w:pPr>
      <w:r>
        <w:rPr>
          <w:b/>
          <w:sz w:val="24"/>
        </w:rPr>
        <w:t>Informácie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o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údajoch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na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strane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pasív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súvahy</w:t>
      </w:r>
    </w:p>
    <w:p>
      <w:pPr>
        <w:pStyle w:val="Normal"/>
        <w:ind w:left="112"/>
        <w:rPr>
          <w:b/>
          <w:sz w:val="24"/>
        </w:rPr>
      </w:pPr>
      <w:r>
        <w:rPr>
          <w:b/>
          <w:sz w:val="24"/>
        </w:rPr>
      </w:r>
    </w:p>
    <w:p>
      <w:pPr>
        <w:pStyle w:val="Normal"/>
        <w:ind w:left="112"/>
        <w:rPr>
          <w:b/>
          <w:sz w:val="24"/>
        </w:rPr>
      </w:pPr>
      <w:r>
        <w:rPr>
          <w:b/>
          <w:sz w:val="24"/>
        </w:rPr>
        <w:t>A</w:t>
      </w:r>
      <w:r>
        <w:rPr>
          <w:b/>
          <w:spacing w:val="59"/>
          <w:sz w:val="24"/>
        </w:rPr>
        <w:t> </w:t>
      </w:r>
      <w:r>
        <w:rPr>
          <w:b/>
          <w:sz w:val="24"/>
        </w:rPr>
        <w:t>Záväzky</w:t>
      </w:r>
    </w:p>
    <w:p>
      <w:pPr>
        <w:pStyle w:val="Normal"/>
        <w:ind w:left="112"/>
        <w:rPr>
          <w:b/>
          <w:sz w:val="24"/>
        </w:rPr>
      </w:pPr>
      <w:r>
        <w:rPr>
          <w:b/>
          <w:sz w:val="24"/>
        </w:rPr>
      </w:r>
    </w:p>
    <w:p>
      <w:pPr>
        <w:pStyle w:val="Normal"/>
        <w:tabs>
          <w:tab w:val="clear" w:pos="720"/>
          <w:tab w:val="left" w:pos="876" w:leader="none"/>
        </w:tabs>
        <w:spacing w:before="90" w:after="0"/>
        <w:ind w:left="456"/>
        <w:rPr>
          <w:sz w:val="24"/>
        </w:rPr>
      </w:pPr>
      <w:r>
        <w:rPr>
          <w:b/>
          <w:sz w:val="24"/>
        </w:rPr>
        <w:t>3</w:t>
        <w:tab/>
        <w:t>Záväzky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podľa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doby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splatnosti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(</w:t>
      </w:r>
      <w:r>
        <w:rPr>
          <w:sz w:val="24"/>
        </w:rPr>
        <w:t>riadky</w:t>
      </w:r>
      <w:r>
        <w:rPr>
          <w:spacing w:val="-1"/>
          <w:sz w:val="24"/>
        </w:rPr>
        <w:t xml:space="preserve"> </w:t>
      </w:r>
      <w:r>
        <w:rPr>
          <w:sz w:val="24"/>
        </w:rPr>
        <w:t>140 a</w:t>
      </w:r>
      <w:r>
        <w:rPr>
          <w:spacing w:val="-2"/>
          <w:sz w:val="24"/>
        </w:rPr>
        <w:t xml:space="preserve"> </w:t>
      </w:r>
      <w:r>
        <w:rPr>
          <w:sz w:val="24"/>
        </w:rPr>
        <w:t>151</w:t>
      </w:r>
      <w:r>
        <w:rPr>
          <w:spacing w:val="-1"/>
          <w:sz w:val="24"/>
        </w:rPr>
        <w:t xml:space="preserve"> </w:t>
      </w:r>
      <w:r>
        <w:rPr>
          <w:sz w:val="24"/>
        </w:rPr>
        <w:t>súvahy)</w:t>
      </w:r>
      <w:r>
        <w:rPr>
          <w:spacing w:val="-2"/>
          <w:sz w:val="24"/>
        </w:rPr>
        <w:t xml:space="preserve"> </w:t>
      </w:r>
      <w:r>
        <w:rPr>
          <w:sz w:val="24"/>
        </w:rPr>
        <w:t>-</w:t>
      </w:r>
      <w:r>
        <w:rPr>
          <w:spacing w:val="-2"/>
          <w:sz w:val="24"/>
        </w:rPr>
        <w:t xml:space="preserve"> </w:t>
      </w:r>
      <w:r>
        <w:rPr>
          <w:sz w:val="24"/>
        </w:rPr>
        <w:t>tabuľka</w:t>
      </w:r>
      <w:r>
        <w:rPr>
          <w:spacing w:val="-1"/>
          <w:sz w:val="24"/>
        </w:rPr>
        <w:t xml:space="preserve"> </w:t>
      </w:r>
      <w:r>
        <w:rPr>
          <w:sz w:val="24"/>
        </w:rPr>
        <w:t>č.8</w:t>
      </w:r>
    </w:p>
    <w:p>
      <w:pPr>
        <w:pStyle w:val="BodyText"/>
        <w:spacing w:before="1" w:after="0"/>
        <w:rPr/>
      </w:pPr>
      <w:r>
        <w:rPr/>
      </w:r>
    </w:p>
    <w:p>
      <w:pPr>
        <w:pStyle w:val="BodyText"/>
        <w:ind w:left="112" w:right="3198"/>
        <w:rPr/>
      </w:pPr>
      <w:r>
        <w:rPr/>
        <w:t>a)</w:t>
      </w:r>
      <w:r>
        <w:rPr>
          <w:spacing w:val="36"/>
        </w:rPr>
        <w:t xml:space="preserve"> </w:t>
      </w:r>
      <w:r>
        <w:rPr/>
        <w:t>záväzky</w:t>
      </w:r>
      <w:r>
        <w:rPr>
          <w:spacing w:val="-1"/>
        </w:rPr>
        <w:t xml:space="preserve"> </w:t>
      </w:r>
      <w:r>
        <w:rPr/>
        <w:t>podľa</w:t>
      </w:r>
      <w:r>
        <w:rPr>
          <w:spacing w:val="-2"/>
        </w:rPr>
        <w:t xml:space="preserve"> </w:t>
      </w:r>
      <w:r>
        <w:rPr>
          <w:b/>
        </w:rPr>
        <w:t>doby</w:t>
      </w:r>
      <w:r>
        <w:rPr>
          <w:b/>
          <w:spacing w:val="-1"/>
        </w:rPr>
        <w:t xml:space="preserve"> </w:t>
      </w:r>
      <w:r>
        <w:rPr>
          <w:b/>
        </w:rPr>
        <w:t xml:space="preserve">splatnosti </w:t>
      </w:r>
      <w:r>
        <w:rPr/>
        <w:t>(riadky</w:t>
      </w:r>
      <w:r>
        <w:rPr>
          <w:spacing w:val="-1"/>
        </w:rPr>
        <w:t xml:space="preserve"> </w:t>
      </w:r>
      <w:r>
        <w:rPr/>
        <w:t>140</w:t>
      </w:r>
      <w:r>
        <w:rPr>
          <w:spacing w:val="-1"/>
        </w:rPr>
        <w:t xml:space="preserve"> </w:t>
      </w:r>
      <w:r>
        <w:rPr/>
        <w:t>a</w:t>
      </w:r>
      <w:r>
        <w:rPr>
          <w:spacing w:val="-2"/>
        </w:rPr>
        <w:t xml:space="preserve"> </w:t>
      </w:r>
      <w:r>
        <w:rPr/>
        <w:t>151</w:t>
      </w:r>
      <w:r>
        <w:rPr>
          <w:spacing w:val="1"/>
        </w:rPr>
        <w:t xml:space="preserve"> </w:t>
      </w:r>
      <w:r>
        <w:rPr/>
        <w:t>súvahy)</w:t>
      </w:r>
      <w:r>
        <w:rPr>
          <w:spacing w:val="-2"/>
        </w:rPr>
        <w:t xml:space="preserve"> </w:t>
      </w:r>
      <w:r>
        <w:rPr/>
        <w:t>-</w:t>
      </w:r>
      <w:r>
        <w:rPr>
          <w:spacing w:val="-2"/>
        </w:rPr>
        <w:t xml:space="preserve"> </w:t>
      </w:r>
      <w:r>
        <w:rPr/>
        <w:t>tabuľka</w:t>
      </w:r>
      <w:r>
        <w:rPr>
          <w:spacing w:val="1"/>
        </w:rPr>
        <w:t xml:space="preserve"> </w:t>
      </w:r>
      <w:r>
        <w:rPr/>
        <w:t>č.8</w:t>
      </w:r>
      <w:r>
        <w:rPr>
          <w:spacing w:val="-57"/>
        </w:rPr>
        <w:t xml:space="preserve"> </w:t>
      </w:r>
      <w:r>
        <w:rPr/>
        <w:t>Textová</w:t>
      </w:r>
      <w:r>
        <w:rPr>
          <w:spacing w:val="-1"/>
        </w:rPr>
        <w:t xml:space="preserve"> </w:t>
      </w:r>
      <w:r>
        <w:rPr/>
        <w:t>časť k tabuľke</w:t>
      </w:r>
      <w:r>
        <w:rPr>
          <w:spacing w:val="1"/>
        </w:rPr>
        <w:t xml:space="preserve"> </w:t>
      </w:r>
      <w:r>
        <w:rPr/>
        <w:t>č.8</w:t>
      </w:r>
    </w:p>
    <w:p>
      <w:pPr>
        <w:pStyle w:val="Normal"/>
        <w:ind w:left="112"/>
        <w:rPr>
          <w:b/>
          <w:sz w:val="24"/>
        </w:rPr>
      </w:pPr>
      <w:r>
        <w:rPr>
          <w:b/>
          <w:sz w:val="24"/>
        </w:rPr>
      </w:r>
    </w:p>
    <w:p>
      <w:pPr>
        <w:pStyle w:val="Normal"/>
        <w:ind w:left="100" w:right="2960"/>
        <w:jc w:val="center"/>
        <w:rPr>
          <w:b/>
          <w:sz w:val="24"/>
        </w:rPr>
      </w:pPr>
      <w:r>
        <w:rPr>
          <w:b/>
          <w:sz w:val="24"/>
        </w:rPr>
      </w:r>
    </w:p>
    <w:tbl>
      <w:tblPr>
        <w:tblStyle w:val="TableNormal"/>
        <w:tblW w:w="10212" w:type="dxa"/>
        <w:jc w:val="left"/>
        <w:tblInd w:w="118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firstRow="1" w:noVBand="0" w:lastRow="1" w:firstColumn="1" w:lastColumn="1" w:noHBand="0" w:val="01e0"/>
      </w:tblPr>
      <w:tblGrid>
        <w:gridCol w:w="7234"/>
        <w:gridCol w:w="2978"/>
      </w:tblGrid>
      <w:tr>
        <w:trPr>
          <w:trHeight w:val="458" w:hRule="atLeast"/>
        </w:trPr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1F1F1" w:val="clear"/>
          </w:tcPr>
          <w:p>
            <w:pPr>
              <w:pStyle w:val="TableParagraph"/>
              <w:widowControl w:val="false"/>
              <w:spacing w:lineRule="auto" w:line="240" w:before="0" w:after="0"/>
              <w:ind w:left="3230" w:right="3218"/>
              <w:jc w:val="center"/>
              <w:rPr>
                <w:b/>
                <w:sz w:val="20"/>
              </w:rPr>
            </w:pPr>
            <w:r>
              <w:rPr>
                <w:b/>
                <w:kern w:val="0"/>
                <w:sz w:val="20"/>
                <w:szCs w:val="22"/>
                <w:lang w:eastAsia="en-US" w:bidi="ar-SA"/>
              </w:rPr>
              <w:t>Záväzky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1F1F1" w:val="clear"/>
          </w:tcPr>
          <w:p>
            <w:pPr>
              <w:pStyle w:val="TableParagraph"/>
              <w:widowControl w:val="false"/>
              <w:spacing w:lineRule="exact" w:line="228" w:before="0" w:after="0"/>
              <w:ind w:firstLine="151" w:left="246" w:right="240"/>
              <w:jc w:val="left"/>
              <w:rPr>
                <w:b/>
                <w:sz w:val="20"/>
              </w:rPr>
            </w:pPr>
            <w:r>
              <w:rPr>
                <w:b/>
                <w:kern w:val="0"/>
                <w:sz w:val="20"/>
                <w:szCs w:val="22"/>
                <w:lang w:eastAsia="en-US" w:bidi="ar-SA"/>
              </w:rPr>
              <w:t>Zostatok</w:t>
            </w:r>
            <w:r>
              <w:rPr>
                <w:b/>
                <w:spacing w:val="1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b/>
                <w:spacing w:val="-1"/>
                <w:kern w:val="0"/>
                <w:sz w:val="20"/>
                <w:szCs w:val="22"/>
                <w:lang w:eastAsia="en-US" w:bidi="ar-SA"/>
              </w:rPr>
              <w:t>k</w:t>
            </w:r>
            <w:r>
              <w:rPr>
                <w:b/>
                <w:spacing w:val="-5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b/>
                <w:spacing w:val="-1"/>
                <w:kern w:val="0"/>
                <w:sz w:val="20"/>
                <w:szCs w:val="22"/>
                <w:lang w:eastAsia="en-US" w:bidi="ar-SA"/>
              </w:rPr>
              <w:t>31.12.2025</w:t>
            </w:r>
          </w:p>
        </w:tc>
      </w:tr>
      <w:tr>
        <w:trPr>
          <w:trHeight w:val="230" w:hRule="atLeast"/>
        </w:trPr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ind w:left="71"/>
              <w:jc w:val="left"/>
              <w:rPr>
                <w:b/>
                <w:sz w:val="20"/>
              </w:rPr>
            </w:pPr>
            <w:r>
              <w:rPr>
                <w:b/>
                <w:kern w:val="0"/>
                <w:sz w:val="20"/>
                <w:szCs w:val="22"/>
                <w:lang w:eastAsia="en-US" w:bidi="ar-SA"/>
              </w:rPr>
              <w:t>Dlhodobé</w:t>
            </w:r>
            <w:r>
              <w:rPr>
                <w:b/>
                <w:spacing w:val="-3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20"/>
                <w:szCs w:val="22"/>
                <w:lang w:eastAsia="en-US" w:bidi="ar-SA"/>
              </w:rPr>
              <w:t>záväzky</w:t>
            </w:r>
            <w:r>
              <w:rPr>
                <w:b/>
                <w:spacing w:val="-3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20"/>
                <w:szCs w:val="22"/>
                <w:lang w:eastAsia="en-US" w:bidi="ar-SA"/>
              </w:rPr>
              <w:t>z</w:t>
            </w:r>
            <w:r>
              <w:rPr>
                <w:b/>
                <w:spacing w:val="1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20"/>
                <w:szCs w:val="22"/>
                <w:lang w:eastAsia="en-US" w:bidi="ar-SA"/>
              </w:rPr>
              <w:t>toho: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ind w:right="56"/>
              <w:jc w:val="right"/>
              <w:rPr>
                <w:sz w:val="20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</w:r>
          </w:p>
        </w:tc>
      </w:tr>
      <w:tr>
        <w:trPr>
          <w:trHeight w:val="230" w:hRule="atLeast"/>
        </w:trPr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ind w:left="247"/>
              <w:jc w:val="left"/>
              <w:rPr>
                <w:sz w:val="20"/>
              </w:rPr>
            </w:pPr>
            <w:r>
              <w:rPr>
                <w:kern w:val="0"/>
                <w:sz w:val="20"/>
                <w:szCs w:val="22"/>
                <w:lang w:eastAsia="en-US" w:bidi="ar-SA"/>
              </w:rPr>
              <w:t>-</w:t>
            </w:r>
            <w:r>
              <w:rPr>
                <w:spacing w:val="23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0"/>
                <w:szCs w:val="22"/>
                <w:lang w:eastAsia="en-US" w:bidi="ar-SA"/>
              </w:rPr>
              <w:t>záväzky zo sociálneho</w:t>
            </w:r>
            <w:r>
              <w:rPr>
                <w:spacing w:val="-2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0"/>
                <w:szCs w:val="22"/>
                <w:lang w:eastAsia="en-US" w:bidi="ar-SA"/>
              </w:rPr>
              <w:t>fondu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ind w:right="58"/>
              <w:jc w:val="right"/>
              <w:rPr>
                <w:sz w:val="20"/>
              </w:rPr>
            </w:pPr>
            <w:r>
              <w:rPr>
                <w:kern w:val="0"/>
                <w:sz w:val="20"/>
                <w:szCs w:val="22"/>
                <w:lang w:eastAsia="en-US" w:bidi="ar-SA"/>
              </w:rPr>
              <w:t>1 703,60</w:t>
            </w:r>
          </w:p>
        </w:tc>
      </w:tr>
      <w:tr>
        <w:trPr>
          <w:trHeight w:val="255" w:hRule="atLeast"/>
        </w:trPr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ind w:left="71"/>
              <w:jc w:val="left"/>
              <w:rPr>
                <w:b/>
                <w:sz w:val="20"/>
              </w:rPr>
            </w:pPr>
            <w:r>
              <w:rPr>
                <w:b/>
                <w:kern w:val="0"/>
                <w:sz w:val="20"/>
                <w:szCs w:val="22"/>
                <w:lang w:eastAsia="en-US" w:bidi="ar-SA"/>
              </w:rPr>
              <w:t>Krátkodobé</w:t>
            </w:r>
            <w:r>
              <w:rPr>
                <w:b/>
                <w:spacing w:val="-3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20"/>
                <w:szCs w:val="22"/>
                <w:lang w:eastAsia="en-US" w:bidi="ar-SA"/>
              </w:rPr>
              <w:t>záväzky</w:t>
            </w:r>
            <w:r>
              <w:rPr>
                <w:b/>
                <w:spacing w:val="-2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20"/>
                <w:szCs w:val="22"/>
                <w:lang w:eastAsia="en-US" w:bidi="ar-SA"/>
              </w:rPr>
              <w:t>z toho: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ind w:right="60"/>
              <w:jc w:val="right"/>
              <w:rPr>
                <w:sz w:val="20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</w:r>
          </w:p>
        </w:tc>
      </w:tr>
      <w:tr>
        <w:trPr>
          <w:trHeight w:val="230" w:hRule="atLeast"/>
        </w:trPr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ind w:left="247"/>
              <w:jc w:val="left"/>
              <w:rPr>
                <w:sz w:val="20"/>
              </w:rPr>
            </w:pPr>
            <w:r>
              <w:rPr>
                <w:kern w:val="0"/>
                <w:sz w:val="20"/>
                <w:szCs w:val="22"/>
                <w:lang w:eastAsia="en-US" w:bidi="ar-SA"/>
              </w:rPr>
              <w:t>-</w:t>
            </w:r>
            <w:r>
              <w:rPr>
                <w:spacing w:val="23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0"/>
                <w:szCs w:val="22"/>
                <w:lang w:eastAsia="en-US" w:bidi="ar-SA"/>
              </w:rPr>
              <w:t>záväzky</w:t>
            </w:r>
            <w:r>
              <w:rPr>
                <w:spacing w:val="-2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0"/>
                <w:szCs w:val="22"/>
                <w:lang w:eastAsia="en-US" w:bidi="ar-SA"/>
              </w:rPr>
              <w:t>voči</w:t>
            </w:r>
            <w:r>
              <w:rPr>
                <w:spacing w:val="-1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0"/>
                <w:szCs w:val="22"/>
                <w:lang w:eastAsia="en-US" w:bidi="ar-SA"/>
              </w:rPr>
              <w:t>dodávateľom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ind w:right="58"/>
              <w:jc w:val="right"/>
              <w:rPr>
                <w:sz w:val="20"/>
              </w:rPr>
            </w:pPr>
            <w:r>
              <w:rPr>
                <w:kern w:val="0"/>
                <w:sz w:val="20"/>
                <w:szCs w:val="22"/>
                <w:lang w:eastAsia="en-US" w:bidi="ar-SA"/>
              </w:rPr>
              <w:t>2 365,59</w:t>
            </w:r>
          </w:p>
        </w:tc>
      </w:tr>
      <w:tr>
        <w:trPr>
          <w:trHeight w:val="230" w:hRule="atLeast"/>
        </w:trPr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ind w:left="247"/>
              <w:jc w:val="left"/>
              <w:rPr>
                <w:sz w:val="20"/>
              </w:rPr>
            </w:pPr>
            <w:r>
              <w:rPr>
                <w:kern w:val="0"/>
                <w:sz w:val="20"/>
                <w:szCs w:val="22"/>
                <w:lang w:eastAsia="en-US" w:bidi="ar-SA"/>
              </w:rPr>
              <w:t>-</w:t>
            </w:r>
            <w:r>
              <w:rPr>
                <w:spacing w:val="23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0"/>
                <w:szCs w:val="22"/>
                <w:lang w:eastAsia="en-US" w:bidi="ar-SA"/>
              </w:rPr>
              <w:t>záväzky</w:t>
            </w:r>
            <w:r>
              <w:rPr>
                <w:spacing w:val="-2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0"/>
                <w:szCs w:val="22"/>
                <w:lang w:eastAsia="en-US" w:bidi="ar-SA"/>
              </w:rPr>
              <w:t>voči</w:t>
            </w:r>
            <w:r>
              <w:rPr>
                <w:spacing w:val="-1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0"/>
                <w:szCs w:val="22"/>
                <w:lang w:eastAsia="en-US" w:bidi="ar-SA"/>
              </w:rPr>
              <w:t>zamestnancom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ind w:right="60"/>
              <w:jc w:val="right"/>
              <w:rPr>
                <w:rFonts w:ascii="Arial" w:hAnsi="Arial" w:cs="Arial"/>
                <w:color w:val="555555"/>
                <w:sz w:val="17"/>
                <w:szCs w:val="17"/>
              </w:rPr>
            </w:pPr>
            <w:r>
              <w:rPr>
                <w:rFonts w:cs="Arial" w:ascii="Arial" w:hAnsi="Arial"/>
                <w:color w:val="555555"/>
                <w:kern w:val="0"/>
                <w:sz w:val="17"/>
                <w:szCs w:val="17"/>
                <w:lang w:eastAsia="en-US" w:bidi="ar-SA"/>
              </w:rPr>
              <w:t>24 072,71</w:t>
            </w:r>
          </w:p>
        </w:tc>
      </w:tr>
      <w:tr>
        <w:trPr>
          <w:trHeight w:val="230" w:hRule="atLeast"/>
        </w:trPr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ind w:left="247"/>
              <w:jc w:val="left"/>
              <w:rPr>
                <w:sz w:val="20"/>
              </w:rPr>
            </w:pPr>
            <w:r>
              <w:rPr>
                <w:kern w:val="0"/>
                <w:sz w:val="20"/>
                <w:szCs w:val="22"/>
                <w:lang w:eastAsia="en-US" w:bidi="ar-SA"/>
              </w:rPr>
              <w:t>-</w:t>
            </w:r>
            <w:r>
              <w:rPr>
                <w:spacing w:val="24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0"/>
                <w:szCs w:val="22"/>
                <w:lang w:eastAsia="en-US" w:bidi="ar-SA"/>
              </w:rPr>
              <w:t>záväzky</w:t>
            </w:r>
            <w:r>
              <w:rPr>
                <w:spacing w:val="-2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0"/>
                <w:szCs w:val="22"/>
                <w:lang w:eastAsia="en-US" w:bidi="ar-SA"/>
              </w:rPr>
              <w:t>voči poisťovniam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ind w:right="60"/>
              <w:jc w:val="right"/>
              <w:rPr>
                <w:sz w:val="20"/>
              </w:rPr>
            </w:pPr>
            <w:r>
              <w:rPr>
                <w:kern w:val="0"/>
                <w:sz w:val="20"/>
                <w:szCs w:val="22"/>
                <w:lang w:eastAsia="en-US" w:bidi="ar-SA"/>
              </w:rPr>
              <w:t>15 616,23</w:t>
            </w:r>
          </w:p>
        </w:tc>
      </w:tr>
      <w:tr>
        <w:trPr>
          <w:trHeight w:val="230" w:hRule="atLeast"/>
        </w:trPr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ind w:left="247"/>
              <w:jc w:val="left"/>
              <w:rPr>
                <w:sz w:val="20"/>
              </w:rPr>
            </w:pPr>
            <w:r>
              <w:rPr>
                <w:kern w:val="0"/>
                <w:sz w:val="20"/>
                <w:szCs w:val="22"/>
                <w:lang w:eastAsia="en-US" w:bidi="ar-SA"/>
              </w:rPr>
              <w:t>-</w:t>
            </w:r>
            <w:r>
              <w:rPr>
                <w:spacing w:val="23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0"/>
                <w:szCs w:val="22"/>
                <w:lang w:eastAsia="en-US" w:bidi="ar-SA"/>
              </w:rPr>
              <w:t>záväzky</w:t>
            </w:r>
            <w:r>
              <w:rPr>
                <w:spacing w:val="-1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0"/>
                <w:szCs w:val="22"/>
                <w:lang w:eastAsia="en-US" w:bidi="ar-SA"/>
              </w:rPr>
              <w:t>voči</w:t>
            </w:r>
            <w:r>
              <w:rPr>
                <w:spacing w:val="-1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0"/>
                <w:szCs w:val="22"/>
                <w:lang w:eastAsia="en-US" w:bidi="ar-SA"/>
              </w:rPr>
              <w:t>daňovému úradu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ind w:right="56"/>
              <w:jc w:val="right"/>
              <w:rPr>
                <w:sz w:val="20"/>
              </w:rPr>
            </w:pPr>
            <w:r>
              <w:rPr>
                <w:kern w:val="0"/>
                <w:sz w:val="20"/>
                <w:szCs w:val="22"/>
                <w:lang w:eastAsia="en-US" w:bidi="ar-SA"/>
              </w:rPr>
              <w:t>4 425,75</w:t>
            </w:r>
          </w:p>
        </w:tc>
      </w:tr>
      <w:tr>
        <w:trPr>
          <w:trHeight w:val="230" w:hRule="atLeast"/>
        </w:trPr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ind w:left="247"/>
              <w:jc w:val="left"/>
              <w:rPr>
                <w:sz w:val="20"/>
              </w:rPr>
            </w:pPr>
            <w:r>
              <w:rPr>
                <w:kern w:val="0"/>
                <w:sz w:val="20"/>
                <w:szCs w:val="22"/>
                <w:lang w:eastAsia="en-US" w:bidi="ar-SA"/>
              </w:rPr>
              <w:t>-</w:t>
            </w:r>
            <w:r>
              <w:rPr>
                <w:spacing w:val="24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0"/>
                <w:szCs w:val="22"/>
                <w:lang w:eastAsia="en-US" w:bidi="ar-SA"/>
              </w:rPr>
              <w:t>ostatné</w:t>
            </w:r>
            <w:r>
              <w:rPr>
                <w:spacing w:val="-1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0"/>
                <w:szCs w:val="22"/>
                <w:lang w:eastAsia="en-US" w:bidi="ar-SA"/>
              </w:rPr>
              <w:t>záväzky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ind w:right="58"/>
              <w:jc w:val="right"/>
              <w:rPr>
                <w:sz w:val="20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</w:r>
          </w:p>
        </w:tc>
      </w:tr>
      <w:tr>
        <w:trPr>
          <w:trHeight w:val="230" w:hRule="atLeast"/>
        </w:trPr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numPr>
                <w:ilvl w:val="0"/>
                <w:numId w:val="6"/>
              </w:numPr>
              <w:spacing w:before="0" w:after="0"/>
              <w:jc w:val="left"/>
              <w:rPr>
                <w:sz w:val="20"/>
              </w:rPr>
            </w:pPr>
            <w:r>
              <w:rPr>
                <w:kern w:val="0"/>
                <w:sz w:val="20"/>
                <w:szCs w:val="22"/>
                <w:lang w:eastAsia="en-US" w:bidi="ar-SA"/>
              </w:rPr>
              <w:t>Transfery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ind w:right="58"/>
              <w:jc w:val="right"/>
              <w:rPr>
                <w:sz w:val="20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</w:r>
          </w:p>
        </w:tc>
      </w:tr>
    </w:tbl>
    <w:p>
      <w:pPr>
        <w:pStyle w:val="BodyText"/>
        <w:rPr>
          <w:b/>
          <w:sz w:val="20"/>
        </w:rPr>
      </w:pPr>
      <w:r>
        <w:rPr>
          <w:b/>
          <w:sz w:val="20"/>
        </w:rPr>
      </w:r>
    </w:p>
    <w:p>
      <w:pPr>
        <w:pStyle w:val="Normal"/>
        <w:spacing w:before="230" w:after="0"/>
        <w:ind w:right="2354"/>
        <w:jc w:val="center"/>
        <w:rPr>
          <w:b/>
          <w:sz w:val="24"/>
        </w:rPr>
      </w:pPr>
      <w:r>
        <w:rPr>
          <w:b/>
          <w:sz w:val="24"/>
        </w:rPr>
        <w:t xml:space="preserve">                                    </w:t>
      </w:r>
      <w:r>
        <w:rPr>
          <w:b/>
          <w:sz w:val="24"/>
        </w:rPr>
        <w:t>Čl.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V</w:t>
      </w:r>
    </w:p>
    <w:p>
      <w:pPr>
        <w:pStyle w:val="Normal"/>
        <w:ind w:left="2303" w:right="2353"/>
        <w:rPr>
          <w:b/>
          <w:sz w:val="24"/>
        </w:rPr>
      </w:pPr>
      <w:r>
        <w:rPr>
          <w:b/>
          <w:sz w:val="24"/>
        </w:rPr>
        <w:t xml:space="preserve">                  </w:t>
      </w:r>
      <w:r>
        <w:rPr>
          <w:b/>
          <w:sz w:val="24"/>
        </w:rPr>
        <w:t>Informácie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o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výnosoch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a nákladoch</w:t>
      </w:r>
    </w:p>
    <w:p>
      <w:pPr>
        <w:pStyle w:val="BodyText"/>
        <w:rPr>
          <w:b/>
        </w:rPr>
      </w:pPr>
      <w:r>
        <w:rPr>
          <w:b/>
        </w:rPr>
      </w:r>
    </w:p>
    <w:p>
      <w:pPr>
        <w:pStyle w:val="ListParagraph"/>
        <w:numPr>
          <w:ilvl w:val="0"/>
          <w:numId w:val="2"/>
        </w:numPr>
        <w:tabs>
          <w:tab w:val="clear" w:pos="720"/>
          <w:tab w:val="left" w:pos="397" w:leader="none"/>
        </w:tabs>
        <w:ind w:hanging="285" w:left="396"/>
        <w:rPr>
          <w:b/>
          <w:sz w:val="24"/>
        </w:rPr>
      </w:pPr>
      <w:r>
        <w:rPr>
          <w:b/>
          <w:sz w:val="24"/>
        </w:rPr>
        <w:t>Výnosy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-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popis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a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výška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významných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položiek výnosov</w:t>
      </w:r>
    </w:p>
    <w:p>
      <w:pPr>
        <w:pStyle w:val="BodyText"/>
        <w:spacing w:before="1" w:after="0"/>
        <w:rPr>
          <w:b/>
        </w:rPr>
      </w:pPr>
      <w:r>
        <w:rPr>
          <w:b/>
        </w:rPr>
      </w:r>
    </w:p>
    <w:tbl>
      <w:tblPr>
        <w:tblStyle w:val="TableNormal"/>
        <w:tblW w:w="9924" w:type="dxa"/>
        <w:jc w:val="left"/>
        <w:tblInd w:w="118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firstRow="1" w:noVBand="0" w:lastRow="1" w:firstColumn="1" w:lastColumn="1" w:noHBand="0" w:val="01e0"/>
      </w:tblPr>
      <w:tblGrid>
        <w:gridCol w:w="3121"/>
        <w:gridCol w:w="3967"/>
        <w:gridCol w:w="1419"/>
        <w:gridCol w:w="1416"/>
      </w:tblGrid>
      <w:tr>
        <w:trPr>
          <w:trHeight w:val="460" w:hRule="atLeast"/>
        </w:trPr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auto" w:line="240" w:before="0" w:after="0"/>
              <w:ind w:left="962"/>
              <w:jc w:val="left"/>
              <w:rPr>
                <w:b/>
                <w:sz w:val="20"/>
              </w:rPr>
            </w:pPr>
            <w:r>
              <w:rPr>
                <w:b/>
                <w:kern w:val="0"/>
                <w:sz w:val="20"/>
                <w:szCs w:val="22"/>
                <w:lang w:eastAsia="en-US" w:bidi="ar-SA"/>
              </w:rPr>
              <w:t>Druh</w:t>
            </w:r>
            <w:r>
              <w:rPr>
                <w:b/>
                <w:spacing w:val="-4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20"/>
                <w:szCs w:val="22"/>
                <w:lang w:eastAsia="en-US" w:bidi="ar-SA"/>
              </w:rPr>
              <w:t>výnosov</w:t>
            </w:r>
          </w:p>
        </w:tc>
        <w:tc>
          <w:tcPr>
            <w:tcW w:w="3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auto" w:line="240" w:before="0" w:after="0"/>
              <w:ind w:left="916"/>
              <w:jc w:val="left"/>
              <w:rPr>
                <w:b/>
                <w:sz w:val="20"/>
              </w:rPr>
            </w:pPr>
            <w:r>
              <w:rPr>
                <w:b/>
                <w:kern w:val="0"/>
                <w:sz w:val="20"/>
                <w:szCs w:val="22"/>
                <w:lang w:eastAsia="en-US" w:bidi="ar-SA"/>
              </w:rPr>
              <w:t>Popis</w:t>
            </w:r>
            <w:r>
              <w:rPr>
                <w:b/>
                <w:spacing w:val="-4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20"/>
                <w:szCs w:val="22"/>
                <w:lang w:eastAsia="en-US" w:bidi="ar-SA"/>
              </w:rPr>
              <w:t>/číslo</w:t>
            </w:r>
            <w:r>
              <w:rPr>
                <w:b/>
                <w:spacing w:val="-1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20"/>
                <w:szCs w:val="22"/>
                <w:lang w:eastAsia="en-US" w:bidi="ar-SA"/>
              </w:rPr>
              <w:t>účtu</w:t>
            </w:r>
            <w:r>
              <w:rPr>
                <w:b/>
                <w:spacing w:val="-3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20"/>
                <w:szCs w:val="22"/>
                <w:lang w:eastAsia="en-US" w:bidi="ar-SA"/>
              </w:rPr>
              <w:t>a názov/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auto" w:line="240" w:before="0" w:after="0"/>
              <w:ind w:left="155" w:right="146"/>
              <w:jc w:val="center"/>
              <w:rPr>
                <w:b/>
                <w:sz w:val="20"/>
              </w:rPr>
            </w:pPr>
            <w:r>
              <w:rPr>
                <w:b/>
                <w:kern w:val="0"/>
                <w:sz w:val="20"/>
                <w:szCs w:val="22"/>
                <w:lang w:eastAsia="en-US" w:bidi="ar-SA"/>
              </w:rPr>
              <w:t>Suma</w:t>
            </w:r>
          </w:p>
          <w:p>
            <w:pPr>
              <w:pStyle w:val="TableParagraph"/>
              <w:widowControl w:val="false"/>
              <w:spacing w:before="0" w:after="0"/>
              <w:ind w:left="158" w:right="146"/>
              <w:jc w:val="center"/>
              <w:rPr>
                <w:b/>
                <w:sz w:val="20"/>
              </w:rPr>
            </w:pPr>
            <w:r>
              <w:rPr>
                <w:b/>
                <w:kern w:val="0"/>
                <w:sz w:val="20"/>
                <w:szCs w:val="22"/>
                <w:lang w:eastAsia="en-US" w:bidi="ar-SA"/>
              </w:rPr>
              <w:t>k 31.12.2025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auto" w:line="240" w:before="0" w:after="0"/>
              <w:ind w:left="153" w:right="146"/>
              <w:jc w:val="center"/>
              <w:rPr>
                <w:b/>
                <w:sz w:val="20"/>
              </w:rPr>
            </w:pPr>
            <w:r>
              <w:rPr>
                <w:b/>
                <w:kern w:val="0"/>
                <w:sz w:val="20"/>
                <w:szCs w:val="22"/>
                <w:lang w:eastAsia="en-US" w:bidi="ar-SA"/>
              </w:rPr>
              <w:t>Suma</w:t>
            </w:r>
          </w:p>
          <w:p>
            <w:pPr>
              <w:pStyle w:val="TableParagraph"/>
              <w:widowControl w:val="false"/>
              <w:spacing w:before="0" w:after="0"/>
              <w:ind w:left="156" w:right="146"/>
              <w:jc w:val="center"/>
              <w:rPr>
                <w:b/>
                <w:sz w:val="20"/>
              </w:rPr>
            </w:pPr>
            <w:r>
              <w:rPr>
                <w:b/>
                <w:kern w:val="0"/>
                <w:sz w:val="20"/>
                <w:szCs w:val="22"/>
                <w:lang w:eastAsia="en-US" w:bidi="ar-SA"/>
              </w:rPr>
              <w:t>k 31.12.2024</w:t>
            </w:r>
          </w:p>
        </w:tc>
      </w:tr>
      <w:tr>
        <w:trPr>
          <w:trHeight w:val="230" w:hRule="atLeast"/>
        </w:trPr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ind w:left="144"/>
              <w:jc w:val="left"/>
              <w:rPr>
                <w:sz w:val="20"/>
              </w:rPr>
            </w:pPr>
            <w:r>
              <w:rPr>
                <w:kern w:val="0"/>
                <w:sz w:val="20"/>
                <w:szCs w:val="22"/>
                <w:lang w:eastAsia="en-US" w:bidi="ar-SA"/>
              </w:rPr>
              <w:t>a)</w:t>
            </w:r>
            <w:r>
              <w:rPr>
                <w:spacing w:val="27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0"/>
                <w:szCs w:val="22"/>
                <w:lang w:eastAsia="en-US" w:bidi="ar-SA"/>
              </w:rPr>
              <w:t>tržby za</w:t>
            </w:r>
            <w:r>
              <w:rPr>
                <w:spacing w:val="-1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0"/>
                <w:szCs w:val="22"/>
                <w:lang w:eastAsia="en-US" w:bidi="ar-SA"/>
              </w:rPr>
              <w:t>vlastné</w:t>
            </w:r>
            <w:r>
              <w:rPr>
                <w:spacing w:val="-3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0"/>
                <w:szCs w:val="22"/>
                <w:lang w:eastAsia="en-US" w:bidi="ar-SA"/>
              </w:rPr>
              <w:t>výkony</w:t>
            </w:r>
            <w:r>
              <w:rPr>
                <w:spacing w:val="49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0"/>
                <w:szCs w:val="22"/>
                <w:lang w:eastAsia="en-US" w:bidi="ar-SA"/>
              </w:rPr>
              <w:t>a</w:t>
            </w:r>
            <w:r>
              <w:rPr>
                <w:spacing w:val="-1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0"/>
                <w:szCs w:val="22"/>
                <w:lang w:eastAsia="en-US" w:bidi="ar-SA"/>
              </w:rPr>
              <w:t>tovar</w:t>
            </w:r>
          </w:p>
        </w:tc>
        <w:tc>
          <w:tcPr>
            <w:tcW w:w="3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ind w:left="69"/>
              <w:jc w:val="left"/>
              <w:rPr>
                <w:sz w:val="20"/>
              </w:rPr>
            </w:pPr>
            <w:r>
              <w:rPr>
                <w:kern w:val="0"/>
                <w:sz w:val="20"/>
                <w:szCs w:val="22"/>
                <w:lang w:eastAsia="en-US" w:bidi="ar-SA"/>
              </w:rPr>
              <w:t>602</w:t>
            </w:r>
            <w:r>
              <w:rPr>
                <w:spacing w:val="-1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0"/>
                <w:szCs w:val="22"/>
                <w:lang w:eastAsia="en-US" w:bidi="ar-SA"/>
              </w:rPr>
              <w:t>-</w:t>
            </w:r>
            <w:r>
              <w:rPr>
                <w:spacing w:val="-3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0"/>
                <w:szCs w:val="22"/>
                <w:lang w:eastAsia="en-US" w:bidi="ar-SA"/>
              </w:rPr>
              <w:t>Tržby z</w:t>
            </w:r>
            <w:r>
              <w:rPr>
                <w:spacing w:val="-1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0"/>
                <w:szCs w:val="22"/>
                <w:lang w:eastAsia="en-US" w:bidi="ar-SA"/>
              </w:rPr>
              <w:t>predaja</w:t>
            </w:r>
            <w:r>
              <w:rPr>
                <w:spacing w:val="-1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0"/>
                <w:szCs w:val="22"/>
                <w:lang w:eastAsia="en-US" w:bidi="ar-SA"/>
              </w:rPr>
              <w:t>služieb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ind w:right="57"/>
              <w:jc w:val="right"/>
              <w:rPr>
                <w:sz w:val="20"/>
              </w:rPr>
            </w:pPr>
            <w:r>
              <w:rPr>
                <w:kern w:val="0"/>
                <w:sz w:val="20"/>
                <w:szCs w:val="22"/>
                <w:lang w:eastAsia="en-US" w:bidi="ar-SA"/>
              </w:rPr>
              <w:t>0,00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ind w:right="58"/>
              <w:jc w:val="right"/>
              <w:rPr>
                <w:sz w:val="20"/>
              </w:rPr>
            </w:pPr>
            <w:r>
              <w:rPr>
                <w:kern w:val="0"/>
                <w:sz w:val="20"/>
                <w:szCs w:val="22"/>
                <w:lang w:eastAsia="en-US" w:bidi="ar-SA"/>
              </w:rPr>
              <w:t>0,00</w:t>
            </w:r>
          </w:p>
        </w:tc>
      </w:tr>
      <w:tr>
        <w:trPr>
          <w:trHeight w:val="230" w:hRule="atLeast"/>
        </w:trPr>
        <w:tc>
          <w:tcPr>
            <w:tcW w:w="31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auto" w:line="240" w:before="0" w:after="0"/>
              <w:ind w:left="144"/>
              <w:jc w:val="left"/>
              <w:rPr>
                <w:sz w:val="20"/>
              </w:rPr>
            </w:pPr>
            <w:r>
              <w:rPr>
                <w:kern w:val="0"/>
                <w:sz w:val="20"/>
                <w:szCs w:val="22"/>
                <w:lang w:eastAsia="en-US" w:bidi="ar-SA"/>
              </w:rPr>
              <w:t>b)</w:t>
            </w:r>
            <w:r>
              <w:rPr>
                <w:spacing w:val="15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0"/>
                <w:szCs w:val="22"/>
                <w:lang w:eastAsia="en-US" w:bidi="ar-SA"/>
              </w:rPr>
              <w:t>výnosy z</w:t>
            </w:r>
            <w:r>
              <w:rPr>
                <w:spacing w:val="-3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0"/>
                <w:szCs w:val="22"/>
                <w:lang w:eastAsia="en-US" w:bidi="ar-SA"/>
              </w:rPr>
              <w:t>transferov</w:t>
            </w:r>
          </w:p>
        </w:tc>
        <w:tc>
          <w:tcPr>
            <w:tcW w:w="3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ind w:left="69"/>
              <w:jc w:val="left"/>
              <w:rPr>
                <w:sz w:val="20"/>
              </w:rPr>
            </w:pPr>
            <w:r>
              <w:rPr>
                <w:kern w:val="0"/>
                <w:sz w:val="20"/>
                <w:szCs w:val="22"/>
                <w:lang w:eastAsia="en-US" w:bidi="ar-SA"/>
              </w:rPr>
              <w:t>691</w:t>
            </w:r>
            <w:r>
              <w:rPr>
                <w:spacing w:val="-1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0"/>
                <w:szCs w:val="22"/>
                <w:lang w:eastAsia="en-US" w:bidi="ar-SA"/>
              </w:rPr>
              <w:t>-</w:t>
            </w:r>
            <w:r>
              <w:rPr>
                <w:spacing w:val="-3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0"/>
                <w:szCs w:val="22"/>
                <w:lang w:eastAsia="en-US" w:bidi="ar-SA"/>
              </w:rPr>
              <w:t>Výnosy</w:t>
            </w:r>
            <w:r>
              <w:rPr>
                <w:spacing w:val="1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0"/>
                <w:szCs w:val="22"/>
                <w:lang w:eastAsia="en-US" w:bidi="ar-SA"/>
              </w:rPr>
              <w:t>z</w:t>
            </w:r>
            <w:r>
              <w:rPr>
                <w:spacing w:val="-4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0"/>
                <w:szCs w:val="22"/>
                <w:lang w:eastAsia="en-US" w:bidi="ar-SA"/>
              </w:rPr>
              <w:t>bežných transf.z</w:t>
            </w:r>
            <w:r>
              <w:rPr>
                <w:spacing w:val="-1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0"/>
                <w:szCs w:val="22"/>
                <w:lang w:eastAsia="en-US" w:bidi="ar-SA"/>
              </w:rPr>
              <w:t>rozpočtu obce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ind w:right="58"/>
              <w:jc w:val="right"/>
              <w:rPr>
                <w:sz w:val="20"/>
              </w:rPr>
            </w:pPr>
            <w:r>
              <w:rPr>
                <w:kern w:val="0"/>
                <w:sz w:val="20"/>
                <w:szCs w:val="22"/>
                <w:lang w:eastAsia="en-US" w:bidi="ar-SA"/>
              </w:rPr>
              <w:t>12 000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ind w:right="58"/>
              <w:jc w:val="right"/>
              <w:rPr>
                <w:sz w:val="20"/>
              </w:rPr>
            </w:pPr>
            <w:r>
              <w:rPr>
                <w:kern w:val="0"/>
                <w:sz w:val="20"/>
                <w:szCs w:val="22"/>
                <w:lang w:eastAsia="en-US" w:bidi="ar-SA"/>
              </w:rPr>
              <w:t>76 759,52</w:t>
            </w:r>
          </w:p>
        </w:tc>
      </w:tr>
      <w:tr>
        <w:trPr>
          <w:trHeight w:val="230" w:hRule="atLeast"/>
        </w:trPr>
        <w:tc>
          <w:tcPr>
            <w:tcW w:w="312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left"/>
              <w:rPr>
                <w:sz w:val="2"/>
                <w:szCs w:val="2"/>
              </w:rPr>
            </w:pPr>
            <w:r>
              <w:rPr>
                <w:kern w:val="0"/>
                <w:sz w:val="2"/>
                <w:szCs w:val="2"/>
                <w:lang w:eastAsia="en-US" w:bidi="ar-SA"/>
              </w:rPr>
            </w:r>
          </w:p>
        </w:tc>
        <w:tc>
          <w:tcPr>
            <w:tcW w:w="3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ind w:left="69"/>
              <w:jc w:val="left"/>
              <w:rPr>
                <w:sz w:val="20"/>
              </w:rPr>
            </w:pPr>
            <w:r>
              <w:rPr>
                <w:kern w:val="0"/>
                <w:sz w:val="20"/>
                <w:szCs w:val="22"/>
                <w:lang w:eastAsia="en-US" w:bidi="ar-SA"/>
              </w:rPr>
              <w:t>692</w:t>
            </w:r>
            <w:r>
              <w:rPr>
                <w:spacing w:val="-1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0"/>
                <w:szCs w:val="22"/>
                <w:lang w:eastAsia="en-US" w:bidi="ar-SA"/>
              </w:rPr>
              <w:t>–</w:t>
            </w:r>
            <w:r>
              <w:rPr>
                <w:spacing w:val="-2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0"/>
                <w:szCs w:val="22"/>
                <w:lang w:eastAsia="en-US" w:bidi="ar-SA"/>
              </w:rPr>
              <w:t>Výnosy</w:t>
            </w:r>
            <w:r>
              <w:rPr>
                <w:spacing w:val="-2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0"/>
                <w:szCs w:val="22"/>
                <w:lang w:eastAsia="en-US" w:bidi="ar-SA"/>
              </w:rPr>
              <w:t>z</w:t>
            </w:r>
            <w:r>
              <w:rPr>
                <w:spacing w:val="-1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0"/>
                <w:szCs w:val="22"/>
                <w:lang w:eastAsia="en-US" w:bidi="ar-SA"/>
              </w:rPr>
              <w:t>kapitál.transf.z</w:t>
            </w:r>
            <w:r>
              <w:rPr>
                <w:spacing w:val="-1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0"/>
                <w:szCs w:val="22"/>
                <w:lang w:eastAsia="en-US" w:bidi="ar-SA"/>
              </w:rPr>
              <w:t>rozpočtu obce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ind w:right="55"/>
              <w:jc w:val="right"/>
              <w:rPr>
                <w:sz w:val="20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ind w:right="55"/>
              <w:jc w:val="right"/>
              <w:rPr>
                <w:sz w:val="20"/>
              </w:rPr>
            </w:pPr>
            <w:r>
              <w:rPr>
                <w:kern w:val="0"/>
                <w:sz w:val="20"/>
                <w:szCs w:val="22"/>
                <w:lang w:eastAsia="en-US" w:bidi="ar-SA"/>
              </w:rPr>
              <w:t>0,00</w:t>
            </w:r>
          </w:p>
        </w:tc>
      </w:tr>
      <w:tr>
        <w:trPr>
          <w:trHeight w:val="230" w:hRule="atLeast"/>
        </w:trPr>
        <w:tc>
          <w:tcPr>
            <w:tcW w:w="312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left"/>
              <w:rPr>
                <w:sz w:val="2"/>
                <w:szCs w:val="2"/>
              </w:rPr>
            </w:pPr>
            <w:r>
              <w:rPr>
                <w:kern w:val="0"/>
                <w:sz w:val="2"/>
                <w:szCs w:val="2"/>
                <w:lang w:eastAsia="en-US" w:bidi="ar-SA"/>
              </w:rPr>
            </w:r>
          </w:p>
        </w:tc>
        <w:tc>
          <w:tcPr>
            <w:tcW w:w="3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ind w:left="69"/>
              <w:jc w:val="left"/>
              <w:rPr>
                <w:sz w:val="20"/>
              </w:rPr>
            </w:pPr>
            <w:r>
              <w:rPr>
                <w:kern w:val="0"/>
                <w:sz w:val="20"/>
                <w:szCs w:val="22"/>
                <w:lang w:eastAsia="en-US" w:bidi="ar-SA"/>
              </w:rPr>
              <w:t>693</w:t>
            </w:r>
            <w:r>
              <w:rPr>
                <w:spacing w:val="-1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0"/>
                <w:szCs w:val="22"/>
                <w:lang w:eastAsia="en-US" w:bidi="ar-SA"/>
              </w:rPr>
              <w:t>-</w:t>
            </w:r>
            <w:r>
              <w:rPr>
                <w:spacing w:val="-4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0"/>
                <w:szCs w:val="22"/>
                <w:lang w:eastAsia="en-US" w:bidi="ar-SA"/>
              </w:rPr>
              <w:t>Výnosy</w:t>
            </w:r>
            <w:r>
              <w:rPr>
                <w:spacing w:val="1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0"/>
                <w:szCs w:val="22"/>
                <w:lang w:eastAsia="en-US" w:bidi="ar-SA"/>
              </w:rPr>
              <w:t>samosp.</w:t>
            </w:r>
            <w:r>
              <w:rPr>
                <w:spacing w:val="-1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0"/>
                <w:szCs w:val="22"/>
                <w:lang w:eastAsia="en-US" w:bidi="ar-SA"/>
              </w:rPr>
              <w:t>z</w:t>
            </w:r>
            <w:r>
              <w:rPr>
                <w:spacing w:val="-1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0"/>
                <w:szCs w:val="22"/>
                <w:lang w:eastAsia="en-US" w:bidi="ar-SA"/>
              </w:rPr>
              <w:t>bežných</w:t>
            </w:r>
            <w:r>
              <w:rPr>
                <w:spacing w:val="-1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0"/>
                <w:szCs w:val="22"/>
                <w:lang w:eastAsia="en-US" w:bidi="ar-SA"/>
              </w:rPr>
              <w:t>transf. zo</w:t>
            </w:r>
            <w:r>
              <w:rPr>
                <w:spacing w:val="-3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0"/>
                <w:szCs w:val="22"/>
                <w:lang w:eastAsia="en-US" w:bidi="ar-SA"/>
              </w:rPr>
              <w:t>ŠR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right"/>
              <w:rPr>
                <w:sz w:val="20"/>
              </w:rPr>
            </w:pPr>
            <w:r>
              <w:rPr>
                <w:kern w:val="0"/>
                <w:sz w:val="20"/>
                <w:szCs w:val="22"/>
                <w:lang w:eastAsia="en-US" w:bidi="ar-SA"/>
              </w:rPr>
              <w:t>417 215,55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right"/>
              <w:rPr>
                <w:sz w:val="20"/>
              </w:rPr>
            </w:pPr>
            <w:r>
              <w:rPr>
                <w:kern w:val="0"/>
                <w:sz w:val="20"/>
                <w:szCs w:val="22"/>
                <w:lang w:eastAsia="en-US" w:bidi="ar-SA"/>
              </w:rPr>
              <w:t>317 670,41</w:t>
            </w:r>
          </w:p>
        </w:tc>
      </w:tr>
      <w:tr>
        <w:trPr>
          <w:trHeight w:val="230" w:hRule="atLeast"/>
        </w:trPr>
        <w:tc>
          <w:tcPr>
            <w:tcW w:w="312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left"/>
              <w:rPr>
                <w:sz w:val="2"/>
                <w:szCs w:val="2"/>
              </w:rPr>
            </w:pPr>
            <w:r>
              <w:rPr>
                <w:kern w:val="0"/>
                <w:sz w:val="2"/>
                <w:szCs w:val="2"/>
                <w:lang w:eastAsia="en-US" w:bidi="ar-SA"/>
              </w:rPr>
            </w:r>
          </w:p>
        </w:tc>
        <w:tc>
          <w:tcPr>
            <w:tcW w:w="3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ind w:left="69"/>
              <w:jc w:val="left"/>
              <w:rPr>
                <w:sz w:val="20"/>
              </w:rPr>
            </w:pPr>
            <w:r>
              <w:rPr>
                <w:kern w:val="0"/>
                <w:sz w:val="20"/>
                <w:szCs w:val="22"/>
                <w:lang w:eastAsia="en-US" w:bidi="ar-SA"/>
              </w:rPr>
              <w:t>697</w:t>
            </w:r>
            <w:r>
              <w:rPr>
                <w:spacing w:val="-1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0"/>
                <w:szCs w:val="22"/>
                <w:lang w:eastAsia="en-US" w:bidi="ar-SA"/>
              </w:rPr>
              <w:t>-</w:t>
            </w:r>
            <w:r>
              <w:rPr>
                <w:spacing w:val="-3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0"/>
                <w:szCs w:val="22"/>
                <w:lang w:eastAsia="en-US" w:bidi="ar-SA"/>
              </w:rPr>
              <w:t>Výnosy</w:t>
            </w:r>
            <w:r>
              <w:rPr>
                <w:spacing w:val="-1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0"/>
                <w:szCs w:val="22"/>
                <w:lang w:eastAsia="en-US" w:bidi="ar-SA"/>
              </w:rPr>
              <w:t>samosp.</w:t>
            </w:r>
            <w:r>
              <w:rPr>
                <w:spacing w:val="1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0"/>
                <w:szCs w:val="22"/>
                <w:lang w:eastAsia="en-US" w:bidi="ar-SA"/>
              </w:rPr>
              <w:t>z</w:t>
            </w:r>
            <w:r>
              <w:rPr>
                <w:spacing w:val="-2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0"/>
                <w:szCs w:val="22"/>
                <w:lang w:eastAsia="en-US" w:bidi="ar-SA"/>
              </w:rPr>
              <w:t>bež.tranf.</w:t>
            </w:r>
            <w:r>
              <w:rPr>
                <w:spacing w:val="-1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0"/>
                <w:szCs w:val="22"/>
                <w:lang w:eastAsia="en-US" w:bidi="ar-SA"/>
              </w:rPr>
              <w:t>mimo</w:t>
            </w:r>
            <w:r>
              <w:rPr>
                <w:spacing w:val="-2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0"/>
                <w:szCs w:val="22"/>
                <w:lang w:eastAsia="en-US" w:bidi="ar-SA"/>
              </w:rPr>
              <w:t>VS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ind w:right="58"/>
              <w:jc w:val="right"/>
              <w:rPr>
                <w:sz w:val="20"/>
              </w:rPr>
            </w:pPr>
            <w:r>
              <w:rPr>
                <w:kern w:val="0"/>
                <w:sz w:val="20"/>
                <w:szCs w:val="22"/>
                <w:lang w:eastAsia="en-US" w:bidi="ar-SA"/>
              </w:rPr>
              <w:t>2 339,13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ind w:right="58"/>
              <w:jc w:val="right"/>
              <w:rPr>
                <w:sz w:val="20"/>
              </w:rPr>
            </w:pPr>
            <w:r>
              <w:rPr>
                <w:kern w:val="0"/>
                <w:sz w:val="20"/>
                <w:szCs w:val="22"/>
                <w:lang w:eastAsia="en-US" w:bidi="ar-SA"/>
              </w:rPr>
              <w:t>0,00</w:t>
            </w:r>
          </w:p>
        </w:tc>
      </w:tr>
      <w:tr>
        <w:trPr>
          <w:trHeight w:val="254" w:hRule="atLeast"/>
        </w:trPr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ind w:left="427"/>
              <w:jc w:val="left"/>
              <w:rPr>
                <w:b/>
                <w:sz w:val="20"/>
              </w:rPr>
            </w:pPr>
            <w:r>
              <w:rPr>
                <w:b/>
                <w:kern w:val="0"/>
                <w:sz w:val="20"/>
                <w:szCs w:val="22"/>
                <w:lang w:eastAsia="en-US" w:bidi="ar-SA"/>
              </w:rPr>
              <w:t>Spolu</w:t>
            </w:r>
          </w:p>
        </w:tc>
        <w:tc>
          <w:tcPr>
            <w:tcW w:w="3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auto" w:line="240" w:before="0" w:after="0"/>
              <w:jc w:val="left"/>
              <w:rPr>
                <w:sz w:val="16"/>
              </w:rPr>
            </w:pPr>
            <w:r>
              <w:rPr>
                <w:kern w:val="0"/>
                <w:sz w:val="16"/>
                <w:szCs w:val="22"/>
                <w:lang w:eastAsia="en-US" w:bidi="ar-SA"/>
              </w:rPr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ind w:right="55"/>
              <w:jc w:val="right"/>
              <w:rPr>
                <w:b/>
                <w:sz w:val="20"/>
              </w:rPr>
            </w:pPr>
            <w:r>
              <w:rPr>
                <w:b/>
                <w:kern w:val="0"/>
                <w:sz w:val="20"/>
                <w:szCs w:val="22"/>
                <w:lang w:eastAsia="en-US" w:bidi="ar-SA"/>
              </w:rPr>
              <w:t>431 554,68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ind w:right="55"/>
              <w:jc w:val="right"/>
              <w:rPr>
                <w:b/>
                <w:sz w:val="20"/>
              </w:rPr>
            </w:pPr>
            <w:r>
              <w:rPr>
                <w:b/>
                <w:kern w:val="0"/>
                <w:sz w:val="20"/>
                <w:szCs w:val="22"/>
                <w:lang w:eastAsia="en-US" w:bidi="ar-SA"/>
              </w:rPr>
              <w:t>394 429,93</w:t>
            </w:r>
          </w:p>
        </w:tc>
      </w:tr>
    </w:tbl>
    <w:p>
      <w:pPr>
        <w:pStyle w:val="BodyText"/>
        <w:rPr>
          <w:b/>
          <w:sz w:val="26"/>
        </w:rPr>
      </w:pPr>
      <w:r>
        <w:rPr>
          <w:b/>
          <w:sz w:val="26"/>
        </w:rPr>
      </w:r>
    </w:p>
    <w:p>
      <w:pPr>
        <w:pStyle w:val="BodyText"/>
        <w:spacing w:before="7" w:after="0"/>
        <w:rPr>
          <w:b/>
          <w:sz w:val="20"/>
        </w:rPr>
      </w:pPr>
      <w:r>
        <w:rPr>
          <w:b/>
          <w:sz w:val="20"/>
        </w:rPr>
      </w:r>
    </w:p>
    <w:p>
      <w:pPr>
        <w:pStyle w:val="ListParagraph"/>
        <w:numPr>
          <w:ilvl w:val="0"/>
          <w:numId w:val="2"/>
        </w:numPr>
        <w:tabs>
          <w:tab w:val="clear" w:pos="720"/>
          <w:tab w:val="left" w:pos="397" w:leader="none"/>
        </w:tabs>
        <w:ind w:hanging="285" w:left="396"/>
        <w:rPr>
          <w:b/>
          <w:sz w:val="24"/>
        </w:rPr>
      </w:pPr>
      <w:r>
        <w:rPr>
          <w:b/>
          <w:sz w:val="24"/>
        </w:rPr>
        <w:t>Náklady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-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popis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a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výška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významných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položiek nákladov</w:t>
      </w:r>
    </w:p>
    <w:p>
      <w:pPr>
        <w:pStyle w:val="BodyText"/>
        <w:spacing w:before="1" w:after="0"/>
        <w:rPr>
          <w:b/>
        </w:rPr>
      </w:pPr>
      <w:r>
        <w:rPr>
          <w:b/>
        </w:rPr>
      </w:r>
    </w:p>
    <w:tbl>
      <w:tblPr>
        <w:tblStyle w:val="TableNormal"/>
        <w:tblW w:w="9918" w:type="dxa"/>
        <w:jc w:val="left"/>
        <w:tblInd w:w="122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firstRow="1" w:noVBand="0" w:lastRow="1" w:firstColumn="1" w:lastColumn="1" w:noHBand="0" w:val="01e0"/>
      </w:tblPr>
      <w:tblGrid>
        <w:gridCol w:w="3398"/>
        <w:gridCol w:w="3685"/>
        <w:gridCol w:w="1418"/>
        <w:gridCol w:w="1416"/>
      </w:tblGrid>
      <w:tr>
        <w:trPr>
          <w:trHeight w:val="458" w:hRule="atLeast"/>
        </w:trPr>
        <w:tc>
          <w:tcPr>
            <w:tcW w:w="3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auto" w:line="240" w:before="0" w:after="0"/>
              <w:ind w:left="1049"/>
              <w:jc w:val="left"/>
              <w:rPr>
                <w:b/>
                <w:sz w:val="20"/>
              </w:rPr>
            </w:pPr>
            <w:r>
              <w:rPr>
                <w:b/>
                <w:kern w:val="0"/>
                <w:sz w:val="20"/>
                <w:szCs w:val="22"/>
                <w:lang w:eastAsia="en-US" w:bidi="ar-SA"/>
              </w:rPr>
              <w:t>Druh</w:t>
            </w:r>
            <w:r>
              <w:rPr>
                <w:b/>
                <w:spacing w:val="-4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20"/>
                <w:szCs w:val="22"/>
                <w:lang w:eastAsia="en-US" w:bidi="ar-SA"/>
              </w:rPr>
              <w:t>nákladov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auto" w:line="240" w:before="0" w:after="0"/>
              <w:ind w:left="775"/>
              <w:jc w:val="left"/>
              <w:rPr>
                <w:b/>
                <w:sz w:val="20"/>
              </w:rPr>
            </w:pPr>
            <w:r>
              <w:rPr>
                <w:b/>
                <w:kern w:val="0"/>
                <w:sz w:val="20"/>
                <w:szCs w:val="22"/>
                <w:lang w:eastAsia="en-US" w:bidi="ar-SA"/>
              </w:rPr>
              <w:t>Popis</w:t>
            </w:r>
            <w:r>
              <w:rPr>
                <w:b/>
                <w:spacing w:val="-4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20"/>
                <w:szCs w:val="22"/>
                <w:lang w:eastAsia="en-US" w:bidi="ar-SA"/>
              </w:rPr>
              <w:t>/číslo</w:t>
            </w:r>
            <w:r>
              <w:rPr>
                <w:b/>
                <w:spacing w:val="-1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20"/>
                <w:szCs w:val="22"/>
                <w:lang w:eastAsia="en-US" w:bidi="ar-SA"/>
              </w:rPr>
              <w:t>účtu</w:t>
            </w:r>
            <w:r>
              <w:rPr>
                <w:b/>
                <w:spacing w:val="-3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20"/>
                <w:szCs w:val="22"/>
                <w:lang w:eastAsia="en-US" w:bidi="ar-SA"/>
              </w:rPr>
              <w:t>a názov/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29" w:before="0" w:after="0"/>
              <w:ind w:left="157" w:right="146"/>
              <w:jc w:val="center"/>
              <w:rPr>
                <w:b/>
                <w:sz w:val="20"/>
              </w:rPr>
            </w:pPr>
            <w:r>
              <w:rPr>
                <w:b/>
                <w:kern w:val="0"/>
                <w:sz w:val="20"/>
                <w:szCs w:val="22"/>
                <w:lang w:eastAsia="en-US" w:bidi="ar-SA"/>
              </w:rPr>
              <w:t>Suma</w:t>
            </w:r>
          </w:p>
          <w:p>
            <w:pPr>
              <w:pStyle w:val="TableParagraph"/>
              <w:widowControl w:val="false"/>
              <w:spacing w:lineRule="exact" w:line="209" w:before="0" w:after="0"/>
              <w:ind w:left="159" w:right="145"/>
              <w:jc w:val="center"/>
              <w:rPr>
                <w:b/>
                <w:sz w:val="20"/>
              </w:rPr>
            </w:pPr>
            <w:r>
              <w:rPr>
                <w:b/>
                <w:kern w:val="0"/>
                <w:sz w:val="20"/>
                <w:szCs w:val="22"/>
                <w:lang w:eastAsia="en-US" w:bidi="ar-SA"/>
              </w:rPr>
              <w:t>k 31.12.2025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29" w:before="0" w:after="0"/>
              <w:ind w:left="155" w:right="146"/>
              <w:jc w:val="center"/>
              <w:rPr>
                <w:b/>
                <w:sz w:val="20"/>
              </w:rPr>
            </w:pPr>
            <w:r>
              <w:rPr>
                <w:b/>
                <w:kern w:val="0"/>
                <w:sz w:val="20"/>
                <w:szCs w:val="22"/>
                <w:lang w:eastAsia="en-US" w:bidi="ar-SA"/>
              </w:rPr>
              <w:t>Suma</w:t>
            </w:r>
          </w:p>
          <w:p>
            <w:pPr>
              <w:pStyle w:val="TableParagraph"/>
              <w:widowControl w:val="false"/>
              <w:spacing w:lineRule="exact" w:line="209" w:before="0" w:after="0"/>
              <w:ind w:left="157" w:right="145"/>
              <w:jc w:val="center"/>
              <w:rPr>
                <w:b/>
                <w:sz w:val="20"/>
              </w:rPr>
            </w:pPr>
            <w:r>
              <w:rPr>
                <w:b/>
                <w:kern w:val="0"/>
                <w:sz w:val="20"/>
                <w:szCs w:val="22"/>
                <w:lang w:eastAsia="en-US" w:bidi="ar-SA"/>
              </w:rPr>
              <w:t>k 31.12.2024</w:t>
            </w:r>
          </w:p>
        </w:tc>
      </w:tr>
      <w:tr>
        <w:trPr>
          <w:trHeight w:val="230" w:hRule="atLeast"/>
        </w:trPr>
        <w:tc>
          <w:tcPr>
            <w:tcW w:w="3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ind w:left="141"/>
              <w:jc w:val="left"/>
              <w:rPr>
                <w:sz w:val="20"/>
              </w:rPr>
            </w:pPr>
            <w:r>
              <w:rPr>
                <w:kern w:val="0"/>
                <w:sz w:val="20"/>
                <w:szCs w:val="22"/>
                <w:lang w:eastAsia="en-US" w:bidi="ar-SA"/>
              </w:rPr>
              <w:t>a)</w:t>
            </w:r>
            <w:r>
              <w:rPr>
                <w:spacing w:val="27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0"/>
                <w:szCs w:val="22"/>
                <w:lang w:eastAsia="en-US" w:bidi="ar-SA"/>
              </w:rPr>
              <w:t>spotrebované</w:t>
            </w:r>
            <w:r>
              <w:rPr>
                <w:spacing w:val="-1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0"/>
                <w:szCs w:val="22"/>
                <w:lang w:eastAsia="en-US" w:bidi="ar-SA"/>
              </w:rPr>
              <w:t>nákupy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ind w:left="69"/>
              <w:jc w:val="left"/>
              <w:rPr>
                <w:sz w:val="20"/>
              </w:rPr>
            </w:pPr>
            <w:r>
              <w:rPr>
                <w:kern w:val="0"/>
                <w:sz w:val="20"/>
                <w:szCs w:val="22"/>
                <w:lang w:eastAsia="en-US" w:bidi="ar-SA"/>
              </w:rPr>
              <w:t>501 -</w:t>
            </w:r>
            <w:r>
              <w:rPr>
                <w:spacing w:val="-3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0"/>
                <w:szCs w:val="22"/>
                <w:lang w:eastAsia="en-US" w:bidi="ar-SA"/>
              </w:rPr>
              <w:t>Spotreba</w:t>
            </w:r>
            <w:r>
              <w:rPr>
                <w:spacing w:val="-2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0"/>
                <w:szCs w:val="22"/>
                <w:lang w:eastAsia="en-US" w:bidi="ar-SA"/>
              </w:rPr>
              <w:t>materiálu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ind w:right="58"/>
              <w:jc w:val="right"/>
              <w:rPr>
                <w:sz w:val="20"/>
              </w:rPr>
            </w:pPr>
            <w:r>
              <w:rPr>
                <w:kern w:val="0"/>
                <w:sz w:val="20"/>
                <w:szCs w:val="22"/>
                <w:lang w:eastAsia="en-US" w:bidi="ar-SA"/>
              </w:rPr>
              <w:t>48 034,57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ind w:right="58"/>
              <w:jc w:val="right"/>
              <w:rPr>
                <w:sz w:val="20"/>
              </w:rPr>
            </w:pPr>
            <w:r>
              <w:rPr>
                <w:kern w:val="0"/>
                <w:sz w:val="20"/>
                <w:szCs w:val="22"/>
                <w:lang w:eastAsia="en-US" w:bidi="ar-SA"/>
              </w:rPr>
              <w:t>28 122,18</w:t>
            </w:r>
          </w:p>
        </w:tc>
      </w:tr>
      <w:tr>
        <w:trPr>
          <w:trHeight w:val="230" w:hRule="atLeast"/>
        </w:trPr>
        <w:tc>
          <w:tcPr>
            <w:tcW w:w="3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ind w:left="141"/>
              <w:jc w:val="left"/>
              <w:rPr>
                <w:sz w:val="20"/>
              </w:rPr>
            </w:pPr>
            <w:r>
              <w:rPr>
                <w:kern w:val="0"/>
                <w:sz w:val="20"/>
                <w:szCs w:val="22"/>
                <w:lang w:eastAsia="en-US" w:bidi="ar-SA"/>
              </w:rPr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ind w:left="69"/>
              <w:jc w:val="left"/>
              <w:rPr>
                <w:sz w:val="20"/>
              </w:rPr>
            </w:pPr>
            <w:r>
              <w:rPr>
                <w:kern w:val="0"/>
                <w:sz w:val="20"/>
                <w:szCs w:val="22"/>
                <w:lang w:eastAsia="en-US" w:bidi="ar-SA"/>
              </w:rPr>
              <w:t>502 – Energie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ind w:right="58"/>
              <w:jc w:val="right"/>
              <w:rPr>
                <w:sz w:val="20"/>
              </w:rPr>
            </w:pPr>
            <w:r>
              <w:rPr>
                <w:kern w:val="0"/>
                <w:sz w:val="20"/>
                <w:szCs w:val="22"/>
                <w:lang w:eastAsia="en-US" w:bidi="ar-SA"/>
              </w:rPr>
              <w:t>7 005,55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ind w:right="58"/>
              <w:jc w:val="right"/>
              <w:rPr>
                <w:sz w:val="20"/>
              </w:rPr>
            </w:pPr>
            <w:r>
              <w:rPr>
                <w:kern w:val="0"/>
                <w:sz w:val="20"/>
                <w:szCs w:val="22"/>
                <w:lang w:eastAsia="en-US" w:bidi="ar-SA"/>
              </w:rPr>
              <w:t>7 426,62</w:t>
            </w:r>
          </w:p>
        </w:tc>
      </w:tr>
      <w:tr>
        <w:trPr>
          <w:trHeight w:val="230" w:hRule="atLeast"/>
        </w:trPr>
        <w:tc>
          <w:tcPr>
            <w:tcW w:w="33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auto" w:line="240" w:before="1" w:after="0"/>
              <w:ind w:left="141"/>
              <w:jc w:val="left"/>
              <w:rPr>
                <w:sz w:val="20"/>
              </w:rPr>
            </w:pPr>
            <w:r>
              <w:rPr>
                <w:kern w:val="0"/>
                <w:sz w:val="20"/>
                <w:szCs w:val="22"/>
                <w:lang w:eastAsia="en-US" w:bidi="ar-SA"/>
              </w:rPr>
              <w:t>b)</w:t>
            </w:r>
            <w:r>
              <w:rPr>
                <w:spacing w:val="15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0"/>
                <w:szCs w:val="22"/>
                <w:lang w:eastAsia="en-US" w:bidi="ar-SA"/>
              </w:rPr>
              <w:t>služby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ind w:left="69"/>
              <w:jc w:val="left"/>
              <w:rPr>
                <w:sz w:val="20"/>
              </w:rPr>
            </w:pPr>
            <w:r>
              <w:rPr>
                <w:kern w:val="0"/>
                <w:sz w:val="20"/>
                <w:szCs w:val="22"/>
                <w:lang w:eastAsia="en-US" w:bidi="ar-SA"/>
              </w:rPr>
              <w:t>511</w:t>
            </w:r>
            <w:r>
              <w:rPr>
                <w:spacing w:val="-1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0"/>
                <w:szCs w:val="22"/>
                <w:lang w:eastAsia="en-US" w:bidi="ar-SA"/>
              </w:rPr>
              <w:t>-</w:t>
            </w:r>
            <w:r>
              <w:rPr>
                <w:spacing w:val="-3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0"/>
                <w:szCs w:val="22"/>
                <w:lang w:eastAsia="en-US" w:bidi="ar-SA"/>
              </w:rPr>
              <w:t>Ostatné</w:t>
            </w:r>
            <w:r>
              <w:rPr>
                <w:spacing w:val="-2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0"/>
                <w:szCs w:val="22"/>
                <w:lang w:eastAsia="en-US" w:bidi="ar-SA"/>
              </w:rPr>
              <w:t>služby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ind w:right="56"/>
              <w:jc w:val="right"/>
              <w:rPr>
                <w:sz w:val="20"/>
              </w:rPr>
            </w:pPr>
            <w:r>
              <w:rPr>
                <w:kern w:val="0"/>
                <w:sz w:val="20"/>
                <w:szCs w:val="22"/>
                <w:lang w:eastAsia="en-US" w:bidi="ar-SA"/>
              </w:rPr>
              <w:t>79,95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ind w:right="56"/>
              <w:jc w:val="right"/>
              <w:rPr>
                <w:sz w:val="20"/>
              </w:rPr>
            </w:pPr>
            <w:r>
              <w:rPr>
                <w:kern w:val="0"/>
                <w:sz w:val="20"/>
                <w:szCs w:val="22"/>
                <w:lang w:eastAsia="en-US" w:bidi="ar-SA"/>
              </w:rPr>
              <w:t>1 239,30</w:t>
            </w:r>
          </w:p>
        </w:tc>
      </w:tr>
      <w:tr>
        <w:trPr>
          <w:trHeight w:val="230" w:hRule="atLeast"/>
        </w:trPr>
        <w:tc>
          <w:tcPr>
            <w:tcW w:w="3398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left"/>
              <w:rPr>
                <w:sz w:val="2"/>
                <w:szCs w:val="2"/>
              </w:rPr>
            </w:pPr>
            <w:r>
              <w:rPr>
                <w:kern w:val="0"/>
                <w:sz w:val="2"/>
                <w:szCs w:val="2"/>
                <w:lang w:eastAsia="en-US" w:bidi="ar-SA"/>
              </w:rPr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ind w:left="69"/>
              <w:jc w:val="left"/>
              <w:rPr>
                <w:sz w:val="20"/>
              </w:rPr>
            </w:pPr>
            <w:r>
              <w:rPr>
                <w:kern w:val="0"/>
                <w:sz w:val="20"/>
                <w:szCs w:val="22"/>
                <w:lang w:eastAsia="en-US" w:bidi="ar-SA"/>
              </w:rPr>
              <w:t>512 -</w:t>
            </w:r>
            <w:r>
              <w:rPr>
                <w:spacing w:val="-4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0"/>
                <w:szCs w:val="22"/>
                <w:lang w:eastAsia="en-US" w:bidi="ar-SA"/>
              </w:rPr>
              <w:t xml:space="preserve">Cestovné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ind w:right="55"/>
              <w:jc w:val="right"/>
              <w:rPr>
                <w:sz w:val="20"/>
              </w:rPr>
            </w:pPr>
            <w:r>
              <w:rPr>
                <w:kern w:val="0"/>
                <w:sz w:val="20"/>
                <w:szCs w:val="22"/>
                <w:lang w:eastAsia="en-US" w:bidi="ar-SA"/>
              </w:rPr>
              <w:t>93,00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ind w:right="55"/>
              <w:jc w:val="right"/>
              <w:rPr>
                <w:sz w:val="20"/>
              </w:rPr>
            </w:pPr>
            <w:r>
              <w:rPr>
                <w:kern w:val="0"/>
                <w:sz w:val="20"/>
                <w:szCs w:val="22"/>
                <w:lang w:eastAsia="en-US" w:bidi="ar-SA"/>
              </w:rPr>
              <w:t>218,80</w:t>
            </w:r>
          </w:p>
        </w:tc>
      </w:tr>
      <w:tr>
        <w:trPr>
          <w:trHeight w:val="230" w:hRule="atLeast"/>
        </w:trPr>
        <w:tc>
          <w:tcPr>
            <w:tcW w:w="3398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left"/>
              <w:rPr>
                <w:sz w:val="2"/>
                <w:szCs w:val="2"/>
              </w:rPr>
            </w:pPr>
            <w:r>
              <w:rPr>
                <w:kern w:val="0"/>
                <w:sz w:val="2"/>
                <w:szCs w:val="2"/>
                <w:lang w:eastAsia="en-US" w:bidi="ar-SA"/>
              </w:rPr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ind w:left="69"/>
              <w:jc w:val="left"/>
              <w:rPr>
                <w:sz w:val="20"/>
              </w:rPr>
            </w:pPr>
            <w:r>
              <w:rPr>
                <w:kern w:val="0"/>
                <w:sz w:val="20"/>
                <w:szCs w:val="22"/>
                <w:lang w:eastAsia="en-US" w:bidi="ar-SA"/>
              </w:rPr>
              <w:t>518 -</w:t>
            </w:r>
            <w:r>
              <w:rPr>
                <w:spacing w:val="-3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0"/>
                <w:szCs w:val="22"/>
                <w:lang w:eastAsia="en-US" w:bidi="ar-SA"/>
              </w:rPr>
              <w:t>Ostatné</w:t>
            </w:r>
            <w:r>
              <w:rPr>
                <w:spacing w:val="-1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0"/>
                <w:szCs w:val="22"/>
                <w:lang w:eastAsia="en-US" w:bidi="ar-SA"/>
              </w:rPr>
              <w:t>služby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ind w:right="58"/>
              <w:jc w:val="right"/>
              <w:rPr>
                <w:sz w:val="20"/>
              </w:rPr>
            </w:pPr>
            <w:r>
              <w:rPr>
                <w:kern w:val="0"/>
                <w:sz w:val="20"/>
                <w:szCs w:val="22"/>
                <w:lang w:eastAsia="en-US" w:bidi="ar-SA"/>
              </w:rPr>
              <w:t>21 087,67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ind w:right="58"/>
              <w:jc w:val="right"/>
              <w:rPr>
                <w:sz w:val="20"/>
              </w:rPr>
            </w:pPr>
            <w:r>
              <w:rPr>
                <w:kern w:val="0"/>
                <w:sz w:val="20"/>
                <w:szCs w:val="22"/>
                <w:lang w:eastAsia="en-US" w:bidi="ar-SA"/>
              </w:rPr>
              <w:t>15 371,04</w:t>
            </w:r>
          </w:p>
        </w:tc>
      </w:tr>
      <w:tr>
        <w:trPr>
          <w:trHeight w:val="230" w:hRule="atLeast"/>
        </w:trPr>
        <w:tc>
          <w:tcPr>
            <w:tcW w:w="33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auto" w:line="240" w:before="0" w:after="0"/>
              <w:ind w:left="141"/>
              <w:jc w:val="left"/>
              <w:rPr>
                <w:sz w:val="20"/>
              </w:rPr>
            </w:pPr>
            <w:r>
              <w:rPr>
                <w:kern w:val="0"/>
                <w:sz w:val="20"/>
                <w:szCs w:val="22"/>
                <w:lang w:eastAsia="en-US" w:bidi="ar-SA"/>
              </w:rPr>
              <w:t>c)</w:t>
            </w:r>
            <w:r>
              <w:rPr>
                <w:spacing w:val="28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0"/>
                <w:szCs w:val="22"/>
                <w:lang w:eastAsia="en-US" w:bidi="ar-SA"/>
              </w:rPr>
              <w:t>osobné</w:t>
            </w:r>
            <w:r>
              <w:rPr>
                <w:spacing w:val="-1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0"/>
                <w:szCs w:val="22"/>
                <w:lang w:eastAsia="en-US" w:bidi="ar-SA"/>
              </w:rPr>
              <w:t>náklady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ind w:left="69"/>
              <w:jc w:val="left"/>
              <w:rPr>
                <w:sz w:val="20"/>
              </w:rPr>
            </w:pPr>
            <w:r>
              <w:rPr>
                <w:kern w:val="0"/>
                <w:sz w:val="20"/>
                <w:szCs w:val="22"/>
                <w:lang w:eastAsia="en-US" w:bidi="ar-SA"/>
              </w:rPr>
              <w:t>521 -</w:t>
            </w:r>
            <w:r>
              <w:rPr>
                <w:spacing w:val="-2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0"/>
                <w:szCs w:val="22"/>
                <w:lang w:eastAsia="en-US" w:bidi="ar-SA"/>
              </w:rPr>
              <w:t>Mzdové</w:t>
            </w:r>
            <w:r>
              <w:rPr>
                <w:spacing w:val="-2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0"/>
                <w:szCs w:val="22"/>
                <w:lang w:eastAsia="en-US" w:bidi="ar-SA"/>
              </w:rPr>
              <w:t>náklady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ind w:right="54"/>
              <w:jc w:val="right"/>
              <w:rPr>
                <w:sz w:val="20"/>
              </w:rPr>
            </w:pPr>
            <w:r>
              <w:rPr>
                <w:kern w:val="0"/>
                <w:sz w:val="20"/>
                <w:szCs w:val="22"/>
                <w:lang w:eastAsia="en-US" w:bidi="ar-SA"/>
              </w:rPr>
              <w:t>252 175,08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ind w:right="54"/>
              <w:jc w:val="right"/>
              <w:rPr>
                <w:sz w:val="20"/>
              </w:rPr>
            </w:pPr>
            <w:r>
              <w:rPr>
                <w:kern w:val="0"/>
                <w:sz w:val="20"/>
                <w:szCs w:val="22"/>
                <w:lang w:eastAsia="en-US" w:bidi="ar-SA"/>
              </w:rPr>
              <w:t>236 120,97</w:t>
            </w:r>
          </w:p>
        </w:tc>
      </w:tr>
      <w:tr>
        <w:trPr>
          <w:trHeight w:val="230" w:hRule="atLeast"/>
        </w:trPr>
        <w:tc>
          <w:tcPr>
            <w:tcW w:w="3398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left"/>
              <w:rPr>
                <w:sz w:val="2"/>
                <w:szCs w:val="2"/>
              </w:rPr>
            </w:pPr>
            <w:r>
              <w:rPr>
                <w:kern w:val="0"/>
                <w:sz w:val="2"/>
                <w:szCs w:val="2"/>
                <w:lang w:eastAsia="en-US" w:bidi="ar-SA"/>
              </w:rPr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ind w:left="69"/>
              <w:jc w:val="left"/>
              <w:rPr>
                <w:sz w:val="20"/>
              </w:rPr>
            </w:pPr>
            <w:r>
              <w:rPr>
                <w:kern w:val="0"/>
                <w:sz w:val="20"/>
                <w:szCs w:val="22"/>
                <w:lang w:eastAsia="en-US" w:bidi="ar-SA"/>
              </w:rPr>
              <w:t>524 -</w:t>
            </w:r>
            <w:r>
              <w:rPr>
                <w:spacing w:val="-3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0"/>
                <w:szCs w:val="22"/>
                <w:lang w:eastAsia="en-US" w:bidi="ar-SA"/>
              </w:rPr>
              <w:t>Zákonné</w:t>
            </w:r>
            <w:r>
              <w:rPr>
                <w:spacing w:val="-1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0"/>
                <w:szCs w:val="22"/>
                <w:lang w:eastAsia="en-US" w:bidi="ar-SA"/>
              </w:rPr>
              <w:t>sociálne</w:t>
            </w:r>
            <w:r>
              <w:rPr>
                <w:spacing w:val="-3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0"/>
                <w:szCs w:val="22"/>
                <w:lang w:eastAsia="en-US" w:bidi="ar-SA"/>
              </w:rPr>
              <w:t>poistenie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ind w:right="56"/>
              <w:jc w:val="right"/>
              <w:rPr>
                <w:sz w:val="20"/>
              </w:rPr>
            </w:pPr>
            <w:r>
              <w:rPr>
                <w:kern w:val="0"/>
                <w:sz w:val="20"/>
                <w:szCs w:val="22"/>
                <w:lang w:eastAsia="en-US" w:bidi="ar-SA"/>
              </w:rPr>
              <w:t>90 075,10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ind w:right="56"/>
              <w:jc w:val="right"/>
              <w:rPr>
                <w:sz w:val="20"/>
              </w:rPr>
            </w:pPr>
            <w:r>
              <w:rPr>
                <w:kern w:val="0"/>
                <w:sz w:val="20"/>
                <w:szCs w:val="22"/>
                <w:lang w:eastAsia="en-US" w:bidi="ar-SA"/>
              </w:rPr>
              <w:t>85 370,19</w:t>
            </w:r>
          </w:p>
        </w:tc>
      </w:tr>
      <w:tr>
        <w:trPr>
          <w:trHeight w:val="230" w:hRule="atLeast"/>
        </w:trPr>
        <w:tc>
          <w:tcPr>
            <w:tcW w:w="3398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left"/>
              <w:rPr>
                <w:sz w:val="2"/>
                <w:szCs w:val="2"/>
              </w:rPr>
            </w:pPr>
            <w:r>
              <w:rPr>
                <w:kern w:val="0"/>
                <w:sz w:val="2"/>
                <w:szCs w:val="2"/>
                <w:lang w:eastAsia="en-US" w:bidi="ar-SA"/>
              </w:rPr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ind w:left="69"/>
              <w:jc w:val="left"/>
              <w:rPr>
                <w:sz w:val="20"/>
              </w:rPr>
            </w:pPr>
            <w:r>
              <w:rPr>
                <w:kern w:val="0"/>
                <w:sz w:val="20"/>
                <w:szCs w:val="22"/>
                <w:lang w:eastAsia="en-US" w:bidi="ar-SA"/>
              </w:rPr>
              <w:t>525 – Ostatné sociálne poistenie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ind w:right="56"/>
              <w:jc w:val="right"/>
              <w:rPr>
                <w:sz w:val="20"/>
              </w:rPr>
            </w:pPr>
            <w:r>
              <w:rPr>
                <w:kern w:val="0"/>
                <w:sz w:val="20"/>
                <w:szCs w:val="22"/>
                <w:lang w:eastAsia="en-US" w:bidi="ar-SA"/>
              </w:rPr>
              <w:t>2 945,51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ind w:right="56"/>
              <w:jc w:val="right"/>
              <w:rPr>
                <w:sz w:val="20"/>
              </w:rPr>
            </w:pPr>
            <w:r>
              <w:rPr>
                <w:kern w:val="0"/>
                <w:sz w:val="20"/>
                <w:szCs w:val="22"/>
                <w:lang w:eastAsia="en-US" w:bidi="ar-SA"/>
              </w:rPr>
              <w:t>3 648,05</w:t>
            </w:r>
          </w:p>
        </w:tc>
      </w:tr>
      <w:tr>
        <w:trPr>
          <w:trHeight w:val="230" w:hRule="atLeast"/>
        </w:trPr>
        <w:tc>
          <w:tcPr>
            <w:tcW w:w="3398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left"/>
              <w:rPr>
                <w:sz w:val="2"/>
                <w:szCs w:val="2"/>
              </w:rPr>
            </w:pPr>
            <w:r>
              <w:rPr>
                <w:kern w:val="0"/>
                <w:sz w:val="2"/>
                <w:szCs w:val="2"/>
                <w:lang w:eastAsia="en-US" w:bidi="ar-SA"/>
              </w:rPr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ind w:left="69"/>
              <w:jc w:val="left"/>
              <w:rPr>
                <w:sz w:val="20"/>
              </w:rPr>
            </w:pPr>
            <w:r>
              <w:rPr>
                <w:kern w:val="0"/>
                <w:sz w:val="20"/>
                <w:szCs w:val="22"/>
                <w:lang w:eastAsia="en-US" w:bidi="ar-SA"/>
              </w:rPr>
              <w:t>527 -</w:t>
            </w:r>
            <w:r>
              <w:rPr>
                <w:spacing w:val="-3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0"/>
                <w:szCs w:val="22"/>
                <w:lang w:eastAsia="en-US" w:bidi="ar-SA"/>
              </w:rPr>
              <w:t>Zákonné</w:t>
            </w:r>
            <w:r>
              <w:rPr>
                <w:spacing w:val="-1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0"/>
                <w:szCs w:val="22"/>
                <w:lang w:eastAsia="en-US" w:bidi="ar-SA"/>
              </w:rPr>
              <w:t>sociálne</w:t>
            </w:r>
            <w:r>
              <w:rPr>
                <w:spacing w:val="-3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0"/>
                <w:szCs w:val="22"/>
                <w:lang w:eastAsia="en-US" w:bidi="ar-SA"/>
              </w:rPr>
              <w:t>náklady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ind w:right="54"/>
              <w:jc w:val="right"/>
              <w:rPr>
                <w:sz w:val="20"/>
              </w:rPr>
            </w:pPr>
            <w:r>
              <w:rPr>
                <w:kern w:val="0"/>
                <w:sz w:val="20"/>
                <w:szCs w:val="22"/>
                <w:lang w:eastAsia="en-US" w:bidi="ar-SA"/>
              </w:rPr>
              <w:t>12 438,27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ind w:right="54"/>
              <w:jc w:val="right"/>
              <w:rPr>
                <w:sz w:val="20"/>
              </w:rPr>
            </w:pPr>
            <w:r>
              <w:rPr>
                <w:kern w:val="0"/>
                <w:sz w:val="20"/>
                <w:szCs w:val="22"/>
                <w:lang w:eastAsia="en-US" w:bidi="ar-SA"/>
              </w:rPr>
              <w:t>15 730,66</w:t>
            </w:r>
          </w:p>
        </w:tc>
      </w:tr>
      <w:tr>
        <w:trPr>
          <w:trHeight w:val="230" w:hRule="atLeast"/>
        </w:trPr>
        <w:tc>
          <w:tcPr>
            <w:tcW w:w="3398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left"/>
              <w:rPr>
                <w:sz w:val="2"/>
                <w:szCs w:val="2"/>
              </w:rPr>
            </w:pPr>
            <w:r>
              <w:rPr>
                <w:kern w:val="0"/>
                <w:sz w:val="2"/>
                <w:szCs w:val="2"/>
                <w:lang w:eastAsia="en-US" w:bidi="ar-SA"/>
              </w:rPr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ind w:left="69"/>
              <w:jc w:val="left"/>
              <w:rPr>
                <w:sz w:val="20"/>
              </w:rPr>
            </w:pPr>
            <w:r>
              <w:rPr>
                <w:kern w:val="0"/>
                <w:sz w:val="20"/>
                <w:szCs w:val="22"/>
                <w:lang w:eastAsia="en-US" w:bidi="ar-SA"/>
              </w:rPr>
              <w:t>528</w:t>
            </w:r>
            <w:r>
              <w:rPr>
                <w:spacing w:val="-1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0"/>
                <w:szCs w:val="22"/>
                <w:lang w:eastAsia="en-US" w:bidi="ar-SA"/>
              </w:rPr>
              <w:t>–</w:t>
            </w:r>
            <w:r>
              <w:rPr>
                <w:spacing w:val="-2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0"/>
                <w:szCs w:val="22"/>
                <w:lang w:eastAsia="en-US" w:bidi="ar-SA"/>
              </w:rPr>
              <w:t>Ostatné</w:t>
            </w:r>
            <w:r>
              <w:rPr>
                <w:spacing w:val="-2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0"/>
                <w:szCs w:val="22"/>
                <w:lang w:eastAsia="en-US" w:bidi="ar-SA"/>
              </w:rPr>
              <w:t>sociálne</w:t>
            </w:r>
            <w:r>
              <w:rPr>
                <w:spacing w:val="-1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0"/>
                <w:szCs w:val="22"/>
                <w:lang w:eastAsia="en-US" w:bidi="ar-SA"/>
              </w:rPr>
              <w:t>náklady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ind w:right="56"/>
              <w:jc w:val="right"/>
              <w:rPr>
                <w:sz w:val="20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ind w:right="56"/>
              <w:jc w:val="right"/>
              <w:rPr>
                <w:sz w:val="20"/>
              </w:rPr>
            </w:pPr>
            <w:r>
              <w:rPr>
                <w:kern w:val="0"/>
                <w:sz w:val="20"/>
                <w:szCs w:val="22"/>
                <w:lang w:eastAsia="en-US" w:bidi="ar-SA"/>
              </w:rPr>
              <w:t>0,00</w:t>
            </w:r>
          </w:p>
        </w:tc>
      </w:tr>
      <w:tr>
        <w:trPr>
          <w:trHeight w:val="230" w:hRule="atLeast"/>
        </w:trPr>
        <w:tc>
          <w:tcPr>
            <w:tcW w:w="33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atLeast" w:line="230" w:before="0" w:after="0"/>
              <w:ind w:hanging="284" w:left="425"/>
              <w:jc w:val="left"/>
              <w:rPr>
                <w:sz w:val="20"/>
              </w:rPr>
            </w:pPr>
            <w:r>
              <w:rPr>
                <w:kern w:val="0"/>
                <w:sz w:val="20"/>
                <w:szCs w:val="22"/>
                <w:lang w:eastAsia="en-US" w:bidi="ar-SA"/>
              </w:rPr>
              <w:t>d)</w:t>
            </w:r>
            <w:r>
              <w:rPr>
                <w:spacing w:val="11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0"/>
                <w:szCs w:val="22"/>
                <w:lang w:eastAsia="en-US" w:bidi="ar-SA"/>
              </w:rPr>
              <w:t>ostatné</w:t>
            </w:r>
            <w:r>
              <w:rPr>
                <w:spacing w:val="-3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0"/>
                <w:szCs w:val="22"/>
                <w:lang w:eastAsia="en-US" w:bidi="ar-SA"/>
              </w:rPr>
              <w:t>náklady</w:t>
            </w:r>
            <w:r>
              <w:rPr>
                <w:spacing w:val="-4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0"/>
                <w:szCs w:val="22"/>
                <w:lang w:eastAsia="en-US" w:bidi="ar-SA"/>
              </w:rPr>
              <w:t>na</w:t>
            </w:r>
            <w:r>
              <w:rPr>
                <w:spacing w:val="-3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0"/>
                <w:szCs w:val="22"/>
                <w:lang w:eastAsia="en-US" w:bidi="ar-SA"/>
              </w:rPr>
              <w:t>prevádzkovú</w:t>
            </w:r>
            <w:r>
              <w:rPr>
                <w:spacing w:val="-47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0"/>
                <w:szCs w:val="22"/>
                <w:lang w:eastAsia="en-US" w:bidi="ar-SA"/>
              </w:rPr>
              <w:t>činnosť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ind w:left="69"/>
              <w:jc w:val="left"/>
              <w:rPr>
                <w:sz w:val="20"/>
              </w:rPr>
            </w:pPr>
            <w:r>
              <w:rPr>
                <w:kern w:val="0"/>
                <w:sz w:val="20"/>
                <w:szCs w:val="22"/>
                <w:lang w:eastAsia="en-US" w:bidi="ar-SA"/>
              </w:rPr>
              <w:t>545</w:t>
            </w:r>
            <w:r>
              <w:rPr>
                <w:spacing w:val="-1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0"/>
                <w:szCs w:val="22"/>
                <w:lang w:eastAsia="en-US" w:bidi="ar-SA"/>
              </w:rPr>
              <w:t>-</w:t>
            </w:r>
            <w:r>
              <w:rPr>
                <w:spacing w:val="-3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0"/>
                <w:szCs w:val="22"/>
                <w:lang w:eastAsia="en-US" w:bidi="ar-SA"/>
              </w:rPr>
              <w:t>Ost.pokuty,</w:t>
            </w:r>
            <w:r>
              <w:rPr>
                <w:spacing w:val="-2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0"/>
                <w:szCs w:val="22"/>
                <w:lang w:eastAsia="en-US" w:bidi="ar-SA"/>
              </w:rPr>
              <w:t>penále</w:t>
            </w:r>
            <w:r>
              <w:rPr>
                <w:spacing w:val="-1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0"/>
                <w:szCs w:val="22"/>
                <w:lang w:eastAsia="en-US" w:bidi="ar-SA"/>
              </w:rPr>
              <w:t>a</w:t>
            </w:r>
            <w:r>
              <w:rPr>
                <w:spacing w:val="-2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0"/>
                <w:szCs w:val="22"/>
                <w:lang w:eastAsia="en-US" w:bidi="ar-SA"/>
              </w:rPr>
              <w:t>úroky z</w:t>
            </w:r>
            <w:r>
              <w:rPr>
                <w:spacing w:val="-1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0"/>
                <w:szCs w:val="22"/>
                <w:lang w:eastAsia="en-US" w:bidi="ar-SA"/>
              </w:rPr>
              <w:t>omešk.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ind w:right="56"/>
              <w:jc w:val="right"/>
              <w:rPr>
                <w:sz w:val="20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ind w:right="56"/>
              <w:jc w:val="right"/>
              <w:rPr>
                <w:sz w:val="20"/>
              </w:rPr>
            </w:pPr>
            <w:r>
              <w:rPr>
                <w:kern w:val="0"/>
                <w:sz w:val="20"/>
                <w:szCs w:val="22"/>
                <w:lang w:eastAsia="en-US" w:bidi="ar-SA"/>
              </w:rPr>
              <w:t>23,40</w:t>
            </w:r>
          </w:p>
        </w:tc>
      </w:tr>
      <w:tr>
        <w:trPr>
          <w:trHeight w:val="230" w:hRule="atLeast"/>
        </w:trPr>
        <w:tc>
          <w:tcPr>
            <w:tcW w:w="3398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left"/>
              <w:rPr>
                <w:sz w:val="2"/>
                <w:szCs w:val="2"/>
              </w:rPr>
            </w:pPr>
            <w:r>
              <w:rPr>
                <w:kern w:val="0"/>
                <w:sz w:val="2"/>
                <w:szCs w:val="2"/>
                <w:lang w:eastAsia="en-US" w:bidi="ar-SA"/>
              </w:rPr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ind w:left="69"/>
              <w:jc w:val="left"/>
              <w:rPr>
                <w:sz w:val="20"/>
              </w:rPr>
            </w:pPr>
            <w:r>
              <w:rPr>
                <w:kern w:val="0"/>
                <w:sz w:val="20"/>
                <w:szCs w:val="22"/>
                <w:lang w:eastAsia="en-US" w:bidi="ar-SA"/>
              </w:rPr>
              <w:t>548 -</w:t>
            </w:r>
            <w:r>
              <w:rPr>
                <w:spacing w:val="-3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0"/>
                <w:szCs w:val="22"/>
                <w:lang w:eastAsia="en-US" w:bidi="ar-SA"/>
              </w:rPr>
              <w:t>Ost.náklady</w:t>
            </w:r>
            <w:r>
              <w:rPr>
                <w:spacing w:val="-2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0"/>
                <w:szCs w:val="22"/>
                <w:lang w:eastAsia="en-US" w:bidi="ar-SA"/>
              </w:rPr>
              <w:t>na</w:t>
            </w:r>
            <w:r>
              <w:rPr>
                <w:spacing w:val="-1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0"/>
                <w:szCs w:val="22"/>
                <w:lang w:eastAsia="en-US" w:bidi="ar-SA"/>
              </w:rPr>
              <w:t>prev.činnosť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ind w:right="54"/>
              <w:jc w:val="right"/>
              <w:rPr>
                <w:sz w:val="20"/>
              </w:rPr>
            </w:pPr>
            <w:r>
              <w:rPr>
                <w:kern w:val="0"/>
                <w:sz w:val="20"/>
                <w:szCs w:val="22"/>
                <w:lang w:eastAsia="en-US" w:bidi="ar-SA"/>
              </w:rPr>
              <w:t>79,50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ind w:right="54"/>
              <w:jc w:val="right"/>
              <w:rPr>
                <w:sz w:val="20"/>
              </w:rPr>
            </w:pPr>
            <w:r>
              <w:rPr>
                <w:kern w:val="0"/>
                <w:sz w:val="20"/>
                <w:szCs w:val="22"/>
                <w:lang w:eastAsia="en-US" w:bidi="ar-SA"/>
              </w:rPr>
              <w:t>176,90</w:t>
            </w:r>
          </w:p>
        </w:tc>
      </w:tr>
      <w:tr>
        <w:trPr>
          <w:trHeight w:val="460" w:hRule="atLeast"/>
        </w:trPr>
        <w:tc>
          <w:tcPr>
            <w:tcW w:w="3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atLeast" w:line="230" w:before="0" w:after="0"/>
              <w:ind w:hanging="284" w:left="425" w:right="200"/>
              <w:jc w:val="left"/>
              <w:rPr>
                <w:sz w:val="20"/>
              </w:rPr>
            </w:pPr>
            <w:r>
              <w:rPr>
                <w:kern w:val="0"/>
                <w:sz w:val="20"/>
                <w:szCs w:val="22"/>
                <w:lang w:eastAsia="en-US" w:bidi="ar-SA"/>
              </w:rPr>
              <w:t>e)</w:t>
            </w:r>
            <w:r>
              <w:rPr>
                <w:spacing w:val="23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0"/>
                <w:szCs w:val="22"/>
                <w:lang w:eastAsia="en-US" w:bidi="ar-SA"/>
              </w:rPr>
              <w:t>odpisy,</w:t>
            </w:r>
            <w:r>
              <w:rPr>
                <w:spacing w:val="-3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0"/>
                <w:szCs w:val="22"/>
                <w:lang w:eastAsia="en-US" w:bidi="ar-SA"/>
              </w:rPr>
              <w:t>rezervy</w:t>
            </w:r>
            <w:r>
              <w:rPr>
                <w:spacing w:val="-1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0"/>
                <w:szCs w:val="22"/>
                <w:lang w:eastAsia="en-US" w:bidi="ar-SA"/>
              </w:rPr>
              <w:t>a</w:t>
            </w:r>
            <w:r>
              <w:rPr>
                <w:spacing w:val="-3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0"/>
                <w:szCs w:val="22"/>
                <w:lang w:eastAsia="en-US" w:bidi="ar-SA"/>
              </w:rPr>
              <w:t>opravné</w:t>
            </w:r>
            <w:r>
              <w:rPr>
                <w:spacing w:val="-3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0"/>
                <w:szCs w:val="22"/>
                <w:lang w:eastAsia="en-US" w:bidi="ar-SA"/>
              </w:rPr>
              <w:t>položky</w:t>
            </w:r>
            <w:r>
              <w:rPr>
                <w:spacing w:val="-47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0"/>
                <w:szCs w:val="22"/>
                <w:lang w:eastAsia="en-US" w:bidi="ar-SA"/>
              </w:rPr>
              <w:t>z</w:t>
            </w:r>
            <w:r>
              <w:rPr>
                <w:spacing w:val="-1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0"/>
                <w:szCs w:val="22"/>
                <w:lang w:eastAsia="en-US" w:bidi="ar-SA"/>
              </w:rPr>
              <w:t>prevádz. a finančnej</w:t>
            </w:r>
            <w:r>
              <w:rPr>
                <w:spacing w:val="-1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0"/>
                <w:szCs w:val="22"/>
                <w:lang w:eastAsia="en-US" w:bidi="ar-SA"/>
              </w:rPr>
              <w:t>činnosti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atLeast" w:line="230" w:before="0" w:after="0"/>
              <w:ind w:left="69" w:right="474"/>
              <w:jc w:val="left"/>
              <w:rPr>
                <w:sz w:val="20"/>
              </w:rPr>
            </w:pPr>
            <w:r>
              <w:rPr>
                <w:kern w:val="0"/>
                <w:sz w:val="20"/>
                <w:szCs w:val="22"/>
                <w:lang w:eastAsia="en-US" w:bidi="ar-SA"/>
              </w:rPr>
              <w:t>551 – Odpisy dlhodobého nehmotného</w:t>
            </w:r>
            <w:r>
              <w:rPr>
                <w:spacing w:val="-47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0"/>
                <w:szCs w:val="22"/>
                <w:lang w:eastAsia="en-US" w:bidi="ar-SA"/>
              </w:rPr>
              <w:t>a</w:t>
            </w:r>
            <w:r>
              <w:rPr>
                <w:spacing w:val="-1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0"/>
                <w:szCs w:val="22"/>
                <w:lang w:eastAsia="en-US" w:bidi="ar-SA"/>
              </w:rPr>
              <w:t>hmotného</w:t>
            </w:r>
            <w:r>
              <w:rPr>
                <w:spacing w:val="2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0"/>
                <w:szCs w:val="22"/>
                <w:lang w:eastAsia="en-US" w:bidi="ar-SA"/>
              </w:rPr>
              <w:t>majetku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auto" w:line="240" w:before="0" w:after="0"/>
              <w:ind w:right="56"/>
              <w:jc w:val="right"/>
              <w:rPr>
                <w:sz w:val="20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auto" w:line="240" w:before="0" w:after="0"/>
              <w:ind w:right="56"/>
              <w:jc w:val="right"/>
              <w:rPr>
                <w:sz w:val="20"/>
              </w:rPr>
            </w:pPr>
            <w:r>
              <w:rPr>
                <w:kern w:val="0"/>
                <w:sz w:val="20"/>
                <w:szCs w:val="22"/>
                <w:lang w:eastAsia="en-US" w:bidi="ar-SA"/>
              </w:rPr>
              <w:t>0,00</w:t>
            </w:r>
          </w:p>
        </w:tc>
      </w:tr>
      <w:tr>
        <w:trPr>
          <w:trHeight w:val="239" w:hRule="atLeast"/>
        </w:trPr>
        <w:tc>
          <w:tcPr>
            <w:tcW w:w="33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auto" w:line="240" w:before="0" w:after="0"/>
              <w:ind w:left="141"/>
              <w:jc w:val="left"/>
              <w:rPr>
                <w:sz w:val="20"/>
              </w:rPr>
            </w:pPr>
            <w:r>
              <w:rPr>
                <w:kern w:val="0"/>
                <w:sz w:val="20"/>
                <w:szCs w:val="22"/>
                <w:lang w:eastAsia="en-US" w:bidi="ar-SA"/>
              </w:rPr>
              <w:t>f)</w:t>
            </w:r>
            <w:r>
              <w:rPr>
                <w:spacing w:val="50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0"/>
                <w:szCs w:val="22"/>
                <w:lang w:eastAsia="en-US" w:bidi="ar-SA"/>
              </w:rPr>
              <w:t>finančné</w:t>
            </w:r>
            <w:r>
              <w:rPr>
                <w:spacing w:val="-3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0"/>
                <w:szCs w:val="22"/>
                <w:lang w:eastAsia="en-US" w:bidi="ar-SA"/>
              </w:rPr>
              <w:t>náklady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19" w:before="0" w:after="0"/>
              <w:ind w:left="69"/>
              <w:jc w:val="left"/>
              <w:rPr>
                <w:sz w:val="20"/>
              </w:rPr>
            </w:pPr>
            <w:r>
              <w:rPr>
                <w:kern w:val="0"/>
                <w:sz w:val="20"/>
                <w:szCs w:val="22"/>
                <w:lang w:eastAsia="en-US" w:bidi="ar-SA"/>
              </w:rPr>
              <w:t>562</w:t>
            </w:r>
            <w:r>
              <w:rPr>
                <w:spacing w:val="-1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0"/>
                <w:szCs w:val="22"/>
                <w:lang w:eastAsia="en-US" w:bidi="ar-SA"/>
              </w:rPr>
              <w:t>–</w:t>
            </w:r>
            <w:r>
              <w:rPr>
                <w:spacing w:val="-3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0"/>
                <w:szCs w:val="22"/>
                <w:lang w:eastAsia="en-US" w:bidi="ar-SA"/>
              </w:rPr>
              <w:t>Úroky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19" w:before="0" w:after="0"/>
              <w:ind w:right="56"/>
              <w:jc w:val="right"/>
              <w:rPr>
                <w:sz w:val="20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19" w:before="0" w:after="0"/>
              <w:ind w:right="56"/>
              <w:jc w:val="right"/>
              <w:rPr>
                <w:sz w:val="20"/>
              </w:rPr>
            </w:pPr>
            <w:r>
              <w:rPr>
                <w:kern w:val="0"/>
                <w:sz w:val="20"/>
                <w:szCs w:val="22"/>
                <w:lang w:eastAsia="en-US" w:bidi="ar-SA"/>
              </w:rPr>
              <w:t>0,01</w:t>
            </w:r>
          </w:p>
        </w:tc>
      </w:tr>
      <w:tr>
        <w:trPr>
          <w:trHeight w:val="239" w:hRule="atLeast"/>
        </w:trPr>
        <w:tc>
          <w:tcPr>
            <w:tcW w:w="3398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left"/>
              <w:rPr>
                <w:sz w:val="2"/>
                <w:szCs w:val="2"/>
              </w:rPr>
            </w:pPr>
            <w:r>
              <w:rPr>
                <w:kern w:val="0"/>
                <w:sz w:val="2"/>
                <w:szCs w:val="2"/>
                <w:lang w:eastAsia="en-US" w:bidi="ar-SA"/>
              </w:rPr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19" w:before="0" w:after="0"/>
              <w:ind w:left="69"/>
              <w:jc w:val="left"/>
              <w:rPr>
                <w:sz w:val="20"/>
              </w:rPr>
            </w:pPr>
            <w:r>
              <w:rPr>
                <w:kern w:val="0"/>
                <w:sz w:val="20"/>
                <w:szCs w:val="22"/>
                <w:lang w:eastAsia="en-US" w:bidi="ar-SA"/>
              </w:rPr>
              <w:t>568</w:t>
            </w:r>
            <w:r>
              <w:rPr>
                <w:spacing w:val="-1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0"/>
                <w:szCs w:val="22"/>
                <w:lang w:eastAsia="en-US" w:bidi="ar-SA"/>
              </w:rPr>
              <w:t>-</w:t>
            </w:r>
            <w:r>
              <w:rPr>
                <w:spacing w:val="-3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0"/>
                <w:szCs w:val="22"/>
                <w:lang w:eastAsia="en-US" w:bidi="ar-SA"/>
              </w:rPr>
              <w:t>Ostatné</w:t>
            </w:r>
            <w:r>
              <w:rPr>
                <w:spacing w:val="-1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0"/>
                <w:szCs w:val="22"/>
                <w:lang w:eastAsia="en-US" w:bidi="ar-SA"/>
              </w:rPr>
              <w:t>finančné</w:t>
            </w:r>
            <w:r>
              <w:rPr>
                <w:spacing w:val="-3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0"/>
                <w:szCs w:val="22"/>
                <w:lang w:eastAsia="en-US" w:bidi="ar-SA"/>
              </w:rPr>
              <w:t>náklady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19" w:before="0" w:after="0"/>
              <w:ind w:right="56"/>
              <w:jc w:val="right"/>
              <w:rPr>
                <w:sz w:val="20"/>
              </w:rPr>
            </w:pPr>
            <w:r>
              <w:rPr>
                <w:kern w:val="0"/>
                <w:sz w:val="20"/>
                <w:szCs w:val="22"/>
                <w:lang w:eastAsia="en-US" w:bidi="ar-SA"/>
              </w:rPr>
              <w:t>517,47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19" w:before="0" w:after="0"/>
              <w:ind w:right="56"/>
              <w:jc w:val="right"/>
              <w:rPr>
                <w:sz w:val="20"/>
              </w:rPr>
            </w:pPr>
            <w:r>
              <w:rPr>
                <w:kern w:val="0"/>
                <w:sz w:val="20"/>
                <w:szCs w:val="22"/>
                <w:lang w:eastAsia="en-US" w:bidi="ar-SA"/>
              </w:rPr>
              <w:t>502,26</w:t>
            </w:r>
          </w:p>
        </w:tc>
      </w:tr>
      <w:tr>
        <w:trPr>
          <w:trHeight w:val="460" w:hRule="atLeast"/>
        </w:trPr>
        <w:tc>
          <w:tcPr>
            <w:tcW w:w="3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atLeast" w:line="230" w:before="0" w:after="0"/>
              <w:ind w:hanging="284" w:left="425" w:right="461"/>
              <w:jc w:val="left"/>
              <w:rPr>
                <w:sz w:val="20"/>
              </w:rPr>
            </w:pPr>
            <w:r>
              <w:rPr>
                <w:kern w:val="0"/>
                <w:sz w:val="20"/>
                <w:szCs w:val="22"/>
                <w:lang w:eastAsia="en-US" w:bidi="ar-SA"/>
              </w:rPr>
              <w:t>g)</w:t>
            </w:r>
            <w:r>
              <w:rPr>
                <w:spacing w:val="11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0"/>
                <w:szCs w:val="22"/>
                <w:lang w:eastAsia="en-US" w:bidi="ar-SA"/>
              </w:rPr>
              <w:t>Náklady</w:t>
            </w:r>
            <w:r>
              <w:rPr>
                <w:spacing w:val="-2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0"/>
                <w:szCs w:val="22"/>
                <w:lang w:eastAsia="en-US" w:bidi="ar-SA"/>
              </w:rPr>
              <w:t>na</w:t>
            </w:r>
            <w:r>
              <w:rPr>
                <w:spacing w:val="-3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0"/>
                <w:szCs w:val="22"/>
                <w:lang w:eastAsia="en-US" w:bidi="ar-SA"/>
              </w:rPr>
              <w:t>transfery</w:t>
            </w:r>
            <w:r>
              <w:rPr>
                <w:spacing w:val="-1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0"/>
                <w:szCs w:val="22"/>
                <w:lang w:eastAsia="en-US" w:bidi="ar-SA"/>
              </w:rPr>
              <w:t>a</w:t>
            </w:r>
            <w:r>
              <w:rPr>
                <w:spacing w:val="-3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0"/>
                <w:szCs w:val="22"/>
                <w:lang w:eastAsia="en-US" w:bidi="ar-SA"/>
              </w:rPr>
              <w:t>náklady</w:t>
            </w:r>
            <w:r>
              <w:rPr>
                <w:spacing w:val="-47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0"/>
                <w:szCs w:val="22"/>
                <w:lang w:eastAsia="en-US" w:bidi="ar-SA"/>
              </w:rPr>
              <w:t>z</w:t>
            </w:r>
            <w:r>
              <w:rPr>
                <w:spacing w:val="-1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0"/>
                <w:szCs w:val="22"/>
                <w:lang w:eastAsia="en-US" w:bidi="ar-SA"/>
              </w:rPr>
              <w:t>odvodu</w:t>
            </w:r>
            <w:r>
              <w:rPr>
                <w:spacing w:val="-1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0"/>
                <w:szCs w:val="22"/>
                <w:lang w:eastAsia="en-US" w:bidi="ar-SA"/>
              </w:rPr>
              <w:t>príjmov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auto" w:line="240" w:before="0" w:after="0"/>
              <w:ind w:left="69"/>
              <w:jc w:val="left"/>
              <w:rPr>
                <w:sz w:val="20"/>
              </w:rPr>
            </w:pPr>
            <w:r>
              <w:rPr>
                <w:kern w:val="0"/>
                <w:sz w:val="20"/>
                <w:szCs w:val="22"/>
                <w:lang w:eastAsia="en-US" w:bidi="ar-SA"/>
              </w:rPr>
              <w:t>588</w:t>
            </w:r>
            <w:r>
              <w:rPr>
                <w:spacing w:val="-1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0"/>
                <w:szCs w:val="22"/>
                <w:lang w:eastAsia="en-US" w:bidi="ar-SA"/>
              </w:rPr>
              <w:t>–</w:t>
            </w:r>
            <w:r>
              <w:rPr>
                <w:spacing w:val="-2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0"/>
                <w:szCs w:val="22"/>
                <w:lang w:eastAsia="en-US" w:bidi="ar-SA"/>
              </w:rPr>
              <w:t>Náklady</w:t>
            </w:r>
            <w:r>
              <w:rPr>
                <w:spacing w:val="-1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0"/>
                <w:szCs w:val="22"/>
                <w:lang w:eastAsia="en-US" w:bidi="ar-SA"/>
              </w:rPr>
              <w:t>z</w:t>
            </w:r>
            <w:r>
              <w:rPr>
                <w:spacing w:val="-3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0"/>
                <w:szCs w:val="22"/>
                <w:lang w:eastAsia="en-US" w:bidi="ar-SA"/>
              </w:rPr>
              <w:t>odvodu</w:t>
            </w:r>
            <w:r>
              <w:rPr>
                <w:spacing w:val="1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0"/>
                <w:szCs w:val="22"/>
                <w:lang w:eastAsia="en-US" w:bidi="ar-SA"/>
              </w:rPr>
              <w:t>príjmov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auto" w:line="240" w:before="0" w:after="0"/>
              <w:ind w:right="56"/>
              <w:jc w:val="right"/>
              <w:rPr>
                <w:sz w:val="20"/>
              </w:rPr>
            </w:pPr>
            <w:r>
              <w:rPr>
                <w:kern w:val="0"/>
                <w:sz w:val="20"/>
                <w:szCs w:val="22"/>
                <w:lang w:eastAsia="en-US" w:bidi="ar-SA"/>
              </w:rPr>
              <w:t>0,00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auto" w:line="240" w:before="0" w:after="0"/>
              <w:ind w:right="56"/>
              <w:jc w:val="right"/>
              <w:rPr>
                <w:sz w:val="20"/>
              </w:rPr>
            </w:pPr>
            <w:r>
              <w:rPr>
                <w:kern w:val="0"/>
                <w:sz w:val="20"/>
                <w:szCs w:val="22"/>
                <w:lang w:eastAsia="en-US" w:bidi="ar-SA"/>
              </w:rPr>
              <w:t>0,00</w:t>
            </w:r>
          </w:p>
        </w:tc>
      </w:tr>
      <w:tr>
        <w:trPr>
          <w:trHeight w:val="460" w:hRule="atLeast"/>
        </w:trPr>
        <w:tc>
          <w:tcPr>
            <w:tcW w:w="3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atLeast" w:line="230" w:before="0" w:after="0"/>
              <w:ind w:hanging="284" w:left="425" w:right="461"/>
              <w:jc w:val="left"/>
              <w:rPr>
                <w:sz w:val="20"/>
              </w:rPr>
            </w:pPr>
            <w:r>
              <w:rPr>
                <w:kern w:val="0"/>
                <w:sz w:val="20"/>
                <w:szCs w:val="22"/>
                <w:lang w:eastAsia="en-US" w:bidi="ar-SA"/>
              </w:rPr>
              <w:t>h) dane a poplatky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auto" w:line="240" w:before="0" w:after="0"/>
              <w:ind w:left="69"/>
              <w:jc w:val="left"/>
              <w:rPr>
                <w:sz w:val="20"/>
              </w:rPr>
            </w:pPr>
            <w:r>
              <w:rPr>
                <w:kern w:val="0"/>
                <w:sz w:val="20"/>
                <w:szCs w:val="22"/>
                <w:lang w:eastAsia="en-US" w:bidi="ar-SA"/>
              </w:rPr>
              <w:t xml:space="preserve">538 – Ostatné dane a poplatky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auto" w:line="240" w:before="0" w:after="0"/>
              <w:ind w:right="56"/>
              <w:jc w:val="right"/>
              <w:rPr>
                <w:sz w:val="20"/>
              </w:rPr>
            </w:pPr>
            <w:r>
              <w:rPr>
                <w:kern w:val="0"/>
                <w:sz w:val="20"/>
                <w:szCs w:val="22"/>
                <w:lang w:eastAsia="en-US" w:bidi="ar-SA"/>
              </w:rPr>
              <w:t>323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auto" w:line="240" w:before="0" w:after="0"/>
              <w:ind w:right="56"/>
              <w:jc w:val="right"/>
              <w:rPr>
                <w:sz w:val="20"/>
              </w:rPr>
            </w:pPr>
            <w:r>
              <w:rPr>
                <w:kern w:val="0"/>
                <w:sz w:val="20"/>
                <w:szCs w:val="22"/>
                <w:lang w:eastAsia="en-US" w:bidi="ar-SA"/>
              </w:rPr>
              <w:t>0,00</w:t>
            </w:r>
          </w:p>
        </w:tc>
      </w:tr>
      <w:tr>
        <w:trPr>
          <w:trHeight w:val="239" w:hRule="atLeast"/>
        </w:trPr>
        <w:tc>
          <w:tcPr>
            <w:tcW w:w="3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19" w:before="0" w:after="0"/>
              <w:ind w:left="425"/>
              <w:jc w:val="left"/>
              <w:rPr>
                <w:b/>
                <w:sz w:val="20"/>
              </w:rPr>
            </w:pPr>
            <w:r>
              <w:rPr>
                <w:b/>
                <w:kern w:val="0"/>
                <w:sz w:val="20"/>
                <w:szCs w:val="22"/>
                <w:lang w:eastAsia="en-US" w:bidi="ar-SA"/>
              </w:rPr>
              <w:t>Spolu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auto" w:line="240" w:before="0" w:after="0"/>
              <w:jc w:val="left"/>
              <w:rPr>
                <w:sz w:val="16"/>
              </w:rPr>
            </w:pPr>
            <w:r>
              <w:rPr>
                <w:kern w:val="0"/>
                <w:sz w:val="16"/>
                <w:szCs w:val="22"/>
                <w:lang w:eastAsia="en-US" w:bidi="ar-SA"/>
              </w:rPr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19" w:before="0" w:after="0"/>
              <w:ind w:right="54"/>
              <w:jc w:val="right"/>
              <w:rPr>
                <w:b/>
                <w:sz w:val="20"/>
              </w:rPr>
            </w:pPr>
            <w:r>
              <w:rPr>
                <w:b/>
                <w:kern w:val="0"/>
                <w:sz w:val="20"/>
                <w:szCs w:val="22"/>
                <w:lang w:eastAsia="en-US" w:bidi="ar-SA"/>
              </w:rPr>
              <w:t>434 854,73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19" w:before="0" w:after="0"/>
              <w:ind w:right="56"/>
              <w:jc w:val="right"/>
              <w:rPr>
                <w:b/>
                <w:sz w:val="20"/>
              </w:rPr>
            </w:pPr>
            <w:r>
              <w:rPr>
                <w:b/>
                <w:kern w:val="0"/>
                <w:sz w:val="20"/>
                <w:szCs w:val="22"/>
                <w:lang w:eastAsia="en-US" w:bidi="ar-SA"/>
              </w:rPr>
              <w:t>303 781,06</w:t>
            </w:r>
          </w:p>
        </w:tc>
      </w:tr>
    </w:tbl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Čl. VI</w:t>
      </w:r>
    </w:p>
    <w:p>
      <w:pPr>
        <w:pStyle w:val="Normal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Informácie o skutočnostiach, ktoré nastali po dni, ku ktorému sa zostavuje účtovná závierka </w:t>
      </w:r>
    </w:p>
    <w:p>
      <w:pPr>
        <w:pStyle w:val="Normal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do dňa zostavenia účtovnej závierky</w:t>
      </w:r>
    </w:p>
    <w:p>
      <w:pPr>
        <w:pStyle w:val="Normal"/>
        <w:jc w:val="center"/>
        <w:rPr>
          <w:b/>
          <w:sz w:val="28"/>
        </w:rPr>
      </w:pPr>
      <w:r>
        <w:rPr>
          <w:b/>
          <w:sz w:val="28"/>
        </w:rPr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  <w:t>Informácie o skutočnostiach, ktoré nastali po dni, ku ktorému sa zostavuje účtovná závierka do dňa zostavenia účtovnej závierky</w:t>
      </w:r>
    </w:p>
    <w:p>
      <w:pPr>
        <w:pStyle w:val="Pismenka"/>
        <w:numPr>
          <w:ilvl w:val="0"/>
          <w:numId w:val="7"/>
        </w:numPr>
        <w:ind w:hanging="284" w:left="284"/>
        <w:rPr>
          <w:b w:val="false"/>
          <w:sz w:val="24"/>
          <w:szCs w:val="24"/>
        </w:rPr>
      </w:pPr>
      <w:r>
        <w:rPr>
          <w:b w:val="false"/>
          <w:sz w:val="24"/>
          <w:szCs w:val="24"/>
        </w:rPr>
        <w:t>pokles alebo zvýšenie trhovej ceny finančného majetku ako dôsledku okolností, ktoré nastali po dni, ku ktorému sa zostavuje účtovná závierka do dňa zostavenia účtovnej závierky s uvedením dôvodu týchto zmien,</w:t>
      </w:r>
    </w:p>
    <w:p>
      <w:pPr>
        <w:pStyle w:val="Pismenka"/>
        <w:numPr>
          <w:ilvl w:val="0"/>
          <w:numId w:val="7"/>
        </w:numPr>
        <w:ind w:hanging="284" w:left="284"/>
        <w:rPr>
          <w:b w:val="false"/>
          <w:sz w:val="24"/>
          <w:szCs w:val="24"/>
        </w:rPr>
      </w:pPr>
      <w:r>
        <w:rPr>
          <w:b w:val="false"/>
          <w:sz w:val="24"/>
          <w:szCs w:val="24"/>
        </w:rPr>
        <w:t>dôvody pre zmenu výšky rezerv a opravných položiek,</w:t>
      </w:r>
    </w:p>
    <w:p>
      <w:pPr>
        <w:pStyle w:val="Pismenka"/>
        <w:numPr>
          <w:ilvl w:val="0"/>
          <w:numId w:val="7"/>
        </w:numPr>
        <w:ind w:hanging="284" w:left="284"/>
        <w:rPr>
          <w:b w:val="false"/>
          <w:sz w:val="24"/>
          <w:szCs w:val="24"/>
        </w:rPr>
      </w:pPr>
      <w:r>
        <w:rPr>
          <w:b w:val="false"/>
          <w:sz w:val="24"/>
          <w:szCs w:val="24"/>
        </w:rPr>
        <w:t>zmeny významných položiek dlhodobého finančného majetku,</w:t>
      </w:r>
    </w:p>
    <w:p>
      <w:pPr>
        <w:pStyle w:val="Pismenka"/>
        <w:numPr>
          <w:ilvl w:val="0"/>
          <w:numId w:val="7"/>
        </w:numPr>
        <w:ind w:hanging="284" w:left="284"/>
        <w:rPr>
          <w:b w:val="false"/>
          <w:sz w:val="24"/>
          <w:szCs w:val="24"/>
        </w:rPr>
      </w:pPr>
      <w:r>
        <w:rPr>
          <w:b w:val="false"/>
          <w:sz w:val="24"/>
          <w:szCs w:val="24"/>
        </w:rPr>
        <w:t>vydané dlhopisy a iné cenné papiere,</w:t>
      </w:r>
    </w:p>
    <w:p>
      <w:pPr>
        <w:pStyle w:val="Pismenka"/>
        <w:numPr>
          <w:ilvl w:val="0"/>
          <w:numId w:val="7"/>
        </w:numPr>
        <w:ind w:hanging="284" w:left="284"/>
        <w:rPr>
          <w:b w:val="false"/>
          <w:sz w:val="24"/>
          <w:szCs w:val="24"/>
        </w:rPr>
      </w:pPr>
      <w:r>
        <w:rPr>
          <w:b w:val="false"/>
          <w:sz w:val="24"/>
          <w:szCs w:val="24"/>
        </w:rPr>
        <w:t>zmena právnej formy účtovnej jednotky,</w:t>
      </w:r>
    </w:p>
    <w:p>
      <w:pPr>
        <w:pStyle w:val="Pismenka"/>
        <w:numPr>
          <w:ilvl w:val="0"/>
          <w:numId w:val="7"/>
        </w:numPr>
        <w:ind w:hanging="284" w:left="284"/>
        <w:rPr>
          <w:b w:val="false"/>
          <w:sz w:val="24"/>
          <w:szCs w:val="24"/>
        </w:rPr>
      </w:pPr>
      <w:r>
        <w:rPr>
          <w:b w:val="false"/>
          <w:sz w:val="24"/>
          <w:szCs w:val="24"/>
        </w:rPr>
        <w:t>mimoriadne udalosti, ak majú vplyv na hospodárenie účtovnej jednotky, napríklad živelné pohromy,</w:t>
      </w:r>
    </w:p>
    <w:p>
      <w:pPr>
        <w:pStyle w:val="Pismenka"/>
        <w:numPr>
          <w:ilvl w:val="0"/>
          <w:numId w:val="7"/>
        </w:numPr>
        <w:ind w:hanging="284" w:left="284"/>
        <w:rPr>
          <w:b w:val="false"/>
          <w:sz w:val="24"/>
          <w:szCs w:val="24"/>
        </w:rPr>
      </w:pPr>
      <w:r>
        <w:rPr>
          <w:b w:val="false"/>
          <w:sz w:val="24"/>
          <w:szCs w:val="24"/>
        </w:rPr>
        <w:t>iné mimoriadne skutočnosti</w:t>
      </w:r>
    </w:p>
    <w:p>
      <w:pPr>
        <w:pStyle w:val="Pismenka"/>
        <w:tabs>
          <w:tab w:val="clear" w:pos="426"/>
        </w:tabs>
        <w:ind w:hanging="0" w:left="284"/>
        <w:rPr>
          <w:b w:val="false"/>
          <w:sz w:val="24"/>
          <w:szCs w:val="24"/>
        </w:rPr>
      </w:pPr>
      <w:r>
        <w:rPr>
          <w:b w:val="false"/>
          <w:sz w:val="24"/>
          <w:szCs w:val="24"/>
        </w:rPr>
      </w:r>
    </w:p>
    <w:p>
      <w:pPr>
        <w:pStyle w:val="Pismenka"/>
        <w:tabs>
          <w:tab w:val="clear" w:pos="426"/>
        </w:tabs>
        <w:ind w:hanging="142" w:left="426"/>
        <w:rPr>
          <w:b w:val="false"/>
          <w:sz w:val="24"/>
          <w:szCs w:val="24"/>
        </w:rPr>
      </w:pPr>
      <w:r>
        <w:rPr>
          <w:b w:val="false"/>
          <w:sz w:val="24"/>
          <w:szCs w:val="24"/>
        </w:rPr>
        <w:t>Po 31. decembri 2025 nenastali také skutočnosti, ktoré by si vyžadovali zverejnenie alebo vykázanie v účtovnej závierke za rok 2025.</w:t>
      </w:r>
    </w:p>
    <w:p>
      <w:pPr>
        <w:pStyle w:val="Normal"/>
        <w:rPr/>
      </w:pPr>
      <w:r>
        <w:rPr/>
      </w:r>
    </w:p>
    <w:sectPr>
      <w:footerReference w:type="default" r:id="rId11"/>
      <w:footerReference w:type="first" r:id="rId12"/>
      <w:type w:val="nextPage"/>
      <w:pgSz w:w="11906" w:h="16838"/>
      <w:pgMar w:left="1020" w:right="400" w:gutter="0" w:header="0" w:top="760" w:footer="650" w:bottom="840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Times New Roman">
    <w:charset w:val="ee"/>
    <w:family w:val="roman"/>
    <w:pitch w:val="variable"/>
  </w:font>
  <w:font w:name="Liberation Sans">
    <w:altName w:val="Arial"/>
    <w:charset w:val="ee"/>
    <w:family w:val="swiss"/>
    <w:pitch w:val="variable"/>
  </w:font>
  <w:font w:name="Arial">
    <w:charset w:val="ee"/>
    <w:family w:val="swiss"/>
    <w:pitch w:val="variable"/>
  </w:font>
  <w:font w:name="Symbol">
    <w:charset w:val="02"/>
    <w:family w:val="auto"/>
    <w:pitch w:val="default"/>
  </w:font>
  <w:font w:name="Times New Roman">
    <w:charset w:val="01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4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2" wp14:anchorId="5B10B4B0">
              <wp:simplePos x="0" y="0"/>
              <wp:positionH relativeFrom="page">
                <wp:posOffset>7083425</wp:posOffset>
              </wp:positionH>
              <wp:positionV relativeFrom="page">
                <wp:posOffset>10140315</wp:posOffset>
              </wp:positionV>
              <wp:extent cx="139700" cy="165735"/>
              <wp:effectExtent l="0" t="0" r="0" b="0"/>
              <wp:wrapNone/>
              <wp:docPr id="1" name="Text Box 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39680" cy="1656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Obsahrmca"/>
                            <w:spacing w:before="10" w:after="0"/>
                            <w:ind w:left="60"/>
                            <w:rPr>
                              <w:sz w:val="20"/>
                            </w:rPr>
                          </w:pPr>
                          <w:r>
                            <w:rPr/>
                            <w:fldChar w:fldCharType="begin"/>
                          </w:r>
                          <w:r>
                            <w:rPr/>
                            <w:instrText xml:space="preserve"> PAGE </w:instrText>
                          </w:r>
                          <w:r>
                            <w:rPr/>
                            <w:fldChar w:fldCharType="separate"/>
                          </w:r>
                          <w:r>
                            <w:rPr/>
                            <w:t>1</w:t>
                          </w:r>
                          <w:r>
                            <w:rPr/>
                            <w:fldChar w:fldCharType="end"/>
                          </w:r>
                        </w:p>
                      </w:txbxContent>
                    </wps:txbx>
                    <wps:bodyPr lIns="0" rIns="0" tIns="0" bIns="0" anchor="t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 Box 1" path="m0,0l-2147483645,0l-2147483645,-2147483646l0,-2147483646xe" stroked="f" o:allowincell="f" style="position:absolute;margin-left:557.75pt;margin-top:798.45pt;width:10.95pt;height:13pt;mso-wrap-style:square;v-text-anchor:top;mso-position-horizontal-relative:page;mso-position-vertical-relative:page" wp14:anchorId="5B10B4B0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Obsahrmca"/>
                      <w:spacing w:before="10" w:after="0"/>
                      <w:ind w:left="60"/>
                      <w:rPr>
                        <w:sz w:val="20"/>
                      </w:rPr>
                    </w:pPr>
                    <w:r>
                      <w:rPr/>
                      <w:fldChar w:fldCharType="begin"/>
                    </w:r>
                    <w:r>
                      <w:rPr/>
                      <w:instrText xml:space="preserve"> PAGE </w:instrText>
                    </w:r>
                    <w:r>
                      <w:rPr/>
                      <w:fldChar w:fldCharType="separate"/>
                    </w:r>
                    <w:r>
                      <w:rPr/>
                      <w:t>1</w:t>
                    </w:r>
                    <w:r>
                      <w:rPr/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4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2" wp14:anchorId="5B10B4B0">
              <wp:simplePos x="0" y="0"/>
              <wp:positionH relativeFrom="page">
                <wp:posOffset>7083425</wp:posOffset>
              </wp:positionH>
              <wp:positionV relativeFrom="page">
                <wp:posOffset>10140315</wp:posOffset>
              </wp:positionV>
              <wp:extent cx="139700" cy="165735"/>
              <wp:effectExtent l="0" t="0" r="0" b="0"/>
              <wp:wrapNone/>
              <wp:docPr id="2" name="Text Box 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39680" cy="1656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Obsahrmca"/>
                            <w:spacing w:before="10" w:after="0"/>
                            <w:ind w:left="60"/>
                            <w:rPr>
                              <w:sz w:val="20"/>
                            </w:rPr>
                          </w:pPr>
                          <w:r>
                            <w:rPr/>
                            <w:fldChar w:fldCharType="begin"/>
                          </w:r>
                          <w:r>
                            <w:rPr/>
                            <w:instrText xml:space="preserve"> PAGE </w:instrText>
                          </w:r>
                          <w:r>
                            <w:rPr/>
                            <w:fldChar w:fldCharType="separate"/>
                          </w:r>
                          <w:r>
                            <w:rPr/>
                            <w:t>1</w:t>
                          </w:r>
                          <w:r>
                            <w:rPr/>
                            <w:fldChar w:fldCharType="end"/>
                          </w:r>
                        </w:p>
                      </w:txbxContent>
                    </wps:txbx>
                    <wps:bodyPr lIns="0" rIns="0" tIns="0" bIns="0" anchor="t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 Box 1" path="m0,0l-2147483645,0l-2147483645,-2147483646l0,-2147483646xe" stroked="f" o:allowincell="f" style="position:absolute;margin-left:557.75pt;margin-top:798.45pt;width:10.95pt;height:13pt;mso-wrap-style:square;v-text-anchor:top;mso-position-horizontal-relative:page;mso-position-vertical-relative:page" wp14:anchorId="5B10B4B0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Obsahrmca"/>
                      <w:spacing w:before="10" w:after="0"/>
                      <w:ind w:left="60"/>
                      <w:rPr>
                        <w:sz w:val="20"/>
                      </w:rPr>
                    </w:pPr>
                    <w:r>
                      <w:rPr/>
                      <w:fldChar w:fldCharType="begin"/>
                    </w:r>
                    <w:r>
                      <w:rPr/>
                      <w:instrText xml:space="preserve"> PAGE </w:instrText>
                    </w:r>
                    <w:r>
                      <w:rPr/>
                      <w:fldChar w:fldCharType="separate"/>
                    </w:r>
                    <w:r>
                      <w:rPr/>
                      <w:t>1</w:t>
                    </w:r>
                    <w:r>
                      <w:rPr/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4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9" wp14:anchorId="5B10B4B0">
              <wp:simplePos x="0" y="0"/>
              <wp:positionH relativeFrom="page">
                <wp:posOffset>7083425</wp:posOffset>
              </wp:positionH>
              <wp:positionV relativeFrom="page">
                <wp:posOffset>10140315</wp:posOffset>
              </wp:positionV>
              <wp:extent cx="139700" cy="165735"/>
              <wp:effectExtent l="0" t="0" r="0" b="0"/>
              <wp:wrapNone/>
              <wp:docPr id="13" name="Text Box 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39680" cy="1656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Obsahrmca"/>
                            <w:spacing w:before="10" w:after="0"/>
                            <w:ind w:left="60"/>
                            <w:rPr>
                              <w:sz w:val="20"/>
                            </w:rPr>
                          </w:pPr>
                          <w:r>
                            <w:rPr/>
                            <w:fldChar w:fldCharType="begin"/>
                          </w:r>
                          <w:r>
                            <w:rPr/>
                            <w:instrText xml:space="preserve"> PAGE </w:instrText>
                          </w:r>
                          <w:r>
                            <w:rPr/>
                            <w:fldChar w:fldCharType="separate"/>
                          </w:r>
                          <w:r>
                            <w:rPr/>
                            <w:t>2</w:t>
                          </w:r>
                          <w:r>
                            <w:rPr/>
                            <w:fldChar w:fldCharType="end"/>
                          </w:r>
                        </w:p>
                      </w:txbxContent>
                    </wps:txbx>
                    <wps:bodyPr lIns="0" rIns="0" tIns="0" bIns="0" anchor="t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 Box 2" path="m0,0l-2147483645,0l-2147483645,-2147483646l0,-2147483646xe" stroked="f" o:allowincell="f" style="position:absolute;margin-left:557.75pt;margin-top:798.45pt;width:10.95pt;height:13pt;mso-wrap-style:square;v-text-anchor:top;mso-position-horizontal-relative:page;mso-position-vertical-relative:page" wp14:anchorId="5B10B4B0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Obsahrmca"/>
                      <w:spacing w:before="10" w:after="0"/>
                      <w:ind w:left="60"/>
                      <w:rPr>
                        <w:sz w:val="20"/>
                      </w:rPr>
                    </w:pPr>
                    <w:r>
                      <w:rPr/>
                      <w:fldChar w:fldCharType="begin"/>
                    </w:r>
                    <w:r>
                      <w:rPr/>
                      <w:instrText xml:space="preserve"> PAGE </w:instrText>
                    </w:r>
                    <w:r>
                      <w:rPr/>
                      <w:fldChar w:fldCharType="separate"/>
                    </w:r>
                    <w:r>
                      <w:rPr/>
                      <w:t>2</w:t>
                    </w:r>
                    <w:r>
                      <w:rPr/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4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15" wp14:anchorId="5B10B4B0">
              <wp:simplePos x="0" y="0"/>
              <wp:positionH relativeFrom="page">
                <wp:posOffset>7083425</wp:posOffset>
              </wp:positionH>
              <wp:positionV relativeFrom="page">
                <wp:posOffset>10140315</wp:posOffset>
              </wp:positionV>
              <wp:extent cx="139700" cy="165735"/>
              <wp:effectExtent l="0" t="0" r="0" b="0"/>
              <wp:wrapNone/>
              <wp:docPr id="14" name="Text Box 3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39680" cy="1656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Obsahrmca"/>
                            <w:spacing w:before="10" w:after="0"/>
                            <w:ind w:left="60"/>
                            <w:rPr>
                              <w:sz w:val="20"/>
                            </w:rPr>
                          </w:pPr>
                          <w:r>
                            <w:rPr/>
                            <w:fldChar w:fldCharType="begin"/>
                          </w:r>
                          <w:r>
                            <w:rPr/>
                            <w:instrText xml:space="preserve"> PAGE </w:instrText>
                          </w:r>
                          <w:r>
                            <w:rPr/>
                            <w:fldChar w:fldCharType="separate"/>
                          </w:r>
                          <w:r>
                            <w:rPr/>
                            <w:t>3</w:t>
                          </w:r>
                          <w:r>
                            <w:rPr/>
                            <w:fldChar w:fldCharType="end"/>
                          </w:r>
                        </w:p>
                      </w:txbxContent>
                    </wps:txbx>
                    <wps:bodyPr lIns="0" rIns="0" tIns="0" bIns="0" anchor="t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 Box 3" path="m0,0l-2147483645,0l-2147483645,-2147483646l0,-2147483646xe" stroked="f" o:allowincell="f" style="position:absolute;margin-left:557.75pt;margin-top:798.45pt;width:10.95pt;height:13pt;mso-wrap-style:square;v-text-anchor:top;mso-position-horizontal-relative:page;mso-position-vertical-relative:page" wp14:anchorId="5B10B4B0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Obsahrmca"/>
                      <w:spacing w:before="10" w:after="0"/>
                      <w:ind w:left="60"/>
                      <w:rPr>
                        <w:sz w:val="20"/>
                      </w:rPr>
                    </w:pPr>
                    <w:r>
                      <w:rPr/>
                      <w:fldChar w:fldCharType="begin"/>
                    </w:r>
                    <w:r>
                      <w:rPr/>
                      <w:instrText xml:space="preserve"> PAGE </w:instrText>
                    </w:r>
                    <w:r>
                      <w:rPr/>
                      <w:fldChar w:fldCharType="separate"/>
                    </w:r>
                    <w:r>
                      <w:rPr/>
                      <w:t>3</w:t>
                    </w:r>
                    <w:r>
                      <w:rPr/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"/>
      <w:lvlJc w:val="left"/>
      <w:pPr>
        <w:tabs>
          <w:tab w:val="num" w:pos="0"/>
        </w:tabs>
        <w:ind w:left="756" w:hanging="360"/>
      </w:pPr>
      <w:rPr>
        <w:sz w:val="24"/>
        <w:b/>
        <w:szCs w:val="24"/>
        <w:bCs/>
        <w:w w:val="100"/>
        <w:rFonts w:ascii="Times New Roman" w:hAnsi="Times New Roman" w:eastAsia="Times New Roman" w:cs="Times New Roman"/>
        <w:lang w:val="sk-SK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1732" w:hanging="360"/>
      </w:pPr>
      <w:rPr>
        <w:rFonts w:ascii="Symbol" w:hAnsi="Symbol" w:cs="Symbol" w:hint="default"/>
        <w:lang w:val="sk-SK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2705" w:hanging="360"/>
      </w:pPr>
      <w:rPr>
        <w:rFonts w:ascii="Symbol" w:hAnsi="Symbol" w:cs="Symbol" w:hint="default"/>
        <w:lang w:val="sk-SK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3677" w:hanging="360"/>
      </w:pPr>
      <w:rPr>
        <w:rFonts w:ascii="Symbol" w:hAnsi="Symbol" w:cs="Symbol" w:hint="default"/>
        <w:lang w:val="sk-SK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4650" w:hanging="360"/>
      </w:pPr>
      <w:rPr>
        <w:rFonts w:ascii="Symbol" w:hAnsi="Symbol" w:cs="Symbol" w:hint="default"/>
        <w:lang w:val="sk-SK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5623" w:hanging="360"/>
      </w:pPr>
      <w:rPr>
        <w:rFonts w:ascii="Symbol" w:hAnsi="Symbol" w:cs="Symbol" w:hint="default"/>
        <w:lang w:val="sk-SK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6595" w:hanging="360"/>
      </w:pPr>
      <w:rPr>
        <w:rFonts w:ascii="Symbol" w:hAnsi="Symbol" w:cs="Symbol" w:hint="default"/>
        <w:lang w:val="sk-SK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7568" w:hanging="360"/>
      </w:pPr>
      <w:rPr>
        <w:rFonts w:ascii="Symbol" w:hAnsi="Symbol" w:cs="Symbol" w:hint="default"/>
        <w:lang w:val="sk-SK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8541" w:hanging="360"/>
      </w:pPr>
      <w:rPr>
        <w:rFonts w:ascii="Symbol" w:hAnsi="Symbol" w:cs="Symbol" w:hint="default"/>
        <w:lang w:val="sk-SK" w:eastAsia="en-US" w:bidi="ar-SA"/>
      </w:rPr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0"/>
        </w:tabs>
        <w:ind w:left="396" w:hanging="284"/>
      </w:pPr>
      <w:rPr>
        <w:sz w:val="24"/>
        <w:b/>
        <w:szCs w:val="24"/>
        <w:bCs/>
        <w:w w:val="100"/>
        <w:rFonts w:ascii="Times New Roman" w:hAnsi="Times New Roman" w:eastAsia="Times New Roman" w:cs="Times New Roman"/>
        <w:lang w:val="sk-SK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1408" w:hanging="284"/>
      </w:pPr>
      <w:rPr>
        <w:rFonts w:ascii="Symbol" w:hAnsi="Symbol" w:cs="Symbol" w:hint="default"/>
        <w:lang w:val="sk-SK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2417" w:hanging="284"/>
      </w:pPr>
      <w:rPr>
        <w:rFonts w:ascii="Symbol" w:hAnsi="Symbol" w:cs="Symbol" w:hint="default"/>
        <w:lang w:val="sk-SK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3425" w:hanging="284"/>
      </w:pPr>
      <w:rPr>
        <w:rFonts w:ascii="Symbol" w:hAnsi="Symbol" w:cs="Symbol" w:hint="default"/>
        <w:lang w:val="sk-SK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4434" w:hanging="284"/>
      </w:pPr>
      <w:rPr>
        <w:rFonts w:ascii="Symbol" w:hAnsi="Symbol" w:cs="Symbol" w:hint="default"/>
        <w:lang w:val="sk-SK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5443" w:hanging="284"/>
      </w:pPr>
      <w:rPr>
        <w:rFonts w:ascii="Symbol" w:hAnsi="Symbol" w:cs="Symbol" w:hint="default"/>
        <w:lang w:val="sk-SK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6451" w:hanging="284"/>
      </w:pPr>
      <w:rPr>
        <w:rFonts w:ascii="Symbol" w:hAnsi="Symbol" w:cs="Symbol" w:hint="default"/>
        <w:lang w:val="sk-SK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7460" w:hanging="284"/>
      </w:pPr>
      <w:rPr>
        <w:rFonts w:ascii="Symbol" w:hAnsi="Symbol" w:cs="Symbol" w:hint="default"/>
        <w:lang w:val="sk-SK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8469" w:hanging="284"/>
      </w:pPr>
      <w:rPr>
        <w:rFonts w:ascii="Symbol" w:hAnsi="Symbol" w:cs="Symbol" w:hint="default"/>
        <w:lang w:val="sk-SK" w:eastAsia="en-US" w:bidi="ar-SA"/>
      </w:rPr>
    </w:lvl>
  </w:abstractNum>
  <w:abstractNum w:abstractNumId="3">
    <w:lvl w:ilvl="0">
      <w:start w:val="1"/>
      <w:numFmt w:val="lowerLetter"/>
      <w:lvlText w:val="%1)"/>
      <w:lvlJc w:val="left"/>
      <w:pPr>
        <w:tabs>
          <w:tab w:val="num" w:pos="0"/>
        </w:tabs>
        <w:ind w:left="396" w:hanging="284"/>
      </w:pPr>
      <w:rPr>
        <w:sz w:val="24"/>
        <w:spacing w:val="-1"/>
        <w:szCs w:val="24"/>
        <w:w w:val="99"/>
        <w:rFonts w:ascii="Times New Roman" w:hAnsi="Times New Roman" w:eastAsia="Times New Roman" w:cs="Times New Roman"/>
        <w:lang w:val="sk-SK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1408" w:hanging="284"/>
      </w:pPr>
      <w:rPr>
        <w:rFonts w:ascii="Symbol" w:hAnsi="Symbol" w:cs="Symbol" w:hint="default"/>
        <w:lang w:val="sk-SK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2417" w:hanging="284"/>
      </w:pPr>
      <w:rPr>
        <w:rFonts w:ascii="Symbol" w:hAnsi="Symbol" w:cs="Symbol" w:hint="default"/>
        <w:lang w:val="sk-SK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3425" w:hanging="284"/>
      </w:pPr>
      <w:rPr>
        <w:rFonts w:ascii="Symbol" w:hAnsi="Symbol" w:cs="Symbol" w:hint="default"/>
        <w:lang w:val="sk-SK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4434" w:hanging="284"/>
      </w:pPr>
      <w:rPr>
        <w:rFonts w:ascii="Symbol" w:hAnsi="Symbol" w:cs="Symbol" w:hint="default"/>
        <w:lang w:val="sk-SK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5443" w:hanging="284"/>
      </w:pPr>
      <w:rPr>
        <w:rFonts w:ascii="Symbol" w:hAnsi="Symbol" w:cs="Symbol" w:hint="default"/>
        <w:lang w:val="sk-SK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6451" w:hanging="284"/>
      </w:pPr>
      <w:rPr>
        <w:rFonts w:ascii="Symbol" w:hAnsi="Symbol" w:cs="Symbol" w:hint="default"/>
        <w:lang w:val="sk-SK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7460" w:hanging="284"/>
      </w:pPr>
      <w:rPr>
        <w:rFonts w:ascii="Symbol" w:hAnsi="Symbol" w:cs="Symbol" w:hint="default"/>
        <w:lang w:val="sk-SK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8469" w:hanging="284"/>
      </w:pPr>
      <w:rPr>
        <w:rFonts w:ascii="Symbol" w:hAnsi="Symbol" w:cs="Symbol" w:hint="default"/>
        <w:lang w:val="sk-SK" w:eastAsia="en-US" w:bidi="ar-SA"/>
      </w:rPr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0"/>
        </w:tabs>
        <w:ind w:left="396" w:hanging="284"/>
      </w:pPr>
      <w:rPr>
        <w:sz w:val="24"/>
        <w:b/>
        <w:szCs w:val="24"/>
        <w:bCs/>
        <w:w w:val="100"/>
        <w:rFonts w:ascii="Times New Roman" w:hAnsi="Times New Roman" w:eastAsia="Times New Roman" w:cs="Times New Roman"/>
        <w:lang w:val="sk-SK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760" w:hanging="284"/>
      </w:pPr>
      <w:rPr>
        <w:rFonts w:ascii="Symbol" w:hAnsi="Symbol" w:cs="Symbol" w:hint="default"/>
        <w:lang w:val="sk-SK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1840" w:hanging="284"/>
      </w:pPr>
      <w:rPr>
        <w:rFonts w:ascii="Symbol" w:hAnsi="Symbol" w:cs="Symbol" w:hint="default"/>
        <w:lang w:val="sk-SK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2921" w:hanging="284"/>
      </w:pPr>
      <w:rPr>
        <w:rFonts w:ascii="Symbol" w:hAnsi="Symbol" w:cs="Symbol" w:hint="default"/>
        <w:lang w:val="sk-SK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4002" w:hanging="284"/>
      </w:pPr>
      <w:rPr>
        <w:rFonts w:ascii="Symbol" w:hAnsi="Symbol" w:cs="Symbol" w:hint="default"/>
        <w:lang w:val="sk-SK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5082" w:hanging="284"/>
      </w:pPr>
      <w:rPr>
        <w:rFonts w:ascii="Symbol" w:hAnsi="Symbol" w:cs="Symbol" w:hint="default"/>
        <w:lang w:val="sk-SK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6163" w:hanging="284"/>
      </w:pPr>
      <w:rPr>
        <w:rFonts w:ascii="Symbol" w:hAnsi="Symbol" w:cs="Symbol" w:hint="default"/>
        <w:lang w:val="sk-SK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7244" w:hanging="284"/>
      </w:pPr>
      <w:rPr>
        <w:rFonts w:ascii="Symbol" w:hAnsi="Symbol" w:cs="Symbol" w:hint="default"/>
        <w:lang w:val="sk-SK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8324" w:hanging="284"/>
      </w:pPr>
      <w:rPr>
        <w:rFonts w:ascii="Symbol" w:hAnsi="Symbol" w:cs="Symbol" w:hint="default"/>
        <w:lang w:val="sk-SK" w:eastAsia="en-US" w:bidi="ar-SA"/>
      </w:rPr>
    </w:lvl>
  </w:abstractNum>
  <w:abstractNum w:abstractNumId="5">
    <w:lvl w:ilvl="0">
      <w:start w:val="1"/>
      <w:numFmt w:val="decimal"/>
      <w:lvlText w:val="%1."/>
      <w:lvlJc w:val="left"/>
      <w:pPr>
        <w:tabs>
          <w:tab w:val="num" w:pos="0"/>
        </w:tabs>
        <w:ind w:left="396" w:hanging="284"/>
      </w:pPr>
      <w:rPr>
        <w:sz w:val="24"/>
        <w:b/>
        <w:szCs w:val="24"/>
        <w:bCs/>
        <w:w w:val="100"/>
        <w:rFonts w:ascii="Times New Roman" w:hAnsi="Times New Roman" w:eastAsia="Times New Roman" w:cs="Times New Roman"/>
        <w:lang w:val="sk-SK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789" w:hanging="284"/>
      </w:pPr>
      <w:rPr>
        <w:rFonts w:ascii="Symbol" w:hAnsi="Symbol" w:cs="Symbol" w:hint="default"/>
        <w:lang w:val="sk-SK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1178" w:hanging="284"/>
      </w:pPr>
      <w:rPr>
        <w:rFonts w:ascii="Symbol" w:hAnsi="Symbol" w:cs="Symbol" w:hint="default"/>
        <w:lang w:val="sk-SK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1568" w:hanging="284"/>
      </w:pPr>
      <w:rPr>
        <w:rFonts w:ascii="Symbol" w:hAnsi="Symbol" w:cs="Symbol" w:hint="default"/>
        <w:lang w:val="sk-SK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1957" w:hanging="284"/>
      </w:pPr>
      <w:rPr>
        <w:rFonts w:ascii="Symbol" w:hAnsi="Symbol" w:cs="Symbol" w:hint="default"/>
        <w:lang w:val="sk-SK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2347" w:hanging="284"/>
      </w:pPr>
      <w:rPr>
        <w:rFonts w:ascii="Symbol" w:hAnsi="Symbol" w:cs="Symbol" w:hint="default"/>
        <w:lang w:val="sk-SK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2736" w:hanging="284"/>
      </w:pPr>
      <w:rPr>
        <w:rFonts w:ascii="Symbol" w:hAnsi="Symbol" w:cs="Symbol" w:hint="default"/>
        <w:lang w:val="sk-SK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3125" w:hanging="284"/>
      </w:pPr>
      <w:rPr>
        <w:rFonts w:ascii="Symbol" w:hAnsi="Symbol" w:cs="Symbol" w:hint="default"/>
        <w:lang w:val="sk-SK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3515" w:hanging="284"/>
      </w:pPr>
      <w:rPr>
        <w:rFonts w:ascii="Symbol" w:hAnsi="Symbol" w:cs="Symbol" w:hint="default"/>
        <w:lang w:val="sk-SK" w:eastAsia="en-US" w:bidi="ar-SA"/>
      </w:rPr>
    </w:lvl>
  </w:abstractNum>
  <w:abstractNum w:abstractNumId="6">
    <w:lvl w:ilvl="0">
      <w:start w:val="28"/>
      <w:numFmt w:val="bullet"/>
      <w:lvlText w:val="-"/>
      <w:lvlJc w:val="left"/>
      <w:pPr>
        <w:tabs>
          <w:tab w:val="num" w:pos="0"/>
        </w:tabs>
        <w:ind w:left="60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32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047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767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48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207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4927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64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367" w:hanging="360"/>
      </w:pPr>
      <w:rPr>
        <w:rFonts w:ascii="Wingdings" w:hAnsi="Wingdings" w:cs="Wingdings" w:hint="default"/>
      </w:rPr>
    </w:lvl>
  </w:abstractNum>
  <w:abstractNum w:abstractNumId="7"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b w:val="false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8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w="http://schemas.openxmlformats.org/wordprocessingml/2006/main">
  <w:zoom w:percent="110"/>
  <w:defaultTabStop w:val="720"/>
  <w:autoHyphenation w:val="true"/>
  <w:hyphenationZone w:val="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sk-SK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 w:val="fals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2"/>
      <w:szCs w:val="22"/>
      <w:lang w:val="sk-SK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lavikaChar" w:customStyle="1">
    <w:name w:val="Hlavička Char"/>
    <w:basedOn w:val="DefaultParagraphFont"/>
    <w:uiPriority w:val="99"/>
    <w:qFormat/>
    <w:rsid w:val="00eb6e5b"/>
    <w:rPr>
      <w:rFonts w:ascii="Times New Roman" w:hAnsi="Times New Roman" w:eastAsia="Times New Roman" w:cs="Times New Roman"/>
      <w:lang w:val="sk-SK"/>
    </w:rPr>
  </w:style>
  <w:style w:type="character" w:styleId="PtaChar" w:customStyle="1">
    <w:name w:val="Päta Char"/>
    <w:basedOn w:val="DefaultParagraphFont"/>
    <w:uiPriority w:val="99"/>
    <w:qFormat/>
    <w:rsid w:val="00eb6e5b"/>
    <w:rPr>
      <w:rFonts w:ascii="Times New Roman" w:hAnsi="Times New Roman" w:eastAsia="Times New Roman" w:cs="Times New Roman"/>
      <w:lang w:val="sk-SK"/>
    </w:rPr>
  </w:style>
  <w:style w:type="paragraph" w:styleId="Nadpis">
    <w:name w:val="Nadpis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uiPriority w:val="1"/>
    <w:qFormat/>
    <w:pPr/>
    <w:rPr>
      <w:sz w:val="24"/>
      <w:szCs w:val="24"/>
    </w:rPr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Register">
    <w:name w:val="Register"/>
    <w:basedOn w:val="Normal"/>
    <w:qFormat/>
    <w:pPr>
      <w:suppressLineNumbers/>
    </w:pPr>
    <w:rPr>
      <w:rFonts w:cs="Arial"/>
    </w:rPr>
  </w:style>
  <w:style w:type="paragraph" w:styleId="Title">
    <w:name w:val="Title"/>
    <w:basedOn w:val="Normal"/>
    <w:uiPriority w:val="10"/>
    <w:qFormat/>
    <w:pPr>
      <w:spacing w:before="73" w:after="0"/>
      <w:ind w:left="2303" w:right="2355"/>
      <w:jc w:val="center"/>
    </w:pPr>
    <w:rPr>
      <w:b/>
      <w:bCs/>
      <w:sz w:val="36"/>
      <w:szCs w:val="36"/>
    </w:rPr>
  </w:style>
  <w:style w:type="paragraph" w:styleId="ListParagraph">
    <w:name w:val="List Paragraph"/>
    <w:basedOn w:val="Normal"/>
    <w:uiPriority w:val="1"/>
    <w:qFormat/>
    <w:pPr>
      <w:ind w:hanging="285" w:left="396"/>
    </w:pPr>
    <w:rPr/>
  </w:style>
  <w:style w:type="paragraph" w:styleId="TableParagraph" w:customStyle="1">
    <w:name w:val="Table Paragraph"/>
    <w:basedOn w:val="Normal"/>
    <w:uiPriority w:val="1"/>
    <w:qFormat/>
    <w:pPr>
      <w:spacing w:lineRule="exact" w:line="210"/>
    </w:pPr>
    <w:rPr/>
  </w:style>
  <w:style w:type="paragraph" w:styleId="Hlavikaapta">
    <w:name w:val="Hlavička a päta"/>
    <w:basedOn w:val="Normal"/>
    <w:qFormat/>
    <w:pPr/>
    <w:rPr/>
  </w:style>
  <w:style w:type="paragraph" w:styleId="Header">
    <w:name w:val="header"/>
    <w:basedOn w:val="Normal"/>
    <w:link w:val="HlavikaChar"/>
    <w:uiPriority w:val="99"/>
    <w:unhideWhenUsed/>
    <w:rsid w:val="00eb6e5b"/>
    <w:pPr>
      <w:tabs>
        <w:tab w:val="clear" w:pos="720"/>
        <w:tab w:val="center" w:pos="4536" w:leader="none"/>
        <w:tab w:val="right" w:pos="9072" w:leader="none"/>
      </w:tabs>
    </w:pPr>
    <w:rPr/>
  </w:style>
  <w:style w:type="paragraph" w:styleId="Footer">
    <w:name w:val="footer"/>
    <w:basedOn w:val="Normal"/>
    <w:link w:val="PtaChar"/>
    <w:uiPriority w:val="99"/>
    <w:unhideWhenUsed/>
    <w:rsid w:val="00eb6e5b"/>
    <w:pPr>
      <w:tabs>
        <w:tab w:val="clear" w:pos="720"/>
        <w:tab w:val="center" w:pos="4536" w:leader="none"/>
        <w:tab w:val="right" w:pos="9072" w:leader="none"/>
      </w:tabs>
    </w:pPr>
    <w:rPr/>
  </w:style>
  <w:style w:type="paragraph" w:styleId="Pismenka" w:customStyle="1">
    <w:name w:val="Pismenka"/>
    <w:basedOn w:val="BodyText"/>
    <w:qFormat/>
    <w:rsid w:val="00f13e6a"/>
    <w:pPr>
      <w:widowControl/>
      <w:tabs>
        <w:tab w:val="clear" w:pos="720"/>
        <w:tab w:val="left" w:pos="426" w:leader="none"/>
      </w:tabs>
      <w:ind w:hanging="426" w:left="426"/>
      <w:jc w:val="both"/>
    </w:pPr>
    <w:rPr>
      <w:b/>
      <w:sz w:val="18"/>
      <w:szCs w:val="20"/>
      <w:lang w:eastAsia="sk-SK"/>
    </w:rPr>
  </w:style>
  <w:style w:type="paragraph" w:styleId="Obsahrmca">
    <w:name w:val="Obsah rámca"/>
    <w:basedOn w:val="Normal"/>
    <w:qFormat/>
    <w:pPr/>
    <w:rPr/>
  </w:style>
  <w:style w:type="paragraph" w:styleId="Obsahtabuky">
    <w:name w:val="Obsah tabuľky"/>
    <w:basedOn w:val="Normal"/>
    <w:qFormat/>
    <w:pPr>
      <w:widowControl w:val="false"/>
      <w:suppressLineNumbers/>
    </w:pPr>
    <w:rPr/>
  </w:style>
  <w:style w:type="paragraph" w:styleId="Zhlavietabuky">
    <w:name w:val="Záhlavie tabuľky"/>
    <w:basedOn w:val="Obsahtabuky"/>
    <w:qFormat/>
    <w:pPr>
      <w:suppressLineNumbers/>
      <w:jc w:val="center"/>
    </w:pPr>
    <w:rPr>
      <w:b/>
      <w:bCs/>
    </w:rPr>
  </w:style>
  <w:style w:type="numbering" w:styleId="Bezzoznamu" w:default="1">
    <w:name w:val="Bez zoznamu"/>
    <w:uiPriority w:val="99"/>
    <w:semiHidden/>
    <w:unhideWhenUsed/>
    <w:qFormat/>
  </w:style>
  <w:style w:type="table" w:default="1" w:styleId="Normlnatabuka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2.png"/><Relationship Id="rId9" Type="http://schemas.openxmlformats.org/officeDocument/2006/relationships/image" Target="media/image3.png"/><Relationship Id="rId10" Type="http://schemas.openxmlformats.org/officeDocument/2006/relationships/footer" Target="footer4.xml"/><Relationship Id="rId11" Type="http://schemas.openxmlformats.org/officeDocument/2006/relationships/footer" Target="footer5.xml"/><Relationship Id="rId12" Type="http://schemas.openxmlformats.org/officeDocument/2006/relationships/footer" Target="footer6.xml"/><Relationship Id="rId13" Type="http://schemas.openxmlformats.org/officeDocument/2006/relationships/numbering" Target="numbering.xml"/><Relationship Id="rId14" Type="http://schemas.openxmlformats.org/officeDocument/2006/relationships/fontTable" Target="fontTable.xml"/><Relationship Id="rId15" Type="http://schemas.openxmlformats.org/officeDocument/2006/relationships/settings" Target="settings.xml"/><Relationship Id="rId1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</TotalTime>
  <Application>LibreOffice/25.2.7.2$Windows_X86_64 LibreOffice_project/5cbfd1ab6520636bb5f7b99185aa69bd7456825d</Application>
  <AppVersion>15.0000</AppVersion>
  <Pages>5</Pages>
  <Words>1293</Words>
  <Characters>7230</Characters>
  <CharactersWithSpaces>8315</CharactersWithSpaces>
  <Paragraphs>273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2023-03-08T13:56:00Z</dcterms:created>
  <dc:creator>PC</dc:creator>
  <dc:description/>
  <dc:language>sk-SK</dc:language>
  <cp:lastModifiedBy/>
  <dcterms:modified xsi:type="dcterms:W3CDTF">2026-02-19T22:51:48Z</dcterms:modified>
  <cp:revision>27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2023-03-08T00:00:00Z</vt:filetime>
  </property>
  <property fmtid="{D5CDD505-2E9C-101B-9397-08002B2CF9AE}" pid="3" name="Creator">
    <vt:lpwstr>PDFium</vt:lpwstr>
  </property>
  <property fmtid="{D5CDD505-2E9C-101B-9397-08002B2CF9AE}" pid="4" name="LastSaved">
    <vt:filetime>2023-03-08T00:00:00Z</vt:filetime>
  </property>
</Properties>
</file>