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mbeddings/oleObject1.xlsx" ContentType="application/vnd.openxmlformats-officedocument.spreadsheetml.sheet"/>
  <Override PartName="/word/header1.xml" ContentType="application/vnd.openxmlformats-officedocument.wordprocessingml.header+xml"/>
  <Override PartName="/word/media/image1.emf" ContentType="image/x-emf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_rels/document.xml.rels" ContentType="application/vnd.openxmlformats-package.relationship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Telotextu"/>
        <w:ind w:left="0" w:hanging="0"/>
        <w:rPr>
          <w:b/>
          <w:b/>
          <w:sz w:val="24"/>
        </w:rPr>
      </w:pPr>
      <w:r>
        <w:rPr>
          <w:b/>
          <w:sz w:val="24"/>
        </w:rPr>
      </w:r>
    </w:p>
    <w:p>
      <w:pPr>
        <w:pStyle w:val="Nadpis2"/>
        <w:numPr>
          <w:ilvl w:val="0"/>
          <w:numId w:val="5"/>
        </w:numPr>
        <w:jc w:val="center"/>
        <w:rPr>
          <w:sz w:val="20"/>
        </w:rPr>
      </w:pPr>
      <w:r>
        <w:rPr>
          <w:sz w:val="20"/>
        </w:rPr>
        <w:t>VŠEOBECNÉ ÚDAJE</w:t>
      </w:r>
    </w:p>
    <w:p>
      <w:pPr>
        <w:pStyle w:val="Normal"/>
        <w:rPr/>
      </w:pPr>
      <w:r>
        <w:rPr/>
      </w:r>
    </w:p>
    <w:p>
      <w:pPr>
        <w:pStyle w:val="Nadpis2"/>
        <w:numPr>
          <w:ilvl w:val="0"/>
          <w:numId w:val="0"/>
        </w:numPr>
        <w:ind w:left="0" w:hanging="0"/>
        <w:rPr>
          <w:sz w:val="20"/>
        </w:rPr>
      </w:pPr>
      <w:r>
        <w:rPr>
          <w:sz w:val="20"/>
        </w:rPr>
        <w:t>Názov spoločnosti a jej sídlo</w:t>
      </w:r>
    </w:p>
    <w:p>
      <w:pPr>
        <w:pStyle w:val="Telotextu"/>
        <w:rPr>
          <w:sz w:val="20"/>
        </w:rPr>
      </w:pPr>
      <w:r>
        <w:rPr>
          <w:sz w:val="20"/>
        </w:rPr>
        <w:t>Spoločnosť TPT</w:t>
      </w:r>
      <w:r>
        <w:rPr>
          <w:b/>
          <w:sz w:val="20"/>
        </w:rPr>
        <w:t>, s.r.o</w:t>
      </w:r>
      <w:r>
        <w:rPr>
          <w:sz w:val="20"/>
        </w:rPr>
        <w:t xml:space="preserve">. so sídlom 930 04 Trstená na Ostrove 76  (ďalej len Spoločnosť), bola založená 07.júla 2010 a do obchodného registra bola zapísaná 07.júla 2010 (Obchodný register Okresného súdu Trnava, oddiel Sro, vložka 25822/T). </w:t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adpis2"/>
        <w:numPr>
          <w:ilvl w:val="0"/>
          <w:numId w:val="0"/>
        </w:numPr>
        <w:ind w:left="0" w:hanging="0"/>
        <w:rPr>
          <w:sz w:val="20"/>
        </w:rPr>
      </w:pPr>
      <w:r>
        <w:rPr>
          <w:sz w:val="20"/>
        </w:rPr>
        <w:t xml:space="preserve">Počet zamestnancov </w:t>
      </w:r>
    </w:p>
    <w:p>
      <w:pPr>
        <w:pStyle w:val="Telotextu"/>
        <w:rPr>
          <w:sz w:val="20"/>
        </w:rPr>
      </w:pPr>
      <w:r>
        <w:rPr>
          <w:sz w:val="20"/>
        </w:rPr>
        <w:t>Údaje o počte zamestnancov za bežné účtovné obdobie a bezprostredne predchádzajúce účtovné obdobie sú uvedené v nasledujúcom prehľade:</w:t>
      </w:r>
    </w:p>
    <w:p>
      <w:pPr>
        <w:pStyle w:val="Telotextu"/>
        <w:rPr>
          <w:sz w:val="20"/>
        </w:rPr>
      </w:pPr>
      <w:r>
        <w:rPr>
          <w:sz w:val="20"/>
        </w:rPr>
      </w:r>
      <w:bookmarkStart w:id="0" w:name="_MON_1391855653"/>
      <w:bookmarkStart w:id="1" w:name="_MON_1393343926"/>
      <w:bookmarkStart w:id="2" w:name="_MON_1394091878"/>
      <w:bookmarkStart w:id="3" w:name="_MON_1394259430"/>
      <w:bookmarkStart w:id="4" w:name="_MON_1391855653"/>
      <w:bookmarkStart w:id="5" w:name="_MON_1393343926"/>
      <w:bookmarkStart w:id="6" w:name="_MON_1394091878"/>
      <w:bookmarkStart w:id="7" w:name="_MON_1394259430"/>
      <w:bookmarkEnd w:id="4"/>
      <w:bookmarkEnd w:id="5"/>
      <w:bookmarkEnd w:id="6"/>
      <w:bookmarkEnd w:id="7"/>
    </w:p>
    <w:p>
      <w:pPr>
        <w:pStyle w:val="Telotextu"/>
        <w:rPr>
          <w:sz w:val="20"/>
        </w:rPr>
      </w:pPr>
      <w:r>
        <w:rPr>
          <w:sz w:val="20"/>
        </w:rPr>
      </w:r>
    </w:p>
    <w:p>
      <w:pPr>
        <w:pStyle w:val="Telotextu"/>
        <w:rPr>
          <w:sz w:val="20"/>
        </w:rPr>
      </w:pPr>
      <w:bookmarkStart w:id="8" w:name="_MON_13918556531"/>
      <w:bookmarkStart w:id="9" w:name="_MON_13933439261"/>
      <w:bookmarkStart w:id="10" w:name="_MON_13940918781"/>
      <w:bookmarkStart w:id="11" w:name="_MON_13942594301"/>
      <w:bookmarkEnd w:id="8"/>
      <w:bookmarkEnd w:id="9"/>
      <w:bookmarkEnd w:id="10"/>
      <w:bookmarkEnd w:id="11"/>
      <w:r>
        <w:rPr/>
        <w:object w:dxaOrig="9003" w:dyaOrig="1456">
          <v:shapetype id="_x0000_tole_rId2" coordsize="21600,21600" o:spt="ole_rId2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ole_rId2" type="_x0000_tole_rId2" style="width:448.4pt;height:70.05pt;mso-wrap-distance-right:0pt" filled="f" o:ole="">
            <v:imagedata r:id="rId3" o:title=""/>
          </v:shape>
          <o:OLEObject Type="Embed" ProgID="Excel.Sheet.12" ShapeID="ole_rId2" DrawAspect="Content" ObjectID="_158877186" r:id="rId2"/>
        </w:object>
      </w:r>
    </w:p>
    <w:p>
      <w:pPr>
        <w:pStyle w:val="Nadpis2"/>
        <w:numPr>
          <w:ilvl w:val="0"/>
          <w:numId w:val="0"/>
        </w:numPr>
        <w:ind w:left="0" w:hanging="0"/>
        <w:rPr>
          <w:sz w:val="20"/>
        </w:rPr>
      </w:pPr>
      <w:r>
        <w:rPr>
          <w:sz w:val="20"/>
        </w:rPr>
        <w:t>Údaje o neobmedzenom ručení</w:t>
      </w:r>
    </w:p>
    <w:p>
      <w:pPr>
        <w:pStyle w:val="Normal"/>
        <w:ind w:left="450" w:hanging="0"/>
        <w:jc w:val="both"/>
        <w:rPr/>
      </w:pPr>
      <w:r>
        <w:rPr/>
        <w:t>Spoločnosť nie je neobmedzene ručiacim spoločníkom v iných spoločnostiach podľa § 56 ods. 5 Obchodného zákonníka.</w:t>
      </w:r>
    </w:p>
    <w:p>
      <w:pPr>
        <w:pStyle w:val="Telotextu"/>
        <w:rPr>
          <w:sz w:val="20"/>
        </w:rPr>
      </w:pPr>
      <w:r>
        <w:rPr>
          <w:sz w:val="20"/>
        </w:rPr>
      </w:r>
    </w:p>
    <w:p>
      <w:pPr>
        <w:pStyle w:val="Nadpis2"/>
        <w:numPr>
          <w:ilvl w:val="0"/>
          <w:numId w:val="0"/>
        </w:numPr>
        <w:ind w:left="0" w:hanging="0"/>
        <w:rPr>
          <w:sz w:val="20"/>
        </w:rPr>
      </w:pPr>
      <w:r>
        <w:rPr>
          <w:sz w:val="20"/>
        </w:rPr>
        <w:t>Právny dôvod na zostavenie účtovnej závierky</w:t>
      </w:r>
    </w:p>
    <w:p>
      <w:pPr>
        <w:pStyle w:val="Telotextu"/>
        <w:ind w:left="0" w:hanging="0"/>
        <w:rPr>
          <w:sz w:val="20"/>
        </w:rPr>
      </w:pPr>
      <w:r>
        <w:rPr>
          <w:sz w:val="20"/>
        </w:rPr>
        <w:tab/>
        <w:t>Účtovná závierka Spoločnosti k 31. decembru 202</w:t>
      </w:r>
      <w:r>
        <w:rPr>
          <w:sz w:val="20"/>
        </w:rPr>
        <w:t>5</w:t>
      </w:r>
      <w:r>
        <w:rPr>
          <w:sz w:val="20"/>
        </w:rPr>
        <w:t xml:space="preserve"> je zostavená ako riadna účtovná závierka podľa § 17 ods. 6 zákona NR SR č. 431/2002 Z. z. o účtovníctve za účtovné obdobie od 1. januára 202</w:t>
      </w:r>
      <w:r>
        <w:rPr>
          <w:sz w:val="20"/>
        </w:rPr>
        <w:t>5</w:t>
      </w:r>
      <w:r>
        <w:rPr>
          <w:sz w:val="20"/>
        </w:rPr>
        <w:t xml:space="preserve"> do 31. decembra 202</w:t>
      </w:r>
      <w:r>
        <w:rPr>
          <w:sz w:val="20"/>
        </w:rPr>
        <w:t>5</w:t>
      </w:r>
      <w:r>
        <w:rPr>
          <w:sz w:val="20"/>
        </w:rPr>
        <w:t>.</w:t>
      </w:r>
    </w:p>
    <w:p>
      <w:pPr>
        <w:pStyle w:val="Telotextu"/>
        <w:ind w:left="0" w:hanging="0"/>
        <w:rPr>
          <w:sz w:val="20"/>
        </w:rPr>
      </w:pPr>
      <w:r>
        <w:rPr>
          <w:sz w:val="20"/>
        </w:rPr>
      </w:r>
    </w:p>
    <w:p>
      <w:pPr>
        <w:pStyle w:val="Nadpis2"/>
        <w:numPr>
          <w:ilvl w:val="0"/>
          <w:numId w:val="0"/>
        </w:numPr>
        <w:tabs>
          <w:tab w:val="left" w:pos="708" w:leader="none"/>
        </w:tabs>
        <w:ind w:left="0" w:hanging="0"/>
        <w:rPr/>
      </w:pPr>
      <w:r>
        <w:rPr/>
        <w:t>Dátum schválenia účtovnej závierky za predchádzajúce účtovné obdobie</w:t>
      </w:r>
    </w:p>
    <w:p>
      <w:pPr>
        <w:pStyle w:val="Telotextu"/>
        <w:ind w:left="0" w:hanging="0"/>
        <w:rPr/>
      </w:pPr>
      <w:r>
        <w:rPr/>
        <w:tab/>
        <w:t>Účtovná závierka Spoločnosti k 31. decembru 202</w:t>
      </w:r>
      <w:r>
        <w:rPr/>
        <w:t>4</w:t>
      </w:r>
      <w:r>
        <w:rPr/>
        <w:t>, za predchádzajúce účtovné obdobie, bola schválená valným zhromaždením Spoločnosti dňa  2024.</w:t>
      </w:r>
    </w:p>
    <w:p>
      <w:pPr>
        <w:pStyle w:val="Telotextu"/>
        <w:ind w:left="0" w:hanging="0"/>
        <w:rPr/>
      </w:pPr>
      <w:r>
        <w:rPr/>
      </w:r>
    </w:p>
    <w:p>
      <w:pPr>
        <w:pStyle w:val="Nadpis2"/>
        <w:numPr>
          <w:ilvl w:val="0"/>
          <w:numId w:val="0"/>
        </w:numPr>
        <w:tabs>
          <w:tab w:val="left" w:pos="708" w:leader="none"/>
        </w:tabs>
        <w:ind w:left="0" w:hanging="0"/>
        <w:rPr/>
      </w:pPr>
      <w:r>
        <w:rPr/>
        <w:t>Zverejnenie účtovnej závierky za predchádzajúce účtovné obdobie</w:t>
      </w:r>
    </w:p>
    <w:p>
      <w:pPr>
        <w:pStyle w:val="Telotextu"/>
        <w:rPr/>
      </w:pPr>
      <w:r>
        <w:rPr/>
        <w:t>Účtovná závierka Spoločnosti k 31. decembru 202</w:t>
      </w:r>
      <w:r>
        <w:rPr/>
        <w:t>4</w:t>
      </w:r>
      <w:r>
        <w:rPr/>
        <w:t xml:space="preserve"> bola zverejnená uložením do registra účtovných závierok.</w:t>
      </w:r>
    </w:p>
    <w:p>
      <w:pPr>
        <w:pStyle w:val="Telotextu"/>
        <w:ind w:left="0" w:hanging="0"/>
        <w:rPr>
          <w:sz w:val="20"/>
        </w:rPr>
      </w:pPr>
      <w:r>
        <w:rPr>
          <w:sz w:val="20"/>
        </w:rPr>
      </w:r>
    </w:p>
    <w:p>
      <w:pPr>
        <w:pStyle w:val="Nadpis1"/>
        <w:numPr>
          <w:ilvl w:val="0"/>
          <w:numId w:val="0"/>
        </w:numPr>
        <w:spacing w:before="120" w:after="60"/>
        <w:ind w:left="0" w:hanging="0"/>
        <w:rPr>
          <w:sz w:val="20"/>
        </w:rPr>
      </w:pPr>
      <w:r>
        <w:rPr>
          <w:sz w:val="20"/>
        </w:rPr>
        <w:t>Informácie o konsolidovanom celku</w:t>
      </w:r>
    </w:p>
    <w:p>
      <w:pPr>
        <w:pStyle w:val="Telotextu"/>
        <w:ind w:left="0" w:hanging="0"/>
        <w:rPr>
          <w:sz w:val="20"/>
        </w:rPr>
      </w:pPr>
      <w:r>
        <w:rPr>
          <w:sz w:val="20"/>
        </w:rPr>
        <w:t xml:space="preserve">Spoločnosť sa nezahŕňa do konsolidovanej účtovnej závierky. </w:t>
      </w:r>
    </w:p>
    <w:p>
      <w:pPr>
        <w:pStyle w:val="Telotextu"/>
        <w:rPr>
          <w:sz w:val="20"/>
        </w:rPr>
      </w:pPr>
      <w:r>
        <w:rPr>
          <w:sz w:val="20"/>
        </w:rPr>
      </w:r>
    </w:p>
    <w:p>
      <w:pPr>
        <w:pStyle w:val="Nadpis1"/>
        <w:numPr>
          <w:ilvl w:val="0"/>
          <w:numId w:val="0"/>
        </w:numPr>
        <w:spacing w:before="120" w:after="60"/>
        <w:ind w:left="0" w:hanging="0"/>
        <w:rPr>
          <w:sz w:val="20"/>
        </w:rPr>
      </w:pPr>
      <w:r>
        <w:rPr>
          <w:sz w:val="20"/>
        </w:rPr>
      </w:r>
      <w:bookmarkStart w:id="12" w:name="_Toc530739899"/>
      <w:bookmarkStart w:id="13" w:name="_Toc530739899"/>
    </w:p>
    <w:p>
      <w:pPr>
        <w:pStyle w:val="Nadpis1"/>
        <w:numPr>
          <w:ilvl w:val="0"/>
          <w:numId w:val="5"/>
        </w:numPr>
        <w:spacing w:before="120" w:after="60"/>
        <w:jc w:val="center"/>
        <w:rPr>
          <w:sz w:val="20"/>
        </w:rPr>
      </w:pPr>
      <w:r>
        <w:rPr>
          <w:sz w:val="20"/>
        </w:rPr>
        <w:t xml:space="preserve"> </w:t>
      </w:r>
      <w:r>
        <w:rPr>
          <w:sz w:val="20"/>
        </w:rPr>
        <w:t>Informácie o PRIJATÝCH POSTUPOCH</w:t>
      </w:r>
      <w:bookmarkEnd w:id="13"/>
    </w:p>
    <w:p>
      <w:pPr>
        <w:pStyle w:val="Telotextu"/>
        <w:rPr>
          <w:sz w:val="20"/>
        </w:rPr>
      </w:pPr>
      <w:r>
        <w:rPr>
          <w:sz w:val="20"/>
        </w:rPr>
      </w:r>
    </w:p>
    <w:p>
      <w:pPr>
        <w:pStyle w:val="Pismenka"/>
        <w:numPr>
          <w:ilvl w:val="0"/>
          <w:numId w:val="2"/>
        </w:numPr>
        <w:tabs>
          <w:tab w:val="clear" w:pos="426"/>
        </w:tabs>
        <w:ind w:left="426" w:hanging="426"/>
        <w:rPr>
          <w:sz w:val="20"/>
        </w:rPr>
      </w:pPr>
      <w:r>
        <w:rPr>
          <w:sz w:val="20"/>
        </w:rPr>
        <w:t>Východiská pre zostavenie účtovnej závierky</w:t>
      </w:r>
    </w:p>
    <w:p>
      <w:pPr>
        <w:pStyle w:val="Telotextu"/>
        <w:ind w:left="450" w:hanging="0"/>
        <w:rPr>
          <w:sz w:val="20"/>
        </w:rPr>
      </w:pPr>
      <w:r>
        <w:rPr>
          <w:sz w:val="20"/>
        </w:rPr>
        <w:t>Účtovná závierka bola zostavená za predpokladu nepretržitého trvania Spoločnosti (going concern).</w:t>
      </w:r>
    </w:p>
    <w:p>
      <w:pPr>
        <w:pStyle w:val="Telotextu"/>
        <w:ind w:left="450" w:hanging="0"/>
        <w:rPr>
          <w:sz w:val="20"/>
        </w:rPr>
      </w:pPr>
      <w:r>
        <w:rPr>
          <w:sz w:val="20"/>
        </w:rPr>
      </w:r>
    </w:p>
    <w:p>
      <w:pPr>
        <w:pStyle w:val="Telotextu"/>
        <w:ind w:left="450" w:hanging="0"/>
        <w:rPr>
          <w:sz w:val="20"/>
        </w:rPr>
      </w:pPr>
      <w:r>
        <w:rPr>
          <w:sz w:val="20"/>
        </w:rPr>
        <w:t xml:space="preserve">Účtovné metódy a všeobecné účtovné zásady boli účtovnou jednotkou konzistentne aplikované. </w:t>
      </w:r>
    </w:p>
    <w:p>
      <w:pPr>
        <w:pStyle w:val="Telotextu"/>
        <w:ind w:left="0" w:hanging="0"/>
        <w:rPr>
          <w:sz w:val="20"/>
        </w:rPr>
      </w:pPr>
      <w:r>
        <w:rPr>
          <w:sz w:val="20"/>
        </w:rPr>
      </w:r>
    </w:p>
    <w:p>
      <w:pPr>
        <w:pStyle w:val="Pismenka"/>
        <w:numPr>
          <w:ilvl w:val="0"/>
          <w:numId w:val="2"/>
        </w:numPr>
        <w:tabs>
          <w:tab w:val="clear" w:pos="426"/>
        </w:tabs>
        <w:ind w:left="426" w:hanging="426"/>
        <w:rPr>
          <w:sz w:val="20"/>
        </w:rPr>
      </w:pPr>
      <w:r>
        <w:rPr>
          <w:sz w:val="20"/>
        </w:rPr>
        <w:t>Dlhodobý nehmotný majetok a dlhodobý hmotný majetok</w:t>
      </w:r>
    </w:p>
    <w:p>
      <w:pPr>
        <w:pStyle w:val="Telotextu"/>
        <w:rPr>
          <w:sz w:val="20"/>
        </w:rPr>
      </w:pPr>
      <w:r>
        <w:rPr>
          <w:sz w:val="20"/>
        </w:rPr>
        <w:t xml:space="preserve">Dlhodobý majetok nakupovaný sa oceňuje obstarávacou cenou, ktorá zahŕňa cenu obstarania a náklady súvisiace s obstaraním (clo, prepravu, montáž, poistné a pod.). </w:t>
      </w:r>
    </w:p>
    <w:p>
      <w:pPr>
        <w:pStyle w:val="Telotextu"/>
        <w:rPr>
          <w:sz w:val="20"/>
        </w:rPr>
      </w:pPr>
      <w:r>
        <w:rPr>
          <w:sz w:val="20"/>
        </w:rPr>
      </w:r>
    </w:p>
    <w:p>
      <w:pPr>
        <w:pStyle w:val="Telotextu"/>
        <w:rPr>
          <w:sz w:val="20"/>
        </w:rPr>
      </w:pPr>
      <w:r>
        <w:rPr>
          <w:sz w:val="20"/>
        </w:rPr>
        <w:t>Súčasťou obstarávacej ceny dlhodobého hmotného majetku od 1. januára 2003 nie sú úroky z cudzích zdrojov ani realizované kurzové rozdiely, ktoré vznikli do momentu uvedenia dlhodobého majetku do používania.</w:t>
      </w:r>
    </w:p>
    <w:p>
      <w:pPr>
        <w:pStyle w:val="Telotextu"/>
        <w:rPr>
          <w:sz w:val="20"/>
        </w:rPr>
      </w:pPr>
      <w:r>
        <w:rPr>
          <w:sz w:val="20"/>
        </w:rPr>
      </w:r>
    </w:p>
    <w:p>
      <w:pPr>
        <w:pStyle w:val="Telotextu"/>
        <w:rPr>
          <w:sz w:val="20"/>
        </w:rPr>
      </w:pPr>
      <w:r>
        <w:rPr>
          <w:sz w:val="20"/>
        </w:rPr>
        <w:t>Súčasťou obstarávacej ceny dlhodobého nehmotného majetku nie sú od 1. júla 2010 úroky z cudzích zdrojov, ktoré vznikli do momentu zaradenia dlhodobého nehmotného majetku do používania.</w:t>
      </w:r>
    </w:p>
    <w:p>
      <w:pPr>
        <w:pStyle w:val="Telotextu"/>
        <w:rPr>
          <w:sz w:val="20"/>
        </w:rPr>
      </w:pPr>
      <w:r>
        <w:rPr>
          <w:sz w:val="20"/>
        </w:rPr>
      </w:r>
    </w:p>
    <w:p>
      <w:pPr>
        <w:pStyle w:val="Telotextu"/>
        <w:rPr>
          <w:sz w:val="20"/>
        </w:rPr>
      </w:pPr>
      <w:r>
        <w:rPr>
          <w:sz w:val="20"/>
        </w:rP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>
      <w:pPr>
        <w:pStyle w:val="Telotextu"/>
        <w:rPr>
          <w:sz w:val="20"/>
        </w:rPr>
      </w:pPr>
      <w:r>
        <w:rPr>
          <w:sz w:val="20"/>
        </w:rPr>
      </w:r>
    </w:p>
    <w:p>
      <w:pPr>
        <w:pStyle w:val="Telotextu"/>
        <w:rPr>
          <w:sz w:val="20"/>
        </w:rPr>
      </w:pPr>
      <w:r>
        <w:rPr>
          <w:sz w:val="20"/>
        </w:rPr>
        <w:t>Náklady na výskum sa neaktivujú, účtujú sa do nákladov účtovného obdobia, v ktorom vznikli. Náklady na vývoj sa účtujú do obdobia, v ktorom vznikli, ale tie náklady na vývoj, ktoré sa vzťahujú na jasne definovaný výrobok alebo proces, pri ktorých je možné preukázať technickú realizovateľnosť a možnosť predaja a spoločnosť má dostatočné zdroje na dokončenie projektu, jeho predaj alebo na vnútorné využitie jeho výsledkov, sa aktivujú, a to vo výške, ktorá je pravdepodobná, že sa získa späť z budúcich ekonomických úžitkov.</w:t>
      </w:r>
    </w:p>
    <w:p>
      <w:pPr>
        <w:pStyle w:val="Telotextu"/>
        <w:rPr>
          <w:sz w:val="20"/>
        </w:rPr>
      </w:pPr>
      <w:r>
        <w:rPr>
          <w:sz w:val="20"/>
        </w:rPr>
      </w:r>
    </w:p>
    <w:p>
      <w:pPr>
        <w:pStyle w:val="Telotextu"/>
        <w:rPr>
          <w:sz w:val="20"/>
        </w:rPr>
      </w:pPr>
      <w:r>
        <w:rPr>
          <w:sz w:val="20"/>
        </w:rPr>
        <w:t>Aktivované náklady na vývoj sa odpisujú počas maximálne 5 rokov, a to v tých účtovných obdobiach, v ktorých sa očakáva predaj produktu alebo využívanie procesu. Ak sa zníži ich hodnota, odpisujú sa na sumu, ktorá je pravdepodobná, že sa získa späť z budúcich ekonomických úžitkov.</w:t>
      </w:r>
    </w:p>
    <w:p>
      <w:pPr>
        <w:pStyle w:val="Telotextu"/>
        <w:rPr>
          <w:sz w:val="20"/>
        </w:rPr>
      </w:pPr>
      <w:r>
        <w:rPr>
          <w:sz w:val="20"/>
        </w:rPr>
        <w:t xml:space="preserve"> </w:t>
      </w:r>
    </w:p>
    <w:p>
      <w:pPr>
        <w:pStyle w:val="Telotextu"/>
        <w:rPr>
          <w:sz w:val="20"/>
        </w:rPr>
      </w:pPr>
      <w:r>
        <w:rPr>
          <w:sz w:val="20"/>
        </w:rPr>
        <w:t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2 400 EUR a nižšia, sa odpisuje jednorazovo pri uvedení do používania. Predpokladaná doba používania, metóda odpisovania a odpisová sadzba sú uvedené v nasledujúcej tabuľke:</w:t>
      </w:r>
    </w:p>
    <w:p>
      <w:pPr>
        <w:pStyle w:val="Telotextu"/>
        <w:rPr>
          <w:sz w:val="20"/>
        </w:rPr>
      </w:pPr>
      <w:r>
        <w:rPr>
          <w:sz w:val="20"/>
        </w:rPr>
      </w:r>
    </w:p>
    <w:tbl>
      <w:tblPr>
        <w:tblW w:w="8977" w:type="dxa"/>
        <w:jc w:val="left"/>
        <w:tblInd w:w="456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firstRow="0" w:noVBand="0" w:lastRow="0" w:firstColumn="0" w:lastColumn="0" w:noHBand="0" w:val="0000"/>
      </w:tblPr>
      <w:tblGrid>
        <w:gridCol w:w="2974"/>
        <w:gridCol w:w="428"/>
        <w:gridCol w:w="1558"/>
        <w:gridCol w:w="223"/>
        <w:gridCol w:w="1842"/>
        <w:gridCol w:w="223"/>
        <w:gridCol w:w="1728"/>
      </w:tblGrid>
      <w:tr>
        <w:trPr>
          <w:trHeight w:val="250" w:hRule="atLeast"/>
        </w:trPr>
        <w:tc>
          <w:tcPr>
            <w:tcW w:w="3402" w:type="dxa"/>
            <w:gridSpan w:val="2"/>
            <w:tcBorders/>
          </w:tcPr>
          <w:p>
            <w:pPr>
              <w:pStyle w:val="Tabulka"/>
              <w:widowControl w:val="false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558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  <w:t>Predpokladaná</w:t>
            </w:r>
          </w:p>
        </w:tc>
        <w:tc>
          <w:tcPr>
            <w:tcW w:w="223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842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  <w:t>Metóda</w:t>
            </w:r>
          </w:p>
        </w:tc>
        <w:tc>
          <w:tcPr>
            <w:tcW w:w="223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728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  <w:t>Ročná odpisová</w:t>
            </w:r>
          </w:p>
        </w:tc>
      </w:tr>
      <w:tr>
        <w:trPr>
          <w:trHeight w:val="250" w:hRule="atLeast"/>
        </w:trPr>
        <w:tc>
          <w:tcPr>
            <w:tcW w:w="2974" w:type="dxa"/>
            <w:tcBorders>
              <w:bottom w:val="single" w:sz="4" w:space="0" w:color="000000"/>
            </w:tcBorders>
          </w:tcPr>
          <w:p>
            <w:pPr>
              <w:pStyle w:val="Tabulka"/>
              <w:widowControl w:val="false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428" w:type="dxa"/>
            <w:tcBorders>
              <w:bottom w:val="single" w:sz="4" w:space="0" w:color="000000"/>
            </w:tcBorders>
          </w:tcPr>
          <w:p>
            <w:pPr>
              <w:pStyle w:val="Tabulka"/>
              <w:widowControl w:val="false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558" w:type="dxa"/>
            <w:tcBorders>
              <w:bottom w:val="single" w:sz="4" w:space="0" w:color="000000"/>
            </w:tcBorders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  <w:t>doba používania</w:t>
              <w:br/>
              <w:t>v rokoch</w:t>
            </w:r>
          </w:p>
        </w:tc>
        <w:tc>
          <w:tcPr>
            <w:tcW w:w="223" w:type="dxa"/>
            <w:tcBorders>
              <w:bottom w:val="single" w:sz="4" w:space="0" w:color="000000"/>
            </w:tcBorders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842" w:type="dxa"/>
            <w:tcBorders>
              <w:bottom w:val="single" w:sz="4" w:space="0" w:color="000000"/>
            </w:tcBorders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  <w:t>odpisovania</w:t>
            </w:r>
          </w:p>
        </w:tc>
        <w:tc>
          <w:tcPr>
            <w:tcW w:w="223" w:type="dxa"/>
            <w:tcBorders>
              <w:bottom w:val="single" w:sz="4" w:space="0" w:color="000000"/>
            </w:tcBorders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728" w:type="dxa"/>
            <w:tcBorders>
              <w:bottom w:val="single" w:sz="4" w:space="0" w:color="000000"/>
            </w:tcBorders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  <w:t>sadzba v %</w:t>
            </w:r>
          </w:p>
        </w:tc>
      </w:tr>
      <w:tr>
        <w:trPr>
          <w:trHeight w:val="250" w:hRule="atLeast"/>
        </w:trPr>
        <w:tc>
          <w:tcPr>
            <w:tcW w:w="3402" w:type="dxa"/>
            <w:gridSpan w:val="2"/>
            <w:tcBorders/>
          </w:tcPr>
          <w:p>
            <w:pPr>
              <w:pStyle w:val="Tabulka"/>
              <w:widowControl w:val="false"/>
              <w:rPr>
                <w:sz w:val="20"/>
              </w:rPr>
            </w:pPr>
            <w:r>
              <w:rPr>
                <w:sz w:val="20"/>
              </w:rPr>
              <w:t>Aktivované náklady na vývoj</w:t>
            </w:r>
          </w:p>
        </w:tc>
        <w:tc>
          <w:tcPr>
            <w:tcW w:w="1558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  <w:t>5</w:t>
            </w:r>
          </w:p>
        </w:tc>
        <w:tc>
          <w:tcPr>
            <w:tcW w:w="223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842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  <w:t>lineárna</w:t>
            </w:r>
          </w:p>
        </w:tc>
        <w:tc>
          <w:tcPr>
            <w:tcW w:w="223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728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  <w:t>20</w:t>
            </w:r>
          </w:p>
        </w:tc>
      </w:tr>
      <w:tr>
        <w:trPr>
          <w:trHeight w:val="250" w:hRule="atLeast"/>
        </w:trPr>
        <w:tc>
          <w:tcPr>
            <w:tcW w:w="3402" w:type="dxa"/>
            <w:gridSpan w:val="2"/>
            <w:tcBorders/>
          </w:tcPr>
          <w:p>
            <w:pPr>
              <w:pStyle w:val="Tabulka"/>
              <w:widowControl w:val="false"/>
              <w:rPr>
                <w:sz w:val="20"/>
              </w:rPr>
            </w:pPr>
            <w:r>
              <w:rPr>
                <w:sz w:val="20"/>
              </w:rPr>
              <w:t>Softvér</w:t>
            </w:r>
          </w:p>
        </w:tc>
        <w:tc>
          <w:tcPr>
            <w:tcW w:w="1558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  <w:t>4</w:t>
            </w:r>
          </w:p>
        </w:tc>
        <w:tc>
          <w:tcPr>
            <w:tcW w:w="223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842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  <w:t>lineárna</w:t>
            </w:r>
          </w:p>
        </w:tc>
        <w:tc>
          <w:tcPr>
            <w:tcW w:w="223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728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  <w:t>25</w:t>
            </w:r>
          </w:p>
        </w:tc>
      </w:tr>
      <w:tr>
        <w:trPr>
          <w:trHeight w:val="245" w:hRule="atLeast"/>
        </w:trPr>
        <w:tc>
          <w:tcPr>
            <w:tcW w:w="3402" w:type="dxa"/>
            <w:gridSpan w:val="2"/>
            <w:tcBorders/>
          </w:tcPr>
          <w:p>
            <w:pPr>
              <w:pStyle w:val="Tabulka"/>
              <w:widowControl w:val="false"/>
              <w:ind w:hanging="84"/>
              <w:rPr>
                <w:sz w:val="20"/>
              </w:rPr>
            </w:pPr>
            <w:r>
              <w:rPr>
                <w:sz w:val="20"/>
              </w:rPr>
              <w:t>Oceniteľné práva (licencia)</w:t>
            </w:r>
          </w:p>
        </w:tc>
        <w:tc>
          <w:tcPr>
            <w:tcW w:w="1558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  <w:t>8</w:t>
            </w:r>
          </w:p>
        </w:tc>
        <w:tc>
          <w:tcPr>
            <w:tcW w:w="223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842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  <w:t>lineárna</w:t>
            </w:r>
          </w:p>
        </w:tc>
        <w:tc>
          <w:tcPr>
            <w:tcW w:w="223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728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  <w:t>12,5</w:t>
            </w:r>
          </w:p>
        </w:tc>
      </w:tr>
      <w:tr>
        <w:trPr>
          <w:trHeight w:val="245" w:hRule="atLeast"/>
        </w:trPr>
        <w:tc>
          <w:tcPr>
            <w:tcW w:w="3402" w:type="dxa"/>
            <w:gridSpan w:val="2"/>
            <w:tcBorders/>
          </w:tcPr>
          <w:p>
            <w:pPr>
              <w:pStyle w:val="Tabulka"/>
              <w:widowControl w:val="false"/>
              <w:ind w:hanging="84"/>
              <w:rPr>
                <w:sz w:val="20"/>
              </w:rPr>
            </w:pPr>
            <w:r>
              <w:rPr>
                <w:sz w:val="20"/>
              </w:rPr>
              <w:t>Drobný dlhodobý nehmotný majetok</w:t>
            </w:r>
          </w:p>
        </w:tc>
        <w:tc>
          <w:tcPr>
            <w:tcW w:w="1558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  <w:t>rôzna</w:t>
            </w:r>
          </w:p>
        </w:tc>
        <w:tc>
          <w:tcPr>
            <w:tcW w:w="223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842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  <w:t>jednorazový odpis</w:t>
            </w:r>
          </w:p>
        </w:tc>
        <w:tc>
          <w:tcPr>
            <w:tcW w:w="223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728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  <w:t>100</w:t>
            </w:r>
          </w:p>
        </w:tc>
      </w:tr>
    </w:tbl>
    <w:p>
      <w:pPr>
        <w:pStyle w:val="Telotextu"/>
        <w:rPr>
          <w:sz w:val="20"/>
        </w:rPr>
      </w:pPr>
      <w:r>
        <w:rPr>
          <w:sz w:val="20"/>
        </w:rPr>
      </w:r>
    </w:p>
    <w:p>
      <w:pPr>
        <w:pStyle w:val="Telotextu"/>
        <w:rPr>
          <w:sz w:val="20"/>
        </w:rPr>
      </w:pPr>
      <w:r>
        <w:rPr>
          <w:sz w:val="20"/>
        </w:rPr>
        <w:t>Odpisy dlhodobého hmotného majetku sú stanovené vychádzajúc z predpokladanej doby jeho používania a predpokladaného priebehu jeho opotrebenia. Odpisovať sa začína prvým dňom mesiaca nasledujúceho po uvedení dlhodobého majetku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tbl>
      <w:tblPr>
        <w:tblW w:w="8789" w:type="dxa"/>
        <w:jc w:val="left"/>
        <w:tblInd w:w="456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firstRow="0" w:noVBand="0" w:lastRow="0" w:firstColumn="0" w:lastColumn="0" w:noHBand="0" w:val="0000"/>
      </w:tblPr>
      <w:tblGrid>
        <w:gridCol w:w="2975"/>
        <w:gridCol w:w="143"/>
        <w:gridCol w:w="1985"/>
        <w:gridCol w:w="141"/>
        <w:gridCol w:w="1701"/>
        <w:gridCol w:w="142"/>
        <w:gridCol w:w="1701"/>
      </w:tblGrid>
      <w:tr>
        <w:trPr>
          <w:trHeight w:val="250" w:hRule="atLeast"/>
        </w:trPr>
        <w:tc>
          <w:tcPr>
            <w:tcW w:w="3118" w:type="dxa"/>
            <w:gridSpan w:val="2"/>
            <w:tcBorders/>
          </w:tcPr>
          <w:p>
            <w:pPr>
              <w:pStyle w:val="Tabulka"/>
              <w:widowControl w:val="false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985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  <w:t>Predpokladaná</w:t>
            </w:r>
          </w:p>
        </w:tc>
        <w:tc>
          <w:tcPr>
            <w:tcW w:w="141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701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  <w:t>Metóda</w:t>
            </w:r>
          </w:p>
        </w:tc>
        <w:tc>
          <w:tcPr>
            <w:tcW w:w="142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701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  <w:t>Ročná odpisová</w:t>
            </w:r>
          </w:p>
        </w:tc>
      </w:tr>
      <w:tr>
        <w:trPr>
          <w:trHeight w:val="250" w:hRule="atLeast"/>
        </w:trPr>
        <w:tc>
          <w:tcPr>
            <w:tcW w:w="2975" w:type="dxa"/>
            <w:tcBorders>
              <w:bottom w:val="single" w:sz="4" w:space="0" w:color="000000"/>
            </w:tcBorders>
          </w:tcPr>
          <w:p>
            <w:pPr>
              <w:pStyle w:val="Tabulka"/>
              <w:widowControl w:val="false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43" w:type="dxa"/>
            <w:tcBorders>
              <w:bottom w:val="single" w:sz="4" w:space="0" w:color="000000"/>
            </w:tcBorders>
          </w:tcPr>
          <w:p>
            <w:pPr>
              <w:pStyle w:val="Tabulka"/>
              <w:widowControl w:val="false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985" w:type="dxa"/>
            <w:tcBorders>
              <w:bottom w:val="single" w:sz="4" w:space="0" w:color="000000"/>
            </w:tcBorders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000000"/>
            </w:tcBorders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701" w:type="dxa"/>
            <w:tcBorders>
              <w:bottom w:val="single" w:sz="4" w:space="0" w:color="000000"/>
            </w:tcBorders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000000"/>
            </w:tcBorders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701" w:type="dxa"/>
            <w:tcBorders>
              <w:bottom w:val="single" w:sz="4" w:space="0" w:color="000000"/>
            </w:tcBorders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  <w:t>sadzba v %</w:t>
            </w:r>
          </w:p>
        </w:tc>
      </w:tr>
      <w:tr>
        <w:trPr>
          <w:trHeight w:val="250" w:hRule="atLeast"/>
        </w:trPr>
        <w:tc>
          <w:tcPr>
            <w:tcW w:w="3118" w:type="dxa"/>
            <w:gridSpan w:val="2"/>
            <w:tcBorders>
              <w:top w:val="single" w:sz="4" w:space="0" w:color="000000"/>
            </w:tcBorders>
          </w:tcPr>
          <w:p>
            <w:pPr>
              <w:pStyle w:val="Tabulka"/>
              <w:widowControl w:val="false"/>
              <w:rPr>
                <w:sz w:val="20"/>
              </w:rPr>
            </w:pPr>
            <w:r>
              <w:rPr>
                <w:sz w:val="20"/>
              </w:rPr>
              <w:t>Stavby</w:t>
            </w:r>
          </w:p>
        </w:tc>
        <w:tc>
          <w:tcPr>
            <w:tcW w:w="1985" w:type="dxa"/>
            <w:tcBorders>
              <w:top w:val="single" w:sz="4" w:space="0" w:color="000000"/>
            </w:tcBorders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  <w:t>20-40</w:t>
            </w:r>
          </w:p>
        </w:tc>
        <w:tc>
          <w:tcPr>
            <w:tcW w:w="141" w:type="dxa"/>
            <w:tcBorders>
              <w:top w:val="single" w:sz="4" w:space="0" w:color="000000"/>
            </w:tcBorders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701" w:type="dxa"/>
            <w:tcBorders>
              <w:top w:val="single" w:sz="4" w:space="0" w:color="000000"/>
            </w:tcBorders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000000"/>
            </w:tcBorders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701" w:type="dxa"/>
            <w:tcBorders>
              <w:top w:val="single" w:sz="4" w:space="0" w:color="000000"/>
            </w:tcBorders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  <w:t>2,5-5</w:t>
            </w:r>
          </w:p>
        </w:tc>
      </w:tr>
      <w:tr>
        <w:trPr>
          <w:trHeight w:val="250" w:hRule="atLeast"/>
        </w:trPr>
        <w:tc>
          <w:tcPr>
            <w:tcW w:w="3118" w:type="dxa"/>
            <w:gridSpan w:val="2"/>
            <w:tcBorders/>
          </w:tcPr>
          <w:p>
            <w:pPr>
              <w:pStyle w:val="Tabulka"/>
              <w:widowControl w:val="false"/>
              <w:rPr>
                <w:sz w:val="20"/>
              </w:rPr>
            </w:pPr>
            <w:r>
              <w:rPr>
                <w:sz w:val="20"/>
              </w:rPr>
              <w:t>Stroje, prístroje a zariadenia</w:t>
            </w:r>
          </w:p>
        </w:tc>
        <w:tc>
          <w:tcPr>
            <w:tcW w:w="1985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  <w:t>4 až 12</w:t>
            </w:r>
          </w:p>
        </w:tc>
        <w:tc>
          <w:tcPr>
            <w:tcW w:w="141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701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  <w:t>lineárna</w:t>
            </w:r>
          </w:p>
        </w:tc>
        <w:tc>
          <w:tcPr>
            <w:tcW w:w="142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701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  <w:t>8,3 až 25</w:t>
            </w:r>
          </w:p>
        </w:tc>
      </w:tr>
      <w:tr>
        <w:trPr>
          <w:trHeight w:val="250" w:hRule="atLeast"/>
        </w:trPr>
        <w:tc>
          <w:tcPr>
            <w:tcW w:w="3118" w:type="dxa"/>
            <w:gridSpan w:val="2"/>
            <w:tcBorders/>
          </w:tcPr>
          <w:p>
            <w:pPr>
              <w:pStyle w:val="Tabulka"/>
              <w:widowControl w:val="false"/>
              <w:rPr>
                <w:sz w:val="20"/>
              </w:rPr>
            </w:pPr>
            <w:r>
              <w:rPr>
                <w:sz w:val="20"/>
              </w:rPr>
              <w:t>Dopravné prostriedky</w:t>
            </w:r>
          </w:p>
        </w:tc>
        <w:tc>
          <w:tcPr>
            <w:tcW w:w="1985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  <w:t>4 až 6</w:t>
            </w:r>
          </w:p>
        </w:tc>
        <w:tc>
          <w:tcPr>
            <w:tcW w:w="141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701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  <w:t>degresívna</w:t>
            </w:r>
          </w:p>
        </w:tc>
        <w:tc>
          <w:tcPr>
            <w:tcW w:w="142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701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  <w:t>16 až 25</w:t>
            </w:r>
          </w:p>
        </w:tc>
      </w:tr>
      <w:tr>
        <w:trPr>
          <w:trHeight w:val="250" w:hRule="atLeast"/>
        </w:trPr>
        <w:tc>
          <w:tcPr>
            <w:tcW w:w="3118" w:type="dxa"/>
            <w:gridSpan w:val="2"/>
            <w:tcBorders/>
          </w:tcPr>
          <w:p>
            <w:pPr>
              <w:pStyle w:val="Tabulka"/>
              <w:widowControl w:val="false"/>
              <w:rPr>
                <w:sz w:val="20"/>
              </w:rPr>
            </w:pPr>
            <w:r>
              <w:rPr>
                <w:sz w:val="20"/>
              </w:rPr>
              <w:t>Drobný dlhodobý hmotný majetok</w:t>
            </w:r>
          </w:p>
        </w:tc>
        <w:tc>
          <w:tcPr>
            <w:tcW w:w="1985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  <w:t>rôzna</w:t>
            </w:r>
          </w:p>
        </w:tc>
        <w:tc>
          <w:tcPr>
            <w:tcW w:w="141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701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  <w:t>jednorazový odpis</w:t>
            </w:r>
          </w:p>
        </w:tc>
        <w:tc>
          <w:tcPr>
            <w:tcW w:w="142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701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  <w:t>100</w:t>
            </w:r>
          </w:p>
        </w:tc>
      </w:tr>
    </w:tbl>
    <w:p>
      <w:pPr>
        <w:pStyle w:val="Pismenka"/>
        <w:numPr>
          <w:ilvl w:val="0"/>
          <w:numId w:val="0"/>
        </w:numPr>
        <w:ind w:left="0" w:hanging="0"/>
        <w:rPr>
          <w:sz w:val="20"/>
        </w:rPr>
      </w:pPr>
      <w:r>
        <w:rPr>
          <w:sz w:val="20"/>
        </w:rPr>
      </w:r>
    </w:p>
    <w:p>
      <w:pPr>
        <w:pStyle w:val="Pismenka"/>
        <w:numPr>
          <w:ilvl w:val="0"/>
          <w:numId w:val="0"/>
        </w:numPr>
        <w:ind w:left="0" w:hanging="0"/>
        <w:rPr>
          <w:sz w:val="20"/>
        </w:rPr>
      </w:pPr>
      <w:r>
        <w:rPr>
          <w:sz w:val="20"/>
        </w:rPr>
      </w:r>
    </w:p>
    <w:p>
      <w:pPr>
        <w:pStyle w:val="Pismenka"/>
        <w:numPr>
          <w:ilvl w:val="0"/>
          <w:numId w:val="2"/>
        </w:numPr>
        <w:tabs>
          <w:tab w:val="clear" w:pos="426"/>
        </w:tabs>
        <w:ind w:left="426" w:hanging="426"/>
        <w:rPr>
          <w:sz w:val="20"/>
        </w:rPr>
      </w:pPr>
      <w:r>
        <w:rPr>
          <w:sz w:val="20"/>
        </w:rPr>
        <w:t>Cenné papiere a podiely</w:t>
      </w:r>
    </w:p>
    <w:p>
      <w:pPr>
        <w:pStyle w:val="Telotextu"/>
        <w:rPr>
          <w:sz w:val="20"/>
        </w:rPr>
      </w:pPr>
      <w:r>
        <w:rPr>
          <w:sz w:val="20"/>
        </w:rPr>
        <w:t xml:space="preserve">Cenné papiere a podiely sa oceňujú obstarávacími cenami vrátane nákladov súvisiacich s obstaraním. Od obstarávacej ceny je odpočítané zníženie hodnoty cenných papierov a podielov. </w:t>
      </w:r>
    </w:p>
    <w:p>
      <w:pPr>
        <w:pStyle w:val="Telotextu"/>
        <w:rPr>
          <w:sz w:val="20"/>
        </w:rPr>
      </w:pPr>
      <w:r>
        <w:rPr>
          <w:sz w:val="20"/>
        </w:rPr>
      </w:r>
    </w:p>
    <w:p>
      <w:pPr>
        <w:pStyle w:val="Pismenka"/>
        <w:numPr>
          <w:ilvl w:val="0"/>
          <w:numId w:val="2"/>
        </w:numPr>
        <w:tabs>
          <w:tab w:val="clear" w:pos="426"/>
        </w:tabs>
        <w:ind w:left="426" w:hanging="426"/>
        <w:rPr>
          <w:sz w:val="20"/>
        </w:rPr>
      </w:pPr>
      <w:r>
        <w:rPr>
          <w:sz w:val="20"/>
        </w:rPr>
        <w:t xml:space="preserve">Zásoby </w:t>
      </w:r>
    </w:p>
    <w:p>
      <w:pPr>
        <w:pStyle w:val="Telotextu"/>
        <w:rPr>
          <w:sz w:val="20"/>
        </w:rPr>
      </w:pPr>
      <w:r>
        <w:rPr>
          <w:sz w:val="20"/>
        </w:rPr>
        <w:t>Zásoby sa oceňujú nižšou z nasledujúcich hodnôt: obstarávacou cenou (nakupované zásoby) alebo vlastnými nákladmi (zásoby vytvorené vlastnou činnosťou) alebo čistou realizačnou hodnotou.</w:t>
      </w:r>
    </w:p>
    <w:p>
      <w:pPr>
        <w:pStyle w:val="Telotextu"/>
        <w:rPr>
          <w:sz w:val="20"/>
        </w:rPr>
      </w:pPr>
      <w:r>
        <w:rPr>
          <w:sz w:val="20"/>
        </w:rP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>
      <w:pPr>
        <w:pStyle w:val="Telotextu"/>
        <w:rPr>
          <w:sz w:val="20"/>
        </w:rPr>
      </w:pPr>
      <w:r>
        <w:rPr>
          <w:sz w:val="20"/>
        </w:rPr>
      </w:r>
    </w:p>
    <w:p>
      <w:pPr>
        <w:pStyle w:val="Telotextu"/>
        <w:rPr>
          <w:sz w:val="20"/>
        </w:rPr>
      </w:pPr>
      <w:r>
        <w:rPr>
          <w:sz w:val="20"/>
        </w:rP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>
      <w:pPr>
        <w:pStyle w:val="Telotextu"/>
        <w:rPr>
          <w:sz w:val="20"/>
        </w:rPr>
      </w:pPr>
      <w:r>
        <w:rPr>
          <w:sz w:val="20"/>
        </w:rPr>
      </w:r>
    </w:p>
    <w:p>
      <w:pPr>
        <w:pStyle w:val="Telotextu"/>
        <w:rPr>
          <w:sz w:val="20"/>
        </w:rPr>
      </w:pPr>
      <w:r>
        <w:rPr>
          <w:sz w:val="20"/>
        </w:rPr>
        <w:t xml:space="preserve">Čistá realizačná hodnota je predpokladaná predajná cena znížená o predpokladané náklady na ich dokončenie a o predpokladané náklady súvisiace s ich predajom.  </w:t>
      </w:r>
    </w:p>
    <w:p>
      <w:pPr>
        <w:pStyle w:val="Telotextu"/>
        <w:rPr>
          <w:sz w:val="20"/>
        </w:rPr>
      </w:pPr>
      <w:r>
        <w:rPr>
          <w:sz w:val="20"/>
        </w:rPr>
      </w:r>
    </w:p>
    <w:p>
      <w:pPr>
        <w:pStyle w:val="Telotextu"/>
        <w:rPr>
          <w:sz w:val="20"/>
        </w:rPr>
      </w:pPr>
      <w:r>
        <w:rPr>
          <w:sz w:val="20"/>
        </w:rPr>
        <w:t>Zníženie hodnoty zásob sa upravuje vytvorením opravnej položky.</w:t>
      </w:r>
    </w:p>
    <w:p>
      <w:pPr>
        <w:pStyle w:val="Telotextu"/>
        <w:rPr>
          <w:sz w:val="20"/>
        </w:rPr>
      </w:pPr>
      <w:r>
        <w:rPr>
          <w:sz w:val="20"/>
        </w:rPr>
      </w:r>
    </w:p>
    <w:p>
      <w:pPr>
        <w:pStyle w:val="Telotextu"/>
        <w:rPr>
          <w:sz w:val="20"/>
        </w:rPr>
      </w:pPr>
      <w:r>
        <w:rPr>
          <w:sz w:val="20"/>
        </w:rPr>
      </w:r>
    </w:p>
    <w:p>
      <w:pPr>
        <w:pStyle w:val="Telotextu"/>
        <w:rPr>
          <w:sz w:val="20"/>
        </w:rPr>
      </w:pPr>
      <w:r>
        <w:rPr>
          <w:sz w:val="20"/>
        </w:rPr>
      </w:r>
    </w:p>
    <w:p>
      <w:pPr>
        <w:pStyle w:val="Pismenka"/>
        <w:numPr>
          <w:ilvl w:val="0"/>
          <w:numId w:val="2"/>
        </w:numPr>
        <w:tabs>
          <w:tab w:val="clear" w:pos="426"/>
        </w:tabs>
        <w:ind w:left="426" w:hanging="426"/>
        <w:rPr>
          <w:sz w:val="20"/>
        </w:rPr>
      </w:pPr>
      <w:r>
        <w:rPr>
          <w:sz w:val="20"/>
        </w:rPr>
        <w:t>Pohľadávky</w:t>
      </w:r>
    </w:p>
    <w:p>
      <w:pPr>
        <w:pStyle w:val="Telotextu"/>
        <w:rPr>
          <w:sz w:val="20"/>
        </w:rPr>
      </w:pPr>
      <w:r>
        <w:rPr>
          <w:sz w:val="20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>
      <w:pPr>
        <w:pStyle w:val="Telotextu"/>
        <w:rPr>
          <w:sz w:val="20"/>
        </w:rPr>
      </w:pPr>
      <w:r>
        <w:rPr>
          <w:sz w:val="20"/>
        </w:rPr>
      </w:r>
    </w:p>
    <w:p>
      <w:pPr>
        <w:pStyle w:val="Pismenka"/>
        <w:numPr>
          <w:ilvl w:val="0"/>
          <w:numId w:val="2"/>
        </w:numPr>
        <w:tabs>
          <w:tab w:val="clear" w:pos="426"/>
        </w:tabs>
        <w:ind w:left="426" w:hanging="426"/>
        <w:rPr>
          <w:sz w:val="20"/>
        </w:rPr>
      </w:pPr>
      <w:r>
        <w:rPr>
          <w:sz w:val="20"/>
        </w:rPr>
        <w:t>Peňažné prostriedky a ceniny</w:t>
      </w:r>
    </w:p>
    <w:p>
      <w:pPr>
        <w:pStyle w:val="Telotextu"/>
        <w:rPr>
          <w:sz w:val="20"/>
        </w:rPr>
      </w:pPr>
      <w:r>
        <w:rPr>
          <w:sz w:val="20"/>
        </w:rPr>
        <w:t>Peňažné prostriedky a ceniny sa oceňujú ich menovitou hodnotou. Zníženie ich hodnoty sa vyjadruje opravnou položkou.</w:t>
      </w:r>
    </w:p>
    <w:p>
      <w:pPr>
        <w:pStyle w:val="Telotextu"/>
        <w:rPr>
          <w:sz w:val="20"/>
        </w:rPr>
      </w:pPr>
      <w:r>
        <w:rPr>
          <w:sz w:val="20"/>
        </w:rPr>
      </w:r>
    </w:p>
    <w:p>
      <w:pPr>
        <w:pStyle w:val="Telotextu"/>
        <w:rPr>
          <w:sz w:val="20"/>
        </w:rPr>
      </w:pPr>
      <w:r>
        <w:rPr>
          <w:sz w:val="20"/>
        </w:rPr>
      </w:r>
    </w:p>
    <w:p>
      <w:pPr>
        <w:pStyle w:val="Pismenka"/>
        <w:numPr>
          <w:ilvl w:val="0"/>
          <w:numId w:val="2"/>
        </w:numPr>
        <w:tabs>
          <w:tab w:val="clear" w:pos="426"/>
        </w:tabs>
        <w:ind w:left="426" w:hanging="426"/>
        <w:rPr>
          <w:sz w:val="20"/>
        </w:rPr>
      </w:pPr>
      <w:r>
        <w:rPr>
          <w:sz w:val="20"/>
        </w:rPr>
        <w:t>Náklady budúcich období a príjmy budúcich období</w:t>
      </w:r>
    </w:p>
    <w:p>
      <w:pPr>
        <w:pStyle w:val="Telotextu"/>
        <w:rPr>
          <w:sz w:val="20"/>
        </w:rPr>
      </w:pPr>
      <w:r>
        <w:rPr>
          <w:sz w:val="20"/>
        </w:rPr>
        <w:t>Náklady budúcich období a príjmy budúcich období sa vykazujú vo výške, ktorá je potrebná na dodržanie zásady vecnej a časovej súvislosti s účtovným obdobím.</w:t>
      </w:r>
    </w:p>
    <w:p>
      <w:pPr>
        <w:pStyle w:val="Telotextu"/>
        <w:rPr>
          <w:sz w:val="20"/>
        </w:rPr>
      </w:pPr>
      <w:r>
        <w:rPr>
          <w:sz w:val="20"/>
        </w:rPr>
      </w:r>
    </w:p>
    <w:p>
      <w:pPr>
        <w:pStyle w:val="Telotextu"/>
        <w:rPr>
          <w:sz w:val="20"/>
        </w:rPr>
      </w:pPr>
      <w:r>
        <w:rPr>
          <w:sz w:val="20"/>
        </w:rPr>
      </w:r>
    </w:p>
    <w:p>
      <w:pPr>
        <w:pStyle w:val="Pismenka"/>
        <w:numPr>
          <w:ilvl w:val="0"/>
          <w:numId w:val="2"/>
        </w:numPr>
        <w:tabs>
          <w:tab w:val="clear" w:pos="426"/>
        </w:tabs>
        <w:ind w:left="426" w:hanging="426"/>
        <w:rPr>
          <w:sz w:val="20"/>
        </w:rPr>
      </w:pPr>
      <w:r>
        <w:rPr>
          <w:sz w:val="20"/>
        </w:rPr>
        <w:t>Rezervy</w:t>
      </w:r>
    </w:p>
    <w:p>
      <w:pPr>
        <w:pStyle w:val="Telotextu"/>
        <w:rPr>
          <w:sz w:val="20"/>
        </w:rPr>
      </w:pPr>
      <w:r>
        <w:rPr>
          <w:sz w:val="20"/>
        </w:rPr>
        <w:t>Rezervy sú záväzky s neurčitým časovým vymedzením alebo výškou; tvoria sa na krytie známych rizík alebo strát z podnikania. Oceňujú sa v očakávanej výške záväzku.</w:t>
      </w:r>
    </w:p>
    <w:p>
      <w:pPr>
        <w:pStyle w:val="Pismenka"/>
        <w:numPr>
          <w:ilvl w:val="0"/>
          <w:numId w:val="0"/>
        </w:numPr>
        <w:ind w:left="360" w:hanging="0"/>
        <w:rPr>
          <w:sz w:val="20"/>
        </w:rPr>
      </w:pPr>
      <w:r>
        <w:rPr>
          <w:sz w:val="20"/>
        </w:rPr>
      </w:r>
    </w:p>
    <w:p>
      <w:pPr>
        <w:pStyle w:val="Pismenka"/>
        <w:numPr>
          <w:ilvl w:val="0"/>
          <w:numId w:val="2"/>
        </w:numPr>
        <w:tabs>
          <w:tab w:val="clear" w:pos="426"/>
        </w:tabs>
        <w:ind w:left="426" w:hanging="426"/>
        <w:rPr>
          <w:sz w:val="20"/>
        </w:rPr>
      </w:pPr>
      <w:r>
        <w:rPr>
          <w:sz w:val="20"/>
        </w:rPr>
        <w:t>Záväzky</w:t>
      </w:r>
    </w:p>
    <w:p>
      <w:pPr>
        <w:pStyle w:val="Telotextu"/>
        <w:rPr>
          <w:sz w:val="20"/>
        </w:rPr>
      </w:pPr>
      <w:r>
        <w:rPr>
          <w:sz w:val="20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>
      <w:pPr>
        <w:pStyle w:val="Pismenka"/>
        <w:numPr>
          <w:ilvl w:val="0"/>
          <w:numId w:val="0"/>
        </w:numPr>
        <w:ind w:left="360" w:hanging="0"/>
        <w:rPr>
          <w:sz w:val="20"/>
        </w:rPr>
      </w:pPr>
      <w:r>
        <w:rPr>
          <w:sz w:val="20"/>
        </w:rPr>
      </w:r>
    </w:p>
    <w:p>
      <w:pPr>
        <w:pStyle w:val="Pismenka"/>
        <w:numPr>
          <w:ilvl w:val="0"/>
          <w:numId w:val="2"/>
        </w:numPr>
        <w:tabs>
          <w:tab w:val="clear" w:pos="426"/>
        </w:tabs>
        <w:ind w:left="426" w:hanging="426"/>
        <w:rPr>
          <w:sz w:val="20"/>
        </w:rPr>
      </w:pPr>
      <w:r>
        <w:rPr>
          <w:sz w:val="20"/>
        </w:rPr>
        <w:t>Odložené dane</w:t>
      </w:r>
    </w:p>
    <w:p>
      <w:pPr>
        <w:pStyle w:val="Telotextu"/>
        <w:rPr>
          <w:sz w:val="20"/>
        </w:rPr>
      </w:pPr>
      <w:r>
        <w:rPr>
          <w:sz w:val="20"/>
        </w:rPr>
        <w:t xml:space="preserve">Odložené dane (odložená daňová pohľadávka a odložený daňový záväzok) sa vzťahujú na: </w:t>
      </w:r>
    </w:p>
    <w:p>
      <w:pPr>
        <w:pStyle w:val="Telotextu"/>
        <w:numPr>
          <w:ilvl w:val="0"/>
          <w:numId w:val="3"/>
        </w:numPr>
        <w:rPr>
          <w:sz w:val="20"/>
        </w:rPr>
      </w:pPr>
      <w:r>
        <w:rPr>
          <w:sz w:val="20"/>
        </w:rPr>
        <w:t>dočasné rozdiely medzi účtovnou hodnotou majetku a účtovnou hodnotou záväzkov vykázanou v súvahe a ich daňovou základňou,</w:t>
      </w:r>
    </w:p>
    <w:p>
      <w:pPr>
        <w:pStyle w:val="Telotextu"/>
        <w:numPr>
          <w:ilvl w:val="0"/>
          <w:numId w:val="3"/>
        </w:numPr>
        <w:rPr>
          <w:sz w:val="20"/>
        </w:rPr>
      </w:pPr>
      <w:r>
        <w:rPr>
          <w:sz w:val="20"/>
        </w:rPr>
        <w:t>možnosť umorovať daňovú stratu v budúcnosti, ktorou sa rozumie možnosť odpočítať daňovú stratu od základu dane v budúcnosti,</w:t>
      </w:r>
    </w:p>
    <w:p>
      <w:pPr>
        <w:pStyle w:val="Telotextu"/>
        <w:numPr>
          <w:ilvl w:val="0"/>
          <w:numId w:val="3"/>
        </w:numPr>
        <w:rPr>
          <w:sz w:val="20"/>
        </w:rPr>
      </w:pPr>
      <w:r>
        <w:rPr>
          <w:sz w:val="20"/>
        </w:rPr>
        <w:t>možnosť previesť nevyužité daňové odpočty a iné daňové nároky do budúcich období.</w:t>
      </w:r>
    </w:p>
    <w:p>
      <w:pPr>
        <w:pStyle w:val="Telotextu"/>
        <w:rPr>
          <w:sz w:val="20"/>
        </w:rPr>
      </w:pPr>
      <w:r>
        <w:rPr>
          <w:sz w:val="20"/>
        </w:rPr>
      </w:r>
    </w:p>
    <w:p>
      <w:pPr>
        <w:pStyle w:val="Pismenka"/>
        <w:numPr>
          <w:ilvl w:val="0"/>
          <w:numId w:val="2"/>
        </w:numPr>
        <w:tabs>
          <w:tab w:val="clear" w:pos="426"/>
        </w:tabs>
        <w:ind w:left="426" w:hanging="426"/>
        <w:rPr>
          <w:sz w:val="20"/>
        </w:rPr>
      </w:pPr>
      <w:r>
        <w:rPr>
          <w:sz w:val="20"/>
        </w:rPr>
        <w:t>Výdavky budúcich období a výnosy budúcich období</w:t>
      </w:r>
    </w:p>
    <w:p>
      <w:pPr>
        <w:pStyle w:val="Telotextu"/>
        <w:rPr>
          <w:sz w:val="20"/>
        </w:rPr>
      </w:pPr>
      <w:r>
        <w:rPr>
          <w:sz w:val="20"/>
        </w:rPr>
        <w:t>Výdavky budúcich období a výnosy budúcich období sa vykazujú vo výške, ktorá je potrebná na dodržanie zásady vecnej a časovej súvislosti s účtovným obdobím.</w:t>
      </w:r>
    </w:p>
    <w:p>
      <w:pPr>
        <w:pStyle w:val="Telotextu"/>
        <w:rPr>
          <w:sz w:val="20"/>
        </w:rPr>
      </w:pPr>
      <w:r>
        <w:rPr>
          <w:sz w:val="20"/>
        </w:rPr>
      </w:r>
    </w:p>
    <w:p>
      <w:pPr>
        <w:pStyle w:val="Pismenka"/>
        <w:numPr>
          <w:ilvl w:val="0"/>
          <w:numId w:val="2"/>
        </w:numPr>
        <w:tabs>
          <w:tab w:val="clear" w:pos="426"/>
        </w:tabs>
        <w:ind w:left="426" w:hanging="426"/>
        <w:rPr>
          <w:sz w:val="20"/>
        </w:rPr>
      </w:pPr>
      <w:r>
        <w:rPr>
          <w:sz w:val="20"/>
        </w:rPr>
        <w:t>Cudzia mena</w:t>
      </w:r>
    </w:p>
    <w:p>
      <w:pPr>
        <w:pStyle w:val="Telotextu"/>
        <w:rPr>
          <w:sz w:val="20"/>
        </w:rPr>
      </w:pPr>
      <w:r>
        <w:rPr>
          <w:sz w:val="20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>
      <w:pPr>
        <w:pStyle w:val="Telotextu"/>
        <w:rPr>
          <w:sz w:val="20"/>
        </w:rPr>
      </w:pPr>
      <w:r>
        <w:rPr>
          <w:sz w:val="20"/>
        </w:rPr>
      </w:r>
    </w:p>
    <w:p>
      <w:pPr>
        <w:pStyle w:val="Telotextu"/>
        <w:rPr>
          <w:sz w:val="20"/>
        </w:rPr>
      </w:pPr>
      <w:r>
        <w:rPr>
          <w:sz w:val="20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>
      <w:pPr>
        <w:pStyle w:val="Telotextu"/>
        <w:rPr>
          <w:sz w:val="20"/>
        </w:rPr>
      </w:pPr>
      <w:r>
        <w:rPr>
          <w:sz w:val="20"/>
        </w:rPr>
      </w:r>
    </w:p>
    <w:p>
      <w:pPr>
        <w:pStyle w:val="Telotextu"/>
        <w:rPr>
          <w:sz w:val="20"/>
        </w:rPr>
      </w:pPr>
      <w:r>
        <w:rPr>
          <w:sz w:val="20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</w:p>
    <w:p>
      <w:pPr>
        <w:pStyle w:val="Telotextu"/>
        <w:rPr>
          <w:sz w:val="20"/>
        </w:rPr>
      </w:pPr>
      <w:r>
        <w:rPr>
          <w:sz w:val="20"/>
        </w:rPr>
      </w:r>
    </w:p>
    <w:p>
      <w:pPr>
        <w:pStyle w:val="Telotextu"/>
        <w:rPr>
          <w:sz w:val="20"/>
        </w:rPr>
      </w:pPr>
      <w:r>
        <w:rPr>
          <w:sz w:val="20"/>
        </w:rPr>
        <w:t xml:space="preserve">Prijaté a poskytnuté preddavky v cudzej mene na účet zriadený v eurách a z účtu zriadeného v eurách sa prepočítavajú na menu euro kurzom, za ktorý boli tieto hodnoty nakúpené alebo predané. </w:t>
      </w:r>
    </w:p>
    <w:p>
      <w:pPr>
        <w:pStyle w:val="Telotextu"/>
        <w:rPr>
          <w:sz w:val="20"/>
        </w:rPr>
      </w:pPr>
      <w:r>
        <w:rPr>
          <w:sz w:val="20"/>
        </w:rPr>
      </w:r>
    </w:p>
    <w:p>
      <w:pPr>
        <w:pStyle w:val="Telotextu"/>
        <w:rPr>
          <w:sz w:val="20"/>
        </w:rPr>
      </w:pPr>
      <w:r>
        <w:rPr>
          <w:sz w:val="20"/>
        </w:rPr>
        <w:t xml:space="preserve">Prijaté a poskytnuté preddavky sa ku dňu, ku ktorému sa zostavuje účtovná závierka, na menu euro už neprepočítavajú. </w:t>
      </w:r>
    </w:p>
    <w:p>
      <w:pPr>
        <w:pStyle w:val="Telotextu"/>
        <w:rPr>
          <w:sz w:val="20"/>
        </w:rPr>
      </w:pPr>
      <w:r>
        <w:rPr>
          <w:sz w:val="20"/>
        </w:rPr>
      </w:r>
    </w:p>
    <w:p>
      <w:pPr>
        <w:pStyle w:val="Pismenka"/>
        <w:numPr>
          <w:ilvl w:val="0"/>
          <w:numId w:val="2"/>
        </w:numPr>
        <w:tabs>
          <w:tab w:val="clear" w:pos="426"/>
        </w:tabs>
        <w:ind w:left="426" w:hanging="426"/>
        <w:rPr>
          <w:sz w:val="20"/>
        </w:rPr>
      </w:pPr>
      <w:r>
        <w:rPr>
          <w:sz w:val="20"/>
        </w:rPr>
        <w:t>Výnosy</w:t>
      </w:r>
    </w:p>
    <w:p>
      <w:pPr>
        <w:pStyle w:val="Telotextu"/>
        <w:rPr>
          <w:sz w:val="20"/>
        </w:rPr>
      </w:pPr>
      <w:r>
        <w:rPr>
          <w:sz w:val="20"/>
        </w:rP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  <w:bookmarkStart w:id="14" w:name="_Toc530739900"/>
    </w:p>
    <w:p>
      <w:pPr>
        <w:pStyle w:val="Telotextu"/>
        <w:rPr>
          <w:sz w:val="20"/>
        </w:rPr>
      </w:pPr>
      <w:r>
        <w:rPr>
          <w:sz w:val="20"/>
        </w:rPr>
      </w:r>
    </w:p>
    <w:p>
      <w:pPr>
        <w:pStyle w:val="Pismenka"/>
        <w:numPr>
          <w:ilvl w:val="0"/>
          <w:numId w:val="2"/>
        </w:numPr>
        <w:ind w:left="426" w:hanging="426"/>
        <w:rPr>
          <w:b w:val="false"/>
          <w:b w:val="false"/>
          <w:sz w:val="20"/>
        </w:rPr>
      </w:pPr>
      <w:r>
        <w:rPr>
          <w:sz w:val="20"/>
        </w:rPr>
        <w:t>Opravy významných chýb minulých období</w:t>
      </w:r>
      <w:bookmarkEnd w:id="14"/>
    </w:p>
    <w:p>
      <w:pPr>
        <w:pStyle w:val="Pismenka"/>
        <w:numPr>
          <w:ilvl w:val="0"/>
          <w:numId w:val="0"/>
        </w:numPr>
        <w:ind w:left="360" w:hanging="360"/>
        <w:rPr>
          <w:b w:val="false"/>
          <w:b w:val="false"/>
          <w:sz w:val="20"/>
        </w:rPr>
      </w:pPr>
      <w:r>
        <w:rPr>
          <w:b w:val="false"/>
          <w:sz w:val="20"/>
        </w:rPr>
      </w:r>
    </w:p>
    <w:p>
      <w:pPr>
        <w:pStyle w:val="Telotextu"/>
        <w:jc w:val="center"/>
        <w:rPr>
          <w:b/>
          <w:b/>
          <w:sz w:val="20"/>
        </w:rPr>
      </w:pPr>
      <w:r>
        <w:rPr>
          <w:b/>
          <w:sz w:val="20"/>
        </w:rPr>
      </w:r>
    </w:p>
    <w:p>
      <w:pPr>
        <w:pStyle w:val="Telotextu"/>
        <w:jc w:val="center"/>
        <w:rPr>
          <w:b/>
          <w:b/>
          <w:sz w:val="20"/>
        </w:rPr>
      </w:pPr>
      <w:r>
        <w:rPr>
          <w:b/>
          <w:sz w:val="20"/>
        </w:rPr>
      </w:r>
    </w:p>
    <w:p>
      <w:pPr>
        <w:pStyle w:val="Telotextu"/>
        <w:numPr>
          <w:ilvl w:val="0"/>
          <w:numId w:val="5"/>
        </w:numPr>
        <w:jc w:val="center"/>
        <w:rPr>
          <w:b/>
          <w:b/>
          <w:sz w:val="20"/>
        </w:rPr>
      </w:pPr>
      <w:r>
        <w:rPr>
          <w:b/>
          <w:sz w:val="20"/>
        </w:rPr>
        <w:t>INFORMÁCIE, KTORÉ VYSVETĽUJÚ A DOPĽŇAJÚ SÚVAHU A VÝKAZ ZISKOV A STRÁT</w:t>
      </w:r>
    </w:p>
    <w:p>
      <w:pPr>
        <w:pStyle w:val="Telotextu"/>
        <w:jc w:val="left"/>
        <w:rPr>
          <w:b/>
          <w:b/>
          <w:sz w:val="20"/>
        </w:rPr>
      </w:pPr>
      <w:r>
        <w:rPr>
          <w:b/>
          <w:sz w:val="20"/>
        </w:rPr>
      </w:r>
    </w:p>
    <w:p>
      <w:pPr>
        <w:pStyle w:val="Telotextu"/>
        <w:jc w:val="left"/>
        <w:rPr>
          <w:b/>
          <w:b/>
          <w:sz w:val="20"/>
        </w:rPr>
      </w:pPr>
      <w:r>
        <w:rPr>
          <w:b/>
          <w:sz w:val="20"/>
        </w:rPr>
      </w:r>
    </w:p>
    <w:p>
      <w:pPr>
        <w:pStyle w:val="Telotextu"/>
        <w:rPr>
          <w:sz w:val="20"/>
        </w:rPr>
      </w:pPr>
      <w:r>
        <w:rPr>
          <w:sz w:val="20"/>
        </w:rPr>
        <w:t>Pre túto časť Poznámok účtovná jednotka nemá náplň.</w:t>
      </w:r>
    </w:p>
    <w:p>
      <w:pPr>
        <w:pStyle w:val="Telotextu"/>
        <w:rPr>
          <w:sz w:val="20"/>
        </w:rPr>
      </w:pPr>
      <w:r>
        <w:rPr>
          <w:sz w:val="20"/>
        </w:rPr>
      </w:r>
    </w:p>
    <w:p>
      <w:pPr>
        <w:pStyle w:val="Telotextu"/>
        <w:rPr>
          <w:sz w:val="20"/>
        </w:rPr>
      </w:pPr>
      <w:r>
        <w:rPr>
          <w:sz w:val="20"/>
        </w:rPr>
      </w:r>
      <w:bookmarkStart w:id="15" w:name="_MON_1395817569"/>
      <w:bookmarkStart w:id="16" w:name="_MON_1393346048"/>
      <w:bookmarkStart w:id="17" w:name="_MON_1393345959"/>
      <w:bookmarkStart w:id="18" w:name="_MON_1394182391"/>
      <w:bookmarkStart w:id="19" w:name="_MON_1393348817"/>
      <w:bookmarkStart w:id="20" w:name="_MON_1392366934"/>
      <w:bookmarkStart w:id="21" w:name="_MON_1392367054"/>
      <w:bookmarkStart w:id="22" w:name="_MON_1394182987"/>
      <w:bookmarkStart w:id="23" w:name="_MON_1396423556"/>
      <w:bookmarkStart w:id="24" w:name="_MON_1395817569"/>
      <w:bookmarkStart w:id="25" w:name="_MON_1393346048"/>
      <w:bookmarkStart w:id="26" w:name="_MON_1393345959"/>
      <w:bookmarkStart w:id="27" w:name="_MON_1394182391"/>
      <w:bookmarkStart w:id="28" w:name="_MON_1393348817"/>
      <w:bookmarkStart w:id="29" w:name="_MON_1392366934"/>
      <w:bookmarkStart w:id="30" w:name="_MON_1392367054"/>
      <w:bookmarkStart w:id="31" w:name="_MON_1394182987"/>
      <w:bookmarkStart w:id="32" w:name="_MON_1396423556"/>
      <w:bookmarkEnd w:id="24"/>
      <w:bookmarkEnd w:id="25"/>
      <w:bookmarkEnd w:id="26"/>
      <w:bookmarkEnd w:id="27"/>
      <w:bookmarkEnd w:id="28"/>
      <w:bookmarkEnd w:id="29"/>
      <w:bookmarkEnd w:id="30"/>
      <w:bookmarkEnd w:id="31"/>
      <w:bookmarkEnd w:id="32"/>
    </w:p>
    <w:p>
      <w:pPr>
        <w:pStyle w:val="Nadpis1"/>
        <w:numPr>
          <w:ilvl w:val="0"/>
          <w:numId w:val="0"/>
        </w:numPr>
        <w:spacing w:before="120" w:after="60"/>
        <w:ind w:left="426" w:hanging="0"/>
        <w:rPr>
          <w:sz w:val="20"/>
        </w:rPr>
      </w:pPr>
      <w:bookmarkStart w:id="33" w:name="_Toc530739925"/>
      <w:r>
        <w:rPr>
          <w:sz w:val="20"/>
        </w:rPr>
        <w:t>Informácie o skutočnostiach, ktoré nastali po dni, ku ktorému sa zostavuje účtovná závierka, do dňa zostavenia účtovnej závierky</w:t>
      </w:r>
      <w:bookmarkEnd w:id="33"/>
    </w:p>
    <w:p>
      <w:pPr>
        <w:pStyle w:val="Telotextu"/>
        <w:rPr>
          <w:sz w:val="20"/>
        </w:rPr>
      </w:pPr>
      <w:r>
        <w:rPr>
          <w:sz w:val="20"/>
        </w:rPr>
      </w:r>
    </w:p>
    <w:p>
      <w:pPr>
        <w:pStyle w:val="Telotextu"/>
        <w:rPr>
          <w:b/>
          <w:b/>
          <w:caps/>
          <w:sz w:val="20"/>
        </w:rPr>
      </w:pPr>
      <w:r>
        <w:rPr>
          <w:sz w:val="20"/>
        </w:rPr>
        <w:t>Po 31. decembri 202</w:t>
      </w:r>
      <w:r>
        <w:rPr>
          <w:sz w:val="20"/>
        </w:rPr>
        <w:t>5</w:t>
      </w:r>
      <w:r>
        <w:rPr>
          <w:sz w:val="20"/>
        </w:rPr>
        <w:t xml:space="preserve"> nenastali udalosti majúce významný vplyv na verné zobrazenie skutočností, ktoré sú predmetom účtovníctva.</w:t>
      </w:r>
      <w:bookmarkStart w:id="34" w:name="_Toc530739907"/>
      <w:bookmarkEnd w:id="34"/>
    </w:p>
    <w:sectPr>
      <w:headerReference w:type="default" r:id="rId4"/>
      <w:type w:val="nextPage"/>
      <w:pgSz w:w="11906" w:h="16838"/>
      <w:pgMar w:left="851" w:right="1021" w:gutter="0" w:header="675" w:top="1979" w:footer="0" w:bottom="1134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Times New Roman">
    <w:charset w:val="ee"/>
    <w:family w:val="roman"/>
    <w:pitch w:val="variable"/>
  </w:font>
  <w:font w:name="Cambria">
    <w:charset w:val="ee"/>
    <w:family w:val="roman"/>
    <w:pitch w:val="variable"/>
  </w:font>
  <w:font w:name="Times">
    <w:altName w:val="Times New Roman"/>
    <w:charset w:val="ee"/>
    <w:family w:val="roman"/>
    <w:pitch w:val="variable"/>
  </w:font>
  <w:font w:name="Tahoma">
    <w:charset w:val="ee"/>
    <w:family w:val="roman"/>
    <w:pitch w:val="variable"/>
  </w:font>
  <w:font w:name="Arial Narrow">
    <w:charset w:val="ee"/>
    <w:family w:val="roman"/>
    <w:pitch w:val="variable"/>
  </w:font>
  <w:font w:name="Liberation Sans">
    <w:altName w:val="Arial"/>
    <w:charset w:val="ee"/>
    <w:family w:val="roman"/>
    <w:pitch w:val="variable"/>
  </w:font>
</w:fonts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tbl>
    <w:tblPr>
      <w:tblW w:w="10311" w:type="dxa"/>
      <w:jc w:val="left"/>
      <w:tblInd w:w="55" w:type="dxa"/>
      <w:tblLayout w:type="fixed"/>
      <w:tblCellMar>
        <w:top w:w="0" w:type="dxa"/>
        <w:left w:w="70" w:type="dxa"/>
        <w:bottom w:w="0" w:type="dxa"/>
        <w:right w:w="70" w:type="dxa"/>
      </w:tblCellMar>
      <w:tblLook w:firstRow="1" w:noVBand="1" w:lastRow="0" w:firstColumn="1" w:lastColumn="0" w:noHBand="0" w:val="04a0"/>
    </w:tblPr>
    <w:tblGrid>
      <w:gridCol w:w="2709"/>
      <w:gridCol w:w="713"/>
      <w:gridCol w:w="345"/>
      <w:gridCol w:w="352"/>
      <w:gridCol w:w="345"/>
      <w:gridCol w:w="341"/>
      <w:gridCol w:w="352"/>
      <w:gridCol w:w="345"/>
      <w:gridCol w:w="347"/>
      <w:gridCol w:w="345"/>
      <w:gridCol w:w="686"/>
      <w:gridCol w:w="339"/>
      <w:gridCol w:w="349"/>
      <w:gridCol w:w="345"/>
      <w:gridCol w:w="340"/>
      <w:gridCol w:w="348"/>
      <w:gridCol w:w="344"/>
      <w:gridCol w:w="345"/>
      <w:gridCol w:w="343"/>
      <w:gridCol w:w="343"/>
      <w:gridCol w:w="332"/>
    </w:tblGrid>
    <w:tr>
      <w:trPr>
        <w:trHeight w:val="330" w:hRule="atLeast"/>
      </w:trPr>
      <w:tc>
        <w:tcPr>
          <w:tcW w:w="270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>
          <w:pPr>
            <w:pStyle w:val="Normal"/>
            <w:widowControl w:val="false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Poznámky Úč MÚJ 3 - 01</w:t>
          </w:r>
        </w:p>
      </w:tc>
      <w:tc>
        <w:tcPr>
          <w:tcW w:w="713" w:type="dxa"/>
          <w:tcBorders>
            <w:left w:val="single" w:sz="4" w:space="0" w:color="000000"/>
            <w:right w:val="single" w:sz="4" w:space="0" w:color="000000"/>
          </w:tcBorders>
          <w:vAlign w:val="bottom"/>
        </w:tcPr>
        <w:p>
          <w:pPr>
            <w:pStyle w:val="Normal"/>
            <w:widowControl w:val="false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</w:t>
          </w:r>
          <w:r>
            <w:rPr>
              <w:color w:val="000000"/>
              <w:szCs w:val="22"/>
            </w:rPr>
            <w:t>IČO</w:t>
          </w:r>
        </w:p>
      </w:tc>
      <w:tc>
        <w:tcPr>
          <w:tcW w:w="345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>
          <w:pPr>
            <w:pStyle w:val="Normal"/>
            <w:widowControl w:val="false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52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>
          <w:pPr>
            <w:pStyle w:val="Normal"/>
            <w:widowControl w:val="false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5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>
          <w:pPr>
            <w:pStyle w:val="Normal"/>
            <w:widowControl w:val="false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>
          <w:pPr>
            <w:pStyle w:val="Normal"/>
            <w:widowControl w:val="false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52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>
          <w:pPr>
            <w:pStyle w:val="Normal"/>
            <w:widowControl w:val="false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5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>
          <w:pPr>
            <w:pStyle w:val="Normal"/>
            <w:widowControl w:val="false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>
          <w:pPr>
            <w:pStyle w:val="Normal"/>
            <w:widowControl w:val="false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5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>
          <w:pPr>
            <w:pStyle w:val="Normal"/>
            <w:widowControl w:val="false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686" w:type="dxa"/>
          <w:tcBorders>
            <w:left w:val="single" w:sz="4" w:space="0" w:color="000000"/>
          </w:tcBorders>
          <w:vAlign w:val="bottom"/>
        </w:tcPr>
        <w:p>
          <w:pPr>
            <w:pStyle w:val="Normal"/>
            <w:widowControl w:val="false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DIČ</w:t>
          </w:r>
        </w:p>
      </w:tc>
      <w:tc>
        <w:tcPr>
          <w:tcW w:w="33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9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5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0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8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jc w:val="center"/>
            <w:rPr>
              <w:szCs w:val="22"/>
            </w:rPr>
          </w:pPr>
          <w:r>
            <w:rPr>
              <w:szCs w:val="22"/>
            </w:rPr>
            <w:t>8</w:t>
          </w:r>
        </w:p>
      </w:tc>
      <w:tc>
        <w:tcPr>
          <w:tcW w:w="345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jc w:val="center"/>
            <w:rPr>
              <w:szCs w:val="22"/>
            </w:rPr>
          </w:pPr>
          <w:r>
            <w:rPr>
              <w:szCs w:val="22"/>
            </w:rPr>
            <w:t>8</w:t>
          </w:r>
        </w:p>
      </w:tc>
      <w:tc>
        <w:tcPr>
          <w:tcW w:w="343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3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jc w:val="center"/>
            <w:rPr>
              <w:szCs w:val="22"/>
            </w:rPr>
          </w:pPr>
          <w:r>
            <w:rPr>
              <w:szCs w:val="22"/>
            </w:rPr>
            <w:t>9</w:t>
          </w:r>
        </w:p>
      </w:tc>
      <w:tc>
        <w:tcPr>
          <w:tcW w:w="332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jc w:val="center"/>
            <w:rPr>
              <w:szCs w:val="22"/>
            </w:rPr>
          </w:pPr>
          <w:r>
            <w:rPr>
              <w:szCs w:val="22"/>
            </w:rPr>
            <w:t>7</w:t>
          </w:r>
        </w:p>
      </w:tc>
    </w:tr>
  </w:tbl>
  <w:p>
    <w:pPr>
      <w:pStyle w:val="Zhlavie"/>
      <w:tabs>
        <w:tab w:val="clear" w:pos="4536"/>
        <w:tab w:val="clear" w:pos="9072"/>
        <w:tab w:val="center" w:pos="3969" w:leader="none"/>
        <w:tab w:val="right" w:pos="9214" w:leader="none"/>
      </w:tabs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pStyle w:val="Nadpis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</w:abstractNum>
  <w:abstractNum w:abstractNumId="2"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/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/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/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/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/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/>
    </w:lvl>
  </w:abstractNum>
  <w:abstractNum w:abstractNumId="3">
    <w:lvl w:ilvl="0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4"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/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/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/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/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/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/>
    </w:lvl>
  </w:abstractNum>
  <w:abstractNum w:abstractNumId="5">
    <w:lvl w:ilvl="0">
      <w:start w:val="1"/>
      <w:numFmt w:val="upperRoman"/>
      <w:lvlText w:val="%1."/>
      <w:lvlJc w:val="left"/>
      <w:pPr>
        <w:tabs>
          <w:tab w:val="num" w:pos="0"/>
        </w:tabs>
        <w:ind w:left="1080" w:hanging="720"/>
      </w:pPr>
      <w:rPr/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/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</w:numbering>
</file>

<file path=word/settings.xml><?xml version="1.0" encoding="utf-8"?>
<w:settings xmlns:w="http://schemas.openxmlformats.org/wordprocessingml/2006/main">
  <w:zoom w:percent="100"/>
  <w:defaultTabStop w:val="708"/>
  <w:autoHyphenation w:val="true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hyphenationZone w:val="425"/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2"/>
        <w:szCs w:val="22"/>
        <w:lang w:val="sk-SK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0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0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iPriority="0" w:semiHidden="1" w:unhideWhenUsed="1"/>
    <w:lsdException w:name="footer" w:uiPriority="0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uiPriority="0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e95128"/>
    <w:pPr>
      <w:widowControl/>
      <w:suppressAutoHyphens w:val="true"/>
      <w:bidi w:val="0"/>
      <w:spacing w:lineRule="auto" w:line="240" w:before="0" w:after="0"/>
      <w:jc w:val="left"/>
    </w:pPr>
    <w:rPr>
      <w:rFonts w:ascii="Times New Roman" w:hAnsi="Times New Roman" w:eastAsia="Times New Roman" w:cs="Times New Roman"/>
      <w:color w:val="auto"/>
      <w:kern w:val="0"/>
      <w:sz w:val="20"/>
      <w:szCs w:val="20"/>
      <w:lang w:val="sk-SK" w:eastAsia="en-US" w:bidi="ar-SA"/>
    </w:rPr>
  </w:style>
  <w:style w:type="paragraph" w:styleId="Nadpis1">
    <w:name w:val="Heading 1"/>
    <w:basedOn w:val="Normal"/>
    <w:next w:val="Normal"/>
    <w:link w:val="Nadpis1Char"/>
    <w:qFormat/>
    <w:rsid w:val="00e95128"/>
    <w:pPr>
      <w:keepNext w:val="true"/>
      <w:numPr>
        <w:ilvl w:val="0"/>
        <w:numId w:val="1"/>
      </w:numPr>
      <w:tabs>
        <w:tab w:val="clear" w:pos="708"/>
        <w:tab w:val="left" w:pos="450" w:leader="none"/>
      </w:tabs>
      <w:ind w:left="450" w:hanging="0"/>
      <w:outlineLvl w:val="0"/>
    </w:pPr>
    <w:rPr>
      <w:b/>
      <w:caps/>
      <w:sz w:val="18"/>
    </w:rPr>
  </w:style>
  <w:style w:type="paragraph" w:styleId="Nadpis2">
    <w:name w:val="Heading 2"/>
    <w:basedOn w:val="Normal"/>
    <w:next w:val="Normal"/>
    <w:link w:val="Nadpis2Char"/>
    <w:qFormat/>
    <w:rsid w:val="00e95128"/>
    <w:pPr>
      <w:keepNext w:val="true"/>
      <w:numPr>
        <w:ilvl w:val="0"/>
        <w:numId w:val="4"/>
      </w:numPr>
      <w:outlineLvl w:val="1"/>
    </w:pPr>
    <w:rPr>
      <w:b/>
      <w:sz w:val="18"/>
    </w:rPr>
  </w:style>
  <w:style w:type="paragraph" w:styleId="Nadpis6">
    <w:name w:val="Heading 6"/>
    <w:basedOn w:val="Normal"/>
    <w:next w:val="Normal"/>
    <w:link w:val="Nadpis6Char"/>
    <w:qFormat/>
    <w:rsid w:val="00e95128"/>
    <w:pPr>
      <w:keepNext w:val="true"/>
      <w:outlineLvl w:val="5"/>
    </w:pPr>
    <w:rPr>
      <w:b/>
      <w:caps/>
      <w:sz w:val="32"/>
    </w:rPr>
  </w:style>
  <w:style w:type="paragraph" w:styleId="Nadpis9">
    <w:name w:val="Heading 9"/>
    <w:basedOn w:val="Normal"/>
    <w:next w:val="Normal"/>
    <w:link w:val="Nadpis9Char"/>
    <w:uiPriority w:val="9"/>
    <w:semiHidden/>
    <w:unhideWhenUsed/>
    <w:qFormat/>
    <w:rsid w:val="003e0fa2"/>
    <w:pPr>
      <w:keepNext w:val="true"/>
      <w:keepLines/>
      <w:spacing w:before="200" w:after="0"/>
      <w:outlineLvl w:val="8"/>
    </w:pPr>
    <w:rPr>
      <w:rFonts w:ascii="Cambria" w:hAnsi="Cambria" w:eastAsia="" w:cs="" w:asciiTheme="majorHAnsi" w:cstheme="majorBidi" w:eastAsiaTheme="majorEastAsia" w:hAnsiTheme="majorHAnsi"/>
      <w:i/>
      <w:iCs/>
      <w:color w:val="404040" w:themeColor="text1" w:themeTint="bf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HlavikaChar" w:customStyle="1">
    <w:name w:val="Hlavička Char"/>
    <w:basedOn w:val="DefaultParagraphFont"/>
    <w:semiHidden/>
    <w:qFormat/>
    <w:rsid w:val="00e95128"/>
    <w:rPr/>
  </w:style>
  <w:style w:type="character" w:styleId="PtaChar" w:customStyle="1">
    <w:name w:val="Päta Char"/>
    <w:basedOn w:val="DefaultParagraphFont"/>
    <w:qFormat/>
    <w:rsid w:val="00e95128"/>
    <w:rPr/>
  </w:style>
  <w:style w:type="character" w:styleId="Pagenumber">
    <w:name w:val="page number"/>
    <w:basedOn w:val="DefaultParagraphFont"/>
    <w:qFormat/>
    <w:rsid w:val="00e95128"/>
    <w:rPr>
      <w:rFonts w:cs="Times New Roman"/>
    </w:rPr>
  </w:style>
  <w:style w:type="character" w:styleId="Nadpis1Char" w:customStyle="1">
    <w:name w:val="Nadpis 1 Char"/>
    <w:basedOn w:val="DefaultParagraphFont"/>
    <w:qFormat/>
    <w:rsid w:val="00e95128"/>
    <w:rPr>
      <w:rFonts w:ascii="Times New Roman" w:hAnsi="Times New Roman" w:eastAsia="Times New Roman" w:cs="Times New Roman"/>
      <w:b/>
      <w:caps/>
      <w:sz w:val="18"/>
      <w:szCs w:val="20"/>
    </w:rPr>
  </w:style>
  <w:style w:type="character" w:styleId="Nadpis2Char" w:customStyle="1">
    <w:name w:val="Nadpis 2 Char"/>
    <w:basedOn w:val="DefaultParagraphFont"/>
    <w:qFormat/>
    <w:rsid w:val="00e95128"/>
    <w:rPr>
      <w:rFonts w:ascii="Times New Roman" w:hAnsi="Times New Roman" w:eastAsia="Times New Roman" w:cs="Times New Roman"/>
      <w:b/>
      <w:sz w:val="18"/>
      <w:szCs w:val="20"/>
    </w:rPr>
  </w:style>
  <w:style w:type="character" w:styleId="Nadpis6Char" w:customStyle="1">
    <w:name w:val="Nadpis 6 Char"/>
    <w:basedOn w:val="DefaultParagraphFont"/>
    <w:qFormat/>
    <w:rsid w:val="00e95128"/>
    <w:rPr>
      <w:rFonts w:ascii="Times New Roman" w:hAnsi="Times New Roman" w:eastAsia="Times New Roman" w:cs="Times New Roman"/>
      <w:b/>
      <w:caps/>
      <w:sz w:val="32"/>
      <w:szCs w:val="20"/>
    </w:rPr>
  </w:style>
  <w:style w:type="character" w:styleId="ZkladntextChar" w:customStyle="1">
    <w:name w:val="Základný text Char"/>
    <w:basedOn w:val="DefaultParagraphFont"/>
    <w:qFormat/>
    <w:rsid w:val="00e95128"/>
    <w:rPr>
      <w:rFonts w:ascii="Times New Roman" w:hAnsi="Times New Roman" w:eastAsia="Times New Roman" w:cs="Times New Roman"/>
      <w:sz w:val="18"/>
      <w:szCs w:val="20"/>
    </w:rPr>
  </w:style>
  <w:style w:type="character" w:styleId="Ukotveniepoznmkypodiarou">
    <w:name w:val="Ukotvenie poznámky pod čiarou"/>
    <w:rPr>
      <w:rFonts w:cs="Times New Roman"/>
      <w:sz w:val="16"/>
      <w:szCs w:val="16"/>
      <w:vertAlign w:val="superscript"/>
    </w:rPr>
  </w:style>
  <w:style w:type="character" w:styleId="FootnoteCharacters">
    <w:name w:val="Footnote Characters"/>
    <w:basedOn w:val="DefaultParagraphFont"/>
    <w:semiHidden/>
    <w:qFormat/>
    <w:rsid w:val="00e95128"/>
    <w:rPr>
      <w:rFonts w:cs="Times New Roman"/>
      <w:sz w:val="16"/>
      <w:szCs w:val="16"/>
      <w:vertAlign w:val="superscript"/>
    </w:rPr>
  </w:style>
  <w:style w:type="character" w:styleId="ZifChar" w:customStyle="1">
    <w:name w:val="zif Char"/>
    <w:basedOn w:val="DefaultParagraphFont"/>
    <w:link w:val="Zif"/>
    <w:qFormat/>
    <w:locked/>
    <w:rsid w:val="00e95128"/>
    <w:rPr>
      <w:rFonts w:ascii="Times" w:hAnsi="Times" w:eastAsia="Times New Roman" w:cs="Times New Roman"/>
      <w:sz w:val="20"/>
      <w:szCs w:val="20"/>
      <w:lang w:val="en-US"/>
    </w:rPr>
  </w:style>
  <w:style w:type="character" w:styleId="Nadpis9Char" w:customStyle="1">
    <w:name w:val="Nadpis 9 Char"/>
    <w:basedOn w:val="DefaultParagraphFont"/>
    <w:semiHidden/>
    <w:qFormat/>
    <w:rsid w:val="003e0fa2"/>
    <w:rPr>
      <w:rFonts w:ascii="Cambria" w:hAnsi="Cambria" w:eastAsia="" w:cs="" w:asciiTheme="majorHAnsi" w:cstheme="majorBidi" w:eastAsiaTheme="majorEastAsia" w:hAnsiTheme="majorHAnsi"/>
      <w:i/>
      <w:iCs/>
      <w:color w:val="404040" w:themeColor="text1" w:themeTint="bf"/>
      <w:sz w:val="20"/>
      <w:szCs w:val="20"/>
    </w:rPr>
  </w:style>
  <w:style w:type="character" w:styleId="TextbublinyChar" w:customStyle="1">
    <w:name w:val="Text bubliny Char"/>
    <w:basedOn w:val="DefaultParagraphFont"/>
    <w:link w:val="BalloonText"/>
    <w:uiPriority w:val="99"/>
    <w:semiHidden/>
    <w:qFormat/>
    <w:rsid w:val="004b69e1"/>
    <w:rPr>
      <w:rFonts w:ascii="Tahoma" w:hAnsi="Tahoma" w:eastAsia="Times New Roman" w:cs="Tahoma"/>
      <w:sz w:val="16"/>
      <w:szCs w:val="16"/>
    </w:rPr>
  </w:style>
  <w:style w:type="character" w:styleId="NzovChar" w:customStyle="1">
    <w:name w:val="Názov Char"/>
    <w:basedOn w:val="DefaultParagraphFont"/>
    <w:uiPriority w:val="99"/>
    <w:qFormat/>
    <w:rsid w:val="00c6200c"/>
    <w:rPr>
      <w:rFonts w:ascii="Arial Narrow" w:hAnsi="Arial Narrow" w:eastAsia="Times New Roman" w:cs="Times New Roman"/>
      <w:b/>
      <w:bCs/>
      <w:kern w:val="2"/>
      <w:szCs w:val="32"/>
    </w:rPr>
  </w:style>
  <w:style w:type="character" w:styleId="Ra" w:customStyle="1">
    <w:name w:val="ra"/>
    <w:basedOn w:val="DefaultParagraphFont"/>
    <w:qFormat/>
    <w:rsid w:val="00437793"/>
    <w:rPr/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link w:val="ZkladntextChar"/>
    <w:rsid w:val="00e95128"/>
    <w:pPr>
      <w:ind w:left="426" w:hanging="0"/>
      <w:jc w:val="both"/>
    </w:pPr>
    <w:rPr>
      <w:sz w:val="18"/>
    </w:rPr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  <w:lang w:val="zxx" w:eastAsia="zxx" w:bidi="zxx"/>
    </w:rPr>
  </w:style>
  <w:style w:type="paragraph" w:styleId="Hlavikaapta">
    <w:name w:val="Hlavička a päta"/>
    <w:basedOn w:val="Normal"/>
    <w:qFormat/>
    <w:pPr/>
    <w:rPr/>
  </w:style>
  <w:style w:type="paragraph" w:styleId="Zhlavie">
    <w:name w:val="Header"/>
    <w:basedOn w:val="Normal"/>
    <w:link w:val="HlavikaChar"/>
    <w:unhideWhenUsed/>
    <w:rsid w:val="00e95128"/>
    <w:pPr>
      <w:tabs>
        <w:tab w:val="clear" w:pos="708"/>
        <w:tab w:val="center" w:pos="4536" w:leader="none"/>
        <w:tab w:val="right" w:pos="9072" w:leader="none"/>
      </w:tabs>
    </w:pPr>
    <w:rPr/>
  </w:style>
  <w:style w:type="paragraph" w:styleId="Pta">
    <w:name w:val="Footer"/>
    <w:basedOn w:val="Normal"/>
    <w:link w:val="PtaChar"/>
    <w:unhideWhenUsed/>
    <w:rsid w:val="00e95128"/>
    <w:pPr>
      <w:tabs>
        <w:tab w:val="clear" w:pos="708"/>
        <w:tab w:val="center" w:pos="4536" w:leader="none"/>
        <w:tab w:val="right" w:pos="9072" w:leader="none"/>
      </w:tabs>
    </w:pPr>
    <w:rPr/>
  </w:style>
  <w:style w:type="paragraph" w:styleId="Uvod" w:customStyle="1">
    <w:name w:val="Uvod"/>
    <w:basedOn w:val="Normal"/>
    <w:qFormat/>
    <w:rsid w:val="00e95128"/>
    <w:pPr>
      <w:ind w:left="284" w:hanging="284"/>
      <w:jc w:val="both"/>
    </w:pPr>
    <w:rPr>
      <w:sz w:val="22"/>
    </w:rPr>
  </w:style>
  <w:style w:type="paragraph" w:styleId="Lita" w:customStyle="1">
    <w:name w:val="lit_a"/>
    <w:basedOn w:val="Normal"/>
    <w:qFormat/>
    <w:rsid w:val="00e95128"/>
    <w:pPr>
      <w:spacing w:before="0" w:after="20"/>
      <w:ind w:left="624" w:hanging="340"/>
      <w:jc w:val="both"/>
    </w:pPr>
    <w:rPr>
      <w:rFonts w:ascii="Times" w:hAnsi="Times"/>
      <w:lang w:val="en-US"/>
    </w:rPr>
  </w:style>
  <w:style w:type="paragraph" w:styleId="Zif" w:customStyle="1">
    <w:name w:val="zif"/>
    <w:basedOn w:val="Normal"/>
    <w:link w:val="ZifChar"/>
    <w:qFormat/>
    <w:rsid w:val="00e95128"/>
    <w:pPr>
      <w:tabs>
        <w:tab w:val="clear" w:pos="708"/>
        <w:tab w:val="left" w:pos="620" w:leader="none"/>
      </w:tabs>
      <w:spacing w:before="0" w:after="80"/>
      <w:jc w:val="both"/>
    </w:pPr>
    <w:rPr>
      <w:rFonts w:ascii="Times" w:hAnsi="Times"/>
      <w:lang w:val="en-US"/>
    </w:rPr>
  </w:style>
  <w:style w:type="paragraph" w:styleId="ListParagraph">
    <w:name w:val="List Paragraph"/>
    <w:basedOn w:val="Normal"/>
    <w:qFormat/>
    <w:rsid w:val="00e95128"/>
    <w:pPr>
      <w:ind w:left="708" w:hanging="0"/>
    </w:pPr>
    <w:rPr/>
  </w:style>
  <w:style w:type="paragraph" w:styleId="Tabulka" w:customStyle="1">
    <w:name w:val="Tabulka"/>
    <w:basedOn w:val="Normal"/>
    <w:qFormat/>
    <w:rsid w:val="00160aaa"/>
    <w:pPr/>
    <w:rPr>
      <w:color w:val="000000"/>
      <w:sz w:val="18"/>
    </w:rPr>
  </w:style>
  <w:style w:type="paragraph" w:styleId="Pismenka" w:customStyle="1">
    <w:name w:val="Pismenka"/>
    <w:basedOn w:val="Telotextu"/>
    <w:qFormat/>
    <w:rsid w:val="00160aaa"/>
    <w:pPr>
      <w:numPr>
        <w:ilvl w:val="0"/>
        <w:numId w:val="2"/>
      </w:numPr>
      <w:tabs>
        <w:tab w:val="clear" w:pos="708"/>
        <w:tab w:val="left" w:pos="426" w:leader="none"/>
      </w:tabs>
      <w:ind w:left="426" w:hanging="426"/>
    </w:pPr>
    <w:rPr>
      <w:b/>
    </w:rPr>
  </w:style>
  <w:style w:type="paragraph" w:styleId="BalloonText">
    <w:name w:val="Balloon Text"/>
    <w:basedOn w:val="Normal"/>
    <w:link w:val="TextbublinyChar"/>
    <w:uiPriority w:val="99"/>
    <w:semiHidden/>
    <w:unhideWhenUsed/>
    <w:qFormat/>
    <w:rsid w:val="004b69e1"/>
    <w:pPr/>
    <w:rPr>
      <w:rFonts w:ascii="Tahoma" w:hAnsi="Tahoma" w:cs="Tahoma"/>
      <w:sz w:val="16"/>
      <w:szCs w:val="16"/>
    </w:rPr>
  </w:style>
  <w:style w:type="paragraph" w:styleId="Nzov">
    <w:name w:val="Title"/>
    <w:basedOn w:val="Normal"/>
    <w:next w:val="Normal"/>
    <w:link w:val="NzovChar"/>
    <w:uiPriority w:val="99"/>
    <w:qFormat/>
    <w:rsid w:val="00c6200c"/>
    <w:pPr>
      <w:keepNext w:val="true"/>
      <w:spacing w:beforeAutospacing="1" w:after="220"/>
      <w:jc w:val="center"/>
      <w:outlineLvl w:val="0"/>
    </w:pPr>
    <w:rPr>
      <w:rFonts w:ascii="Arial Narrow" w:hAnsi="Arial Narrow"/>
      <w:b/>
      <w:bCs/>
      <w:kern w:val="2"/>
      <w:sz w:val="22"/>
      <w:szCs w:val="32"/>
    </w:rPr>
  </w:style>
  <w:style w:type="paragraph" w:styleId="TopHeader" w:customStyle="1">
    <w:name w:val="Top Header"/>
    <w:basedOn w:val="Normal"/>
    <w:qFormat/>
    <w:rsid w:val="00c6200c"/>
    <w:pPr>
      <w:jc w:val="center"/>
    </w:pPr>
    <w:rPr>
      <w:rFonts w:ascii="Arial Narrow" w:hAnsi="Arial Narrow"/>
      <w:b/>
      <w:bCs/>
      <w:sz w:val="22"/>
      <w:szCs w:val="22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package" Target="embeddings/oleObject1.xlsx"/><Relationship Id="rId3" Type="http://schemas.openxmlformats.org/officeDocument/2006/relationships/image" Target="media/image1.emf"/><Relationship Id="rId4" Type="http://schemas.openxmlformats.org/officeDocument/2006/relationships/header" Target="header1.xml"/><Relationship Id="rId5" Type="http://schemas.openxmlformats.org/officeDocument/2006/relationships/numbering" Target="numbering.xml"/><Relationship Id="rId6" Type="http://schemas.openxmlformats.org/officeDocument/2006/relationships/fontTable" Target="fontTable.xml"/><Relationship Id="rId7" Type="http://schemas.openxmlformats.org/officeDocument/2006/relationships/settings" Target="settings.xml"/><Relationship Id="rId8" Type="http://schemas.openxmlformats.org/officeDocument/2006/relationships/theme" Target="theme/theme1.xml"/><Relationship Id="rId9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4009856-704D-4D87-A06D-12E8FFDBA18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47</TotalTime>
  <Application>LibreOffice/7.3.5.2$Windows_X86_64 LibreOffice_project/184fe81b8c8c30d8b5082578aee2fed2ea847c01</Application>
  <AppVersion>15.0000</AppVersion>
  <Pages>4</Pages>
  <Words>1430</Words>
  <Characters>8445</Characters>
  <CharactersWithSpaces>9749</CharactersWithSpaces>
  <Paragraphs>133</Paragraphs>
  <Company>KPMG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2020-02-27T08:18:00Z</dcterms:created>
  <dc:creator>lstankovits</dc:creator>
  <dc:description/>
  <dc:language>sk-SK</dc:language>
  <cp:lastModifiedBy/>
  <cp:lastPrinted>2025-03-04T08:47:33Z</cp:lastPrinted>
  <dcterms:modified xsi:type="dcterms:W3CDTF">2026-03-03T09:49:08Z</dcterms:modified>
  <cp:revision>13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