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uto" w:line="240" w:before="2" w:after="0"/>
        <w:ind w:hanging="0" w:left="0" w:right="0"/>
        <w:jc w:val="left"/>
        <w:rPr>
          <w:rFonts w:ascii="Calibri" w:hAnsi="Calibri" w:eastAsia="Calibri" w:cs="Calibri"/>
          <w:color w:val="auto"/>
          <w:spacing w:val="0"/>
          <w:sz w:val="14"/>
          <w:shd w:fill="auto" w:val="clear"/>
        </w:rPr>
      </w:pPr>
      <w:r>
        <w:rPr>
          <w:rFonts w:eastAsia="Calibri" w:cs="Calibri"/>
          <w:color w:val="000000"/>
          <w:spacing w:val="0"/>
          <w:sz w:val="14"/>
          <w:shd w:fill="auto" w:val="clear"/>
        </w:rPr>
      </w:r>
    </w:p>
    <w:p>
      <w:pPr>
        <w:pStyle w:val="Normal"/>
        <w:bidi w:val="0"/>
        <w:spacing w:lineRule="auto" w:line="240" w:before="0" w:after="120"/>
        <w:ind w:hanging="0" w:left="0" w:right="0"/>
        <w:jc w:val="center"/>
        <w:rPr>
          <w:rFonts w:ascii="Arial Narrow" w:hAnsi="Arial Narrow" w:eastAsia="Arial Narrow" w:cs="Arial Narrow"/>
          <w:b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Poznámky k mikro účtovnej závierke za rok 2025</w:t>
      </w:r>
    </w:p>
    <w:p>
      <w:pPr>
        <w:pStyle w:val="Normal"/>
        <w:bidi w:val="0"/>
        <w:spacing w:lineRule="auto" w:line="240" w:before="0" w:after="0"/>
        <w:ind w:hanging="0" w:left="0" w:right="0"/>
        <w:jc w:val="center"/>
        <w:rPr>
          <w:rFonts w:ascii="Arial Narrow" w:hAnsi="Arial Narrow" w:eastAsia="Arial Narrow" w:cs="Arial Narrow"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mikro účtovné jednotky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v znení neskorších predpisov</w:t>
      </w:r>
    </w:p>
    <w:p>
      <w:pPr>
        <w:pStyle w:val="Normal"/>
        <w:bidi w:val="0"/>
        <w:spacing w:lineRule="auto" w:line="240" w:before="0" w:after="0"/>
        <w:ind w:hanging="0" w:left="0" w:right="0"/>
        <w:jc w:val="center"/>
        <w:rPr>
          <w:rFonts w:ascii="Arial Narrow" w:hAnsi="Arial Narrow" w:eastAsia="Arial Narrow" w:cs="Arial Narrow"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(ostatná novela č.MF/14775/2017-74 – FS č.17/2017)</w:t>
      </w:r>
    </w:p>
    <w:p>
      <w:pPr>
        <w:pStyle w:val="Normal"/>
        <w:bidi w:val="0"/>
        <w:spacing w:lineRule="auto" w:line="240" w:before="7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auto" w:line="240" w:before="0" w:after="0"/>
        <w:ind w:hanging="0" w:left="0" w:right="-425"/>
        <w:jc w:val="both"/>
        <w:rPr>
          <w:rFonts w:ascii="Arial Narrow" w:hAnsi="Arial Narrow" w:eastAsia="Arial Narrow" w:cs="Arial Narrow"/>
          <w:color w:val="auto"/>
          <w:spacing w:val="0"/>
          <w:sz w:val="22"/>
          <w:u w:val="single"/>
          <w:shd w:fill="auto" w:val="clear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u w:val="single"/>
          <w:shd w:fill="auto" w:val="clear"/>
        </w:rPr>
        <w:t>Test veľkostnej skupiny účtovnej jednotky (2 ZoU)</w:t>
      </w:r>
    </w:p>
    <w:p>
      <w:pPr>
        <w:pStyle w:val="Normal"/>
        <w:bidi w:val="0"/>
        <w:spacing w:lineRule="auto" w:line="240" w:before="0" w:after="0"/>
        <w:ind w:hanging="0" w:left="0" w:right="0"/>
        <w:jc w:val="both"/>
        <w:rPr>
          <w:rFonts w:ascii="Arial Narrow" w:hAnsi="Arial Narrow" w:eastAsia="Arial Narrow" w:cs="Arial Narrow"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(Do veľkostnej skupiny mikro účtovná jednotka patrí taká, ktorá k prvému dňu roku 2024 spĺňa za dve po sebe bezprostredne predchádzajúce účtovné obdobia aspoň dve z troch podmienok:</w:t>
      </w:r>
    </w:p>
    <w:p>
      <w:pPr>
        <w:pStyle w:val="Normal"/>
        <w:numPr>
          <w:ilvl w:val="0"/>
          <w:numId w:val="1"/>
        </w:numPr>
        <w:bidi w:val="0"/>
        <w:spacing w:lineRule="auto" w:line="240" w:before="120" w:after="0"/>
        <w:ind w:hanging="357" w:left="357" w:right="0"/>
        <w:jc w:val="both"/>
        <w:rPr>
          <w:rFonts w:ascii="Arial Narrow" w:hAnsi="Arial Narrow" w:eastAsia="Arial Narrow" w:cs="Arial Narrow"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Rok 2022 – suma netto aktív nepresiahla 350 000 eur, čistý obrat nepresiahol 700 000 eur a priemerný prepočítaný počet zamestnancov počas účtovného obdobia nepresiahol 10;</w:t>
      </w:r>
    </w:p>
    <w:p>
      <w:pPr>
        <w:pStyle w:val="Normal"/>
        <w:numPr>
          <w:ilvl w:val="0"/>
          <w:numId w:val="1"/>
        </w:numPr>
        <w:bidi w:val="0"/>
        <w:spacing w:lineRule="auto" w:line="240" w:before="120" w:after="0"/>
        <w:ind w:hanging="357" w:left="357" w:right="0"/>
        <w:jc w:val="both"/>
        <w:rPr>
          <w:rFonts w:ascii="Arial Narrow" w:hAnsi="Arial Narrow" w:eastAsia="Arial Narrow" w:cs="Arial Narrow"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Rok 2023 – zvýšené limity podľa § 39zc/1 zákona o účtovníctve č.105/2024 Z.z. nasledovne – suma netto aktív nepresiahla 450 000 eur, čistý obrat nepresiahol 900 000 eur a priemerný prepočítaný počet zamestnancov počas účtovného obdobia nepresiahol 10.</w:t>
      </w:r>
    </w:p>
    <w:p>
      <w:pPr>
        <w:pStyle w:val="Normal"/>
        <w:bidi w:val="0"/>
        <w:spacing w:lineRule="auto" w:line="240" w:before="0" w:after="0"/>
        <w:ind w:hanging="0" w:left="0" w:right="0"/>
        <w:jc w:val="both"/>
        <w:rPr>
          <w:rFonts w:ascii="Arial Narrow" w:hAnsi="Arial Narrow" w:eastAsia="Arial Narrow" w:cs="Arial Narrow"/>
          <w:b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</w:r>
    </w:p>
    <w:tbl>
      <w:tblPr>
        <w:tblW w:w="9568" w:type="dxa"/>
        <w:jc w:val="left"/>
        <w:tblInd w:w="15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5"/>
        <w:gridCol w:w="2976"/>
        <w:gridCol w:w="2977"/>
        <w:gridCol w:w="1559"/>
      </w:tblGrid>
      <w:tr>
        <w:trPr>
          <w:trHeight w:val="1" w:hRule="atLeast"/>
        </w:trPr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center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pacing w:val="0"/>
                <w:sz w:val="22"/>
                <w:shd w:fill="auto" w:val="clear"/>
              </w:rPr>
              <w:t>Názov položky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center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pacing w:val="0"/>
                <w:sz w:val="22"/>
                <w:shd w:fill="auto" w:val="clear"/>
              </w:rPr>
              <w:t>Rok 2022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center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pacing w:val="0"/>
                <w:sz w:val="22"/>
                <w:shd w:fill="auto" w:val="clear"/>
              </w:rPr>
              <w:t>Rok  2023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center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 Narrow" w:cs="Arial Narrow" w:ascii="Arial Narrow" w:hAnsi="Arial Narrow"/>
                <w:b/>
                <w:color w:val="000000"/>
                <w:spacing w:val="0"/>
                <w:sz w:val="22"/>
                <w:shd w:fill="auto" w:val="clear"/>
              </w:rPr>
              <w:t>Áno/Nie</w:t>
            </w:r>
          </w:p>
        </w:tc>
      </w:tr>
      <w:tr>
        <w:trPr>
          <w:trHeight w:val="1" w:hRule="atLeast"/>
        </w:trPr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 Narrow" w:cs="Arial Narrow" w:ascii="Arial Narrow" w:hAnsi="Arial Narrow"/>
                <w:color w:val="000000"/>
                <w:spacing w:val="0"/>
                <w:sz w:val="22"/>
                <w:shd w:fill="auto" w:val="clear"/>
              </w:rPr>
              <w:t>Netto aktíva celkom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 xml:space="preserve">                      </w:t>
            </w: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 xml:space="preserve">                              </w:t>
            </w: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 Narrow" w:cs="Arial Narrow" w:ascii="Arial Narrow" w:hAnsi="Arial Narrow"/>
                <w:color w:val="000000"/>
                <w:spacing w:val="0"/>
                <w:sz w:val="22"/>
                <w:shd w:fill="auto" w:val="clear"/>
              </w:rPr>
              <w:t>Čistý obrat celkom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 Narrow" w:cs="Arial Narrow" w:ascii="Arial Narrow" w:hAnsi="Arial Narrow"/>
                <w:color w:val="000000"/>
                <w:spacing w:val="0"/>
                <w:sz w:val="22"/>
                <w:shd w:fill="auto" w:val="clear"/>
              </w:rPr>
              <w:t>Počet zamestnancov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40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auto" w:line="240" w:before="0" w:after="0"/>
        <w:ind w:hanging="0" w:left="0" w:right="0"/>
        <w:jc w:val="both"/>
        <w:rPr>
          <w:rFonts w:ascii="Arial Narrow" w:hAnsi="Arial Narrow" w:eastAsia="Arial Narrow" w:cs="Arial Narrow"/>
          <w:b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auto" w:line="240" w:before="0" w:after="0"/>
        <w:ind w:hanging="0" w:left="0" w:right="0"/>
        <w:jc w:val="both"/>
        <w:rPr>
          <w:rFonts w:ascii="Arial Narrow" w:hAnsi="Arial Narrow" w:eastAsia="Arial Narrow" w:cs="Arial Narrow"/>
          <w:color w:val="auto"/>
          <w:spacing w:val="0"/>
          <w:sz w:val="22"/>
          <w:shd w:fill="auto" w:val="clear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u w:val="single"/>
          <w:shd w:fill="auto" w:val="clear"/>
        </w:rPr>
        <w:t>Komentár: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UJ spĺňa veľkostné podmienky na zatriedenie do veľkostnej skupiny – 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 xml:space="preserve">mikro účtovná jednotka, 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preto zostavuje účtovnú závierku podľa metodiky pre túto veľkostnú skupinu (Opatrenie č.MF/15464/2013-74 v znení neskorších predpisov).</w:t>
      </w:r>
    </w:p>
    <w:p>
      <w:pPr>
        <w:pStyle w:val="Normal"/>
        <w:bidi w:val="0"/>
        <w:spacing w:lineRule="auto" w:line="240" w:before="69" w:after="0"/>
        <w:ind w:hanging="0" w:left="0" w:right="836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</w:t>
      </w:r>
    </w:p>
    <w:p>
      <w:pPr>
        <w:pStyle w:val="Normal"/>
        <w:bidi w:val="0"/>
        <w:spacing w:lineRule="auto" w:line="240" w:before="0" w:after="0"/>
        <w:ind w:hanging="0" w:left="0" w:right="841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Vš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ec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úda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e</w:t>
      </w:r>
    </w:p>
    <w:p>
      <w:pPr>
        <w:pStyle w:val="Normal"/>
        <w:bidi w:val="0"/>
        <w:spacing w:lineRule="auto" w:line="240" w:before="7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left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1.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Identifikácia účtovnej jednotky (názov, IČO, sídlo):</w:t>
      </w:r>
    </w:p>
    <w:p>
      <w:pPr>
        <w:pStyle w:val="Normal"/>
        <w:bidi w:val="0"/>
        <w:spacing w:lineRule="auto" w:line="262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47"/>
        <w:gridCol w:w="6489"/>
      </w:tblGrid>
      <w:tr>
        <w:trPr>
          <w:trHeight w:val="1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Názov:</w:t>
            </w:r>
          </w:p>
        </w:tc>
        <w:tc>
          <w:tcPr>
            <w:tcW w:w="6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MG-Ú.A.D. S.R.O.</w:t>
            </w:r>
          </w:p>
        </w:tc>
      </w:tr>
      <w:tr>
        <w:trPr>
          <w:trHeight w:val="1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IČO:</w:t>
            </w:r>
          </w:p>
        </w:tc>
        <w:tc>
          <w:tcPr>
            <w:tcW w:w="6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35736241</w:t>
            </w:r>
          </w:p>
        </w:tc>
      </w:tr>
      <w:tr>
        <w:trPr>
          <w:trHeight w:val="1" w:hRule="atLeast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Sídlo:</w:t>
            </w:r>
          </w:p>
        </w:tc>
        <w:tc>
          <w:tcPr>
            <w:tcW w:w="6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821 07 Bebravská 7</w:t>
            </w:r>
          </w:p>
        </w:tc>
      </w:tr>
    </w:tbl>
    <w:p>
      <w:pPr>
        <w:pStyle w:val="Normal"/>
        <w:bidi w:val="0"/>
        <w:spacing w:lineRule="auto" w:line="262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auto" w:line="262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left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Úd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je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konsolidovanom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lk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-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hodné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síd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konsolidujú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left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left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bidi w:val="0"/>
        <w:spacing w:lineRule="auto" w:line="262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Pri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ít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t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: 0</w:t>
      </w:r>
    </w:p>
    <w:p>
      <w:pPr>
        <w:pStyle w:val="Normal"/>
        <w:bidi w:val="0"/>
        <w:spacing w:lineRule="auto" w:line="262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41"/>
        <w:gridCol w:w="2097"/>
        <w:gridCol w:w="3299"/>
      </w:tblGrid>
      <w:tr>
        <w:trPr>
          <w:trHeight w:val="1" w:hRule="atLeast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center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center"/>
              <w:rPr>
                <w:rFonts w:ascii="Arial" w:hAnsi="Arial" w:eastAsia="Arial" w:cs="Arial"/>
                <w:b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Bežné účtovné</w:t>
            </w:r>
          </w:p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center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center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left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auto" w:line="262" w:before="0" w:after="0"/>
              <w:ind w:hanging="0" w:left="0" w:right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 xml:space="preserve">  </w:t>
            </w: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0</w:t>
            </w:r>
          </w:p>
        </w:tc>
      </w:tr>
    </w:tbl>
    <w:p>
      <w:pPr>
        <w:pStyle w:val="Normal"/>
        <w:bidi w:val="0"/>
        <w:spacing w:lineRule="auto" w:line="262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auto" w:line="281" w:before="1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auto" w:line="240" w:before="0" w:after="0"/>
        <w:ind w:hanging="0" w:left="0" w:right="839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</w:t>
      </w:r>
    </w:p>
    <w:p>
      <w:pPr>
        <w:pStyle w:val="Normal"/>
        <w:bidi w:val="0"/>
        <w:spacing w:lineRule="auto" w:line="240" w:before="0" w:after="0"/>
        <w:ind w:hanging="0" w:left="0" w:right="836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 o p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ij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tý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postu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p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</w:p>
    <w:p>
      <w:pPr>
        <w:pStyle w:val="Normal"/>
        <w:bidi w:val="0"/>
        <w:spacing w:lineRule="auto" w:line="262" w:before="11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lnenia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dpokladu,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 bude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ržite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pokr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ť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vo svojej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innosti: nie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Spôsob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 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6"/>
        <w:gridCol w:w="4770"/>
      </w:tblGrid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center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center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fin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Zásoby obst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kúpo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5"/>
                <w:sz w:val="22"/>
                <w:shd w:fill="auto" w:val="clear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tvor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Vlastné náklady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Kúpené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f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ina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Obstarávacia cena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ky 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tane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Pô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ičky 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 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úv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riv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</w:t>
            </w:r>
            <w:r>
              <w:rPr>
                <w:rFonts w:eastAsia="Arial" w:cs="Arial" w:ascii="Arial" w:hAnsi="Arial"/>
                <w:color w:val="000000"/>
                <w:spacing w:val="5"/>
                <w:sz w:val="22"/>
                <w:shd w:fill="auto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op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c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auto" w:line="240" w:before="0" w:after="0"/>
              <w:ind w:hanging="0" w:left="0" w:right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Menovitá hodnota</w:t>
            </w:r>
          </w:p>
        </w:tc>
      </w:tr>
    </w:tbl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3. Spôsob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plánu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motn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hmotn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tku,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nia,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ité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 odpisov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metó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pri 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 odpisov: nie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d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 xml:space="preserve"> 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9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metód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ním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hto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vu 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nú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hodnotu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tku,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ladn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 hospod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 nie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dotá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ich 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 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íctv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auto" w:line="240" w:before="0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tovaní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dobí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isk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rokov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uhr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nú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súč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uviesť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sledok hospod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nia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ia:</w:t>
      </w:r>
    </w:p>
    <w:p>
      <w:pPr>
        <w:pStyle w:val="Normal"/>
        <w:bidi w:val="0"/>
        <w:spacing w:lineRule="auto" w:line="281" w:before="1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auto" w:line="240" w:before="0" w:after="0"/>
        <w:ind w:hanging="0" w:left="0" w:right="157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III</w:t>
      </w:r>
    </w:p>
    <w:p>
      <w:pPr>
        <w:pStyle w:val="Normal"/>
        <w:bidi w:val="0"/>
        <w:spacing w:lineRule="auto" w:line="240" w:before="0" w:after="0"/>
        <w:ind w:hanging="0" w:left="0" w:right="157"/>
        <w:jc w:val="center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ie, ktoré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vysv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tľujú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dop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ĺ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ňa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 súv</w:t>
      </w:r>
      <w:r>
        <w:rPr>
          <w:rFonts w:eastAsia="Arial" w:cs="Arial" w:ascii="Arial" w:hAnsi="Arial"/>
          <w:b/>
          <w:color w:val="000000"/>
          <w:spacing w:val="-3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u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výkaz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z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is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ov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át</w:t>
      </w:r>
    </w:p>
    <w:p>
      <w:pPr>
        <w:pStyle w:val="Normal"/>
        <w:bidi w:val="0"/>
        <w:spacing w:lineRule="auto" w:line="262" w:before="11" w:after="0"/>
        <w:ind w:hanging="0" w:left="0" w:right="0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 sume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ô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vodo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niku jednotli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kladov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b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nosov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majú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nimo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4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rozs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ku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dôvodu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ivel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ôm: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-4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 so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ostatkovou dobou sp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tnosti dlhšou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ť rokov: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opis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spôso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äz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kov: nie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vlast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to najmä – dôvod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dobudnutia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ota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ovitá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hto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imaní.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obudli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rú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iedli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inú osobu.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čet a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 hodnota a hodnote,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ktorú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dli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 ich 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ntuál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iel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kladnom 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ní: nie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Informácia, či účtovná jednotka tvorila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kapitálový fond z príspevkov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podľa § 123 ods. 2 a § 217a Obchodného zákonníka v znení neskorších predpisov.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o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ruk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lenov štatutá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tovnej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nie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b)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lenom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-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suma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dňu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tovného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obdobia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lková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splat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odpust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odpí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obdobia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org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y: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nie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c) hlav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nk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h,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oli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;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ri pôžičk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sa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 úr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sadz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 nie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-5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ostried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plnenia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súkromné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nmi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nu,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tovať: nie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2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povinnosti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to: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2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-8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0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ujú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súva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sú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posúd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inan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situ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jom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tívn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jmu,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tvor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mlúv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 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boli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povinnosti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kon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sion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lúv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 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poplatku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lé zostáv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platnosti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-8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 xml:space="preserve">b)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mi sa 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umie mo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 kto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  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toh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stane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</w:t>
      </w:r>
      <w:r>
        <w:rPr>
          <w:rFonts w:eastAsia="Arial" w:cs="Arial" w:ascii="Arial" w:hAnsi="Arial"/>
          <w:color w:val="000000"/>
          <w:spacing w:val="2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jedna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viac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lostí v budú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nosti, 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 nez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 od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istujúca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dok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losti,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torá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uje v súva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he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 nie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splnenie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tejto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bude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konomi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itkov,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ška t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jto povinnosti sa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spoľ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hlivo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niť: nie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c)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fi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podmi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4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dstat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 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vom: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e)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nností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7"/>
          <w:sz w:val="22"/>
          <w:u w:val="single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dô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hodko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ogr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ov: nie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7.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0"/>
          <w:spacing w:val="0"/>
          <w:sz w:val="22"/>
          <w:u w:val="single"/>
          <w:shd w:fill="auto" w:val="clear"/>
        </w:rPr>
        <w:t>služby vo verejnom záujme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auto" w:line="240" w:before="0" w:after="0"/>
        <w:ind w:hanging="0" w:left="101" w:right="116"/>
        <w:jc w:val="both"/>
        <w:rPr>
          <w:rFonts w:ascii="Arial" w:hAnsi="Arial" w:eastAsia="Arial" w:cs="Arial"/>
          <w:color w:val="auto"/>
          <w:spacing w:val="0"/>
          <w:sz w:val="22"/>
          <w:shd w:fill="auto" w:val="clear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</w:r>
    </w:p>
    <w:sectPr>
      <w:type w:val="nextPage"/>
      <w:pgSz w:w="12240" w:h="15840"/>
      <w:pgMar w:left="1440" w:right="1440" w:gutter="0" w:header="0" w:top="1440" w:footer="0" w:bottom="144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"/>
        <w:kern w:val="2"/>
        <w:sz w:val="22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NSimSun" w:cs="Arial"/>
      <w:color w:val="auto"/>
      <w:kern w:val="2"/>
      <w:sz w:val="22"/>
      <w:szCs w:val="24"/>
      <w:lang w:val="sk-SK" w:eastAsia="zh-CN" w:bidi="hi-IN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LibreOffice/25.2.7.2$Windows_X86_64 LibreOffice_project/5cbfd1ab6520636bb5f7b99185aa69bd7456825d</Application>
  <AppVersion>15.0000</AppVersion>
  <Pages>4</Pages>
  <Words>1065</Words>
  <Characters>6587</Characters>
  <CharactersWithSpaces>7667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2026-02-08T19:43:23Z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