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559F88">
      <w:pPr>
        <w:pBdr>
          <w:top w:val="single" w:color="000000" w:sz="6" w:space="1"/>
          <w:left w:val="single" w:color="000000" w:sz="6" w:space="4"/>
          <w:bottom w:val="single" w:color="000000" w:sz="6" w:space="1"/>
          <w:right w:val="single" w:color="000000" w:sz="6" w:space="4"/>
        </w:pBdr>
        <w:spacing w:before="100" w:beforeAutospacing="1" w:after="119" w:line="240" w:lineRule="auto"/>
        <w:jc w:val="center"/>
        <w:rPr>
          <w:rFonts w:hint="default" w:ascii="Times New Roman" w:hAnsi="Times New Roman" w:eastAsia="Times New Roman" w:cs="Times New Roman"/>
          <w:sz w:val="24"/>
          <w:szCs w:val="24"/>
          <w:lang w:val="en-US" w:eastAsia="sk-SK"/>
        </w:rPr>
      </w:pPr>
      <w:r>
        <w:rPr>
          <w:rFonts w:ascii="Arial Narrow" w:hAnsi="Arial Narrow" w:eastAsia="Times New Roman" w:cs="Times New Roman"/>
          <w:b/>
          <w:bCs/>
          <w:sz w:val="24"/>
          <w:szCs w:val="24"/>
          <w:lang w:eastAsia="sk-SK"/>
        </w:rPr>
        <w:t xml:space="preserve">Poznámky k </w:t>
      </w:r>
      <w:r>
        <w:rPr>
          <w:rFonts w:hint="default" w:ascii="Arial Narrow" w:hAnsi="Arial Narrow" w:eastAsia="Times New Roman" w:cs="Times New Roman"/>
          <w:b/>
          <w:bCs/>
          <w:sz w:val="24"/>
          <w:szCs w:val="24"/>
          <w:lang w:val="en-US" w:eastAsia="sk-SK"/>
        </w:rPr>
        <w:t xml:space="preserve">mimoriadnej </w:t>
      </w:r>
      <w:bookmarkStart w:id="0" w:name="_GoBack"/>
      <w:bookmarkEnd w:id="0"/>
      <w:r>
        <w:rPr>
          <w:rFonts w:ascii="Arial Narrow" w:hAnsi="Arial Narrow" w:eastAsia="Times New Roman" w:cs="Times New Roman"/>
          <w:b/>
          <w:bCs/>
          <w:sz w:val="24"/>
          <w:szCs w:val="24"/>
          <w:lang w:eastAsia="sk-SK"/>
        </w:rPr>
        <w:t>účtovnej závierke za rok 202</w:t>
      </w:r>
      <w:r>
        <w:rPr>
          <w:rFonts w:hint="default" w:ascii="Arial Narrow" w:hAnsi="Arial Narrow" w:eastAsia="Times New Roman" w:cs="Times New Roman"/>
          <w:b/>
          <w:bCs/>
          <w:sz w:val="24"/>
          <w:szCs w:val="24"/>
          <w:lang w:val="en-US" w:eastAsia="sk-SK"/>
        </w:rPr>
        <w:t>5</w:t>
      </w:r>
    </w:p>
    <w:p w14:paraId="4AD5DC4D">
      <w:pPr>
        <w:pBdr>
          <w:top w:val="single" w:color="000000" w:sz="6" w:space="1"/>
          <w:left w:val="single" w:color="000000" w:sz="6" w:space="4"/>
          <w:bottom w:val="single" w:color="000000" w:sz="6" w:space="1"/>
          <w:right w:val="single" w:color="000000" w:sz="6" w:space="4"/>
        </w:pBdr>
        <w:spacing w:before="100" w:beforeAutospacing="1" w:after="0" w:line="240" w:lineRule="auto"/>
        <w:jc w:val="center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Arial Narrow" w:hAnsi="Arial Narrow" w:eastAsia="Times New Roman" w:cs="Times New Roman"/>
          <w:b/>
          <w:bCs/>
          <w:lang w:eastAsia="sk-SK"/>
        </w:rPr>
        <w:t>zostavené podľa Opatrenia MF SR č.4455/2003-92, ktorým sa ustanovujú podrobnosti o usporiadaní, označovaní a obsahovom vymedzení položiek individuálnej účtovnej závierky a rozsahu údajov určených z individuálnej účtovnej závierky na zverejnenie pre podnikateľov účtujúcich v sústave podvojného účtovníctva v znení neskorších predpisov (ostatná novela č.MF/18009/2014-74 – FS č.10/2014)</w:t>
      </w:r>
    </w:p>
    <w:p w14:paraId="09716326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84" w:type="dxa"/>
          <w:left w:w="84" w:type="dxa"/>
          <w:bottom w:w="84" w:type="dxa"/>
          <w:right w:w="84" w:type="dxa"/>
        </w:tblCellMar>
      </w:tblPr>
      <w:tblGrid>
        <w:gridCol w:w="2184"/>
        <w:gridCol w:w="8218"/>
      </w:tblGrid>
      <w:tr w14:paraId="26DF7EFB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5000" w:type="pct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vAlign w:val="bottom"/>
          </w:tcPr>
          <w:p w14:paraId="5DF54EDE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  <w:lang w:eastAsia="sk-SK"/>
              </w:rPr>
              <w:t>ZÁKLADNÉ INFORMÁCIE O ÚČTOVNEJ JEDNOTKE</w:t>
            </w:r>
          </w:p>
        </w:tc>
      </w:tr>
      <w:tr w14:paraId="76950E13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rHeight w:val="144" w:hRule="atLeast"/>
          <w:tblCellSpacing w:w="0" w:type="dxa"/>
        </w:trPr>
        <w:tc>
          <w:tcPr>
            <w:tcW w:w="10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vAlign w:val="bottom"/>
          </w:tcPr>
          <w:p w14:paraId="6AB67B68">
            <w:pPr>
              <w:spacing w:before="100" w:beforeAutospacing="1" w:after="119" w:line="144" w:lineRule="atLeast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Obchodné meno:</w:t>
            </w:r>
          </w:p>
        </w:tc>
        <w:tc>
          <w:tcPr>
            <w:tcW w:w="39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vAlign w:val="bottom"/>
          </w:tcPr>
          <w:p w14:paraId="75A92FA0">
            <w:pPr>
              <w:spacing w:before="100" w:beforeAutospacing="1" w:after="119" w:line="144" w:lineRule="atLeast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LK STM s.r.o. v likvidácii</w:t>
            </w:r>
          </w:p>
        </w:tc>
      </w:tr>
      <w:tr w14:paraId="15008A08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rHeight w:val="144" w:hRule="atLeast"/>
          <w:tblCellSpacing w:w="0" w:type="dxa"/>
        </w:trPr>
        <w:tc>
          <w:tcPr>
            <w:tcW w:w="10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vAlign w:val="bottom"/>
          </w:tcPr>
          <w:p w14:paraId="4F49DFF8">
            <w:pPr>
              <w:spacing w:before="100" w:beforeAutospacing="1" w:after="119" w:line="144" w:lineRule="atLeast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Sídlo:</w:t>
            </w:r>
          </w:p>
        </w:tc>
        <w:tc>
          <w:tcPr>
            <w:tcW w:w="39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vAlign w:val="bottom"/>
          </w:tcPr>
          <w:p w14:paraId="60220AAD">
            <w:pPr>
              <w:spacing w:before="100" w:beforeAutospacing="1" w:after="119" w:line="144" w:lineRule="atLeast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059 72  Vlková 200</w:t>
            </w:r>
          </w:p>
        </w:tc>
      </w:tr>
      <w:tr w14:paraId="55B03145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rHeight w:val="132" w:hRule="atLeast"/>
          <w:tblCellSpacing w:w="0" w:type="dxa"/>
        </w:trPr>
        <w:tc>
          <w:tcPr>
            <w:tcW w:w="10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vAlign w:val="bottom"/>
          </w:tcPr>
          <w:p w14:paraId="50BC200F">
            <w:pPr>
              <w:spacing w:before="100" w:beforeAutospacing="1" w:after="119" w:line="132" w:lineRule="atLeast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Dátum vzniku:</w:t>
            </w:r>
          </w:p>
        </w:tc>
        <w:tc>
          <w:tcPr>
            <w:tcW w:w="39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vAlign w:val="bottom"/>
          </w:tcPr>
          <w:p w14:paraId="5C26C068">
            <w:pPr>
              <w:spacing w:before="100" w:beforeAutospacing="1" w:after="119" w:line="132" w:lineRule="atLeast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28.03.2024</w:t>
            </w:r>
          </w:p>
        </w:tc>
      </w:tr>
    </w:tbl>
    <w:p w14:paraId="635EF596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</w:p>
    <w:p w14:paraId="4D006D4F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 xml:space="preserve">INFORMÁCIA O ŠTRUKTÚRE A </w:t>
      </w:r>
      <w:r>
        <w:rPr>
          <w:rFonts w:ascii="Times New Roman" w:hAnsi="Times New Roman" w:eastAsia="Times New Roman" w:cs="Times New Roman"/>
          <w:sz w:val="20"/>
          <w:szCs w:val="20"/>
          <w:lang w:eastAsia="sk-SK"/>
        </w:rPr>
        <w:t>ORGÁNOV</w:t>
      </w: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 xml:space="preserve"> SPOLOČNOSTI: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4544"/>
        <w:gridCol w:w="1653"/>
        <w:gridCol w:w="1550"/>
        <w:gridCol w:w="2583"/>
      </w:tblGrid>
      <w:tr w14:paraId="361C622C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2199" w:type="pct"/>
            <w:vMerge w:val="restar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46E462B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Spoločník, konateľ</w:t>
            </w:r>
          </w:p>
        </w:tc>
        <w:tc>
          <w:tcPr>
            <w:tcW w:w="1550" w:type="pct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586AAA0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Výška podielu na základnom imaní</w:t>
            </w:r>
          </w:p>
        </w:tc>
        <w:tc>
          <w:tcPr>
            <w:tcW w:w="1250" w:type="pct"/>
            <w:vMerge w:val="restar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A4C8F2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Podiel na hlasovacích právach v %</w:t>
            </w:r>
          </w:p>
        </w:tc>
      </w:tr>
      <w:tr w14:paraId="525F7933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0" w:type="auto"/>
            <w:vMerge w:val="continue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vAlign w:val="center"/>
          </w:tcPr>
          <w:p w14:paraId="79EF02C1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1499EF9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20"/>
                <w:szCs w:val="20"/>
                <w:lang w:eastAsia="sk-SK"/>
              </w:rPr>
              <w:t xml:space="preserve">Absolútne </w:t>
            </w:r>
          </w:p>
        </w:tc>
        <w:tc>
          <w:tcPr>
            <w:tcW w:w="7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0648FD8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CEF4610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</w:tr>
      <w:tr w14:paraId="5A596A1A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2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3B98BDE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Ladislav Kurčák, konateľ</w:t>
            </w:r>
          </w:p>
        </w:tc>
        <w:tc>
          <w:tcPr>
            <w:tcW w:w="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037A487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1AFC9ED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0%</w:t>
            </w:r>
          </w:p>
        </w:tc>
        <w:tc>
          <w:tcPr>
            <w:tcW w:w="12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FE25EBD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0%</w:t>
            </w:r>
          </w:p>
        </w:tc>
      </w:tr>
      <w:tr w14:paraId="50BC37A4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rHeight w:val="280" w:hRule="atLeast"/>
          <w:tblCellSpacing w:w="0" w:type="dxa"/>
        </w:trPr>
        <w:tc>
          <w:tcPr>
            <w:tcW w:w="2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3484196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Bc.Mária Kurčáková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, konateľ</w:t>
            </w:r>
          </w:p>
        </w:tc>
        <w:tc>
          <w:tcPr>
            <w:tcW w:w="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608DEAC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D535BC1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0%</w:t>
            </w:r>
          </w:p>
        </w:tc>
        <w:tc>
          <w:tcPr>
            <w:tcW w:w="12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1F3CAEA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0%</w:t>
            </w:r>
          </w:p>
        </w:tc>
      </w:tr>
      <w:tr w14:paraId="5FC45E32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rHeight w:val="280" w:hRule="atLeast"/>
          <w:tblCellSpacing w:w="0" w:type="dxa"/>
        </w:trPr>
        <w:tc>
          <w:tcPr>
            <w:tcW w:w="2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64CCAB7">
            <w:pPr>
              <w:spacing w:before="100" w:beforeAutospacing="1" w:after="119" w:line="240" w:lineRule="auto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Ladislav Kurčák, spoločník</w:t>
            </w:r>
          </w:p>
        </w:tc>
        <w:tc>
          <w:tcPr>
            <w:tcW w:w="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B09C34B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2500</w:t>
            </w:r>
          </w:p>
        </w:tc>
        <w:tc>
          <w:tcPr>
            <w:tcW w:w="7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095F4E8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50%</w:t>
            </w:r>
          </w:p>
        </w:tc>
        <w:tc>
          <w:tcPr>
            <w:tcW w:w="12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3E127E5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50%</w:t>
            </w:r>
          </w:p>
        </w:tc>
      </w:tr>
      <w:tr w14:paraId="48FF2667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rHeight w:val="280" w:hRule="atLeast"/>
          <w:tblCellSpacing w:w="0" w:type="dxa"/>
        </w:trPr>
        <w:tc>
          <w:tcPr>
            <w:tcW w:w="2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A47F737">
            <w:pPr>
              <w:spacing w:before="100" w:beforeAutospacing="1" w:after="119" w:line="240" w:lineRule="auto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Bc. Mária Kurčáková, spoločník</w:t>
            </w:r>
          </w:p>
        </w:tc>
        <w:tc>
          <w:tcPr>
            <w:tcW w:w="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5E3BFDE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2500</w:t>
            </w:r>
          </w:p>
        </w:tc>
        <w:tc>
          <w:tcPr>
            <w:tcW w:w="7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D4454AF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50%</w:t>
            </w:r>
          </w:p>
        </w:tc>
        <w:tc>
          <w:tcPr>
            <w:tcW w:w="12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171776C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50%</w:t>
            </w:r>
          </w:p>
        </w:tc>
      </w:tr>
    </w:tbl>
    <w:p w14:paraId="69790931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>OPIS ČINNOSTI, NA ÚČEL KTOREJ BOLA ZRIADENÁ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2582"/>
        <w:gridCol w:w="7748"/>
      </w:tblGrid>
      <w:tr w14:paraId="3FD73AB5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2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3629A74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  <w:lang w:eastAsia="sk-SK"/>
              </w:rPr>
              <w:t>Podnikateľská činnosť</w:t>
            </w:r>
          </w:p>
        </w:tc>
        <w:tc>
          <w:tcPr>
            <w:tcW w:w="37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4E387BC">
            <w:pPr>
              <w:pStyle w:val="11"/>
              <w:numPr>
                <w:ilvl w:val="0"/>
                <w:numId w:val="1"/>
              </w:numPr>
              <w:spacing w:before="100" w:beforeAutospacing="1" w:after="119" w:line="240" w:lineRule="auto"/>
              <w:rPr>
                <w:rFonts w:hint="default"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Arial CE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t>Poskytovanie služieb pre</w:t>
            </w:r>
            <w:r>
              <w:rPr>
                <w:rFonts w:hint="default" w:ascii="Times New Roman" w:hAnsi="Times New Roman" w:eastAsia="Arial CE" w:cs="Times New Roman"/>
                <w:b/>
                <w:bCs/>
                <w:i w:val="0"/>
                <w:iCs w:val="0"/>
                <w:caps w:val="0"/>
                <w:color w:val="000000"/>
                <w:spacing w:val="0"/>
                <w:sz w:val="15"/>
                <w:szCs w:val="15"/>
                <w:shd w:val="clear" w:fill="FFFFFF"/>
              </w:rPr>
              <w:t xml:space="preserve"> </w:t>
            </w:r>
            <w:r>
              <w:rPr>
                <w:rFonts w:hint="default" w:ascii="Times New Roman" w:hAnsi="Times New Roman" w:eastAsia="Arial CE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t>poľnohospodárstvo, záhradníctvo, rybárstvo, lesníctvo a poľovníctvo</w:t>
            </w:r>
          </w:p>
          <w:p w14:paraId="75E3D109">
            <w:pPr>
              <w:pStyle w:val="11"/>
              <w:numPr>
                <w:ilvl w:val="0"/>
                <w:numId w:val="1"/>
              </w:numPr>
              <w:spacing w:before="100" w:beforeAutospacing="1" w:after="119" w:line="240" w:lineRule="auto"/>
              <w:ind w:left="720" w:leftChars="0" w:hanging="360" w:firstLineChars="0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Arial CE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t>Opracovanie drevnej hmoty, výroba komponentov z dreva a výroba jednoduchých výrobkov z dreva, korku, slamy</w:t>
            </w:r>
          </w:p>
        </w:tc>
      </w:tr>
    </w:tbl>
    <w:p w14:paraId="360411F5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>INFORMÁCIA O POČTE ZAMESTNANCOV</w:t>
      </w:r>
    </w:p>
    <w:p w14:paraId="5531B573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4132"/>
        <w:gridCol w:w="3099"/>
        <w:gridCol w:w="3099"/>
      </w:tblGrid>
      <w:tr w14:paraId="31F6DA96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20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F0AE79F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064BFB7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41B9A30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14:paraId="425B22D1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20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62C7A57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Priemerný počet zamestnancov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35E513E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45F981B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56BF59AE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20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D53920E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Stav zamestnancov ku dňu zostavenie účtovnej uzávierky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A16ECAA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C821DD5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041C69E0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20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5E0583C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Z toho počet vedúcich zamestnancov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AA5981E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DC971B8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7123393B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>POUŽITÉ ÚČTOVNÉ ZÁSADY A ÚČTOVNÉ METÓDY</w:t>
      </w:r>
    </w:p>
    <w:p w14:paraId="6F578CB5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sz w:val="20"/>
          <w:szCs w:val="20"/>
          <w:lang w:eastAsia="sk-SK"/>
        </w:rPr>
        <w:t xml:space="preserve">Účtovaná jednotka je neobmedzene ručiacim spoločníkom v iných účtovných jednotkách </w:t>
      </w: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>- nie</w:t>
      </w:r>
    </w:p>
    <w:p w14:paraId="0CBDFAC3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sz w:val="20"/>
          <w:szCs w:val="20"/>
          <w:lang w:eastAsia="sk-SK"/>
        </w:rPr>
        <w:t xml:space="preserve">Právny dôvod na zostavenie účtovnej jednotky: </w:t>
      </w:r>
      <w:r>
        <w:rPr>
          <w:rFonts w:hint="default" w:ascii="Times New Roman" w:hAnsi="Times New Roman" w:eastAsia="Times New Roman" w:cs="Times New Roman"/>
          <w:b/>
          <w:bCs/>
          <w:sz w:val="20"/>
          <w:szCs w:val="20"/>
          <w:lang w:val="en-US" w:eastAsia="sk-SK"/>
        </w:rPr>
        <w:t>mimo</w:t>
      </w: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>riadna</w:t>
      </w:r>
    </w:p>
    <w:p w14:paraId="6F49B9D1">
      <w:pPr>
        <w:numPr>
          <w:ilvl w:val="0"/>
          <w:numId w:val="4"/>
        </w:num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sz w:val="20"/>
          <w:szCs w:val="20"/>
          <w:lang w:eastAsia="sk-SK"/>
        </w:rPr>
        <w:t xml:space="preserve">Spoločnosť zostavila účtovnú závierku za predpokladu nepretržitého pokračovania vo svojej činnosti: </w:t>
      </w:r>
      <w:r>
        <w:rPr>
          <w:rFonts w:hint="default" w:ascii="Times New Roman" w:hAnsi="Times New Roman" w:eastAsia="Times New Roman" w:cs="Times New Roman"/>
          <w:b/>
          <w:bCs/>
          <w:sz w:val="20"/>
          <w:szCs w:val="20"/>
          <w:lang w:val="en-US" w:eastAsia="sk-SK"/>
        </w:rPr>
        <w:t>nie</w:t>
      </w:r>
    </w:p>
    <w:p w14:paraId="7A6A82DB">
      <w:pPr>
        <w:numPr>
          <w:ilvl w:val="0"/>
          <w:numId w:val="5"/>
        </w:num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sz w:val="20"/>
          <w:szCs w:val="20"/>
          <w:lang w:eastAsia="sk-SK"/>
        </w:rPr>
        <w:t>Spôsob oceňovanie jednotlivých zložiek majetku a záväzkov</w:t>
      </w:r>
    </w:p>
    <w:p w14:paraId="632AF62E">
      <w:pPr>
        <w:spacing w:before="100" w:beforeAutospacing="1" w:after="0" w:line="240" w:lineRule="auto"/>
        <w:rPr>
          <w:rFonts w:hint="default" w:ascii="Times New Roman" w:hAnsi="Times New Roman" w:eastAsia="Times New Roman" w:cs="Times New Roman"/>
          <w:sz w:val="24"/>
          <w:szCs w:val="24"/>
          <w:lang w:val="en-US" w:eastAsia="sk-SK"/>
        </w:rPr>
      </w:pPr>
      <w:r>
        <w:rPr>
          <w:rFonts w:ascii="Times New Roman" w:hAnsi="Times New Roman" w:eastAsia="Times New Roman" w:cs="Times New Roman"/>
          <w:sz w:val="20"/>
          <w:szCs w:val="20"/>
          <w:lang w:eastAsia="sk-SK"/>
        </w:rPr>
        <w:t xml:space="preserve">Účtovná jednotka oceňovala majetok a záväzky ku dňu </w:t>
      </w:r>
      <w:r>
        <w:rPr>
          <w:rFonts w:hint="default" w:ascii="Times New Roman" w:hAnsi="Times New Roman" w:eastAsia="Times New Roman" w:cs="Times New Roman"/>
          <w:b/>
          <w:bCs/>
          <w:sz w:val="20"/>
          <w:szCs w:val="20"/>
          <w:lang w:val="en-US" w:eastAsia="sk-SK"/>
        </w:rPr>
        <w:t>11.12.2025</w:t>
      </w:r>
    </w:p>
    <w:p w14:paraId="02332ED6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</w:p>
    <w:p w14:paraId="00987F58">
      <w:pPr>
        <w:spacing w:before="100" w:beforeAutospacing="1" w:after="0" w:line="240" w:lineRule="auto"/>
        <w:rPr>
          <w:rFonts w:hint="default" w:ascii="Times New Roman" w:hAnsi="Times New Roman" w:eastAsia="Times New Roman" w:cs="Times New Roman"/>
          <w:sz w:val="24"/>
          <w:szCs w:val="24"/>
          <w:lang w:val="en-US" w:eastAsia="sk-SK"/>
        </w:rPr>
      </w:pPr>
      <w:r>
        <w:rPr>
          <w:rFonts w:ascii="Times New Roman" w:hAnsi="Times New Roman" w:eastAsia="Times New Roman" w:cs="Times New Roman"/>
          <w:sz w:val="20"/>
          <w:szCs w:val="20"/>
          <w:lang w:eastAsia="sk-SK"/>
        </w:rPr>
        <w:t>Ku dňu uskutočnenia účtovného prípadu oceňovala účtovná jednotka majetok a záväzky</w:t>
      </w:r>
      <w:r>
        <w:rPr>
          <w:rFonts w:hint="default" w:ascii="Times New Roman" w:hAnsi="Times New Roman" w:eastAsia="Times New Roman" w:cs="Times New Roman"/>
          <w:sz w:val="20"/>
          <w:szCs w:val="20"/>
          <w:lang w:val="en-US" w:eastAsia="sk-SK"/>
        </w:rPr>
        <w:t>:</w:t>
      </w:r>
    </w:p>
    <w:p w14:paraId="186E7AD4">
      <w:pPr>
        <w:spacing w:before="100" w:beforeAutospacing="1" w:after="0" w:line="240" w:lineRule="auto"/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  <w:lang w:val="en-US" w:eastAsia="sk-SK"/>
        </w:rPr>
      </w:pP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>dlhodobý hmotný majetok obstaraný kúpou</w:t>
      </w:r>
      <w:r>
        <w:rPr>
          <w:rFonts w:hint="default" w:ascii="Times New Roman" w:hAnsi="Times New Roman" w:eastAsia="Times New Roman" w:cs="Times New Roman"/>
          <w:b/>
          <w:bCs/>
          <w:sz w:val="20"/>
          <w:szCs w:val="20"/>
          <w:lang w:val="en-US" w:eastAsia="sk-SK"/>
        </w:rPr>
        <w:t xml:space="preserve"> - </w:t>
      </w:r>
      <w:r>
        <w:rPr>
          <w:rFonts w:hint="default" w:ascii="Times New Roman" w:hAnsi="Times New Roman" w:eastAsia="Times New Roman" w:cs="Times New Roman"/>
          <w:b w:val="0"/>
          <w:bCs w:val="0"/>
          <w:sz w:val="20"/>
          <w:szCs w:val="20"/>
          <w:lang w:val="en-US" w:eastAsia="sk-SK"/>
        </w:rPr>
        <w:t>obstarávacia cena</w:t>
      </w:r>
    </w:p>
    <w:p w14:paraId="616ADDAC">
      <w:pPr>
        <w:spacing w:before="100" w:beforeAutospacing="1" w:after="0" w:line="240" w:lineRule="auto"/>
        <w:rPr>
          <w:rFonts w:hint="default" w:ascii="Times New Roman" w:hAnsi="Times New Roman" w:eastAsia="Times New Roman" w:cs="Times New Roman"/>
          <w:sz w:val="24"/>
          <w:szCs w:val="24"/>
          <w:lang w:val="en-US" w:eastAsia="sk-SK"/>
        </w:rPr>
      </w:pP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 xml:space="preserve">dlhodobý finančný majetok </w:t>
      </w:r>
      <w:r>
        <w:rPr>
          <w:rFonts w:hint="default" w:ascii="Times New Roman" w:hAnsi="Times New Roman" w:eastAsia="Times New Roman" w:cs="Times New Roman"/>
          <w:b/>
          <w:bCs/>
          <w:sz w:val="20"/>
          <w:szCs w:val="20"/>
          <w:lang w:val="en-US" w:eastAsia="sk-SK"/>
        </w:rPr>
        <w:t xml:space="preserve">- </w:t>
      </w:r>
      <w:r>
        <w:rPr>
          <w:rFonts w:hint="default" w:ascii="Times New Roman" w:hAnsi="Times New Roman" w:eastAsia="Times New Roman" w:cs="Times New Roman"/>
          <w:b w:val="0"/>
          <w:bCs w:val="0"/>
          <w:sz w:val="20"/>
          <w:szCs w:val="20"/>
          <w:lang w:val="en-US" w:eastAsia="sk-SK"/>
        </w:rPr>
        <w:t>obstarávacia cena</w:t>
      </w:r>
    </w:p>
    <w:p w14:paraId="7A9873CF">
      <w:pPr>
        <w:spacing w:before="100" w:beforeAutospacing="1" w:after="0" w:line="240" w:lineRule="auto"/>
        <w:rPr>
          <w:rFonts w:hint="default" w:ascii="Times New Roman" w:hAnsi="Times New Roman" w:eastAsia="Times New Roman" w:cs="Times New Roman"/>
          <w:sz w:val="24"/>
          <w:szCs w:val="24"/>
          <w:lang w:val="en-US" w:eastAsia="sk-SK"/>
        </w:rPr>
      </w:pP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>pohľadávky pri odplatnom nadobudnutí</w:t>
      </w:r>
      <w:r>
        <w:rPr>
          <w:rFonts w:hint="default" w:ascii="Times New Roman" w:hAnsi="Times New Roman" w:eastAsia="Times New Roman" w:cs="Times New Roman"/>
          <w:b/>
          <w:bCs/>
          <w:sz w:val="20"/>
          <w:szCs w:val="20"/>
          <w:lang w:val="en-US" w:eastAsia="sk-SK"/>
        </w:rPr>
        <w:t xml:space="preserve"> - </w:t>
      </w:r>
      <w:r>
        <w:rPr>
          <w:rFonts w:hint="default" w:ascii="Times New Roman" w:hAnsi="Times New Roman" w:eastAsia="Times New Roman" w:cs="Times New Roman"/>
          <w:b w:val="0"/>
          <w:bCs w:val="0"/>
          <w:sz w:val="20"/>
          <w:szCs w:val="20"/>
          <w:lang w:val="en-US" w:eastAsia="sk-SK"/>
        </w:rPr>
        <w:t>menovitá hodnota</w:t>
      </w:r>
    </w:p>
    <w:p w14:paraId="459FD3F8">
      <w:pPr>
        <w:spacing w:before="100" w:beforeAutospacing="1" w:after="0" w:line="240" w:lineRule="auto"/>
        <w:rPr>
          <w:rFonts w:hint="default" w:ascii="Times New Roman" w:hAnsi="Times New Roman" w:eastAsia="Times New Roman" w:cs="Times New Roman"/>
          <w:sz w:val="24"/>
          <w:szCs w:val="24"/>
          <w:lang w:val="en-US" w:eastAsia="sk-SK"/>
        </w:rPr>
      </w:pP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>záväzky pri ich prevzatí</w:t>
      </w:r>
      <w:r>
        <w:rPr>
          <w:rFonts w:hint="default" w:ascii="Times New Roman" w:hAnsi="Times New Roman" w:eastAsia="Times New Roman" w:cs="Times New Roman"/>
          <w:b/>
          <w:bCs/>
          <w:sz w:val="20"/>
          <w:szCs w:val="20"/>
          <w:lang w:val="en-US" w:eastAsia="sk-SK"/>
        </w:rPr>
        <w:t xml:space="preserve"> - </w:t>
      </w:r>
      <w:r>
        <w:rPr>
          <w:rFonts w:hint="default" w:ascii="Times New Roman" w:hAnsi="Times New Roman" w:eastAsia="Times New Roman" w:cs="Times New Roman"/>
          <w:b w:val="0"/>
          <w:bCs w:val="0"/>
          <w:sz w:val="20"/>
          <w:szCs w:val="20"/>
          <w:lang w:val="en-US" w:eastAsia="sk-SK"/>
        </w:rPr>
        <w:t>menovitá hodnota</w:t>
      </w:r>
    </w:p>
    <w:p w14:paraId="6AFAFD72">
      <w:pPr>
        <w:spacing w:before="100" w:beforeAutospacing="1" w:after="0" w:line="240" w:lineRule="auto"/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</w:pPr>
    </w:p>
    <w:p w14:paraId="117AE7CC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  <w:t xml:space="preserve">ÚDAJE VYKÁZANÉ NA MAJETKU - </w:t>
      </w:r>
      <w:r>
        <w:rPr>
          <w:rFonts w:ascii="Times New Roman" w:hAnsi="Times New Roman" w:eastAsia="Times New Roman" w:cs="Times New Roman"/>
          <w:sz w:val="18"/>
          <w:szCs w:val="18"/>
          <w:lang w:eastAsia="sk-SK"/>
        </w:rPr>
        <w:t>podľa priloženej súvahy z toho</w:t>
      </w:r>
    </w:p>
    <w:p w14:paraId="331B444B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sz w:val="18"/>
          <w:szCs w:val="18"/>
          <w:lang w:eastAsia="sk-SK"/>
        </w:rPr>
        <w:t>DLHODOBÝ HMOTNÝ MAJETOK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3925"/>
        <w:gridCol w:w="3099"/>
        <w:gridCol w:w="3306"/>
      </w:tblGrid>
      <w:tr w14:paraId="07109536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817BA27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14D39E5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Bežné obdobie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AB2C3DC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14:paraId="52FB0ED3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238DFC5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AED4BA9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44650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C7C98B3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2F21E8C8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474A1FA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OBSTARANIE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976A7D3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810FF61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44650</w:t>
            </w:r>
          </w:p>
        </w:tc>
      </w:tr>
      <w:tr w14:paraId="58645FD3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2EC1181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VYRADENIE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5685B53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35981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F847AB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21435393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DBCF4FA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50ECDB2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8669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3F60C51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44650</w:t>
            </w:r>
          </w:p>
        </w:tc>
      </w:tr>
    </w:tbl>
    <w:p w14:paraId="2EE9E135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sz w:val="18"/>
          <w:szCs w:val="18"/>
          <w:lang w:eastAsia="sk-SK"/>
        </w:rPr>
        <w:t>DROBNÝ HMOTNÝ MAJETOK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3925"/>
        <w:gridCol w:w="3099"/>
        <w:gridCol w:w="3306"/>
      </w:tblGrid>
      <w:tr w14:paraId="101FAC12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D716793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29F4A84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Bežné obdobie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3FA9B2C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14:paraId="30AC96C0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A18F426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A5B25D5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5C70F8E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168B6B21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8200742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FC36211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5960003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6E9348DA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D998429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5701B6C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8D8C1E5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24BD002E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35ECB28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6A49008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23635DB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1C28C02E">
      <w:pPr>
        <w:spacing w:before="100" w:beforeAutospacing="1" w:after="0" w:line="240" w:lineRule="auto"/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</w:pPr>
    </w:p>
    <w:p w14:paraId="2C4A44E8">
      <w:pPr>
        <w:spacing w:before="100" w:beforeAutospacing="1" w:after="0" w:line="240" w:lineRule="auto"/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</w:pPr>
    </w:p>
    <w:p w14:paraId="01BCB4AA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  <w:t>ÚDAJE VYKÁZANÉ NA STRANE AKTÍV SÚVAHY</w:t>
      </w:r>
    </w:p>
    <w:p w14:paraId="3F6B89F7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  <w:t>INFORMÁCIA O POHĽADÁVKACH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3925"/>
        <w:gridCol w:w="3099"/>
        <w:gridCol w:w="3306"/>
      </w:tblGrid>
      <w:tr w14:paraId="4F946653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B98A905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A98D897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4BA066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14:paraId="33C71830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B264DE1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Pohľadávky do lehoty splatnosti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7866E67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1640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B465210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3030</w:t>
            </w:r>
          </w:p>
        </w:tc>
      </w:tr>
      <w:tr w14:paraId="30FB7692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7F7C43F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Z obchodné styku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730AAC8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140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114AB47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47D8FD81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A008639">
            <w:pPr>
              <w:spacing w:before="100" w:beforeAutospacing="1" w:after="119" w:line="240" w:lineRule="auto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 xml:space="preserve">Voči </w:t>
            </w:r>
            <w:r>
              <w:rPr>
                <w:rFonts w:hint="default" w:ascii="Times New Roman" w:hAnsi="Times New Roman" w:eastAsia="Times New Roman" w:cs="Times New Roman"/>
                <w:sz w:val="18"/>
                <w:szCs w:val="18"/>
                <w:lang w:val="en-US" w:eastAsia="sk-SK"/>
              </w:rPr>
              <w:t>spoločníkom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12A019D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38CB3C3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426AF503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A822A82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Ostatné pohľadávky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EA5A59B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1500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3CEDFC2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3030</w:t>
            </w:r>
          </w:p>
        </w:tc>
      </w:tr>
      <w:tr w14:paraId="024B36E0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C463E45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DCFB029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3A5FF98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</w:tbl>
    <w:p w14:paraId="1A84DBE3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  <w:t>INFORMÁCIE KU KRÁTKODOBÉMU FINANČNÉMU MAJETKU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3925"/>
        <w:gridCol w:w="3099"/>
        <w:gridCol w:w="3306"/>
      </w:tblGrid>
      <w:tr w14:paraId="4C5CD7A9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5F442E5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6B73B3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E674F60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14:paraId="075896A8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0CA5AAB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Pokladnica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E0517A8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96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4695115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4040</w:t>
            </w:r>
          </w:p>
        </w:tc>
      </w:tr>
      <w:tr w14:paraId="5881298F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C98609A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Bankové výpisy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CBEEF47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187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3EE5009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1986</w:t>
            </w:r>
          </w:p>
        </w:tc>
      </w:tr>
      <w:tr w14:paraId="211D7BCF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E2426F1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Stravné lístky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BF6DD24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88E9601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73946E56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32366B4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Peniaze na ceste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027CB34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1AB4C22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531C2C10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059DFD1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2EC1118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283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5589A17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6026</w:t>
            </w:r>
          </w:p>
        </w:tc>
      </w:tr>
    </w:tbl>
    <w:p w14:paraId="7AD33521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  <w:t>ÚDAJE VYKÁZANÉ NA STRANE PASÍV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3925"/>
        <w:gridCol w:w="3099"/>
        <w:gridCol w:w="3306"/>
      </w:tblGrid>
      <w:tr w14:paraId="01C56BD4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3AA3298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363B19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2A07C18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14:paraId="143C507F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DC665F5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Záväzky do lehoty splatnosti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F42157E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5400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53F30B4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8763</w:t>
            </w:r>
          </w:p>
        </w:tc>
      </w:tr>
      <w:tr w14:paraId="06A8D72F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8E8C936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Z obchodné styku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57C1BD8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3 843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54517A4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1965</w:t>
            </w:r>
          </w:p>
        </w:tc>
      </w:tr>
      <w:tr w14:paraId="5D68B6BE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653C912">
            <w:pPr>
              <w:spacing w:before="100" w:beforeAutospacing="1" w:after="119" w:line="240" w:lineRule="auto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 xml:space="preserve">Voči </w:t>
            </w:r>
            <w:r>
              <w:rPr>
                <w:rFonts w:hint="default" w:ascii="Times New Roman" w:hAnsi="Times New Roman" w:eastAsia="Times New Roman" w:cs="Times New Roman"/>
                <w:sz w:val="18"/>
                <w:szCs w:val="18"/>
                <w:lang w:val="en-US" w:eastAsia="sk-SK"/>
              </w:rPr>
              <w:t>spoločníkom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7556459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5400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1F775A3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30</w:t>
            </w:r>
          </w:p>
        </w:tc>
      </w:tr>
      <w:tr w14:paraId="68FAEDE3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53790A3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Voči poisťovniam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FB46920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731B50A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6768</w:t>
            </w:r>
          </w:p>
        </w:tc>
      </w:tr>
      <w:tr w14:paraId="58CCC9BF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D851293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Voči zamestnancom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5268DEE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31FDF77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24E0C600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3648558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25C5C7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C53C607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74E8B51B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>INF</w:t>
      </w:r>
      <w:r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  <w:t>ORMÁCIA O REZERVÁCH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3925"/>
        <w:gridCol w:w="3099"/>
        <w:gridCol w:w="3306"/>
      </w:tblGrid>
      <w:tr w14:paraId="5299EE54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E78C705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A77C82F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04783DA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14:paraId="589DECD6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658E5D4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Dlhodobé rezervy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B75F20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6D29B5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4959CDF9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D93A93B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 xml:space="preserve">Krátkodobé rezervy, z toho: 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4D00DF4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CB43B7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129CC3F1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53F9477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Účtovná uzávierka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32F45E3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798F933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7F6D47DD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315A0B0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Nevyčerpaná dovolenka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FC232E4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8271C1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1E6ADB41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</w:p>
    <w:p w14:paraId="046A0ABC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  <w:t>ZÁVAZKY ZO SOCIÁLNEHO FONDU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3443"/>
        <w:gridCol w:w="3443"/>
        <w:gridCol w:w="3444"/>
      </w:tblGrid>
      <w:tr w14:paraId="4481F8BE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32A71A9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E575668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79AB0EB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14:paraId="41B4F516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93074E7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Začiatočný stav sociálneho fondu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301A0A0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07C0ABE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6997A83A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62B3391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Tvorba sociálneho fondu na ťarchu nákladov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2663511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60E9C87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1C5EECCF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A1DBA52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Tvorba sociálneho fondu spolu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181C24A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A077D4E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7E687A88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0AF8204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Čerpanie sociálneho fondu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81B8B7F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3C38240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1C69EA26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931B6D6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Konečný zostatok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33FD3EF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2B24766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</w:tbl>
    <w:p w14:paraId="26488255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</w:p>
    <w:p w14:paraId="0D60CBE4">
      <w:pPr>
        <w:spacing w:before="100" w:beforeAutospacing="1" w:after="0" w:line="240" w:lineRule="auto"/>
        <w:ind w:left="720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  <w:t>DAŇ Z PRÍJMOV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4442"/>
        <w:gridCol w:w="2686"/>
        <w:gridCol w:w="3202"/>
      </w:tblGrid>
      <w:tr w14:paraId="5BD6DA74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21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57A9609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ADAB78D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3C085BA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14:paraId="6799A143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21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C878295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 xml:space="preserve">Daň z príjmov z bežnej činnosti splatná </w:t>
            </w:r>
          </w:p>
        </w:tc>
        <w:tc>
          <w:tcPr>
            <w:tcW w:w="13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5A9844A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340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344F5E1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1665</w:t>
            </w:r>
          </w:p>
        </w:tc>
      </w:tr>
      <w:tr w14:paraId="0E5369DA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21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BCC7018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 xml:space="preserve">Daň z príjmov z mimoriadnej činnosti splatná </w:t>
            </w:r>
          </w:p>
        </w:tc>
        <w:tc>
          <w:tcPr>
            <w:tcW w:w="13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CF4F9A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D1A203C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31E0C3E1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21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11091AF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 xml:space="preserve">Daň z príjmov z bežnej činnosti odložená </w:t>
            </w:r>
          </w:p>
        </w:tc>
        <w:tc>
          <w:tcPr>
            <w:tcW w:w="13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3B1B6F8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3C5447A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2F605F23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21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6C75420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 xml:space="preserve">Daň z príjmov z mimoriadnej činnosti odložená </w:t>
            </w:r>
          </w:p>
        </w:tc>
        <w:tc>
          <w:tcPr>
            <w:tcW w:w="13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7F30ABE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1F000ED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584F1C90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  <w:t xml:space="preserve">VÝZNAMNÉ POLOŽKY ČASOVÉHO ROZLÍŠENIA 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3925"/>
        <w:gridCol w:w="3099"/>
        <w:gridCol w:w="3306"/>
      </w:tblGrid>
      <w:tr w14:paraId="578E1706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E079488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3DA058A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E135AC5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14:paraId="567080BE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1162AC2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 xml:space="preserve">Náklady budúcich období – krátkodobé 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A730554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9A051D7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1B938120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507D87C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Náklady budúcich období - dlhodobé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908D043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22A4B32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59A01196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  <w:t>ÚDAJE O ÚVEROCH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2272"/>
        <w:gridCol w:w="723"/>
        <w:gridCol w:w="723"/>
        <w:gridCol w:w="1240"/>
        <w:gridCol w:w="930"/>
        <w:gridCol w:w="2376"/>
        <w:gridCol w:w="2066"/>
      </w:tblGrid>
      <w:tr w14:paraId="3C8FC1BB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1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CCF7B69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EBE55C4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3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6ED2C54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Úrok</w:t>
            </w:r>
          </w:p>
        </w:tc>
        <w:tc>
          <w:tcPr>
            <w:tcW w:w="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3CA4A30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Dátum splatnosti</w:t>
            </w:r>
          </w:p>
        </w:tc>
        <w:tc>
          <w:tcPr>
            <w:tcW w:w="4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28CEBB5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Výška úveru</w:t>
            </w:r>
          </w:p>
        </w:tc>
        <w:tc>
          <w:tcPr>
            <w:tcW w:w="11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33B312F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Suma splatenej istiny v danom účtovnom období</w:t>
            </w:r>
          </w:p>
        </w:tc>
        <w:tc>
          <w:tcPr>
            <w:tcW w:w="10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0DA94EA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Suma splatenej istiny v predchádzajúcom účtovnom období</w:t>
            </w:r>
          </w:p>
        </w:tc>
      </w:tr>
      <w:tr w14:paraId="14384ADC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rHeight w:val="108" w:hRule="atLeast"/>
          <w:tblCellSpacing w:w="0" w:type="dxa"/>
        </w:trPr>
        <w:tc>
          <w:tcPr>
            <w:tcW w:w="11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207EBE9">
            <w:pPr>
              <w:spacing w:before="100" w:beforeAutospacing="1" w:after="119" w:line="108" w:lineRule="atLeast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Dlhodobý bankový úver</w:t>
            </w:r>
          </w:p>
        </w:tc>
        <w:tc>
          <w:tcPr>
            <w:tcW w:w="3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4F246B3">
            <w:pPr>
              <w:spacing w:before="100" w:beforeAutospacing="1" w:after="119" w:line="108" w:lineRule="atLeast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3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D8F2103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10"/>
                <w:szCs w:val="24"/>
                <w:lang w:eastAsia="sk-SK"/>
              </w:rPr>
            </w:pPr>
          </w:p>
        </w:tc>
        <w:tc>
          <w:tcPr>
            <w:tcW w:w="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6F23DB8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10"/>
                <w:szCs w:val="24"/>
                <w:lang w:eastAsia="sk-SK"/>
              </w:rPr>
            </w:pPr>
          </w:p>
        </w:tc>
        <w:tc>
          <w:tcPr>
            <w:tcW w:w="4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6367637">
            <w:pPr>
              <w:spacing w:before="100" w:beforeAutospacing="1" w:after="119" w:line="108" w:lineRule="atLeast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1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261E290">
            <w:pPr>
              <w:spacing w:before="100" w:beforeAutospacing="1" w:after="119" w:line="108" w:lineRule="atLeast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03D8C33">
            <w:pPr>
              <w:spacing w:before="100" w:beforeAutospacing="1" w:after="119" w:line="108" w:lineRule="atLeast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4B4B1964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rHeight w:val="108" w:hRule="atLeast"/>
          <w:tblCellSpacing w:w="0" w:type="dxa"/>
        </w:trPr>
        <w:tc>
          <w:tcPr>
            <w:tcW w:w="11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E9C9497">
            <w:pPr>
              <w:spacing w:before="100" w:beforeAutospacing="1" w:after="119" w:line="108" w:lineRule="atLeast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Úver na auto</w:t>
            </w:r>
          </w:p>
        </w:tc>
        <w:tc>
          <w:tcPr>
            <w:tcW w:w="3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7FD474F">
            <w:pPr>
              <w:spacing w:before="100" w:beforeAutospacing="1" w:after="119" w:line="108" w:lineRule="atLeast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3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AA5957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10"/>
                <w:szCs w:val="24"/>
                <w:lang w:eastAsia="sk-SK"/>
              </w:rPr>
            </w:pPr>
          </w:p>
        </w:tc>
        <w:tc>
          <w:tcPr>
            <w:tcW w:w="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D63C20F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10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20.09.2028</w:t>
            </w:r>
          </w:p>
        </w:tc>
        <w:tc>
          <w:tcPr>
            <w:tcW w:w="4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7188C65">
            <w:pPr>
              <w:spacing w:before="100" w:beforeAutospacing="1" w:after="119" w:line="108" w:lineRule="atLeast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7550</w:t>
            </w:r>
          </w:p>
        </w:tc>
        <w:tc>
          <w:tcPr>
            <w:tcW w:w="11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3CEDB74">
            <w:pPr>
              <w:spacing w:before="100" w:beforeAutospacing="1" w:after="119" w:line="108" w:lineRule="atLeast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926</w:t>
            </w:r>
          </w:p>
        </w:tc>
        <w:tc>
          <w:tcPr>
            <w:tcW w:w="10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1C5C608">
            <w:pPr>
              <w:spacing w:before="100" w:beforeAutospacing="1" w:after="119" w:line="108" w:lineRule="atLeast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231</w:t>
            </w:r>
          </w:p>
        </w:tc>
      </w:tr>
      <w:tr w14:paraId="33DC2BC0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1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B19EE2B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Leasing na auto</w:t>
            </w:r>
          </w:p>
        </w:tc>
        <w:tc>
          <w:tcPr>
            <w:tcW w:w="3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CD29D1F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3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6E27C43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9C5F38C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A1D4090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1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F42B42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D05D57F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5AF13BA7">
      <w:pPr>
        <w:spacing w:before="100" w:beforeAutospacing="1" w:after="119" w:line="240" w:lineRule="auto"/>
        <w:ind w:right="-471"/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</w:pPr>
    </w:p>
    <w:p w14:paraId="6D19A357">
      <w:pPr>
        <w:spacing w:before="100" w:beforeAutospacing="1" w:after="119" w:line="240" w:lineRule="auto"/>
        <w:ind w:right="-471"/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</w:pPr>
    </w:p>
    <w:p w14:paraId="7C797B0E">
      <w:pPr>
        <w:spacing w:before="100" w:beforeAutospacing="1" w:after="119" w:line="240" w:lineRule="auto"/>
        <w:ind w:right="-471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  <w:t>PREHĽAD ZMIEN VLASTNÉHO IMANIA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84" w:type="dxa"/>
          <w:left w:w="84" w:type="dxa"/>
          <w:bottom w:w="84" w:type="dxa"/>
          <w:right w:w="84" w:type="dxa"/>
        </w:tblCellMar>
      </w:tblPr>
      <w:tblGrid>
        <w:gridCol w:w="7907"/>
        <w:gridCol w:w="2495"/>
      </w:tblGrid>
      <w:tr w14:paraId="75924931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B72BBA0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Stav vlastného imania na začiatku účtovného obdobia: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B94C68F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14436</w:t>
            </w:r>
          </w:p>
        </w:tc>
      </w:tr>
      <w:tr w14:paraId="7FC41CEE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80ED690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Zvýšenie alebo zníženie vlastného imania počas účtovného obdobia: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C4A0C3C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-13427</w:t>
            </w:r>
          </w:p>
        </w:tc>
      </w:tr>
      <w:tr w14:paraId="69628837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196CD13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Stav vlastného imania na konci účtovného obdobia: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1461A0F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1009</w:t>
            </w:r>
          </w:p>
        </w:tc>
      </w:tr>
      <w:tr w14:paraId="20B0EBBC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4108CDC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Dôvody zmien vlastného imania v členení: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9F8967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x</w:t>
            </w:r>
          </w:p>
        </w:tc>
      </w:tr>
      <w:tr w14:paraId="26BDFC24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E504DFC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a) základné imanie zapísané do obchodného registra (účte 411):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9CC895A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5000</w:t>
            </w:r>
          </w:p>
        </w:tc>
      </w:tr>
      <w:tr w14:paraId="556A8851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17EBEA1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b) základné imanie nezapísané do obchodného registra (účet 419):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6640040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71F987FB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2FC68EF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c) emisné ážio (účet 412):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8528D09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22808352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rHeight w:val="594" w:hRule="atLeast"/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CE28FBD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d) zákonné rezervné fondy (účet 417, 418, 421, 422):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AB0FA55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56FA3F2D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73A9E9B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e) ostatné kapitálové fondy (účet 413):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EE37487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14D1390D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9567CE9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f) oceňovacie rozdiely nezahrnuté do výsledku hospodárenia (účet 414, 415, 416):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602CF22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00B3434B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9865834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g) ostatné fondy tvorené zo zisku (účet 423, 427):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1F28A5F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57ADD864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829538F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h) nerozdelený zisk minulých rokov (účet 428):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4778172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5002C1B8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3535656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i) neuhradená strata minulých rokov (účet 429):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F23EB32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1B343766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4CE80B2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j) účtovný zisk alebo účtovná strata (účet 431):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12BDFC4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61B0933E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D3E0BB0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k) vyplatené dividendy: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0532B4B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6B664BBE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E0D97CD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l) ďalšie zmeny vlastného imania: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A856AFC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490CF255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E749E26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 xml:space="preserve">m) zmeny účtované na účte fyzickej osoby (účet 491): 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AE407D2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504DA388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</w:p>
    <w:sectPr>
      <w:headerReference r:id="rId5" w:type="default"/>
      <w:pgSz w:w="11906" w:h="16838"/>
      <w:pgMar w:top="851" w:right="851" w:bottom="851" w:left="851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 CE">
    <w:panose1 w:val="020B0604020102020204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828020">
    <w:pPr>
      <w:pStyle w:val="7"/>
      <w:ind w:left="-397"/>
      <w:rPr>
        <w:rFonts w:hint="default"/>
        <w:lang w:val="sk-SK"/>
      </w:rPr>
    </w:pPr>
    <w:r>
      <w:rPr>
        <w:rFonts w:ascii="Arial" w:hAnsi="Arial" w:cs="Arial"/>
        <w:sz w:val="18"/>
        <w:szCs w:val="18"/>
      </w:rPr>
      <w:t xml:space="preserve">Poznámky Úč POD 3 – 01                                       IČO:    </w:t>
    </w:r>
    <w:r>
      <w:rPr>
        <w:rFonts w:hint="default" w:ascii="Arial" w:hAnsi="Arial" w:cs="Arial"/>
        <w:sz w:val="18"/>
        <w:szCs w:val="18"/>
        <w:lang w:val="sk-SK"/>
      </w:rPr>
      <w:t>56168519</w:t>
    </w:r>
    <w:r>
      <w:rPr>
        <w:rFonts w:ascii="Arial" w:hAnsi="Arial" w:cs="Arial"/>
        <w:sz w:val="18"/>
        <w:szCs w:val="18"/>
      </w:rPr>
      <w:t xml:space="preserve">                                           DIČ: </w:t>
    </w:r>
    <w:r>
      <w:rPr>
        <w:rFonts w:hint="default" w:ascii="Arial" w:hAnsi="Arial" w:cs="Arial"/>
        <w:sz w:val="18"/>
        <w:szCs w:val="18"/>
        <w:lang w:val="sk-SK"/>
      </w:rPr>
      <w:t>2122228339</w:t>
    </w:r>
  </w:p>
  <w:p w14:paraId="307A174E">
    <w:pPr>
      <w:pStyle w:val="6"/>
    </w:pPr>
  </w:p>
  <w:p w14:paraId="56DCD058"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92D3CB0"/>
    <w:multiLevelType w:val="multilevel"/>
    <w:tmpl w:val="092D3CB0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>
    <w:nsid w:val="336D1B02"/>
    <w:multiLevelType w:val="multilevel"/>
    <w:tmpl w:val="336D1B02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>
    <w:nsid w:val="52DD3891"/>
    <w:multiLevelType w:val="multilevel"/>
    <w:tmpl w:val="52DD3891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992EEF"/>
    <w:multiLevelType w:val="multilevel"/>
    <w:tmpl w:val="63992EEF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>
    <w:nsid w:val="6847498B"/>
    <w:multiLevelType w:val="multilevel"/>
    <w:tmpl w:val="6847498B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>
    <w:abstractNumId w:val="2"/>
  </w:num>
  <w:num w:numId="2">
    <w:abstractNumId w:val="4"/>
    <w:lvlOverride w:ilvl="0">
      <w:startOverride w:val="1"/>
    </w:lvlOverride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7763"/>
    <w:rsid w:val="00022D6A"/>
    <w:rsid w:val="00036B7E"/>
    <w:rsid w:val="00047C2B"/>
    <w:rsid w:val="00052B23"/>
    <w:rsid w:val="00087A6C"/>
    <w:rsid w:val="000A02DB"/>
    <w:rsid w:val="000C7066"/>
    <w:rsid w:val="000D02E5"/>
    <w:rsid w:val="000D1B02"/>
    <w:rsid w:val="000D7F75"/>
    <w:rsid w:val="00132BC5"/>
    <w:rsid w:val="00141004"/>
    <w:rsid w:val="001451FF"/>
    <w:rsid w:val="0019205D"/>
    <w:rsid w:val="001D50DC"/>
    <w:rsid w:val="001E2740"/>
    <w:rsid w:val="00233529"/>
    <w:rsid w:val="002A6EAB"/>
    <w:rsid w:val="002D2A40"/>
    <w:rsid w:val="0033505D"/>
    <w:rsid w:val="00382CFD"/>
    <w:rsid w:val="003B6EB5"/>
    <w:rsid w:val="003E5988"/>
    <w:rsid w:val="00412013"/>
    <w:rsid w:val="004169FF"/>
    <w:rsid w:val="004227ED"/>
    <w:rsid w:val="00446EEC"/>
    <w:rsid w:val="00451011"/>
    <w:rsid w:val="004777FE"/>
    <w:rsid w:val="0049615B"/>
    <w:rsid w:val="004C49BC"/>
    <w:rsid w:val="0052162F"/>
    <w:rsid w:val="005A24A1"/>
    <w:rsid w:val="005B1AEB"/>
    <w:rsid w:val="005F587F"/>
    <w:rsid w:val="0061799B"/>
    <w:rsid w:val="00633CAB"/>
    <w:rsid w:val="0063766D"/>
    <w:rsid w:val="006F7D4F"/>
    <w:rsid w:val="00707763"/>
    <w:rsid w:val="007643FE"/>
    <w:rsid w:val="00796178"/>
    <w:rsid w:val="007A034D"/>
    <w:rsid w:val="008B268A"/>
    <w:rsid w:val="008F1763"/>
    <w:rsid w:val="00950943"/>
    <w:rsid w:val="00954579"/>
    <w:rsid w:val="009607BE"/>
    <w:rsid w:val="009821B3"/>
    <w:rsid w:val="009912C2"/>
    <w:rsid w:val="00991341"/>
    <w:rsid w:val="00A24D0D"/>
    <w:rsid w:val="00A91A4E"/>
    <w:rsid w:val="00AF1C90"/>
    <w:rsid w:val="00B074E8"/>
    <w:rsid w:val="00B12C69"/>
    <w:rsid w:val="00B75C42"/>
    <w:rsid w:val="00B916F5"/>
    <w:rsid w:val="00C06175"/>
    <w:rsid w:val="00C42A05"/>
    <w:rsid w:val="00C469F3"/>
    <w:rsid w:val="00C564B7"/>
    <w:rsid w:val="00C81039"/>
    <w:rsid w:val="00D117CD"/>
    <w:rsid w:val="00D554CA"/>
    <w:rsid w:val="00D91CA3"/>
    <w:rsid w:val="00DA7437"/>
    <w:rsid w:val="00DC7FA3"/>
    <w:rsid w:val="00E12173"/>
    <w:rsid w:val="00E41977"/>
    <w:rsid w:val="00E476E0"/>
    <w:rsid w:val="00E61694"/>
    <w:rsid w:val="00EB06A0"/>
    <w:rsid w:val="00F026DB"/>
    <w:rsid w:val="00F152D0"/>
    <w:rsid w:val="00F3320F"/>
    <w:rsid w:val="00F41CF5"/>
    <w:rsid w:val="00F85034"/>
    <w:rsid w:val="00F93792"/>
    <w:rsid w:val="00FB715A"/>
    <w:rsid w:val="04E87C45"/>
    <w:rsid w:val="06B30365"/>
    <w:rsid w:val="1EEF1AA7"/>
    <w:rsid w:val="41F031FB"/>
    <w:rsid w:val="555314D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0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5">
    <w:name w:val="footer"/>
    <w:basedOn w:val="1"/>
    <w:link w:val="9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6">
    <w:name w:val="header"/>
    <w:basedOn w:val="1"/>
    <w:link w:val="8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7">
    <w:name w:val="Normal (Web)"/>
    <w:basedOn w:val="1"/>
    <w:semiHidden/>
    <w:unhideWhenUsed/>
    <w:qFormat/>
    <w:uiPriority w:val="99"/>
    <w:pPr>
      <w:spacing w:before="100" w:beforeAutospacing="1" w:after="119" w:line="240" w:lineRule="auto"/>
    </w:pPr>
    <w:rPr>
      <w:rFonts w:ascii="Times New Roman" w:hAnsi="Times New Roman" w:eastAsia="Times New Roman" w:cs="Times New Roman"/>
      <w:sz w:val="24"/>
      <w:szCs w:val="24"/>
      <w:lang w:eastAsia="sk-SK"/>
    </w:rPr>
  </w:style>
  <w:style w:type="character" w:customStyle="1" w:styleId="8">
    <w:name w:val="Hlavička Char"/>
    <w:basedOn w:val="2"/>
    <w:link w:val="6"/>
    <w:qFormat/>
    <w:uiPriority w:val="99"/>
  </w:style>
  <w:style w:type="character" w:customStyle="1" w:styleId="9">
    <w:name w:val="Päta Char"/>
    <w:basedOn w:val="2"/>
    <w:link w:val="5"/>
    <w:qFormat/>
    <w:uiPriority w:val="99"/>
  </w:style>
  <w:style w:type="character" w:customStyle="1" w:styleId="10">
    <w:name w:val="Text bubliny Char"/>
    <w:basedOn w:val="2"/>
    <w:link w:val="4"/>
    <w:semiHidden/>
    <w:qFormat/>
    <w:uiPriority w:val="99"/>
    <w:rPr>
      <w:rFonts w:ascii="Tahoma" w:hAnsi="Tahoma" w:cs="Tahoma"/>
      <w:sz w:val="16"/>
      <w:szCs w:val="16"/>
    </w:rPr>
  </w:style>
  <w:style w:type="paragraph" w:styleId="11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FFF6C9-BE45-4507-B9D0-BECA342C8FE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 Inc.</Company>
  <Pages>5</Pages>
  <Words>1111</Words>
  <Characters>6337</Characters>
  <Lines>52</Lines>
  <Paragraphs>14</Paragraphs>
  <TotalTime>50</TotalTime>
  <ScaleCrop>false</ScaleCrop>
  <LinksUpToDate>false</LinksUpToDate>
  <CharactersWithSpaces>7434</CharactersWithSpaces>
  <Application>WPS Office_12.2.0.22530_F1E327BC-269C-435d-A152-05C5408002CA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2025-03-05T17:48:00Z</dcterms:created>
  <dc:creator>Mária Langová</dc:creator>
  <cp:lastModifiedBy>Henrieta Ilavská</cp:lastModifiedBy>
  <cp:lastPrinted>2023-03-11T09:55:00Z</cp:lastPrinted>
  <dcterms:modified xsi:type="dcterms:W3CDTF">2026-03-09T20:57:51Z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1033-12.2.0.22530</vt:lpwstr>
  </property>
  <property fmtid="{D5CDD505-2E9C-101B-9397-08002B2CF9AE}" pid="3" name="ICV">
    <vt:lpwstr>6D5B649219344159B7F9F4C230EBF799_13</vt:lpwstr>
  </property>
</Properties>
</file>