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F02" w:rsidRDefault="0060344E">
      <w:pPr>
        <w:pStyle w:val="Telotextu"/>
        <w:spacing w:after="260"/>
        <w:ind w:firstLine="380"/>
        <w:jc w:val="both"/>
        <w:rPr>
          <w:rStyle w:val="ZkladntextChar1"/>
          <w:b/>
          <w:bCs/>
          <w:color w:val="000000"/>
          <w:sz w:val="24"/>
          <w:szCs w:val="24"/>
        </w:rPr>
      </w:pPr>
      <w:r>
        <w:rPr>
          <w:rStyle w:val="ZkladntextChar1"/>
          <w:b/>
          <w:bCs/>
          <w:color w:val="000000"/>
          <w:sz w:val="24"/>
          <w:szCs w:val="24"/>
        </w:rPr>
        <w:t>INFORMÁCIE O ÚČTOVNEJ JEDNOTKE</w:t>
      </w:r>
    </w:p>
    <w:p w:rsidR="00080F02" w:rsidRDefault="0060344E">
      <w:pPr>
        <w:pStyle w:val="Heading20"/>
        <w:keepNext/>
        <w:keepLines/>
        <w:numPr>
          <w:ilvl w:val="0"/>
          <w:numId w:val="1"/>
        </w:numPr>
        <w:tabs>
          <w:tab w:val="left" w:pos="359"/>
        </w:tabs>
        <w:ind w:left="0"/>
        <w:jc w:val="both"/>
        <w:rPr>
          <w:rStyle w:val="Heading2"/>
          <w:b/>
          <w:bCs/>
          <w:color w:val="000000"/>
          <w:sz w:val="24"/>
          <w:szCs w:val="24"/>
        </w:rPr>
      </w:pPr>
      <w:bookmarkStart w:id="0" w:name="bookmark0"/>
      <w:bookmarkEnd w:id="0"/>
      <w:r>
        <w:rPr>
          <w:rStyle w:val="Heading2"/>
          <w:b/>
          <w:bCs/>
          <w:color w:val="000000"/>
          <w:sz w:val="24"/>
          <w:szCs w:val="24"/>
        </w:rPr>
        <w:t>Založenie spoločnosti</w:t>
      </w:r>
    </w:p>
    <w:p w:rsidR="00080F02" w:rsidRDefault="0060344E">
      <w:pPr>
        <w:pStyle w:val="Telotextu"/>
        <w:spacing w:after="0" w:line="228" w:lineRule="auto"/>
        <w:ind w:firstLine="44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Spoločnosť: STROPTEL, s.r.o. (ďalej len Spoločnosť)</w:t>
      </w:r>
    </w:p>
    <w:p w:rsidR="00080F02" w:rsidRDefault="0060344E">
      <w:pPr>
        <w:pStyle w:val="Telotextu"/>
        <w:spacing w:after="0"/>
        <w:ind w:firstLine="44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 xml:space="preserve">Sídlo: </w:t>
      </w:r>
      <w:proofErr w:type="spellStart"/>
      <w:r>
        <w:rPr>
          <w:rStyle w:val="ZkladntextChar1"/>
          <w:color w:val="000000"/>
          <w:sz w:val="24"/>
          <w:szCs w:val="24"/>
        </w:rPr>
        <w:t>Ciolkovského</w:t>
      </w:r>
      <w:proofErr w:type="spellEnd"/>
      <w:r>
        <w:rPr>
          <w:rStyle w:val="ZkladntextChar1"/>
          <w:color w:val="000000"/>
          <w:sz w:val="24"/>
          <w:szCs w:val="24"/>
        </w:rPr>
        <w:t xml:space="preserve"> 1270/1, 091 01 Stropkov</w:t>
      </w:r>
    </w:p>
    <w:p w:rsidR="00080F02" w:rsidRDefault="0060344E">
      <w:pPr>
        <w:pStyle w:val="Telotextu"/>
        <w:spacing w:after="0"/>
        <w:ind w:firstLine="44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Založená dňa: 15.12.1995</w:t>
      </w:r>
    </w:p>
    <w:p w:rsidR="00080F02" w:rsidRDefault="0060344E">
      <w:pPr>
        <w:pStyle w:val="Telotextu"/>
        <w:spacing w:after="0"/>
        <w:ind w:firstLine="44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Do obchodného registra bola zapísaná dňa: 15</w:t>
      </w:r>
      <w:r w:rsidR="00573965">
        <w:rPr>
          <w:rStyle w:val="ZkladntextChar1"/>
          <w:color w:val="000000"/>
          <w:sz w:val="24"/>
          <w:szCs w:val="24"/>
        </w:rPr>
        <w:t>.</w:t>
      </w:r>
      <w:r>
        <w:rPr>
          <w:rStyle w:val="ZkladntextChar1"/>
          <w:color w:val="000000"/>
          <w:sz w:val="24"/>
          <w:szCs w:val="24"/>
        </w:rPr>
        <w:t>12.1995</w:t>
      </w:r>
    </w:p>
    <w:p w:rsidR="00080F02" w:rsidRDefault="0060344E">
      <w:pPr>
        <w:pStyle w:val="Telotextu"/>
        <w:ind w:firstLine="44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(Obchodný register Okresného súdu Prešov, oddiel s.r.o., vložka 2706/P).</w:t>
      </w:r>
    </w:p>
    <w:p w:rsidR="00080F02" w:rsidRDefault="0060344E">
      <w:pPr>
        <w:pStyle w:val="Telotextu"/>
        <w:numPr>
          <w:ilvl w:val="0"/>
          <w:numId w:val="1"/>
        </w:numPr>
        <w:tabs>
          <w:tab w:val="left" w:pos="359"/>
        </w:tabs>
        <w:spacing w:after="620"/>
        <w:jc w:val="both"/>
        <w:rPr>
          <w:rStyle w:val="ZkladntextChar1"/>
          <w:b/>
          <w:bCs/>
          <w:color w:val="000000"/>
          <w:sz w:val="24"/>
          <w:szCs w:val="24"/>
        </w:rPr>
      </w:pPr>
      <w:r>
        <w:rPr>
          <w:rStyle w:val="ZkladntextChar1"/>
          <w:b/>
          <w:bCs/>
          <w:color w:val="000000"/>
          <w:sz w:val="24"/>
          <w:szCs w:val="24"/>
        </w:rPr>
        <w:t>Hlavnými činnosťami Spoločnosti sú: Výroba transformátorov, cievok a vinutých dielov</w:t>
      </w:r>
    </w:p>
    <w:p w:rsidR="00080F02" w:rsidRDefault="0060344E">
      <w:pPr>
        <w:pStyle w:val="Heading20"/>
        <w:keepNext/>
        <w:keepLines/>
        <w:numPr>
          <w:ilvl w:val="0"/>
          <w:numId w:val="1"/>
        </w:numPr>
        <w:tabs>
          <w:tab w:val="left" w:pos="359"/>
        </w:tabs>
        <w:ind w:left="0"/>
        <w:jc w:val="both"/>
        <w:rPr>
          <w:rStyle w:val="Heading2"/>
          <w:b/>
          <w:bCs/>
          <w:color w:val="000000"/>
          <w:sz w:val="24"/>
          <w:szCs w:val="24"/>
        </w:rPr>
      </w:pPr>
      <w:bookmarkStart w:id="1" w:name="bookmark2"/>
      <w:bookmarkEnd w:id="1"/>
      <w:r>
        <w:rPr>
          <w:rStyle w:val="Heading2"/>
          <w:b/>
          <w:bCs/>
          <w:color w:val="000000"/>
          <w:sz w:val="24"/>
          <w:szCs w:val="24"/>
        </w:rPr>
        <w:t>Údaje o neobmedzenom ručení</w:t>
      </w:r>
    </w:p>
    <w:p w:rsidR="00080F02" w:rsidRDefault="0060344E">
      <w:pPr>
        <w:pStyle w:val="Telotextu"/>
        <w:ind w:firstLine="44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Spoločnosť nie je neobmedzene ručiacim spoločníkom v iných spoločnostiach podľa § 56 ods. 5 Obchodného zákonníka.</w:t>
      </w:r>
    </w:p>
    <w:p w:rsidR="00080F02" w:rsidRDefault="0060344E">
      <w:pPr>
        <w:pStyle w:val="Heading20"/>
        <w:keepNext/>
        <w:keepLines/>
        <w:numPr>
          <w:ilvl w:val="0"/>
          <w:numId w:val="1"/>
        </w:numPr>
        <w:tabs>
          <w:tab w:val="left" w:pos="359"/>
        </w:tabs>
        <w:ind w:left="0"/>
        <w:jc w:val="both"/>
        <w:rPr>
          <w:rStyle w:val="Heading2"/>
          <w:b/>
          <w:bCs/>
          <w:color w:val="000000"/>
          <w:sz w:val="24"/>
          <w:szCs w:val="24"/>
        </w:rPr>
      </w:pPr>
      <w:bookmarkStart w:id="2" w:name="bookmark4"/>
      <w:bookmarkEnd w:id="2"/>
      <w:r>
        <w:rPr>
          <w:rStyle w:val="Heading2"/>
          <w:b/>
          <w:bCs/>
          <w:color w:val="000000"/>
          <w:sz w:val="24"/>
          <w:szCs w:val="24"/>
        </w:rPr>
        <w:t>Právny dôvod na zostavenie účtovnej závierky</w:t>
      </w:r>
    </w:p>
    <w:p w:rsidR="00080F02" w:rsidRDefault="0060344E">
      <w:pPr>
        <w:pStyle w:val="Telotextu"/>
        <w:ind w:left="440" w:firstLine="2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Účtovná závierka Spoločnosti k 31. decembru 202</w:t>
      </w:r>
      <w:r w:rsidR="00D67343">
        <w:rPr>
          <w:rStyle w:val="ZkladntextChar1"/>
          <w:color w:val="000000"/>
          <w:sz w:val="24"/>
          <w:szCs w:val="24"/>
        </w:rPr>
        <w:t>5</w:t>
      </w:r>
      <w:r>
        <w:rPr>
          <w:rStyle w:val="ZkladntextChar1"/>
          <w:color w:val="000000"/>
          <w:sz w:val="24"/>
          <w:szCs w:val="24"/>
        </w:rPr>
        <w:t xml:space="preserve"> je zostavená ako riadna účtovná závierka podľa § 17 ods. 6 zákona NR SR č. 431/2002 Z. z. o účtovníctve za účtovné obdobie od 1. januára 202</w:t>
      </w:r>
      <w:r w:rsidR="00D67343">
        <w:rPr>
          <w:rStyle w:val="ZkladntextChar1"/>
          <w:color w:val="000000"/>
          <w:sz w:val="24"/>
          <w:szCs w:val="24"/>
        </w:rPr>
        <w:t>5</w:t>
      </w:r>
      <w:r>
        <w:rPr>
          <w:rStyle w:val="ZkladntextChar1"/>
          <w:color w:val="000000"/>
          <w:sz w:val="24"/>
          <w:szCs w:val="24"/>
        </w:rPr>
        <w:t xml:space="preserve"> do 31. decembra 202</w:t>
      </w:r>
      <w:r w:rsidR="00D67343">
        <w:rPr>
          <w:rStyle w:val="ZkladntextChar1"/>
          <w:color w:val="000000"/>
          <w:sz w:val="24"/>
          <w:szCs w:val="24"/>
        </w:rPr>
        <w:t>5</w:t>
      </w:r>
      <w:r>
        <w:rPr>
          <w:rStyle w:val="ZkladntextChar1"/>
          <w:color w:val="000000"/>
          <w:sz w:val="24"/>
          <w:szCs w:val="24"/>
        </w:rPr>
        <w:t>.</w:t>
      </w:r>
    </w:p>
    <w:p w:rsidR="00080F02" w:rsidRDefault="0060344E">
      <w:pPr>
        <w:pStyle w:val="Heading20"/>
        <w:keepNext/>
        <w:keepLines/>
        <w:numPr>
          <w:ilvl w:val="0"/>
          <w:numId w:val="1"/>
        </w:numPr>
        <w:tabs>
          <w:tab w:val="left" w:pos="359"/>
        </w:tabs>
        <w:ind w:left="0"/>
        <w:jc w:val="both"/>
        <w:rPr>
          <w:rStyle w:val="Heading2"/>
          <w:b/>
          <w:bCs/>
          <w:color w:val="000000"/>
          <w:sz w:val="24"/>
          <w:szCs w:val="24"/>
        </w:rPr>
      </w:pPr>
      <w:bookmarkStart w:id="3" w:name="bookmark6"/>
      <w:bookmarkEnd w:id="3"/>
      <w:r>
        <w:rPr>
          <w:rStyle w:val="Heading2"/>
          <w:b/>
          <w:bCs/>
          <w:color w:val="000000"/>
          <w:sz w:val="24"/>
          <w:szCs w:val="24"/>
        </w:rPr>
        <w:t>Dátum schválenia účtovnej závierky za predchádzajúce účtovné obdobie</w:t>
      </w:r>
    </w:p>
    <w:p w:rsidR="00080F02" w:rsidRDefault="0060344E">
      <w:pPr>
        <w:pStyle w:val="Telotextu"/>
        <w:ind w:left="440" w:firstLine="2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Účtovná závierka</w:t>
      </w:r>
      <w:r w:rsidR="00573965">
        <w:rPr>
          <w:rStyle w:val="ZkladntextChar1"/>
          <w:color w:val="000000"/>
          <w:sz w:val="24"/>
          <w:szCs w:val="24"/>
        </w:rPr>
        <w:t xml:space="preserve"> Spoločnosti k 31. decembru 202</w:t>
      </w:r>
      <w:r w:rsidR="0001075C">
        <w:rPr>
          <w:rStyle w:val="ZkladntextChar1"/>
          <w:color w:val="000000"/>
          <w:sz w:val="24"/>
          <w:szCs w:val="24"/>
        </w:rPr>
        <w:t>4</w:t>
      </w:r>
      <w:r>
        <w:rPr>
          <w:rStyle w:val="ZkladntextChar1"/>
          <w:color w:val="000000"/>
          <w:sz w:val="24"/>
          <w:szCs w:val="24"/>
        </w:rPr>
        <w:t xml:space="preserve">, za predchádzajúce účtovné obdobie, bola schválená valným zhromaždením spoločnosti dňa </w:t>
      </w:r>
      <w:r w:rsidR="00D67343">
        <w:rPr>
          <w:rStyle w:val="ZkladntextChar1"/>
          <w:color w:val="000000"/>
          <w:sz w:val="24"/>
          <w:szCs w:val="24"/>
        </w:rPr>
        <w:t>22.09.2025</w:t>
      </w:r>
    </w:p>
    <w:p w:rsidR="00080F02" w:rsidRDefault="0060344E">
      <w:pPr>
        <w:pStyle w:val="Heading20"/>
        <w:keepNext/>
        <w:keepLines/>
        <w:numPr>
          <w:ilvl w:val="0"/>
          <w:numId w:val="1"/>
        </w:numPr>
        <w:tabs>
          <w:tab w:val="left" w:pos="359"/>
        </w:tabs>
        <w:spacing w:after="400"/>
        <w:ind w:left="0"/>
        <w:jc w:val="both"/>
        <w:rPr>
          <w:rStyle w:val="Heading2"/>
          <w:b/>
          <w:bCs/>
          <w:color w:val="000000"/>
          <w:sz w:val="24"/>
          <w:szCs w:val="24"/>
        </w:rPr>
      </w:pPr>
      <w:bookmarkStart w:id="4" w:name="bookmark8"/>
      <w:bookmarkEnd w:id="4"/>
      <w:r>
        <w:rPr>
          <w:rStyle w:val="Heading2"/>
          <w:b/>
          <w:bCs/>
          <w:color w:val="000000"/>
          <w:sz w:val="24"/>
          <w:szCs w:val="24"/>
        </w:rPr>
        <w:t>Počet zamestnancov</w:t>
      </w:r>
    </w:p>
    <w:p w:rsidR="00080F02" w:rsidRDefault="0060344E">
      <w:pPr>
        <w:pStyle w:val="Telotextu"/>
        <w:spacing w:after="620"/>
        <w:ind w:firstLine="44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Údaje o počte zamestnancov za bežné účtovné obdobie sú uvedené v nasledujúcom prehľade:</w:t>
      </w:r>
    </w:p>
    <w:tbl>
      <w:tblPr>
        <w:tblW w:w="0" w:type="auto"/>
        <w:tblInd w:w="1506" w:type="dxa"/>
        <w:tblBorders>
          <w:top w:val="single" w:sz="4" w:space="0" w:color="00000A"/>
          <w:left w:val="single" w:sz="4" w:space="0" w:color="00000A"/>
          <w:bottom w:val="nil"/>
          <w:right w:val="nil"/>
          <w:insideH w:val="nil"/>
          <w:insideV w:val="nil"/>
        </w:tblBorders>
        <w:tblCellMar>
          <w:left w:w="-5" w:type="dxa"/>
          <w:right w:w="0" w:type="dxa"/>
        </w:tblCellMar>
        <w:tblLook w:val="04A0" w:firstRow="1" w:lastRow="0" w:firstColumn="1" w:lastColumn="0" w:noHBand="0" w:noVBand="1"/>
      </w:tblPr>
      <w:tblGrid>
        <w:gridCol w:w="3801"/>
        <w:gridCol w:w="3287"/>
      </w:tblGrid>
      <w:tr w:rsidR="00080F02">
        <w:trPr>
          <w:trHeight w:hRule="exact" w:val="250"/>
        </w:trPr>
        <w:tc>
          <w:tcPr>
            <w:tcW w:w="3801" w:type="dxa"/>
            <w:tcBorders>
              <w:top w:val="single" w:sz="4" w:space="0" w:color="00000A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5" w:type="dxa"/>
            </w:tcMar>
            <w:vAlign w:val="bottom"/>
          </w:tcPr>
          <w:p w:rsidR="00080F02" w:rsidRDefault="0060344E">
            <w:pPr>
              <w:pStyle w:val="Other0"/>
              <w:spacing w:after="0"/>
              <w:ind w:firstLine="500"/>
              <w:rPr>
                <w:rStyle w:val="Other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Other"/>
                <w:b/>
                <w:bCs/>
                <w:color w:val="000000"/>
                <w:sz w:val="24"/>
                <w:szCs w:val="24"/>
              </w:rPr>
              <w:t>Názov položky</w:t>
            </w:r>
          </w:p>
        </w:tc>
        <w:tc>
          <w:tcPr>
            <w:tcW w:w="3287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-5" w:type="dxa"/>
            </w:tcMar>
            <w:vAlign w:val="bottom"/>
          </w:tcPr>
          <w:p w:rsidR="00080F02" w:rsidRDefault="0060344E">
            <w:pPr>
              <w:pStyle w:val="Other0"/>
              <w:spacing w:after="0"/>
              <w:ind w:firstLine="480"/>
              <w:jc w:val="both"/>
              <w:rPr>
                <w:rStyle w:val="Other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Other"/>
                <w:b/>
                <w:bCs/>
                <w:color w:val="000000"/>
                <w:sz w:val="24"/>
                <w:szCs w:val="24"/>
              </w:rPr>
              <w:t>Bežné účtovné obdobie</w:t>
            </w:r>
          </w:p>
        </w:tc>
      </w:tr>
      <w:tr w:rsidR="00080F02">
        <w:trPr>
          <w:trHeight w:hRule="exact" w:val="389"/>
        </w:trPr>
        <w:tc>
          <w:tcPr>
            <w:tcW w:w="3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left w:w="-5" w:type="dxa"/>
            </w:tcMar>
            <w:vAlign w:val="center"/>
          </w:tcPr>
          <w:p w:rsidR="00080F02" w:rsidRDefault="0060344E">
            <w:pPr>
              <w:pStyle w:val="Other0"/>
              <w:spacing w:after="0"/>
              <w:ind w:firstLine="500"/>
              <w:jc w:val="center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Priemerný prepočítaný počet zamestnancov</w:t>
            </w:r>
          </w:p>
        </w:tc>
        <w:tc>
          <w:tcPr>
            <w:tcW w:w="3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080F02" w:rsidRDefault="00E9723D" w:rsidP="00573965">
            <w:pPr>
              <w:pStyle w:val="Other0"/>
              <w:spacing w:after="0"/>
              <w:ind w:firstLine="480"/>
              <w:jc w:val="center"/>
              <w:rPr>
                <w:rStyle w:val="Other"/>
                <w:rFonts w:ascii="Microsoft Sans Serif" w:hAnsi="Microsoft Sans Serif" w:cs="Microsoft Sans Serif"/>
                <w:color w:val="000000"/>
                <w:sz w:val="24"/>
                <w:szCs w:val="24"/>
              </w:rPr>
            </w:pPr>
            <w:r>
              <w:rPr>
                <w:rStyle w:val="Other"/>
                <w:rFonts w:ascii="Microsoft Sans Serif" w:hAnsi="Microsoft Sans Serif" w:cs="Microsoft Sans Serif"/>
                <w:color w:val="000000"/>
                <w:sz w:val="24"/>
                <w:szCs w:val="24"/>
              </w:rPr>
              <w:t>92</w:t>
            </w:r>
          </w:p>
        </w:tc>
      </w:tr>
    </w:tbl>
    <w:p w:rsidR="00080F02" w:rsidRDefault="00080F02">
      <w:pPr>
        <w:spacing w:after="199" w:line="1" w:lineRule="exact"/>
        <w:rPr>
          <w:color w:val="00000A"/>
        </w:rPr>
      </w:pPr>
    </w:p>
    <w:p w:rsidR="00080F02" w:rsidRDefault="0060344E">
      <w:pPr>
        <w:pStyle w:val="Heading20"/>
        <w:keepNext/>
        <w:keepLines/>
        <w:numPr>
          <w:ilvl w:val="0"/>
          <w:numId w:val="1"/>
        </w:numPr>
        <w:tabs>
          <w:tab w:val="left" w:pos="359"/>
        </w:tabs>
        <w:spacing w:after="200"/>
        <w:ind w:left="0"/>
        <w:jc w:val="both"/>
        <w:rPr>
          <w:rStyle w:val="Heading2"/>
          <w:b/>
          <w:bCs/>
          <w:color w:val="000000"/>
          <w:sz w:val="24"/>
          <w:szCs w:val="24"/>
        </w:rPr>
      </w:pPr>
      <w:bookmarkStart w:id="5" w:name="bookmark10"/>
      <w:bookmarkEnd w:id="5"/>
      <w:r>
        <w:rPr>
          <w:rStyle w:val="Heading2"/>
          <w:b/>
          <w:bCs/>
          <w:color w:val="000000"/>
          <w:sz w:val="24"/>
          <w:szCs w:val="24"/>
        </w:rPr>
        <w:t>Informácie o orgánoch účtovnej jednotky</w:t>
      </w:r>
    </w:p>
    <w:p w:rsidR="00080F02" w:rsidRDefault="0060344E">
      <w:pPr>
        <w:pStyle w:val="Telotextu"/>
        <w:numPr>
          <w:ilvl w:val="0"/>
          <w:numId w:val="2"/>
        </w:numPr>
        <w:tabs>
          <w:tab w:val="left" w:pos="805"/>
        </w:tabs>
        <w:spacing w:after="0"/>
        <w:ind w:left="80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Výška jednotlivých druhov záruk alebo iných zabezpečení poskytnutých pre členov štatutárneho orgánu, dozorného orgánu a iného orgánu ÚJ:</w:t>
      </w:r>
    </w:p>
    <w:p w:rsidR="00080F02" w:rsidRDefault="0060344E">
      <w:pPr>
        <w:pStyle w:val="Telotextu"/>
        <w:numPr>
          <w:ilvl w:val="0"/>
          <w:numId w:val="2"/>
        </w:numPr>
        <w:tabs>
          <w:tab w:val="left" w:pos="805"/>
        </w:tabs>
        <w:spacing w:after="0"/>
        <w:ind w:left="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Informácia o pôžičkách:</w:t>
      </w:r>
    </w:p>
    <w:p w:rsidR="00080F02" w:rsidRDefault="0060344E">
      <w:pPr>
        <w:pStyle w:val="Telotextu"/>
        <w:spacing w:after="0"/>
        <w:ind w:firstLine="80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Celková suma poskytnutých pôžičiek k 31.12. bežného obdobia podľa jednotlivých orgánov:</w:t>
      </w:r>
    </w:p>
    <w:p w:rsidR="00080F02" w:rsidRDefault="0060344E">
      <w:pPr>
        <w:pStyle w:val="Telotextu"/>
        <w:spacing w:after="0"/>
        <w:ind w:left="144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Konateľ:</w:t>
      </w:r>
    </w:p>
    <w:p w:rsidR="00080F02" w:rsidRDefault="0060344E">
      <w:pPr>
        <w:pStyle w:val="Telotextu"/>
        <w:spacing w:after="0"/>
        <w:ind w:left="144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Predseda predstavenstva:</w:t>
      </w:r>
    </w:p>
    <w:p w:rsidR="00080F02" w:rsidRDefault="0060344E">
      <w:pPr>
        <w:pStyle w:val="Telotextu"/>
        <w:spacing w:after="0"/>
        <w:ind w:left="144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Člen predstavenstva:</w:t>
      </w:r>
    </w:p>
    <w:p w:rsidR="00080F02" w:rsidRDefault="0060344E">
      <w:pPr>
        <w:pStyle w:val="Telotextu"/>
        <w:spacing w:after="0"/>
        <w:ind w:firstLine="80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Celková suma splatených pôžičiek za posledné účtovné obdobie:</w:t>
      </w:r>
    </w:p>
    <w:p w:rsidR="00080F02" w:rsidRDefault="0060344E">
      <w:pPr>
        <w:pStyle w:val="Telotextu"/>
        <w:spacing w:after="0"/>
        <w:ind w:left="144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lastRenderedPageBreak/>
        <w:t>Konateľ:</w:t>
      </w:r>
    </w:p>
    <w:p w:rsidR="00080F02" w:rsidRDefault="0060344E">
      <w:pPr>
        <w:pStyle w:val="Telotextu"/>
        <w:spacing w:after="0"/>
        <w:ind w:left="144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Predseda predstavenstva:</w:t>
      </w:r>
    </w:p>
    <w:p w:rsidR="00080F02" w:rsidRDefault="0060344E">
      <w:pPr>
        <w:pStyle w:val="Telotextu"/>
        <w:spacing w:after="0"/>
        <w:ind w:left="144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Člen predstavenstva:</w:t>
      </w:r>
    </w:p>
    <w:p w:rsidR="00080F02" w:rsidRDefault="0060344E">
      <w:pPr>
        <w:pStyle w:val="Telotextu"/>
        <w:spacing w:after="0"/>
        <w:ind w:firstLine="80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Celková suma odpustených pôžičiek a odpísaných pôžičiek k 31.12. bežného obdobia: 0,- €</w:t>
      </w:r>
    </w:p>
    <w:p w:rsidR="00080F02" w:rsidRDefault="0060344E">
      <w:pPr>
        <w:pStyle w:val="Telotextu"/>
        <w:spacing w:after="760"/>
        <w:ind w:firstLine="80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V aktuálnom účtovnom období neboli odpustené ani odpísané žiadne pôžičky.</w:t>
      </w:r>
    </w:p>
    <w:p w:rsidR="00080F02" w:rsidRDefault="0060344E">
      <w:pPr>
        <w:pStyle w:val="Heading20"/>
        <w:keepNext/>
        <w:keepLines/>
        <w:spacing w:after="40"/>
        <w:ind w:firstLine="380"/>
        <w:jc w:val="both"/>
        <w:rPr>
          <w:rStyle w:val="Heading2"/>
          <w:b/>
          <w:bCs/>
          <w:color w:val="000000"/>
          <w:sz w:val="24"/>
          <w:szCs w:val="24"/>
        </w:rPr>
      </w:pPr>
      <w:bookmarkStart w:id="6" w:name="bookmark12"/>
      <w:bookmarkEnd w:id="6"/>
      <w:r>
        <w:rPr>
          <w:rStyle w:val="Heading2"/>
          <w:b/>
          <w:bCs/>
          <w:color w:val="000000"/>
          <w:sz w:val="24"/>
          <w:szCs w:val="24"/>
        </w:rPr>
        <w:t>INFORMÁCIE O KONSOLIDOVANOM CELKU</w:t>
      </w:r>
    </w:p>
    <w:p w:rsidR="00080F02" w:rsidRDefault="0060344E">
      <w:pPr>
        <w:pStyle w:val="Telotextu"/>
        <w:spacing w:after="560"/>
        <w:ind w:left="440" w:firstLine="2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 xml:space="preserve">Materskou spoločnosťou firmy STROPTEL je spoločnosť  SPEN TRADE s.r.o., so sídlom </w:t>
      </w:r>
      <w:proofErr w:type="spellStart"/>
      <w:r>
        <w:rPr>
          <w:rStyle w:val="ZkladntextChar1"/>
          <w:color w:val="000000"/>
          <w:sz w:val="24"/>
          <w:szCs w:val="24"/>
        </w:rPr>
        <w:t>Ciolkovského</w:t>
      </w:r>
      <w:proofErr w:type="spellEnd"/>
      <w:r>
        <w:rPr>
          <w:rStyle w:val="ZkladntextChar1"/>
          <w:color w:val="000000"/>
          <w:sz w:val="24"/>
          <w:szCs w:val="24"/>
        </w:rPr>
        <w:t xml:space="preserve"> 1270/1, 091 01 Stropkov</w:t>
      </w:r>
    </w:p>
    <w:p w:rsidR="00080F02" w:rsidRDefault="0060344E">
      <w:pPr>
        <w:pStyle w:val="Telotextu"/>
        <w:spacing w:after="260"/>
        <w:ind w:firstLine="380"/>
        <w:jc w:val="both"/>
        <w:rPr>
          <w:rStyle w:val="ZkladntextChar1"/>
          <w:b/>
          <w:bCs/>
          <w:color w:val="000000"/>
          <w:sz w:val="24"/>
          <w:szCs w:val="24"/>
        </w:rPr>
      </w:pPr>
      <w:r>
        <w:rPr>
          <w:rStyle w:val="ZkladntextChar1"/>
          <w:b/>
          <w:bCs/>
          <w:color w:val="000000"/>
          <w:sz w:val="24"/>
          <w:szCs w:val="24"/>
        </w:rPr>
        <w:t>INFORMÁCIE O ÚČTOVNÝCH ZÁSADÁCH A ÚČTOVNÝCH METÓDACH</w:t>
      </w:r>
    </w:p>
    <w:p w:rsidR="00080F02" w:rsidRDefault="0060344E">
      <w:pPr>
        <w:pStyle w:val="Heading20"/>
        <w:keepNext/>
        <w:keepLines/>
        <w:numPr>
          <w:ilvl w:val="0"/>
          <w:numId w:val="3"/>
        </w:numPr>
        <w:tabs>
          <w:tab w:val="left" w:pos="397"/>
        </w:tabs>
        <w:ind w:left="0"/>
        <w:jc w:val="both"/>
        <w:rPr>
          <w:rStyle w:val="Heading2"/>
          <w:b/>
          <w:bCs/>
          <w:color w:val="000000"/>
          <w:sz w:val="24"/>
          <w:szCs w:val="24"/>
        </w:rPr>
      </w:pPr>
      <w:bookmarkStart w:id="7" w:name="bookmark14"/>
      <w:bookmarkEnd w:id="7"/>
      <w:r>
        <w:rPr>
          <w:rStyle w:val="Heading2"/>
          <w:b/>
          <w:bCs/>
          <w:color w:val="000000"/>
          <w:sz w:val="24"/>
          <w:szCs w:val="24"/>
        </w:rPr>
        <w:t>Východiská pre zostavenie účtovnej závierky</w:t>
      </w:r>
    </w:p>
    <w:p w:rsidR="00080F02" w:rsidRDefault="00573965">
      <w:pPr>
        <w:pStyle w:val="Telotextu"/>
        <w:ind w:left="440" w:firstLine="20"/>
        <w:jc w:val="both"/>
      </w:pPr>
      <w:r>
        <w:rPr>
          <w:rStyle w:val="ZkladntextChar1"/>
          <w:color w:val="000000"/>
          <w:sz w:val="24"/>
          <w:szCs w:val="24"/>
        </w:rPr>
        <w:t>Účtovná závierka bola zostavená v nepretržitej činnosti.</w:t>
      </w:r>
      <w:r w:rsidR="0060344E">
        <w:br/>
      </w:r>
      <w:r w:rsidR="00CD7BF1">
        <w:pict>
          <v:rect id="_x0000_s1027" style="position:absolute;left:0;text-align:left;margin-left:541.65pt;margin-top:801.2pt;width:2.9pt;height:11.55pt;z-index:251657216;mso-wrap-distance-left:0;mso-wrap-distance-top:0;mso-wrap-distance-right:0;mso-wrap-distance-bottom:0;mso-position-horizontal-relative:text;mso-position-vertical-relative:text" stroked="f" strokeweight="0">
            <v:textbox inset="0,0,0,0">
              <w:txbxContent>
                <w:p w:rsidR="00080F02" w:rsidRDefault="0060344E">
                  <w:pPr>
                    <w:pStyle w:val="Headerorfooter20"/>
                  </w:pPr>
                  <w:r>
                    <w:fldChar w:fldCharType="begin"/>
                  </w:r>
                  <w:r>
                    <w:instrText>PAGE</w:instrText>
                  </w:r>
                  <w:r>
                    <w:fldChar w:fldCharType="separate"/>
                  </w:r>
                  <w:r>
                    <w:t>2</w:t>
                  </w:r>
                  <w:r>
                    <w:fldChar w:fldCharType="end"/>
                  </w:r>
                </w:p>
              </w:txbxContent>
            </v:textbox>
          </v:rect>
        </w:pict>
      </w:r>
    </w:p>
    <w:p w:rsidR="00080F02" w:rsidRDefault="0060344E">
      <w:pPr>
        <w:pStyle w:val="Heading20"/>
        <w:keepNext/>
        <w:keepLines/>
        <w:numPr>
          <w:ilvl w:val="0"/>
          <w:numId w:val="4"/>
        </w:numPr>
        <w:tabs>
          <w:tab w:val="left" w:pos="427"/>
        </w:tabs>
        <w:spacing w:after="400"/>
        <w:ind w:left="0"/>
        <w:rPr>
          <w:rStyle w:val="Heading2"/>
          <w:b/>
          <w:bCs/>
          <w:color w:val="000000"/>
          <w:sz w:val="24"/>
          <w:szCs w:val="24"/>
        </w:rPr>
      </w:pPr>
      <w:bookmarkStart w:id="8" w:name="bookmark16"/>
      <w:bookmarkEnd w:id="8"/>
      <w:r>
        <w:rPr>
          <w:rStyle w:val="Heading2"/>
          <w:b/>
          <w:bCs/>
          <w:color w:val="000000"/>
          <w:sz w:val="24"/>
          <w:szCs w:val="24"/>
        </w:rPr>
        <w:t>Počas účtovného obdobia neboli prijaté zmeny účtovných zásad a účtovných metód</w:t>
      </w:r>
    </w:p>
    <w:p w:rsidR="00080F02" w:rsidRDefault="0060344E">
      <w:pPr>
        <w:pStyle w:val="Heading20"/>
        <w:keepNext/>
        <w:keepLines/>
        <w:numPr>
          <w:ilvl w:val="0"/>
          <w:numId w:val="4"/>
        </w:numPr>
        <w:tabs>
          <w:tab w:val="left" w:pos="427"/>
        </w:tabs>
        <w:spacing w:after="200"/>
        <w:ind w:left="0"/>
        <w:rPr>
          <w:rStyle w:val="Heading2"/>
          <w:b/>
          <w:bCs/>
          <w:color w:val="000000"/>
          <w:sz w:val="24"/>
          <w:szCs w:val="24"/>
        </w:rPr>
      </w:pPr>
      <w:r>
        <w:rPr>
          <w:rStyle w:val="Heading2"/>
          <w:b/>
          <w:bCs/>
          <w:color w:val="000000"/>
          <w:sz w:val="24"/>
          <w:szCs w:val="24"/>
        </w:rPr>
        <w:t>Účtovné metódy a všeobecné účtovné zásady pri oceňovaní</w:t>
      </w:r>
    </w:p>
    <w:p w:rsidR="00080F02" w:rsidRDefault="0060344E">
      <w:pPr>
        <w:pStyle w:val="Heading20"/>
        <w:keepNext/>
        <w:keepLines/>
        <w:numPr>
          <w:ilvl w:val="0"/>
          <w:numId w:val="5"/>
        </w:numPr>
        <w:tabs>
          <w:tab w:val="left" w:pos="704"/>
        </w:tabs>
        <w:jc w:val="both"/>
        <w:rPr>
          <w:rStyle w:val="Heading2"/>
          <w:b/>
          <w:bCs/>
          <w:color w:val="000000"/>
          <w:sz w:val="24"/>
          <w:szCs w:val="24"/>
        </w:rPr>
      </w:pPr>
      <w:r>
        <w:rPr>
          <w:rStyle w:val="Heading2"/>
          <w:b/>
          <w:bCs/>
          <w:color w:val="000000"/>
          <w:sz w:val="24"/>
          <w:szCs w:val="24"/>
        </w:rPr>
        <w:t>Dlhodobý nehmotný majetok a dlhodobý hmotný majetok</w:t>
      </w:r>
    </w:p>
    <w:p w:rsidR="00080F02" w:rsidRDefault="0060344E">
      <w:pPr>
        <w:pStyle w:val="Telotextu"/>
        <w:ind w:left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Dlhodobý majetok nakupovaný sa oceňuje obstarávacou cenou, ktorá zahŕňa cenu obstarania a náklady súvisiace s obstaraním (clo, prepravu, montáž, poistné a pod.).</w:t>
      </w:r>
    </w:p>
    <w:p w:rsidR="00080F02" w:rsidRDefault="0060344E">
      <w:pPr>
        <w:pStyle w:val="Telotextu"/>
        <w:ind w:left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Súčasťou obstarávacej ceny dlhodobého hmotného majetku nie sú úroky z cudzích zdrojov ani realizované kurzové rozdiely, ktoré vznikli do momentu uvedenia dlhodobého majetku do používania.</w:t>
      </w:r>
    </w:p>
    <w:p w:rsidR="00080F02" w:rsidRDefault="0060344E">
      <w:pPr>
        <w:pStyle w:val="Telotextu"/>
        <w:ind w:left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Súčasťou obstarávacej ceny dlhodobého nehmotného majetku nie sú úroky z cudzích zdrojov, ktoré vznikli do momentu zaradenia dlhodobého nehmotného majetku do používania.</w:t>
      </w:r>
    </w:p>
    <w:p w:rsidR="00080F02" w:rsidRDefault="0060344E">
      <w:pPr>
        <w:pStyle w:val="Telotextu"/>
        <w:ind w:left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Dlhodobý majetok vytvorený vlastnou činnosťou sa oceňuje vlastnými nákladmi. Vlastnými nákladmi sú všetky priame náklady vynaložené na výrobu alebo inú činnosť a nepriame náklady, ktoré sa vzťahujú na výrobu alebo inú činnosť.</w:t>
      </w:r>
    </w:p>
    <w:p w:rsidR="00080F02" w:rsidRDefault="0060344E">
      <w:pPr>
        <w:pStyle w:val="Heading20"/>
        <w:keepNext/>
        <w:keepLines/>
        <w:numPr>
          <w:ilvl w:val="0"/>
          <w:numId w:val="5"/>
        </w:numPr>
        <w:tabs>
          <w:tab w:val="left" w:pos="704"/>
        </w:tabs>
        <w:jc w:val="both"/>
        <w:rPr>
          <w:rStyle w:val="Heading2"/>
          <w:b/>
          <w:bCs/>
          <w:color w:val="000000"/>
          <w:sz w:val="24"/>
          <w:szCs w:val="24"/>
        </w:rPr>
      </w:pPr>
      <w:bookmarkStart w:id="9" w:name="bookmark20"/>
      <w:bookmarkEnd w:id="9"/>
      <w:r>
        <w:rPr>
          <w:rStyle w:val="Heading2"/>
          <w:b/>
          <w:bCs/>
          <w:color w:val="000000"/>
          <w:sz w:val="24"/>
          <w:szCs w:val="24"/>
        </w:rPr>
        <w:t>Cenné papiere a podiely</w:t>
      </w:r>
    </w:p>
    <w:p w:rsidR="00080F02" w:rsidRDefault="0060344E">
      <w:pPr>
        <w:pStyle w:val="Telotextu"/>
        <w:ind w:left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Cenné papiere a podiely (okrem cenných papierov na obchodovanie) sa oceňujú obstarávacími cenami vrátane nákladov súvisiacich s obstaraním. Od obstarávacej ceny je odpočítané zníženie hodnoty cenných papierov a podielov.</w:t>
      </w:r>
    </w:p>
    <w:p w:rsidR="00080F02" w:rsidRDefault="0060344E">
      <w:pPr>
        <w:pStyle w:val="Telotextu"/>
        <w:ind w:firstLine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Cenné papiere na obchodovanie sa pri ich obstaraní oceňujú reálnou hodnotou.</w:t>
      </w:r>
    </w:p>
    <w:p w:rsidR="00080F02" w:rsidRDefault="0060344E">
      <w:pPr>
        <w:pStyle w:val="Heading20"/>
        <w:keepNext/>
        <w:keepLines/>
        <w:numPr>
          <w:ilvl w:val="0"/>
          <w:numId w:val="5"/>
        </w:numPr>
        <w:tabs>
          <w:tab w:val="left" w:pos="704"/>
        </w:tabs>
        <w:jc w:val="both"/>
        <w:rPr>
          <w:rStyle w:val="Heading2"/>
          <w:b/>
          <w:bCs/>
          <w:color w:val="000000"/>
          <w:sz w:val="24"/>
          <w:szCs w:val="24"/>
        </w:rPr>
      </w:pPr>
      <w:bookmarkStart w:id="10" w:name="bookmark22"/>
      <w:bookmarkEnd w:id="10"/>
      <w:r>
        <w:rPr>
          <w:rStyle w:val="Heading2"/>
          <w:b/>
          <w:bCs/>
          <w:color w:val="000000"/>
          <w:sz w:val="24"/>
          <w:szCs w:val="24"/>
        </w:rPr>
        <w:lastRenderedPageBreak/>
        <w:t>Zásoby</w:t>
      </w:r>
    </w:p>
    <w:p w:rsidR="00080F02" w:rsidRDefault="0060344E">
      <w:pPr>
        <w:pStyle w:val="Telotextu"/>
        <w:ind w:firstLine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Zásoby sa oceňujú obstarávacou cenou.</w:t>
      </w:r>
    </w:p>
    <w:p w:rsidR="00080F02" w:rsidRDefault="0060344E">
      <w:pPr>
        <w:pStyle w:val="Telotextu"/>
        <w:ind w:left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080F02" w:rsidRDefault="0060344E">
      <w:pPr>
        <w:pStyle w:val="Telotextu"/>
        <w:ind w:firstLine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Zníženie hodnoty zásob sa zohľadňuje vytvorením opravnej položky.</w:t>
      </w:r>
    </w:p>
    <w:p w:rsidR="00080F02" w:rsidRDefault="0060344E">
      <w:pPr>
        <w:pStyle w:val="Telotextu"/>
        <w:ind w:firstLine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Spoločnosť účtuje zásoby spôsobom A.</w:t>
      </w:r>
    </w:p>
    <w:p w:rsidR="00080F02" w:rsidRDefault="0060344E">
      <w:pPr>
        <w:pStyle w:val="Heading20"/>
        <w:keepNext/>
        <w:keepLines/>
        <w:numPr>
          <w:ilvl w:val="0"/>
          <w:numId w:val="5"/>
        </w:numPr>
        <w:tabs>
          <w:tab w:val="left" w:pos="710"/>
        </w:tabs>
        <w:jc w:val="both"/>
        <w:rPr>
          <w:rStyle w:val="Heading2"/>
          <w:b/>
          <w:bCs/>
          <w:color w:val="000000"/>
          <w:sz w:val="24"/>
          <w:szCs w:val="24"/>
        </w:rPr>
      </w:pPr>
      <w:bookmarkStart w:id="11" w:name="bookmark24"/>
      <w:bookmarkEnd w:id="11"/>
      <w:r>
        <w:rPr>
          <w:rStyle w:val="Heading2"/>
          <w:b/>
          <w:bCs/>
          <w:color w:val="000000"/>
          <w:sz w:val="24"/>
          <w:szCs w:val="24"/>
        </w:rPr>
        <w:t>Peňažné prostriedky a ceniny</w:t>
      </w:r>
    </w:p>
    <w:p w:rsidR="00080F02" w:rsidRDefault="0060344E">
      <w:pPr>
        <w:pStyle w:val="Telotextu"/>
        <w:ind w:firstLine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Peňažné prostriedky a ceniny sa oceňujú ich menovitou hodnotou. Zníženie ich hodnoty sa vyjadruje opravnou položkou.</w:t>
      </w:r>
    </w:p>
    <w:p w:rsidR="00080F02" w:rsidRDefault="0060344E">
      <w:pPr>
        <w:pStyle w:val="Heading20"/>
        <w:keepNext/>
        <w:keepLines/>
        <w:numPr>
          <w:ilvl w:val="0"/>
          <w:numId w:val="5"/>
        </w:numPr>
        <w:tabs>
          <w:tab w:val="left" w:pos="710"/>
        </w:tabs>
        <w:jc w:val="both"/>
        <w:rPr>
          <w:rStyle w:val="Heading2"/>
          <w:b/>
          <w:bCs/>
          <w:color w:val="000000"/>
          <w:sz w:val="24"/>
          <w:szCs w:val="24"/>
        </w:rPr>
      </w:pPr>
      <w:bookmarkStart w:id="12" w:name="bookmark26"/>
      <w:bookmarkEnd w:id="12"/>
      <w:r>
        <w:rPr>
          <w:rStyle w:val="Heading2"/>
          <w:b/>
          <w:bCs/>
          <w:color w:val="000000"/>
          <w:sz w:val="24"/>
          <w:szCs w:val="24"/>
        </w:rPr>
        <w:t>Cudzia mena</w:t>
      </w:r>
    </w:p>
    <w:p w:rsidR="00080F02" w:rsidRDefault="0060344E">
      <w:pPr>
        <w:pStyle w:val="Telotextu"/>
        <w:ind w:left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</w:t>
      </w:r>
    </w:p>
    <w:p w:rsidR="00080F02" w:rsidRDefault="0060344E">
      <w:pPr>
        <w:pStyle w:val="Telotextu"/>
        <w:ind w:left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Na ocenenie prírastku cudzej meny nakúpenej za euro sa použije kurz, za ktorý bola táto cudzia mena nakúpená.</w:t>
      </w:r>
    </w:p>
    <w:p w:rsidR="00080F02" w:rsidRDefault="0060344E">
      <w:pPr>
        <w:pStyle w:val="Telotextu"/>
        <w:ind w:left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</w:t>
      </w:r>
    </w:p>
    <w:p w:rsidR="00080F02" w:rsidRDefault="0060344E">
      <w:pPr>
        <w:pStyle w:val="Telotextu"/>
        <w:ind w:left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</w:t>
      </w:r>
    </w:p>
    <w:p w:rsidR="00080F02" w:rsidRDefault="0060344E">
      <w:pPr>
        <w:pStyle w:val="Telotextu"/>
        <w:ind w:left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</w:t>
      </w:r>
    </w:p>
    <w:p w:rsidR="00080F02" w:rsidRDefault="0060344E">
      <w:pPr>
        <w:pStyle w:val="Telotextu"/>
        <w:ind w:left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Prijaté a poskytnuté preddavky v cudzej mene na účet zriadený v eurách a z účtu zriadeného v eurách sa prepočítavajú na menu euro kurzom, za ktorý boli tieto hodnoty nakúpené alebo predané.</w:t>
      </w:r>
    </w:p>
    <w:p w:rsidR="00080F02" w:rsidRDefault="0060344E">
      <w:pPr>
        <w:pStyle w:val="Heading20"/>
        <w:keepNext/>
        <w:keepLines/>
        <w:numPr>
          <w:ilvl w:val="0"/>
          <w:numId w:val="5"/>
        </w:numPr>
        <w:tabs>
          <w:tab w:val="left" w:pos="704"/>
        </w:tabs>
        <w:jc w:val="both"/>
        <w:rPr>
          <w:rStyle w:val="Heading2"/>
          <w:b/>
          <w:bCs/>
          <w:color w:val="000000"/>
          <w:sz w:val="24"/>
          <w:szCs w:val="24"/>
        </w:rPr>
      </w:pPr>
      <w:bookmarkStart w:id="13" w:name="bookmark28"/>
      <w:bookmarkEnd w:id="13"/>
      <w:r>
        <w:rPr>
          <w:rStyle w:val="Heading2"/>
          <w:b/>
          <w:bCs/>
          <w:color w:val="000000"/>
          <w:sz w:val="24"/>
          <w:szCs w:val="24"/>
        </w:rPr>
        <w:lastRenderedPageBreak/>
        <w:t>Výnosy</w:t>
      </w:r>
    </w:p>
    <w:p w:rsidR="00080F02" w:rsidRDefault="0060344E">
      <w:pPr>
        <w:pStyle w:val="Telotextu"/>
        <w:ind w:left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080F02" w:rsidRDefault="0060344E">
      <w:pPr>
        <w:pStyle w:val="Heading20"/>
        <w:keepNext/>
        <w:keepLines/>
        <w:numPr>
          <w:ilvl w:val="0"/>
          <w:numId w:val="5"/>
        </w:numPr>
        <w:tabs>
          <w:tab w:val="left" w:pos="704"/>
        </w:tabs>
        <w:jc w:val="both"/>
        <w:rPr>
          <w:rStyle w:val="Heading2"/>
          <w:b/>
          <w:bCs/>
          <w:color w:val="000000"/>
          <w:sz w:val="24"/>
          <w:szCs w:val="24"/>
        </w:rPr>
      </w:pPr>
      <w:bookmarkStart w:id="14" w:name="bookmark30"/>
      <w:bookmarkEnd w:id="14"/>
      <w:r>
        <w:rPr>
          <w:rStyle w:val="Heading2"/>
          <w:b/>
          <w:bCs/>
          <w:color w:val="000000"/>
          <w:sz w:val="24"/>
          <w:szCs w:val="24"/>
        </w:rPr>
        <w:t>Zákazková výroba</w:t>
      </w:r>
    </w:p>
    <w:p w:rsidR="00080F02" w:rsidRDefault="0060344E">
      <w:pPr>
        <w:pStyle w:val="Telotextu"/>
        <w:ind w:firstLine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Nemáme</w:t>
      </w:r>
    </w:p>
    <w:p w:rsidR="00080F02" w:rsidRDefault="0060344E">
      <w:pPr>
        <w:pStyle w:val="Heading20"/>
        <w:keepNext/>
        <w:keepLines/>
        <w:numPr>
          <w:ilvl w:val="0"/>
          <w:numId w:val="5"/>
        </w:numPr>
        <w:tabs>
          <w:tab w:val="left" w:pos="704"/>
        </w:tabs>
        <w:jc w:val="both"/>
        <w:rPr>
          <w:rStyle w:val="Heading2"/>
          <w:b/>
          <w:bCs/>
          <w:color w:val="000000"/>
          <w:sz w:val="24"/>
          <w:szCs w:val="24"/>
        </w:rPr>
      </w:pPr>
      <w:r>
        <w:rPr>
          <w:rStyle w:val="Heading2"/>
          <w:b/>
          <w:bCs/>
          <w:color w:val="000000"/>
          <w:sz w:val="24"/>
          <w:szCs w:val="24"/>
        </w:rPr>
        <w:t>Zákazková výstavba nehnuteľností</w:t>
      </w:r>
    </w:p>
    <w:p w:rsidR="00080F02" w:rsidRDefault="0060344E">
      <w:pPr>
        <w:pStyle w:val="Telotextu"/>
        <w:ind w:firstLine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Nemáme</w:t>
      </w:r>
    </w:p>
    <w:p w:rsidR="00080F02" w:rsidRDefault="0060344E">
      <w:pPr>
        <w:pStyle w:val="Heading20"/>
        <w:keepNext/>
        <w:keepLines/>
        <w:numPr>
          <w:ilvl w:val="0"/>
          <w:numId w:val="5"/>
        </w:numPr>
        <w:tabs>
          <w:tab w:val="left" w:pos="713"/>
        </w:tabs>
        <w:jc w:val="both"/>
        <w:rPr>
          <w:rStyle w:val="Heading2"/>
          <w:b/>
          <w:bCs/>
          <w:color w:val="000000"/>
          <w:sz w:val="24"/>
          <w:szCs w:val="24"/>
        </w:rPr>
      </w:pPr>
      <w:bookmarkStart w:id="15" w:name="bookmark34"/>
      <w:bookmarkEnd w:id="15"/>
      <w:r>
        <w:rPr>
          <w:rStyle w:val="Heading2"/>
          <w:b/>
          <w:bCs/>
          <w:color w:val="000000"/>
          <w:sz w:val="24"/>
          <w:szCs w:val="24"/>
        </w:rPr>
        <w:t>Pohľadávky</w:t>
      </w:r>
    </w:p>
    <w:p w:rsidR="00080F02" w:rsidRDefault="0060344E">
      <w:pPr>
        <w:pStyle w:val="Telotextu"/>
        <w:spacing w:after="420"/>
        <w:ind w:left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:rsidR="00080F02" w:rsidRDefault="0060344E">
      <w:pPr>
        <w:pStyle w:val="Heading20"/>
        <w:keepNext/>
        <w:keepLines/>
        <w:numPr>
          <w:ilvl w:val="0"/>
          <w:numId w:val="5"/>
        </w:numPr>
        <w:tabs>
          <w:tab w:val="left" w:pos="713"/>
        </w:tabs>
        <w:jc w:val="both"/>
        <w:rPr>
          <w:rStyle w:val="Heading2"/>
          <w:b/>
          <w:bCs/>
          <w:color w:val="000000"/>
          <w:sz w:val="24"/>
          <w:szCs w:val="24"/>
        </w:rPr>
      </w:pPr>
      <w:bookmarkStart w:id="16" w:name="bookmark36"/>
      <w:bookmarkEnd w:id="16"/>
      <w:r>
        <w:rPr>
          <w:rStyle w:val="Heading2"/>
          <w:b/>
          <w:bCs/>
          <w:color w:val="000000"/>
          <w:sz w:val="24"/>
          <w:szCs w:val="24"/>
        </w:rPr>
        <w:t>Náklady budúcich období a príjmy budúcich období</w:t>
      </w:r>
    </w:p>
    <w:p w:rsidR="00080F02" w:rsidRDefault="0060344E">
      <w:pPr>
        <w:pStyle w:val="Telotextu"/>
        <w:ind w:left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Náklady budúcich období a príjmy budúcich období sa vykazujú vo výške, ktorá je potrebná na dodržanie zásady vecnej a časovej súvislosti s účtovným obdobím.</w:t>
      </w:r>
    </w:p>
    <w:p w:rsidR="00080F02" w:rsidRDefault="0060344E">
      <w:pPr>
        <w:pStyle w:val="Heading20"/>
        <w:keepNext/>
        <w:keepLines/>
        <w:numPr>
          <w:ilvl w:val="0"/>
          <w:numId w:val="5"/>
        </w:numPr>
        <w:tabs>
          <w:tab w:val="left" w:pos="713"/>
        </w:tabs>
        <w:rPr>
          <w:rStyle w:val="Heading2"/>
          <w:b/>
          <w:bCs/>
          <w:color w:val="000000"/>
          <w:sz w:val="24"/>
          <w:szCs w:val="24"/>
        </w:rPr>
      </w:pPr>
      <w:bookmarkStart w:id="17" w:name="bookmark38"/>
      <w:bookmarkEnd w:id="17"/>
      <w:r>
        <w:rPr>
          <w:rStyle w:val="Heading2"/>
          <w:b/>
          <w:bCs/>
          <w:color w:val="000000"/>
          <w:sz w:val="24"/>
          <w:szCs w:val="24"/>
        </w:rPr>
        <w:t>Rezervy</w:t>
      </w:r>
    </w:p>
    <w:p w:rsidR="00080F02" w:rsidRDefault="0060344E">
      <w:pPr>
        <w:pStyle w:val="Telotextu"/>
        <w:ind w:left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Rezervy sú záväzky s neurčitým časovým vymedzením alebo výškou; tvoria sa na krytie známych rizík alebo strát z podnikania. Oceňujú sa v očakávanej výške záväzku.</w:t>
      </w:r>
    </w:p>
    <w:p w:rsidR="00080F02" w:rsidRDefault="0060344E">
      <w:pPr>
        <w:pStyle w:val="Heading20"/>
        <w:keepNext/>
        <w:keepLines/>
        <w:numPr>
          <w:ilvl w:val="0"/>
          <w:numId w:val="5"/>
        </w:numPr>
        <w:tabs>
          <w:tab w:val="left" w:pos="713"/>
        </w:tabs>
        <w:jc w:val="both"/>
        <w:rPr>
          <w:rStyle w:val="Heading2"/>
          <w:b/>
          <w:bCs/>
          <w:color w:val="000000"/>
          <w:sz w:val="24"/>
          <w:szCs w:val="24"/>
        </w:rPr>
      </w:pPr>
      <w:bookmarkStart w:id="18" w:name="bookmark40"/>
      <w:bookmarkEnd w:id="18"/>
      <w:r>
        <w:rPr>
          <w:rStyle w:val="Heading2"/>
          <w:b/>
          <w:bCs/>
          <w:color w:val="000000"/>
          <w:sz w:val="24"/>
          <w:szCs w:val="24"/>
        </w:rPr>
        <w:t>Záväzky</w:t>
      </w:r>
    </w:p>
    <w:p w:rsidR="00080F02" w:rsidRDefault="0060344E">
      <w:pPr>
        <w:pStyle w:val="Telotextu"/>
        <w:spacing w:after="420"/>
        <w:ind w:left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080F02" w:rsidRDefault="0060344E">
      <w:pPr>
        <w:pStyle w:val="Heading20"/>
        <w:keepNext/>
        <w:keepLines/>
        <w:numPr>
          <w:ilvl w:val="0"/>
          <w:numId w:val="5"/>
        </w:numPr>
        <w:tabs>
          <w:tab w:val="left" w:pos="713"/>
        </w:tabs>
        <w:jc w:val="both"/>
        <w:rPr>
          <w:rStyle w:val="Heading2"/>
          <w:b/>
          <w:bCs/>
          <w:color w:val="000000"/>
          <w:sz w:val="24"/>
          <w:szCs w:val="24"/>
        </w:rPr>
      </w:pPr>
      <w:bookmarkStart w:id="19" w:name="bookmark42"/>
      <w:bookmarkEnd w:id="19"/>
      <w:r>
        <w:rPr>
          <w:rStyle w:val="Heading2"/>
          <w:b/>
          <w:bCs/>
          <w:color w:val="000000"/>
          <w:sz w:val="24"/>
          <w:szCs w:val="24"/>
        </w:rPr>
        <w:t>Výdavky budúcich období a výnosy budúcich období</w:t>
      </w:r>
    </w:p>
    <w:p w:rsidR="00080F02" w:rsidRDefault="0060344E">
      <w:pPr>
        <w:pStyle w:val="Telotextu"/>
        <w:spacing w:after="420"/>
        <w:ind w:left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Výdavky budúcich období a výnosy budúcich období sa vykazujú vo výške, ktorá je potrebná na dodržanie zásady vecnej a časovej súvislosti s účtovným obdobím.</w:t>
      </w:r>
    </w:p>
    <w:p w:rsidR="00080F02" w:rsidRDefault="0060344E">
      <w:pPr>
        <w:pStyle w:val="Heading20"/>
        <w:keepNext/>
        <w:keepLines/>
        <w:numPr>
          <w:ilvl w:val="0"/>
          <w:numId w:val="5"/>
        </w:numPr>
        <w:tabs>
          <w:tab w:val="left" w:pos="713"/>
        </w:tabs>
        <w:jc w:val="both"/>
        <w:rPr>
          <w:rStyle w:val="Heading2"/>
          <w:b/>
          <w:bCs/>
          <w:color w:val="000000"/>
          <w:sz w:val="24"/>
          <w:szCs w:val="24"/>
        </w:rPr>
      </w:pPr>
      <w:bookmarkStart w:id="20" w:name="bookmark44"/>
      <w:bookmarkEnd w:id="20"/>
      <w:r>
        <w:rPr>
          <w:rStyle w:val="Heading2"/>
          <w:b/>
          <w:bCs/>
          <w:color w:val="000000"/>
          <w:sz w:val="24"/>
          <w:szCs w:val="24"/>
        </w:rPr>
        <w:t>Prenájom (lízing)</w:t>
      </w:r>
    </w:p>
    <w:p w:rsidR="00080F02" w:rsidRDefault="0060344E">
      <w:pPr>
        <w:pStyle w:val="Telotextu"/>
        <w:ind w:firstLine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Majetok prenajatý na základe operatívneho prenájmu vykazuje ako svoj majetok jeho vlastník, nie nájomca.</w:t>
      </w:r>
    </w:p>
    <w:p w:rsidR="00080F02" w:rsidRDefault="0060344E">
      <w:pPr>
        <w:pStyle w:val="Telotextu"/>
        <w:ind w:left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Finančný prenájom je obstaranie dlhodobého hmotného majetku na základe nájomnej zmluvy s dojednaným právom kúpy prenajatej veci za dohodnuté platby počas dohodnutej doby nájmu. Majetok prenajatý formou finančného prenájmu vykazuje ako svoj majetok a odpisuje ho jeho nájomca, nie vlastník.</w:t>
      </w:r>
    </w:p>
    <w:p w:rsidR="00080F02" w:rsidRDefault="0060344E">
      <w:pPr>
        <w:pStyle w:val="Telotextu"/>
        <w:ind w:left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 xml:space="preserve">Prijatie majetku nájomcom sa v účtovníctve nájomcu účtuje v deň prijatia majetku na </w:t>
      </w:r>
      <w:r>
        <w:rPr>
          <w:rStyle w:val="ZkladntextChar1"/>
          <w:color w:val="000000"/>
          <w:sz w:val="24"/>
          <w:szCs w:val="24"/>
        </w:rPr>
        <w:lastRenderedPageBreak/>
        <w:t>ťarchu príslušného účtu majetku so súvzťažným zápisom v prospech účtu 474 - Záväzky z nájmu vo výške dohodnutých platieb znížených o nerealizované finančné náklady.</w:t>
      </w:r>
    </w:p>
    <w:p w:rsidR="00080F02" w:rsidRDefault="0060344E">
      <w:pPr>
        <w:pStyle w:val="Telotextu"/>
        <w:spacing w:after="620"/>
        <w:ind w:left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Súčasťou dohodnutých platieb je aj kúpna cena, za ktorú na konci dohodnutej doby finančného prenájmu prechádza vlastnícke právo k prenajatému majetku z prenajímateľa na nájomcu. Dohodnutá doba nájmu je najmenej 60 % doby odpisovania podľa daňových predpisov, minimálne však 3 roky. Platba nájomného je alokovaná medzi splátku istiny a finančné náklady, vypočítané metódou efektívnej úrokovej miery. Finančné náklady sa účtujú na ťarchu účtu 562 - Úroky.</w:t>
      </w:r>
    </w:p>
    <w:p w:rsidR="00080F02" w:rsidRDefault="0060344E">
      <w:pPr>
        <w:pStyle w:val="Heading20"/>
        <w:keepNext/>
        <w:keepLines/>
        <w:numPr>
          <w:ilvl w:val="0"/>
          <w:numId w:val="5"/>
        </w:numPr>
        <w:tabs>
          <w:tab w:val="left" w:pos="713"/>
        </w:tabs>
        <w:jc w:val="both"/>
        <w:rPr>
          <w:rStyle w:val="Heading2"/>
          <w:b/>
          <w:bCs/>
          <w:color w:val="000000"/>
          <w:sz w:val="24"/>
          <w:szCs w:val="24"/>
        </w:rPr>
      </w:pPr>
      <w:bookmarkStart w:id="21" w:name="bookmark46"/>
      <w:bookmarkEnd w:id="21"/>
      <w:r>
        <w:rPr>
          <w:rStyle w:val="Heading2"/>
          <w:b/>
          <w:bCs/>
          <w:color w:val="000000"/>
          <w:sz w:val="24"/>
          <w:szCs w:val="24"/>
        </w:rPr>
        <w:t>Odložené dane</w:t>
      </w:r>
    </w:p>
    <w:p w:rsidR="00080F02" w:rsidRDefault="0060344E">
      <w:pPr>
        <w:pStyle w:val="Telotextu"/>
        <w:spacing w:after="0"/>
        <w:ind w:firstLine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Odložené dane (odložená daňová pohľadávka a odložený daňový záväzok) sa vzťahujú na:</w:t>
      </w:r>
    </w:p>
    <w:p w:rsidR="00080F02" w:rsidRDefault="0060344E">
      <w:pPr>
        <w:pStyle w:val="Telotextu"/>
        <w:numPr>
          <w:ilvl w:val="0"/>
          <w:numId w:val="6"/>
        </w:numPr>
        <w:tabs>
          <w:tab w:val="left" w:pos="713"/>
        </w:tabs>
        <w:spacing w:after="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dočasné rozdiely medzi účtovnou hodnotou majetku a účtovnou hodnotou záväzkov vykázanou v súvahe a ich daňovou základňou,</w:t>
      </w:r>
    </w:p>
    <w:p w:rsidR="00080F02" w:rsidRDefault="0060344E">
      <w:pPr>
        <w:pStyle w:val="Telotextu"/>
        <w:numPr>
          <w:ilvl w:val="0"/>
          <w:numId w:val="6"/>
        </w:numPr>
        <w:tabs>
          <w:tab w:val="left" w:pos="713"/>
        </w:tabs>
        <w:spacing w:after="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možnosť umorovať daňovú stratu v budúcnosti, ktorou sa rozumie možnosť odpočítať daňovú stratu od základu dane v budúcnosti,</w:t>
      </w:r>
    </w:p>
    <w:p w:rsidR="00080F02" w:rsidRDefault="0060344E">
      <w:pPr>
        <w:pStyle w:val="Telotextu"/>
        <w:numPr>
          <w:ilvl w:val="0"/>
          <w:numId w:val="6"/>
        </w:numPr>
        <w:tabs>
          <w:tab w:val="left" w:pos="713"/>
        </w:tabs>
        <w:ind w:left="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možnosť previesť nevyužité daňové odpočty a iné daňové nároky do budúcich období.</w:t>
      </w:r>
    </w:p>
    <w:p w:rsidR="00080F02" w:rsidRDefault="0060344E">
      <w:pPr>
        <w:pStyle w:val="Heading20"/>
        <w:keepNext/>
        <w:keepLines/>
        <w:numPr>
          <w:ilvl w:val="0"/>
          <w:numId w:val="4"/>
        </w:numPr>
        <w:tabs>
          <w:tab w:val="left" w:pos="427"/>
        </w:tabs>
        <w:spacing w:after="200"/>
        <w:ind w:left="0"/>
        <w:rPr>
          <w:rStyle w:val="Heading2"/>
          <w:b/>
          <w:bCs/>
          <w:color w:val="000000"/>
          <w:sz w:val="24"/>
          <w:szCs w:val="24"/>
        </w:rPr>
      </w:pPr>
      <w:bookmarkStart w:id="22" w:name="bookmark48"/>
      <w:bookmarkEnd w:id="22"/>
      <w:r>
        <w:rPr>
          <w:rStyle w:val="Heading2"/>
          <w:b/>
          <w:bCs/>
          <w:color w:val="000000"/>
          <w:sz w:val="24"/>
          <w:szCs w:val="24"/>
        </w:rPr>
        <w:t>Tvorba odpisovaného plánu</w:t>
      </w:r>
    </w:p>
    <w:p w:rsidR="00080F02" w:rsidRDefault="0060344E">
      <w:pPr>
        <w:pStyle w:val="Telotextu"/>
        <w:ind w:left="44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</w:t>
      </w:r>
    </w:p>
    <w:p w:rsidR="00080F02" w:rsidRDefault="0060344E">
      <w:pPr>
        <w:pStyle w:val="Telotextu"/>
        <w:ind w:left="44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Odpisy dlhodobého hmotného majetku sú stanovené vychádzajúc z predpokladanej doby jeho používania a predpokladaného priebehu jeho opotrebenia. Odpisovať sa začína prvým dňom mesiaca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  <w:r w:rsidR="00CD7BF1">
        <w:pict>
          <v:rect id="_x0000_s1026" style="position:absolute;left:0;text-align:left;margin-left:541.65pt;margin-top:801.2pt;width:5.05pt;height:11.55pt;z-index:251658240;mso-wrap-distance-left:0;mso-wrap-distance-top:0;mso-wrap-distance-right:0;mso-wrap-distance-bottom:0;mso-position-horizontal-relative:text;mso-position-vertical-relative:text" stroked="f" strokeweight="0">
            <v:textbox inset="0,0,0,0">
              <w:txbxContent>
                <w:p w:rsidR="00080F02" w:rsidRDefault="0060344E">
                  <w:pPr>
                    <w:pStyle w:val="Headerorfooter20"/>
                  </w:pPr>
                  <w:r>
                    <w:fldChar w:fldCharType="begin"/>
                  </w:r>
                  <w:r>
                    <w:instrText>PAGE</w:instrText>
                  </w:r>
                  <w:r>
                    <w:fldChar w:fldCharType="separate"/>
                  </w:r>
                  <w:r>
                    <w:t>5</w:t>
                  </w:r>
                  <w:r>
                    <w:fldChar w:fldCharType="end"/>
                  </w:r>
                </w:p>
              </w:txbxContent>
            </v:textbox>
          </v:rect>
        </w:pict>
      </w:r>
    </w:p>
    <w:p w:rsidR="00080F02" w:rsidRDefault="00080F02">
      <w:pPr>
        <w:spacing w:after="659" w:line="1" w:lineRule="exact"/>
        <w:rPr>
          <w:color w:val="00000A"/>
        </w:rPr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5"/>
        <w:gridCol w:w="2377"/>
        <w:gridCol w:w="1828"/>
        <w:gridCol w:w="1546"/>
      </w:tblGrid>
      <w:tr w:rsidR="00080F02">
        <w:trPr>
          <w:trHeight w:hRule="exact" w:val="499"/>
          <w:jc w:val="center"/>
        </w:trPr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80F02" w:rsidRDefault="00080F02">
            <w:pPr>
              <w:rPr>
                <w:color w:val="00000A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80F02" w:rsidRDefault="0060344E">
            <w:pPr>
              <w:pStyle w:val="Other0"/>
              <w:spacing w:after="0" w:line="290" w:lineRule="auto"/>
              <w:jc w:val="center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Predpokladaná doba používania v rokoch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80F02" w:rsidRDefault="0060344E">
            <w:pPr>
              <w:pStyle w:val="Other0"/>
              <w:spacing w:after="0" w:line="290" w:lineRule="auto"/>
              <w:jc w:val="center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Metóda odpisovania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80F02" w:rsidRDefault="0060344E">
            <w:pPr>
              <w:pStyle w:val="Other0"/>
              <w:spacing w:after="0" w:line="290" w:lineRule="auto"/>
              <w:jc w:val="center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Ročná odpisová sadzba v %</w:t>
            </w:r>
          </w:p>
        </w:tc>
      </w:tr>
      <w:tr w:rsidR="00080F02">
        <w:trPr>
          <w:trHeight w:hRule="exact" w:val="240"/>
          <w:jc w:val="center"/>
        </w:trPr>
        <w:tc>
          <w:tcPr>
            <w:tcW w:w="2875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80F02" w:rsidRDefault="0060344E">
            <w:pPr>
              <w:pStyle w:val="Other0"/>
              <w:spacing w:after="0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Stavby</w:t>
            </w:r>
          </w:p>
        </w:tc>
        <w:tc>
          <w:tcPr>
            <w:tcW w:w="2377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80F02" w:rsidRDefault="0060344E">
            <w:pPr>
              <w:pStyle w:val="Other0"/>
              <w:spacing w:after="0"/>
              <w:jc w:val="center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28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80F02" w:rsidRDefault="0060344E">
            <w:pPr>
              <w:pStyle w:val="Other0"/>
              <w:spacing w:after="0"/>
              <w:ind w:firstLine="560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lineárna</w:t>
            </w:r>
          </w:p>
        </w:tc>
        <w:tc>
          <w:tcPr>
            <w:tcW w:w="1546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80F02" w:rsidRDefault="0060344E">
            <w:pPr>
              <w:pStyle w:val="Other0"/>
              <w:spacing w:after="0"/>
              <w:ind w:firstLine="820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5</w:t>
            </w:r>
          </w:p>
        </w:tc>
      </w:tr>
      <w:tr w:rsidR="00080F02">
        <w:trPr>
          <w:trHeight w:hRule="exact" w:val="250"/>
          <w:jc w:val="center"/>
        </w:trPr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80F02" w:rsidRDefault="0060344E">
            <w:pPr>
              <w:pStyle w:val="Other0"/>
              <w:spacing w:after="0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Stroje, prístroje a zariadenia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80F02" w:rsidRDefault="0060344E">
            <w:pPr>
              <w:pStyle w:val="Other0"/>
              <w:spacing w:after="0"/>
              <w:jc w:val="center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4 až 6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80F02" w:rsidRDefault="0060344E">
            <w:pPr>
              <w:pStyle w:val="Other0"/>
              <w:spacing w:after="0"/>
              <w:ind w:firstLine="560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lineárna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80F02" w:rsidRDefault="0060344E">
            <w:pPr>
              <w:pStyle w:val="Other0"/>
              <w:spacing w:after="0"/>
              <w:ind w:firstLine="560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16 až 25</w:t>
            </w:r>
          </w:p>
        </w:tc>
      </w:tr>
      <w:tr w:rsidR="00080F02">
        <w:trPr>
          <w:trHeight w:hRule="exact" w:val="254"/>
          <w:jc w:val="center"/>
        </w:trPr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80F02" w:rsidRDefault="0060344E">
            <w:pPr>
              <w:pStyle w:val="Other0"/>
              <w:spacing w:after="0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Dopravné prostriedky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80F02" w:rsidRDefault="0060344E">
            <w:pPr>
              <w:pStyle w:val="Other0"/>
              <w:spacing w:after="0"/>
              <w:jc w:val="center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3 až 4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80F02" w:rsidRDefault="0060344E">
            <w:pPr>
              <w:pStyle w:val="Other0"/>
              <w:spacing w:after="0"/>
              <w:ind w:firstLine="560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lineárna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80F02" w:rsidRDefault="0060344E">
            <w:pPr>
              <w:pStyle w:val="Other0"/>
              <w:spacing w:after="0"/>
              <w:ind w:firstLine="560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25 až 33</w:t>
            </w:r>
          </w:p>
        </w:tc>
      </w:tr>
      <w:tr w:rsidR="00080F02">
        <w:trPr>
          <w:trHeight w:hRule="exact" w:val="240"/>
          <w:jc w:val="center"/>
        </w:trPr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80F02" w:rsidRDefault="0060344E">
            <w:pPr>
              <w:pStyle w:val="Other0"/>
              <w:spacing w:after="0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Drobný dlhodobý hmotný majetok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80F02" w:rsidRDefault="0060344E">
            <w:pPr>
              <w:pStyle w:val="Other0"/>
              <w:spacing w:after="0"/>
              <w:jc w:val="center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rôzna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80F02" w:rsidRDefault="0060344E">
            <w:pPr>
              <w:pStyle w:val="Other0"/>
              <w:spacing w:after="0"/>
              <w:ind w:firstLine="200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jednorazový odpis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80F02" w:rsidRDefault="0060344E">
            <w:pPr>
              <w:pStyle w:val="Other0"/>
              <w:spacing w:after="0"/>
              <w:ind w:firstLine="740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100</w:t>
            </w:r>
          </w:p>
        </w:tc>
      </w:tr>
    </w:tbl>
    <w:p w:rsidR="00080F02" w:rsidRDefault="00080F02">
      <w:pPr>
        <w:spacing w:after="199" w:line="1" w:lineRule="exact"/>
        <w:rPr>
          <w:color w:val="00000A"/>
        </w:rPr>
      </w:pPr>
    </w:p>
    <w:p w:rsidR="00080F02" w:rsidRDefault="0060344E">
      <w:pPr>
        <w:pStyle w:val="Heading20"/>
        <w:keepNext/>
        <w:keepLines/>
        <w:numPr>
          <w:ilvl w:val="0"/>
          <w:numId w:val="4"/>
        </w:numPr>
        <w:tabs>
          <w:tab w:val="left" w:pos="427"/>
        </w:tabs>
        <w:ind w:left="0"/>
        <w:rPr>
          <w:rStyle w:val="Heading2"/>
          <w:b/>
          <w:bCs/>
          <w:color w:val="000000"/>
          <w:sz w:val="24"/>
          <w:szCs w:val="24"/>
        </w:rPr>
      </w:pPr>
      <w:bookmarkStart w:id="23" w:name="bookmark50"/>
      <w:bookmarkEnd w:id="23"/>
      <w:r>
        <w:rPr>
          <w:rStyle w:val="Heading2"/>
          <w:b/>
          <w:bCs/>
          <w:color w:val="000000"/>
          <w:sz w:val="24"/>
          <w:szCs w:val="24"/>
        </w:rPr>
        <w:t>Dotácie zo štátneho rozpočtu</w:t>
      </w:r>
    </w:p>
    <w:p w:rsidR="00080F02" w:rsidRDefault="0060344E">
      <w:pPr>
        <w:pStyle w:val="Telotextu"/>
        <w:ind w:left="500" w:firstLine="2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O nároku na dotácie zo štátneho rozpočtu sa účtuje, ak je takmer isté, že sa splnia všetky podmienky súvisiace s dotáciou a súčasne, že sa dotácia poskytne.</w:t>
      </w:r>
    </w:p>
    <w:p w:rsidR="00080F02" w:rsidRDefault="0060344E">
      <w:pPr>
        <w:pStyle w:val="Telotextu"/>
        <w:ind w:left="500" w:firstLine="2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lastRenderedPageBreak/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080F02" w:rsidRDefault="0060344E">
      <w:pPr>
        <w:pStyle w:val="Telotextu"/>
        <w:ind w:left="500" w:firstLine="2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Dotácie na obstaranie dlhodobého hmotného majetku a dlhodobého nehmotného majetku sa najskôr vykazujú ako výnosy budúcich období a do výkazu ziskov a strát sa rozpúšťajú v časovej a vecnej súvislosti so zaúčtovaním odpisov z tohto dlhodobého majetku.</w:t>
      </w:r>
    </w:p>
    <w:p w:rsidR="00080F02" w:rsidRDefault="0060344E">
      <w:pPr>
        <w:pStyle w:val="Heading20"/>
        <w:keepNext/>
        <w:keepLines/>
        <w:numPr>
          <w:ilvl w:val="0"/>
          <w:numId w:val="4"/>
        </w:numPr>
        <w:tabs>
          <w:tab w:val="left" w:pos="427"/>
        </w:tabs>
        <w:ind w:left="0"/>
        <w:rPr>
          <w:rStyle w:val="Heading2"/>
          <w:b/>
          <w:bCs/>
          <w:color w:val="000000"/>
          <w:sz w:val="24"/>
          <w:szCs w:val="24"/>
        </w:rPr>
      </w:pPr>
      <w:bookmarkStart w:id="24" w:name="bookmark52"/>
      <w:bookmarkEnd w:id="24"/>
      <w:r>
        <w:rPr>
          <w:rStyle w:val="Heading2"/>
          <w:b/>
          <w:bCs/>
          <w:color w:val="000000"/>
          <w:sz w:val="24"/>
          <w:szCs w:val="24"/>
        </w:rPr>
        <w:t>Oprava významných chýb minulých účtovných období</w:t>
      </w:r>
    </w:p>
    <w:p w:rsidR="00080F02" w:rsidRDefault="0060344E">
      <w:pPr>
        <w:pStyle w:val="Telotextu"/>
        <w:spacing w:after="320"/>
        <w:ind w:left="500" w:firstLine="2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Významné chyby minulých účtovných období sa účtujú prostredníctvom účtu 428 - Nerozdelený zisk minulých rokov alebo účtu 429 - Neuhradená strata minulých rokov a to na príslušný analytický účet za daný rok, na ktorý sa významná chyba vzťahuje.</w:t>
      </w:r>
    </w:p>
    <w:p w:rsidR="00080F02" w:rsidRDefault="0060344E">
      <w:pPr>
        <w:pStyle w:val="Telotextu"/>
        <w:spacing w:after="260"/>
        <w:ind w:firstLine="440"/>
        <w:rPr>
          <w:rStyle w:val="ZkladntextChar1"/>
          <w:b/>
          <w:bCs/>
          <w:color w:val="000000"/>
          <w:sz w:val="24"/>
          <w:szCs w:val="24"/>
        </w:rPr>
      </w:pPr>
      <w:r>
        <w:rPr>
          <w:rStyle w:val="ZkladntextChar1"/>
          <w:b/>
          <w:bCs/>
          <w:color w:val="000000"/>
          <w:sz w:val="24"/>
          <w:szCs w:val="24"/>
        </w:rPr>
        <w:t>INFORMÁCIE O ÚDAJOCH NA STRANE AKTÍV SÚVAHY</w:t>
      </w:r>
    </w:p>
    <w:p w:rsidR="00080F02" w:rsidRDefault="0060344E">
      <w:pPr>
        <w:pStyle w:val="Heading20"/>
        <w:keepNext/>
        <w:keepLines/>
        <w:spacing w:after="200"/>
        <w:ind w:firstLine="0"/>
        <w:rPr>
          <w:rStyle w:val="Heading2"/>
          <w:b/>
          <w:bCs/>
          <w:color w:val="000000"/>
          <w:sz w:val="24"/>
          <w:szCs w:val="24"/>
        </w:rPr>
      </w:pPr>
      <w:bookmarkStart w:id="25" w:name="bookmark54"/>
      <w:bookmarkEnd w:id="25"/>
      <w:r>
        <w:rPr>
          <w:rStyle w:val="Heading2"/>
          <w:b/>
          <w:bCs/>
          <w:color w:val="000000"/>
          <w:sz w:val="24"/>
          <w:szCs w:val="24"/>
        </w:rPr>
        <w:t xml:space="preserve">1. Informácia o </w:t>
      </w:r>
      <w:proofErr w:type="spellStart"/>
      <w:r>
        <w:rPr>
          <w:rStyle w:val="Heading2"/>
          <w:b/>
          <w:bCs/>
          <w:color w:val="000000"/>
          <w:sz w:val="24"/>
          <w:szCs w:val="24"/>
        </w:rPr>
        <w:t>goodwille</w:t>
      </w:r>
      <w:proofErr w:type="spellEnd"/>
    </w:p>
    <w:p w:rsidR="00080F02" w:rsidRDefault="0060344E">
      <w:pPr>
        <w:pStyle w:val="Telotextu"/>
        <w:spacing w:after="0"/>
        <w:ind w:firstLine="50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 xml:space="preserve">Dôvod vzniku </w:t>
      </w:r>
      <w:proofErr w:type="spellStart"/>
      <w:r>
        <w:rPr>
          <w:rStyle w:val="ZkladntextChar1"/>
          <w:color w:val="000000"/>
          <w:sz w:val="24"/>
          <w:szCs w:val="24"/>
        </w:rPr>
        <w:t>goodvilu</w:t>
      </w:r>
      <w:proofErr w:type="spellEnd"/>
      <w:r>
        <w:rPr>
          <w:rStyle w:val="ZkladntextChar1"/>
          <w:color w:val="000000"/>
          <w:sz w:val="24"/>
          <w:szCs w:val="24"/>
        </w:rPr>
        <w:t>:</w:t>
      </w:r>
    </w:p>
    <w:p w:rsidR="00080F02" w:rsidRDefault="0060344E">
      <w:pPr>
        <w:pStyle w:val="Telotextu"/>
        <w:spacing w:after="0"/>
        <w:ind w:firstLine="50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Spôsob výpočtu:</w:t>
      </w:r>
    </w:p>
    <w:p w:rsidR="00080F02" w:rsidRDefault="0060344E">
      <w:pPr>
        <w:pStyle w:val="Telotextu"/>
        <w:spacing w:after="440"/>
        <w:ind w:firstLine="50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Odpisovanie:</w:t>
      </w:r>
    </w:p>
    <w:p w:rsidR="00080F02" w:rsidRDefault="0060344E">
      <w:pPr>
        <w:pStyle w:val="Heading20"/>
        <w:keepNext/>
        <w:keepLines/>
        <w:spacing w:after="660"/>
        <w:ind w:firstLine="440"/>
        <w:rPr>
          <w:rStyle w:val="Heading2"/>
          <w:b/>
          <w:bCs/>
          <w:color w:val="000000"/>
          <w:sz w:val="24"/>
          <w:szCs w:val="24"/>
        </w:rPr>
      </w:pPr>
      <w:bookmarkStart w:id="26" w:name="bookmark56"/>
      <w:bookmarkEnd w:id="26"/>
      <w:r>
        <w:rPr>
          <w:rStyle w:val="Heading2"/>
          <w:b/>
          <w:bCs/>
          <w:color w:val="000000"/>
          <w:sz w:val="24"/>
          <w:szCs w:val="24"/>
        </w:rPr>
        <w:t>INFORMÁCIE O ÚDAJOCH NA STRANE PASÍV SÚVAHY</w:t>
      </w:r>
    </w:p>
    <w:p w:rsidR="00080F02" w:rsidRDefault="0060344E">
      <w:pPr>
        <w:pStyle w:val="Heading20"/>
        <w:keepNext/>
        <w:keepLines/>
        <w:spacing w:after="200"/>
        <w:ind w:firstLine="0"/>
        <w:rPr>
          <w:rStyle w:val="Heading2"/>
          <w:b/>
          <w:bCs/>
          <w:color w:val="000000"/>
          <w:sz w:val="24"/>
          <w:szCs w:val="24"/>
        </w:rPr>
      </w:pPr>
      <w:bookmarkStart w:id="27" w:name="bookmark58"/>
      <w:bookmarkEnd w:id="27"/>
      <w:r>
        <w:rPr>
          <w:rStyle w:val="Heading2"/>
          <w:b/>
          <w:bCs/>
          <w:color w:val="000000"/>
          <w:sz w:val="24"/>
          <w:szCs w:val="24"/>
        </w:rPr>
        <w:t>1. Informácie o záväzkoch</w:t>
      </w:r>
    </w:p>
    <w:p w:rsidR="00080F02" w:rsidRDefault="0060344E">
      <w:pPr>
        <w:pStyle w:val="Tablecaption0"/>
        <w:jc w:val="both"/>
        <w:rPr>
          <w:rStyle w:val="Tablecaption"/>
          <w:color w:val="000000"/>
          <w:sz w:val="24"/>
          <w:szCs w:val="24"/>
        </w:rPr>
      </w:pPr>
      <w:r>
        <w:rPr>
          <w:rStyle w:val="Tablecaption"/>
          <w:color w:val="000000"/>
          <w:sz w:val="24"/>
          <w:szCs w:val="24"/>
        </w:rPr>
        <w:t xml:space="preserve">a) Celková suma záväzkov so zostatkovou dobou splatnosti dlhšou ako 5 rokov: </w:t>
      </w:r>
    </w:p>
    <w:p w:rsidR="00080F02" w:rsidRDefault="0060344E">
      <w:pPr>
        <w:pStyle w:val="Tablecaption0"/>
        <w:jc w:val="both"/>
        <w:rPr>
          <w:rStyle w:val="Tablecaption"/>
          <w:color w:val="000000"/>
          <w:sz w:val="24"/>
          <w:szCs w:val="24"/>
        </w:rPr>
      </w:pPr>
      <w:r>
        <w:rPr>
          <w:rStyle w:val="Tablecaption"/>
          <w:color w:val="000000"/>
          <w:sz w:val="24"/>
          <w:szCs w:val="24"/>
        </w:rPr>
        <w:t xml:space="preserve"> b)</w:t>
      </w:r>
    </w:p>
    <w:p w:rsidR="00080F02" w:rsidRDefault="00080F02">
      <w:pPr>
        <w:pStyle w:val="Tablecaption0"/>
        <w:jc w:val="both"/>
      </w:pP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nil"/>
          <w:insideH w:val="single" w:sz="4" w:space="0" w:color="00000A"/>
          <w:insideV w:val="nil"/>
        </w:tblBorders>
        <w:tblCellMar>
          <w:left w:w="-5" w:type="dxa"/>
          <w:right w:w="0" w:type="dxa"/>
        </w:tblCellMar>
        <w:tblLook w:val="04A0" w:firstRow="1" w:lastRow="0" w:firstColumn="1" w:lastColumn="0" w:noHBand="0" w:noVBand="1"/>
      </w:tblPr>
      <w:tblGrid>
        <w:gridCol w:w="3840"/>
        <w:gridCol w:w="2975"/>
        <w:gridCol w:w="2684"/>
      </w:tblGrid>
      <w:tr w:rsidR="00080F02">
        <w:trPr>
          <w:trHeight w:hRule="exact" w:val="624"/>
          <w:jc w:val="center"/>
        </w:trPr>
        <w:tc>
          <w:tcPr>
            <w:tcW w:w="3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left w:w="-5" w:type="dxa"/>
            </w:tcMar>
            <w:vAlign w:val="center"/>
          </w:tcPr>
          <w:p w:rsidR="00080F02" w:rsidRDefault="0060344E">
            <w:pPr>
              <w:pStyle w:val="Other0"/>
              <w:spacing w:after="0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Záväzky so zostatkovou dobou splatnosti jeden rok až päť rokov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left w:w="-5" w:type="dxa"/>
            </w:tcMar>
            <w:vAlign w:val="center"/>
          </w:tcPr>
          <w:p w:rsidR="00080F02" w:rsidRDefault="00D67343">
            <w:pPr>
              <w:jc w:val="center"/>
            </w:pPr>
            <w:r>
              <w:t>17.574,80</w:t>
            </w:r>
          </w:p>
        </w:tc>
        <w:tc>
          <w:tcPr>
            <w:tcW w:w="2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080F02" w:rsidRDefault="0060344E">
            <w:pPr>
              <w:pStyle w:val="Other0"/>
              <w:spacing w:before="100" w:after="0"/>
              <w:jc w:val="center"/>
            </w:pPr>
            <w:r>
              <w:t>0</w:t>
            </w:r>
          </w:p>
        </w:tc>
      </w:tr>
    </w:tbl>
    <w:p w:rsidR="00080F02" w:rsidRDefault="00080F02">
      <w:pPr>
        <w:spacing w:after="199" w:line="1" w:lineRule="exact"/>
        <w:rPr>
          <w:color w:val="00000A"/>
        </w:rPr>
      </w:pPr>
    </w:p>
    <w:p w:rsidR="00080F02" w:rsidRDefault="0060344E">
      <w:pPr>
        <w:pStyle w:val="Telotextu"/>
        <w:spacing w:after="700"/>
        <w:ind w:left="440" w:hanging="440"/>
        <w:rPr>
          <w:rStyle w:val="ZkladntextChar1"/>
          <w:b/>
          <w:bCs/>
          <w:color w:val="000000"/>
          <w:sz w:val="24"/>
          <w:szCs w:val="24"/>
        </w:rPr>
      </w:pPr>
      <w:r>
        <w:rPr>
          <w:rStyle w:val="ZkladntextChar1"/>
          <w:b/>
          <w:bCs/>
          <w:color w:val="000000"/>
          <w:sz w:val="24"/>
          <w:szCs w:val="24"/>
        </w:rPr>
        <w:t>2. Spoločnosť SPEN TRADE s.r.o. na základe uznesenia valného zhromaždenia vložila peňažný vklad vo výške 200 000,-- do kapitálových fondov spoločnosti STROPTEL, s.r.o. dňa 29.12.2010 a uznesením zo dňa 29.12.2011 vložila do KF spoločnosti STROPTEL, s.r.o. 430 000,- EUR.</w:t>
      </w:r>
    </w:p>
    <w:p w:rsidR="00080F02" w:rsidRDefault="00080F02">
      <w:pPr>
        <w:pStyle w:val="Telotextu"/>
        <w:spacing w:after="700"/>
        <w:ind w:left="440" w:hanging="440"/>
        <w:rPr>
          <w:b/>
          <w:bCs/>
          <w:color w:val="000000"/>
          <w:sz w:val="24"/>
          <w:szCs w:val="24"/>
        </w:rPr>
      </w:pPr>
    </w:p>
    <w:p w:rsidR="00080F02" w:rsidRDefault="00080F02">
      <w:pPr>
        <w:pStyle w:val="Telotextu"/>
        <w:spacing w:after="700"/>
        <w:ind w:left="440" w:hanging="440"/>
        <w:rPr>
          <w:rFonts w:ascii="Microsoft Sans Serif" w:hAnsi="Microsoft Sans Serif" w:cs="Microsoft Sans Serif"/>
          <w:sz w:val="24"/>
          <w:szCs w:val="24"/>
        </w:rPr>
      </w:pPr>
    </w:p>
    <w:p w:rsidR="00080F02" w:rsidRDefault="0060344E">
      <w:pPr>
        <w:pStyle w:val="Heading10"/>
        <w:keepNext/>
        <w:keepLines/>
        <w:spacing w:line="290" w:lineRule="auto"/>
        <w:rPr>
          <w:rStyle w:val="Heading1"/>
          <w:b/>
          <w:bCs/>
          <w:color w:val="000000"/>
          <w:sz w:val="24"/>
          <w:szCs w:val="24"/>
        </w:rPr>
      </w:pPr>
      <w:bookmarkStart w:id="28" w:name="bookmark60"/>
      <w:bookmarkEnd w:id="28"/>
      <w:r>
        <w:rPr>
          <w:rStyle w:val="Heading1"/>
          <w:b/>
          <w:bCs/>
          <w:color w:val="000000"/>
          <w:sz w:val="24"/>
          <w:szCs w:val="24"/>
        </w:rPr>
        <w:lastRenderedPageBreak/>
        <w:t>1. Informácie k prílohe č. 3 časti F. písm. t) a u) o pohľadávkach zabezpečených záložným právom alebo inou formou zabezpečenia</w:t>
      </w: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nil"/>
          <w:right w:val="nil"/>
          <w:insideH w:val="nil"/>
          <w:insideV w:val="nil"/>
        </w:tblBorders>
        <w:tblCellMar>
          <w:left w:w="-5" w:type="dxa"/>
          <w:right w:w="0" w:type="dxa"/>
        </w:tblCellMar>
        <w:tblLook w:val="04A0" w:firstRow="1" w:lastRow="0" w:firstColumn="1" w:lastColumn="0" w:noHBand="0" w:noVBand="1"/>
      </w:tblPr>
      <w:tblGrid>
        <w:gridCol w:w="4891"/>
        <w:gridCol w:w="2327"/>
        <w:gridCol w:w="2280"/>
      </w:tblGrid>
      <w:tr w:rsidR="00080F02">
        <w:trPr>
          <w:trHeight w:hRule="exact" w:val="298"/>
          <w:jc w:val="center"/>
        </w:trPr>
        <w:tc>
          <w:tcPr>
            <w:tcW w:w="4891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5" w:type="dxa"/>
            </w:tcMar>
            <w:vAlign w:val="center"/>
          </w:tcPr>
          <w:p w:rsidR="00080F02" w:rsidRDefault="0060344E">
            <w:pPr>
              <w:pStyle w:val="Other0"/>
              <w:spacing w:after="0"/>
              <w:jc w:val="center"/>
              <w:rPr>
                <w:rStyle w:val="Other"/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Other"/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Opis predmetu záložného práva</w:t>
            </w:r>
          </w:p>
        </w:tc>
        <w:tc>
          <w:tcPr>
            <w:tcW w:w="4607" w:type="dxa"/>
            <w:gridSpan w:val="2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080F02" w:rsidRDefault="0060344E">
            <w:pPr>
              <w:pStyle w:val="Other0"/>
              <w:spacing w:after="0"/>
              <w:jc w:val="center"/>
              <w:rPr>
                <w:rStyle w:val="Other"/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Other"/>
                <w:rFonts w:ascii="Arial" w:hAnsi="Arial" w:cs="Arial"/>
                <w:b/>
                <w:bCs/>
                <w:color w:val="000000"/>
                <w:sz w:val="24"/>
                <w:szCs w:val="24"/>
              </w:rPr>
              <w:t>Bežné účtovné obdobie</w:t>
            </w:r>
          </w:p>
        </w:tc>
      </w:tr>
      <w:tr w:rsidR="00080F02">
        <w:trPr>
          <w:trHeight w:hRule="exact" w:val="739"/>
          <w:jc w:val="center"/>
        </w:trPr>
        <w:tc>
          <w:tcPr>
            <w:tcW w:w="4891" w:type="dxa"/>
            <w:vMerge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5" w:type="dxa"/>
            </w:tcMar>
            <w:vAlign w:val="center"/>
          </w:tcPr>
          <w:p w:rsidR="00080F02" w:rsidRDefault="00080F02">
            <w:pPr>
              <w:pStyle w:val="Other0"/>
              <w:spacing w:after="0"/>
              <w:jc w:val="center"/>
              <w:rPr>
                <w:rFonts w:ascii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5" w:type="dxa"/>
            </w:tcMar>
            <w:vAlign w:val="center"/>
          </w:tcPr>
          <w:p w:rsidR="00080F02" w:rsidRDefault="0060344E">
            <w:pPr>
              <w:pStyle w:val="Other0"/>
              <w:spacing w:after="0" w:line="290" w:lineRule="auto"/>
              <w:jc w:val="center"/>
              <w:rPr>
                <w:rStyle w:val="Other"/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Other"/>
                <w:rFonts w:ascii="Arial" w:hAnsi="Arial" w:cs="Arial"/>
                <w:b/>
                <w:bCs/>
                <w:color w:val="000000"/>
                <w:sz w:val="24"/>
                <w:szCs w:val="24"/>
              </w:rPr>
              <w:t>Hodnota predmetu záložného práva</w:t>
            </w:r>
          </w:p>
        </w:tc>
        <w:tc>
          <w:tcPr>
            <w:tcW w:w="2280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080F02" w:rsidRDefault="0060344E">
            <w:pPr>
              <w:pStyle w:val="Other0"/>
              <w:spacing w:after="0" w:line="290" w:lineRule="auto"/>
              <w:jc w:val="center"/>
              <w:rPr>
                <w:rStyle w:val="Other"/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Other"/>
                <w:rFonts w:ascii="Arial" w:hAnsi="Arial" w:cs="Arial"/>
                <w:b/>
                <w:bCs/>
                <w:color w:val="000000"/>
                <w:sz w:val="24"/>
                <w:szCs w:val="24"/>
              </w:rPr>
              <w:t>Hodnota pohľadávky</w:t>
            </w:r>
          </w:p>
        </w:tc>
      </w:tr>
      <w:tr w:rsidR="00080F02">
        <w:trPr>
          <w:trHeight w:hRule="exact" w:val="533"/>
          <w:jc w:val="center"/>
        </w:trPr>
        <w:tc>
          <w:tcPr>
            <w:tcW w:w="4891" w:type="dxa"/>
            <w:tcBorders>
              <w:top w:val="single" w:sz="4" w:space="0" w:color="00000A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5" w:type="dxa"/>
            </w:tcMar>
            <w:vAlign w:val="bottom"/>
          </w:tcPr>
          <w:p w:rsidR="00080F02" w:rsidRDefault="0060344E">
            <w:pPr>
              <w:pStyle w:val="Other0"/>
              <w:spacing w:after="0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Pohľadávky kryté záložným právom alebo inou formou zabezpečenia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-5" w:type="dxa"/>
            </w:tcMar>
            <w:vAlign w:val="center"/>
          </w:tcPr>
          <w:p w:rsidR="00080F02" w:rsidRDefault="00080F02">
            <w:pPr>
              <w:jc w:val="center"/>
              <w:rPr>
                <w:color w:val="00000A"/>
              </w:rPr>
            </w:pPr>
          </w:p>
        </w:tc>
        <w:tc>
          <w:tcPr>
            <w:tcW w:w="2280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080F02" w:rsidRDefault="00080F02">
            <w:pPr>
              <w:jc w:val="center"/>
              <w:rPr>
                <w:color w:val="00000A"/>
              </w:rPr>
            </w:pPr>
          </w:p>
        </w:tc>
      </w:tr>
      <w:tr w:rsidR="00080F02">
        <w:trPr>
          <w:trHeight w:hRule="exact" w:val="797"/>
          <w:jc w:val="center"/>
        </w:trPr>
        <w:tc>
          <w:tcPr>
            <w:tcW w:w="4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left w:w="-5" w:type="dxa"/>
            </w:tcMar>
            <w:vAlign w:val="center"/>
          </w:tcPr>
          <w:p w:rsidR="00080F02" w:rsidRDefault="0060344E">
            <w:pPr>
              <w:pStyle w:val="Other0"/>
              <w:spacing w:after="0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Hodnota pohľadávok, na ktoré sa zriadilo záložné právo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left w:w="-5" w:type="dxa"/>
            </w:tcMar>
            <w:vAlign w:val="center"/>
          </w:tcPr>
          <w:p w:rsidR="00080F02" w:rsidRDefault="0060344E">
            <w:pPr>
              <w:pStyle w:val="Other0"/>
              <w:spacing w:after="0"/>
              <w:jc w:val="center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x</w:t>
            </w:r>
          </w:p>
        </w:tc>
        <w:tc>
          <w:tcPr>
            <w:tcW w:w="2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080F02" w:rsidRDefault="0060344E">
            <w:pPr>
              <w:pStyle w:val="Other0"/>
              <w:spacing w:after="0"/>
              <w:jc w:val="center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0</w:t>
            </w:r>
          </w:p>
          <w:p w:rsidR="00080F02" w:rsidRDefault="00080F02">
            <w:pPr>
              <w:pStyle w:val="Other0"/>
              <w:spacing w:after="0"/>
              <w:jc w:val="center"/>
              <w:rPr>
                <w:rFonts w:ascii="Microsoft Sans Serif" w:hAnsi="Microsoft Sans Serif" w:cs="Microsoft Sans Serif"/>
                <w:sz w:val="24"/>
                <w:szCs w:val="24"/>
              </w:rPr>
            </w:pPr>
          </w:p>
        </w:tc>
      </w:tr>
    </w:tbl>
    <w:p w:rsidR="00080F02" w:rsidRDefault="0060344E">
      <w:pPr>
        <w:pStyle w:val="Telotextu"/>
        <w:spacing w:after="260"/>
        <w:ind w:left="440" w:firstLine="380"/>
        <w:rPr>
          <w:rStyle w:val="ZkladntextChar1"/>
          <w:b/>
          <w:bCs/>
          <w:color w:val="000000"/>
          <w:sz w:val="24"/>
          <w:szCs w:val="24"/>
        </w:rPr>
      </w:pPr>
      <w:r>
        <w:rPr>
          <w:rStyle w:val="ZkladntextChar1"/>
          <w:b/>
          <w:bCs/>
          <w:color w:val="000000"/>
          <w:sz w:val="24"/>
          <w:szCs w:val="24"/>
        </w:rPr>
        <w:t>INFORMÁCIE O NÁKLADOCH A VÝNOSOCH</w:t>
      </w:r>
    </w:p>
    <w:p w:rsidR="00080F02" w:rsidRDefault="0060344E">
      <w:pPr>
        <w:pStyle w:val="Heading20"/>
        <w:keepNext/>
        <w:keepLines/>
        <w:numPr>
          <w:ilvl w:val="0"/>
          <w:numId w:val="7"/>
        </w:numPr>
        <w:tabs>
          <w:tab w:val="left" w:pos="350"/>
        </w:tabs>
        <w:spacing w:after="200"/>
        <w:ind w:left="440"/>
        <w:rPr>
          <w:rStyle w:val="Heading2"/>
          <w:b/>
          <w:bCs/>
          <w:color w:val="000000"/>
          <w:sz w:val="24"/>
          <w:szCs w:val="24"/>
        </w:rPr>
      </w:pPr>
      <w:bookmarkStart w:id="29" w:name="bookmark62"/>
      <w:bookmarkEnd w:id="29"/>
      <w:r>
        <w:rPr>
          <w:rStyle w:val="Heading2"/>
          <w:b/>
          <w:bCs/>
          <w:color w:val="000000"/>
          <w:sz w:val="24"/>
          <w:szCs w:val="24"/>
        </w:rPr>
        <w:t>Informácia o nákladoch a výnosoch, ktoré majú výnimočný rozsah alebo výskyt:</w:t>
      </w:r>
    </w:p>
    <w:p w:rsidR="00080F02" w:rsidRDefault="0060344E">
      <w:pPr>
        <w:pStyle w:val="Telotextu"/>
        <w:spacing w:after="520"/>
        <w:ind w:left="440" w:firstLine="44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Nenastali</w:t>
      </w:r>
    </w:p>
    <w:p w:rsidR="00080F02" w:rsidRDefault="0060344E">
      <w:pPr>
        <w:pStyle w:val="Heading20"/>
        <w:keepNext/>
        <w:keepLines/>
        <w:spacing w:after="260"/>
        <w:ind w:left="440" w:firstLine="380"/>
        <w:rPr>
          <w:rStyle w:val="Heading2"/>
          <w:b/>
          <w:bCs/>
          <w:color w:val="000000"/>
          <w:sz w:val="24"/>
          <w:szCs w:val="24"/>
        </w:rPr>
      </w:pPr>
      <w:bookmarkStart w:id="30" w:name="bookmark64"/>
      <w:bookmarkEnd w:id="30"/>
      <w:r>
        <w:rPr>
          <w:rStyle w:val="Heading2"/>
          <w:b/>
          <w:bCs/>
          <w:color w:val="000000"/>
          <w:sz w:val="24"/>
          <w:szCs w:val="24"/>
        </w:rPr>
        <w:t>INFORMÁCIE O INÝCH AKTÍVACH A INÝCH PASÍVACH</w:t>
      </w:r>
    </w:p>
    <w:p w:rsidR="00080F02" w:rsidRDefault="0060344E">
      <w:pPr>
        <w:pStyle w:val="Telotextu"/>
        <w:spacing w:after="62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Spoločnosť neeviduje iné aktíva a iné pasíva</w:t>
      </w:r>
    </w:p>
    <w:p w:rsidR="00080F02" w:rsidRDefault="0060344E">
      <w:pPr>
        <w:pStyle w:val="Heading20"/>
        <w:keepNext/>
        <w:keepLines/>
        <w:numPr>
          <w:ilvl w:val="0"/>
          <w:numId w:val="7"/>
        </w:numPr>
        <w:tabs>
          <w:tab w:val="left" w:pos="350"/>
        </w:tabs>
        <w:spacing w:after="200"/>
        <w:ind w:left="440"/>
        <w:rPr>
          <w:rStyle w:val="Heading2"/>
          <w:b/>
          <w:bCs/>
          <w:color w:val="000000"/>
          <w:sz w:val="24"/>
          <w:szCs w:val="24"/>
        </w:rPr>
      </w:pPr>
      <w:bookmarkStart w:id="31" w:name="bookmark66"/>
      <w:bookmarkEnd w:id="31"/>
      <w:r>
        <w:rPr>
          <w:rStyle w:val="Heading2"/>
          <w:b/>
          <w:bCs/>
          <w:color w:val="000000"/>
          <w:sz w:val="24"/>
          <w:szCs w:val="24"/>
        </w:rPr>
        <w:t>Významné položky prenajatého majetku</w:t>
      </w:r>
    </w:p>
    <w:p w:rsidR="00080F02" w:rsidRDefault="0060344E">
      <w:pPr>
        <w:pStyle w:val="Telotextu"/>
        <w:ind w:left="440" w:firstLine="44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Spoločnosť na základe nájomnej zmluvy si prenajíma nehnuteľnosť - - Budovu v ktorej sídli.</w:t>
      </w:r>
    </w:p>
    <w:p w:rsidR="00080F02" w:rsidRDefault="0060344E">
      <w:pPr>
        <w:pStyle w:val="Heading20"/>
        <w:keepNext/>
        <w:keepLines/>
        <w:numPr>
          <w:ilvl w:val="0"/>
          <w:numId w:val="7"/>
        </w:numPr>
        <w:tabs>
          <w:tab w:val="left" w:pos="350"/>
        </w:tabs>
        <w:spacing w:after="200"/>
        <w:ind w:left="440"/>
        <w:rPr>
          <w:rStyle w:val="Heading2"/>
          <w:b/>
          <w:bCs/>
          <w:color w:val="000000"/>
          <w:sz w:val="24"/>
          <w:szCs w:val="24"/>
        </w:rPr>
      </w:pPr>
      <w:bookmarkStart w:id="32" w:name="bookmark68"/>
      <w:bookmarkEnd w:id="32"/>
      <w:r>
        <w:rPr>
          <w:rStyle w:val="Heading2"/>
          <w:b/>
          <w:bCs/>
          <w:color w:val="000000"/>
          <w:sz w:val="24"/>
          <w:szCs w:val="24"/>
        </w:rPr>
        <w:t>Informácia o odpísaných pohľadávkach</w:t>
      </w:r>
    </w:p>
    <w:p w:rsidR="00080F02" w:rsidRDefault="0060344E">
      <w:pPr>
        <w:pStyle w:val="Telotextu"/>
        <w:spacing w:after="400"/>
        <w:ind w:left="440" w:firstLine="44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Spoločnosť na podsúvahovej evidencii eviduje odpísané pohľadávky vo hodnote 56 844,28,- EUR</w:t>
      </w:r>
    </w:p>
    <w:p w:rsidR="00080F02" w:rsidRDefault="0060344E">
      <w:pPr>
        <w:pStyle w:val="Heading20"/>
        <w:keepNext/>
        <w:keepLines/>
        <w:ind w:left="440" w:firstLine="0"/>
        <w:rPr>
          <w:rStyle w:val="Heading2"/>
          <w:color w:val="000000"/>
          <w:sz w:val="24"/>
          <w:szCs w:val="24"/>
        </w:rPr>
      </w:pPr>
      <w:bookmarkStart w:id="33" w:name="bookmark70"/>
      <w:r>
        <w:rPr>
          <w:rStyle w:val="Heading2"/>
          <w:b/>
          <w:bCs/>
          <w:color w:val="000000"/>
          <w:sz w:val="24"/>
          <w:szCs w:val="24"/>
        </w:rPr>
        <w:t>Informácia o poistení majetk</w:t>
      </w:r>
      <w:bookmarkEnd w:id="33"/>
      <w:r>
        <w:rPr>
          <w:rStyle w:val="Heading2"/>
          <w:color w:val="000000"/>
          <w:sz w:val="24"/>
          <w:szCs w:val="24"/>
        </w:rPr>
        <w:t>u:</w:t>
      </w:r>
    </w:p>
    <w:p w:rsidR="00080F02" w:rsidRDefault="0060344E">
      <w:pPr>
        <w:pStyle w:val="Telotextu"/>
        <w:spacing w:after="32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 xml:space="preserve">Celý majetok spoločnosti </w:t>
      </w:r>
      <w:proofErr w:type="spellStart"/>
      <w:r>
        <w:rPr>
          <w:rStyle w:val="ZkladntextChar1"/>
          <w:color w:val="000000"/>
          <w:sz w:val="24"/>
          <w:szCs w:val="24"/>
        </w:rPr>
        <w:t>Stroptel</w:t>
      </w:r>
      <w:proofErr w:type="spellEnd"/>
      <w:r>
        <w:rPr>
          <w:rStyle w:val="ZkladntextChar1"/>
          <w:color w:val="000000"/>
          <w:sz w:val="24"/>
          <w:szCs w:val="24"/>
        </w:rPr>
        <w:t xml:space="preserve"> s.r.o., je poistený v spoločnosti KOOPERATÍVA poisťovňa a.s.</w:t>
      </w:r>
    </w:p>
    <w:p w:rsidR="00080F02" w:rsidRDefault="0060344E">
      <w:pPr>
        <w:pStyle w:val="Heading20"/>
        <w:keepNext/>
        <w:keepLines/>
        <w:ind w:left="440" w:firstLine="380"/>
        <w:rPr>
          <w:rStyle w:val="Heading2"/>
          <w:b/>
          <w:bCs/>
          <w:color w:val="000000"/>
          <w:sz w:val="24"/>
          <w:szCs w:val="24"/>
        </w:rPr>
      </w:pPr>
      <w:bookmarkStart w:id="34" w:name="bookmark72"/>
      <w:bookmarkEnd w:id="34"/>
      <w:r>
        <w:rPr>
          <w:rStyle w:val="Heading2"/>
          <w:b/>
          <w:bCs/>
          <w:color w:val="000000"/>
          <w:sz w:val="24"/>
          <w:szCs w:val="24"/>
        </w:rPr>
        <w:t>INFORMÁCIE O SKUTOČNOSTIACH, KTORÉ NASTALI PO DNI, KU KTORÉMU SA ZOSTAVUJE ÚČTOVNÁ</w:t>
      </w:r>
    </w:p>
    <w:p w:rsidR="00080F02" w:rsidRDefault="0060344E">
      <w:pPr>
        <w:pStyle w:val="Heading20"/>
        <w:keepNext/>
        <w:keepLines/>
        <w:spacing w:after="260"/>
        <w:ind w:left="440" w:firstLine="380"/>
        <w:rPr>
          <w:rStyle w:val="Heading2"/>
          <w:b/>
          <w:bCs/>
          <w:color w:val="000000"/>
          <w:sz w:val="24"/>
          <w:szCs w:val="24"/>
        </w:rPr>
      </w:pPr>
      <w:r>
        <w:rPr>
          <w:rStyle w:val="Heading2"/>
          <w:b/>
          <w:bCs/>
          <w:color w:val="000000"/>
          <w:sz w:val="24"/>
          <w:szCs w:val="24"/>
        </w:rPr>
        <w:t>ZÁVIERKA, DO DŇA ZOSTAVENIA ÚČTOVNEJ ZÁVIERKY</w:t>
      </w:r>
    </w:p>
    <w:p w:rsidR="00080F02" w:rsidRDefault="0060344E">
      <w:pPr>
        <w:pStyle w:val="Telotextu"/>
        <w:ind w:left="440" w:hanging="44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Po 31. decembri 202</w:t>
      </w:r>
      <w:r w:rsidR="00D67343">
        <w:rPr>
          <w:rStyle w:val="ZkladntextChar1"/>
          <w:color w:val="000000"/>
          <w:sz w:val="24"/>
          <w:szCs w:val="24"/>
        </w:rPr>
        <w:t>5</w:t>
      </w:r>
      <w:r>
        <w:rPr>
          <w:rStyle w:val="ZkladntextChar1"/>
          <w:color w:val="000000"/>
          <w:sz w:val="24"/>
          <w:szCs w:val="24"/>
        </w:rPr>
        <w:t xml:space="preserve"> nenastali žiadne zmeny, ktoré by mali významný vplyv na verné zobrazenie skutočnosti, ktoré sú predmetom účtovníctva.</w:t>
      </w:r>
    </w:p>
    <w:p w:rsidR="00080F02" w:rsidRDefault="0060344E">
      <w:pPr>
        <w:pStyle w:val="Telotextu"/>
        <w:ind w:left="440" w:hanging="44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Účtovná závierka bola zostavená za predpokladu, že spoločnosť bude nepretržite pokračovať vo svojej činnosti (</w:t>
      </w:r>
      <w:proofErr w:type="spellStart"/>
      <w:r>
        <w:rPr>
          <w:rStyle w:val="ZkladntextChar1"/>
          <w:color w:val="000000"/>
          <w:sz w:val="24"/>
          <w:szCs w:val="24"/>
        </w:rPr>
        <w:t>going</w:t>
      </w:r>
      <w:proofErr w:type="spellEnd"/>
      <w:r>
        <w:rPr>
          <w:rStyle w:val="ZkladntextChar1"/>
          <w:color w:val="000000"/>
          <w:sz w:val="24"/>
          <w:szCs w:val="24"/>
        </w:rPr>
        <w:t xml:space="preserve"> </w:t>
      </w:r>
      <w:proofErr w:type="spellStart"/>
      <w:r>
        <w:rPr>
          <w:rStyle w:val="ZkladntextChar1"/>
          <w:color w:val="000000"/>
          <w:sz w:val="24"/>
          <w:szCs w:val="24"/>
        </w:rPr>
        <w:t>concern</w:t>
      </w:r>
      <w:proofErr w:type="spellEnd"/>
      <w:r>
        <w:rPr>
          <w:rStyle w:val="ZkladntextChar1"/>
          <w:color w:val="000000"/>
          <w:sz w:val="24"/>
          <w:szCs w:val="24"/>
        </w:rPr>
        <w:t>).</w:t>
      </w:r>
    </w:p>
    <w:p w:rsidR="00080F02" w:rsidRDefault="00080F02">
      <w:pPr>
        <w:pStyle w:val="Telotextu"/>
        <w:spacing w:after="260"/>
        <w:ind w:left="440" w:hanging="440"/>
      </w:pPr>
    </w:p>
    <w:p w:rsidR="00080F02" w:rsidRDefault="00080F02">
      <w:pPr>
        <w:pStyle w:val="Telotextu"/>
        <w:spacing w:after="260"/>
        <w:ind w:left="440" w:hanging="440"/>
      </w:pPr>
    </w:p>
    <w:p w:rsidR="00080F02" w:rsidRDefault="00080F02">
      <w:pPr>
        <w:pStyle w:val="Telotextu"/>
        <w:spacing w:after="260"/>
        <w:ind w:left="440" w:hanging="440"/>
      </w:pPr>
    </w:p>
    <w:p w:rsidR="00080F02" w:rsidRDefault="00080F02">
      <w:pPr>
        <w:pStyle w:val="Telotextu"/>
        <w:spacing w:after="260"/>
        <w:ind w:left="440" w:hanging="440"/>
      </w:pPr>
      <w:bookmarkStart w:id="35" w:name="_GoBack"/>
      <w:bookmarkEnd w:id="35"/>
    </w:p>
    <w:sectPr w:rsidR="00080F02">
      <w:headerReference w:type="default" r:id="rId8"/>
      <w:footerReference w:type="default" r:id="rId9"/>
      <w:pgSz w:w="11906" w:h="16838"/>
      <w:pgMar w:top="1633" w:right="957" w:bottom="1427" w:left="1387" w:header="567" w:footer="0" w:gutter="0"/>
      <w:pgNumType w:start="1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7BF1" w:rsidRDefault="00CD7BF1">
      <w:r>
        <w:separator/>
      </w:r>
    </w:p>
  </w:endnote>
  <w:endnote w:type="continuationSeparator" w:id="0">
    <w:p w:rsidR="00CD7BF1" w:rsidRDefault="00CD7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F02" w:rsidRDefault="00CD7BF1">
    <w:pPr>
      <w:spacing w:line="1" w:lineRule="exact"/>
      <w:rPr>
        <w:color w:val="00000A"/>
      </w:rPr>
    </w:pPr>
    <w:r>
      <w:pict>
        <v:rect id="_x0000_s2049" style="position:absolute;margin-left:541.65pt;margin-top:801.2pt;width:5.05pt;height:11.55pt;z-index:251657728;mso-wrap-distance-left:0;mso-wrap-distance-top:0;mso-wrap-distance-right:0;mso-wrap-distance-bottom:0" stroked="f" strokeweight="0">
          <v:textbox inset="0,0,0,0">
            <w:txbxContent>
              <w:p w:rsidR="00080F02" w:rsidRDefault="0060344E">
                <w:pPr>
                  <w:pStyle w:val="Headerorfooter20"/>
                </w:pPr>
                <w: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D67343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</v:rect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7BF1" w:rsidRDefault="00CD7BF1">
      <w:r>
        <w:separator/>
      </w:r>
    </w:p>
  </w:footnote>
  <w:footnote w:type="continuationSeparator" w:id="0">
    <w:p w:rsidR="00CD7BF1" w:rsidRDefault="00CD7B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15" w:type="dxa"/>
      <w:tblBorders>
        <w:top w:val="single" w:sz="4" w:space="0" w:color="00000A"/>
        <w:left w:val="single" w:sz="4" w:space="0" w:color="00000A"/>
        <w:bottom w:val="single" w:sz="4" w:space="0" w:color="00000A"/>
        <w:right w:val="nil"/>
        <w:insideH w:val="single" w:sz="4" w:space="0" w:color="00000A"/>
        <w:insideV w:val="nil"/>
      </w:tblBorders>
      <w:tblCellMar>
        <w:left w:w="-5" w:type="dxa"/>
        <w:right w:w="0" w:type="dxa"/>
      </w:tblCellMar>
      <w:tblLook w:val="04A0" w:firstRow="1" w:lastRow="0" w:firstColumn="1" w:lastColumn="0" w:noHBand="0" w:noVBand="1"/>
    </w:tblPr>
    <w:tblGrid>
      <w:gridCol w:w="2766"/>
      <w:gridCol w:w="913"/>
      <w:gridCol w:w="272"/>
      <w:gridCol w:w="276"/>
      <w:gridCol w:w="272"/>
      <w:gridCol w:w="276"/>
      <w:gridCol w:w="275"/>
      <w:gridCol w:w="271"/>
      <w:gridCol w:w="275"/>
      <w:gridCol w:w="275"/>
      <w:gridCol w:w="909"/>
      <w:gridCol w:w="275"/>
      <w:gridCol w:w="275"/>
      <w:gridCol w:w="281"/>
      <w:gridCol w:w="275"/>
      <w:gridCol w:w="274"/>
      <w:gridCol w:w="279"/>
      <w:gridCol w:w="275"/>
      <w:gridCol w:w="274"/>
      <w:gridCol w:w="280"/>
      <w:gridCol w:w="319"/>
    </w:tblGrid>
    <w:tr w:rsidR="00080F02">
      <w:trPr>
        <w:trHeight w:hRule="exact" w:val="355"/>
      </w:trPr>
      <w:tc>
        <w:tcPr>
          <w:tcW w:w="2784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nil"/>
          </w:tcBorders>
          <w:shd w:val="clear" w:color="auto" w:fill="FFFFFF"/>
          <w:tcMar>
            <w:left w:w="-5" w:type="dxa"/>
          </w:tcMar>
          <w:vAlign w:val="bottom"/>
        </w:tcPr>
        <w:p w:rsidR="00080F02" w:rsidRDefault="0060344E">
          <w:pPr>
            <w:pStyle w:val="Other0"/>
            <w:spacing w:after="0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 xml:space="preserve">Poznámky </w:t>
          </w:r>
          <w:proofErr w:type="spellStart"/>
          <w:r>
            <w:rPr>
              <w:rStyle w:val="Other"/>
              <w:color w:val="000000"/>
              <w:sz w:val="20"/>
              <w:szCs w:val="20"/>
            </w:rPr>
            <w:t>Úč</w:t>
          </w:r>
          <w:proofErr w:type="spellEnd"/>
          <w:r>
            <w:rPr>
              <w:rStyle w:val="Other"/>
              <w:color w:val="000000"/>
              <w:sz w:val="20"/>
              <w:szCs w:val="20"/>
            </w:rPr>
            <w:t xml:space="preserve"> POD 3 - 01</w:t>
          </w:r>
        </w:p>
      </w:tc>
      <w:tc>
        <w:tcPr>
          <w:tcW w:w="917" w:type="dxa"/>
          <w:tcBorders>
            <w:top w:val="nil"/>
            <w:left w:val="single" w:sz="4" w:space="0" w:color="00000A"/>
            <w:bottom w:val="nil"/>
            <w:right w:val="nil"/>
          </w:tcBorders>
          <w:shd w:val="clear" w:color="auto" w:fill="FFFFFF"/>
          <w:tcMar>
            <w:left w:w="-5" w:type="dxa"/>
          </w:tcMar>
          <w:vAlign w:val="center"/>
        </w:tcPr>
        <w:p w:rsidR="00080F02" w:rsidRDefault="0060344E">
          <w:pPr>
            <w:pStyle w:val="Other0"/>
            <w:spacing w:after="0"/>
            <w:jc w:val="right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IČO</w:t>
          </w:r>
        </w:p>
      </w:tc>
      <w:tc>
        <w:tcPr>
          <w:tcW w:w="27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nil"/>
          </w:tcBorders>
          <w:shd w:val="clear" w:color="auto" w:fill="FFFFFF"/>
          <w:tcMar>
            <w:left w:w="-5" w:type="dxa"/>
          </w:tcMar>
          <w:vAlign w:val="center"/>
        </w:tcPr>
        <w:p w:rsidR="00080F02" w:rsidRDefault="0060344E">
          <w:pPr>
            <w:pStyle w:val="Other0"/>
            <w:spacing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3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nil"/>
          </w:tcBorders>
          <w:shd w:val="clear" w:color="auto" w:fill="FFFFFF"/>
          <w:tcMar>
            <w:left w:w="-5" w:type="dxa"/>
          </w:tcMar>
          <w:vAlign w:val="center"/>
        </w:tcPr>
        <w:p w:rsidR="00080F02" w:rsidRDefault="0060344E">
          <w:pPr>
            <w:pStyle w:val="Other0"/>
            <w:spacing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1</w:t>
          </w:r>
        </w:p>
      </w:tc>
      <w:tc>
        <w:tcPr>
          <w:tcW w:w="27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nil"/>
          </w:tcBorders>
          <w:shd w:val="clear" w:color="auto" w:fill="FFFFFF"/>
          <w:tcMar>
            <w:left w:w="-5" w:type="dxa"/>
          </w:tcMar>
          <w:vAlign w:val="center"/>
        </w:tcPr>
        <w:p w:rsidR="00080F02" w:rsidRDefault="0060344E">
          <w:pPr>
            <w:pStyle w:val="Other0"/>
            <w:spacing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7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nil"/>
          </w:tcBorders>
          <w:shd w:val="clear" w:color="auto" w:fill="FFFFFF"/>
          <w:tcMar>
            <w:left w:w="-5" w:type="dxa"/>
          </w:tcMar>
          <w:vAlign w:val="center"/>
        </w:tcPr>
        <w:p w:rsidR="00080F02" w:rsidRDefault="0060344E">
          <w:pPr>
            <w:pStyle w:val="Other0"/>
            <w:spacing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1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nil"/>
          </w:tcBorders>
          <w:shd w:val="clear" w:color="auto" w:fill="FFFFFF"/>
          <w:tcMar>
            <w:left w:w="-5" w:type="dxa"/>
          </w:tcMar>
          <w:vAlign w:val="center"/>
        </w:tcPr>
        <w:p w:rsidR="00080F02" w:rsidRDefault="0060344E">
          <w:pPr>
            <w:pStyle w:val="Other0"/>
            <w:spacing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8</w:t>
          </w:r>
        </w:p>
      </w:tc>
      <w:tc>
        <w:tcPr>
          <w:tcW w:w="27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nil"/>
          </w:tcBorders>
          <w:shd w:val="clear" w:color="auto" w:fill="FFFFFF"/>
          <w:tcMar>
            <w:left w:w="-5" w:type="dxa"/>
          </w:tcMar>
          <w:vAlign w:val="center"/>
        </w:tcPr>
        <w:p w:rsidR="00080F02" w:rsidRDefault="0060344E">
          <w:pPr>
            <w:pStyle w:val="Other0"/>
            <w:spacing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5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nil"/>
          </w:tcBorders>
          <w:shd w:val="clear" w:color="auto" w:fill="FFFFFF"/>
          <w:tcMar>
            <w:left w:w="-5" w:type="dxa"/>
          </w:tcMar>
          <w:vAlign w:val="center"/>
        </w:tcPr>
        <w:p w:rsidR="00080F02" w:rsidRDefault="0060344E">
          <w:pPr>
            <w:pStyle w:val="Other0"/>
            <w:spacing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4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nil"/>
          </w:tcBorders>
          <w:shd w:val="clear" w:color="auto" w:fill="FFFFFF"/>
          <w:tcMar>
            <w:left w:w="-5" w:type="dxa"/>
          </w:tcMar>
          <w:vAlign w:val="center"/>
        </w:tcPr>
        <w:p w:rsidR="00080F02" w:rsidRDefault="0060344E">
          <w:pPr>
            <w:pStyle w:val="Other0"/>
            <w:spacing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0</w:t>
          </w:r>
        </w:p>
      </w:tc>
      <w:tc>
        <w:tcPr>
          <w:tcW w:w="914" w:type="dxa"/>
          <w:tcBorders>
            <w:top w:val="nil"/>
            <w:left w:val="single" w:sz="4" w:space="0" w:color="00000A"/>
            <w:bottom w:val="nil"/>
            <w:right w:val="nil"/>
          </w:tcBorders>
          <w:shd w:val="clear" w:color="auto" w:fill="FFFFFF"/>
          <w:tcMar>
            <w:left w:w="-5" w:type="dxa"/>
          </w:tcMar>
          <w:vAlign w:val="center"/>
        </w:tcPr>
        <w:p w:rsidR="00080F02" w:rsidRDefault="0060344E">
          <w:pPr>
            <w:pStyle w:val="Other0"/>
            <w:spacing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sz w:val="24"/>
              <w:szCs w:val="20"/>
            </w:rPr>
            <w:t>|</w:t>
          </w:r>
          <w:r>
            <w:rPr>
              <w:rStyle w:val="Other"/>
              <w:color w:val="000000"/>
              <w:sz w:val="20"/>
              <w:szCs w:val="20"/>
            </w:rPr>
            <w:t xml:space="preserve">  DIČ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nil"/>
          </w:tcBorders>
          <w:shd w:val="clear" w:color="auto" w:fill="FFFFFF"/>
          <w:tcMar>
            <w:left w:w="-5" w:type="dxa"/>
          </w:tcMar>
          <w:vAlign w:val="center"/>
        </w:tcPr>
        <w:p w:rsidR="00080F02" w:rsidRDefault="0060344E">
          <w:pPr>
            <w:pStyle w:val="Other0"/>
            <w:spacing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2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nil"/>
          </w:tcBorders>
          <w:shd w:val="clear" w:color="auto" w:fill="FFFFFF"/>
          <w:tcMar>
            <w:left w:w="-5" w:type="dxa"/>
          </w:tcMar>
          <w:vAlign w:val="center"/>
        </w:tcPr>
        <w:p w:rsidR="00080F02" w:rsidRDefault="0060344E">
          <w:pPr>
            <w:pStyle w:val="Other0"/>
            <w:spacing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0</w:t>
          </w:r>
        </w:p>
      </w:tc>
      <w:tc>
        <w:tcPr>
          <w:tcW w:w="28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nil"/>
          </w:tcBorders>
          <w:shd w:val="clear" w:color="auto" w:fill="FFFFFF"/>
          <w:tcMar>
            <w:left w:w="-5" w:type="dxa"/>
          </w:tcMar>
          <w:vAlign w:val="center"/>
        </w:tcPr>
        <w:p w:rsidR="00080F02" w:rsidRDefault="0060344E">
          <w:pPr>
            <w:pStyle w:val="Other0"/>
            <w:spacing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2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nil"/>
          </w:tcBorders>
          <w:shd w:val="clear" w:color="auto" w:fill="FFFFFF"/>
          <w:tcMar>
            <w:left w:w="-5" w:type="dxa"/>
          </w:tcMar>
          <w:vAlign w:val="center"/>
        </w:tcPr>
        <w:p w:rsidR="00080F02" w:rsidRDefault="0060344E">
          <w:pPr>
            <w:pStyle w:val="Other0"/>
            <w:spacing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0</w:t>
          </w:r>
        </w:p>
      </w:tc>
      <w:tc>
        <w:tcPr>
          <w:tcW w:w="27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nil"/>
          </w:tcBorders>
          <w:shd w:val="clear" w:color="auto" w:fill="FFFFFF"/>
          <w:tcMar>
            <w:left w:w="-5" w:type="dxa"/>
          </w:tcMar>
          <w:vAlign w:val="center"/>
        </w:tcPr>
        <w:p w:rsidR="00080F02" w:rsidRDefault="0060344E">
          <w:pPr>
            <w:pStyle w:val="Other0"/>
            <w:spacing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5</w:t>
          </w:r>
        </w:p>
      </w:tc>
      <w:tc>
        <w:tcPr>
          <w:tcW w:w="281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nil"/>
          </w:tcBorders>
          <w:shd w:val="clear" w:color="auto" w:fill="FFFFFF"/>
          <w:tcMar>
            <w:left w:w="-5" w:type="dxa"/>
          </w:tcMar>
          <w:vAlign w:val="center"/>
        </w:tcPr>
        <w:p w:rsidR="00080F02" w:rsidRDefault="0060344E">
          <w:pPr>
            <w:pStyle w:val="Other0"/>
            <w:spacing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2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nil"/>
          </w:tcBorders>
          <w:shd w:val="clear" w:color="auto" w:fill="FFFFFF"/>
          <w:tcMar>
            <w:left w:w="-5" w:type="dxa"/>
          </w:tcMar>
          <w:vAlign w:val="center"/>
        </w:tcPr>
        <w:p w:rsidR="00080F02" w:rsidRDefault="0060344E">
          <w:pPr>
            <w:pStyle w:val="Other0"/>
            <w:spacing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6</w:t>
          </w:r>
        </w:p>
      </w:tc>
      <w:tc>
        <w:tcPr>
          <w:tcW w:w="27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nil"/>
          </w:tcBorders>
          <w:shd w:val="clear" w:color="auto" w:fill="FFFFFF"/>
          <w:tcMar>
            <w:left w:w="-5" w:type="dxa"/>
          </w:tcMar>
          <w:vAlign w:val="center"/>
        </w:tcPr>
        <w:p w:rsidR="00080F02" w:rsidRDefault="0060344E">
          <w:pPr>
            <w:pStyle w:val="Other0"/>
            <w:spacing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5</w:t>
          </w:r>
        </w:p>
      </w:tc>
      <w:tc>
        <w:tcPr>
          <w:tcW w:w="282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nil"/>
          </w:tcBorders>
          <w:shd w:val="clear" w:color="auto" w:fill="FFFFFF"/>
          <w:tcMar>
            <w:left w:w="-5" w:type="dxa"/>
          </w:tcMar>
          <w:vAlign w:val="center"/>
        </w:tcPr>
        <w:p w:rsidR="00080F02" w:rsidRDefault="0060344E">
          <w:pPr>
            <w:pStyle w:val="Other0"/>
            <w:spacing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6</w:t>
          </w:r>
        </w:p>
      </w:tc>
      <w:tc>
        <w:tcPr>
          <w:tcW w:w="321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-5" w:type="dxa"/>
          </w:tcMar>
          <w:vAlign w:val="center"/>
        </w:tcPr>
        <w:p w:rsidR="00080F02" w:rsidRDefault="0060344E">
          <w:pPr>
            <w:pStyle w:val="Other0"/>
            <w:spacing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3</w:t>
          </w:r>
        </w:p>
      </w:tc>
    </w:tr>
  </w:tbl>
  <w:p w:rsidR="00080F02" w:rsidRDefault="00080F02">
    <w:pPr>
      <w:spacing w:line="1" w:lineRule="exact"/>
      <w:rPr>
        <w:color w:val="00000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13E03"/>
    <w:multiLevelType w:val="multilevel"/>
    <w:tmpl w:val="9198EE72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</w:abstractNum>
  <w:abstractNum w:abstractNumId="1">
    <w:nsid w:val="08944C88"/>
    <w:multiLevelType w:val="multilevel"/>
    <w:tmpl w:val="8D3C9ADE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</w:abstractNum>
  <w:abstractNum w:abstractNumId="2">
    <w:nsid w:val="0F6E1206"/>
    <w:multiLevelType w:val="multilevel"/>
    <w:tmpl w:val="4178FEF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46043D91"/>
    <w:multiLevelType w:val="multilevel"/>
    <w:tmpl w:val="3E3A86E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2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3">
      <w:start w:val="1"/>
      <w:numFmt w:val="bullet"/>
      <w:lvlText w:val="-"/>
      <w:lvlJc w:val="left"/>
      <w:pPr>
        <w:ind w:left="180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4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5">
      <w:start w:val="1"/>
      <w:numFmt w:val="bullet"/>
      <w:lvlText w:val="-"/>
      <w:lvlJc w:val="left"/>
      <w:pPr>
        <w:ind w:left="25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6">
      <w:start w:val="1"/>
      <w:numFmt w:val="bullet"/>
      <w:lvlText w:val="-"/>
      <w:lvlJc w:val="left"/>
      <w:pPr>
        <w:ind w:left="288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7">
      <w:start w:val="1"/>
      <w:numFmt w:val="bullet"/>
      <w:lvlText w:val="-"/>
      <w:lvlJc w:val="left"/>
      <w:pPr>
        <w:ind w:left="32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8">
      <w:start w:val="1"/>
      <w:numFmt w:val="bullet"/>
      <w:lvlText w:val="-"/>
      <w:lvlJc w:val="left"/>
      <w:pPr>
        <w:ind w:left="360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</w:abstractNum>
  <w:abstractNum w:abstractNumId="4">
    <w:nsid w:val="61387CC9"/>
    <w:multiLevelType w:val="multilevel"/>
    <w:tmpl w:val="F58EECBE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1">
      <w:start w:val="1"/>
      <w:numFmt w:val="lowerLetter"/>
      <w:lvlText w:val="%1.%2)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2">
      <w:start w:val="1"/>
      <w:numFmt w:val="lowerLetter"/>
      <w:lvlText w:val="%1.%2.%3)"/>
      <w:lvlJc w:val="left"/>
      <w:pPr>
        <w:ind w:left="144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3">
      <w:start w:val="1"/>
      <w:numFmt w:val="lowerLetter"/>
      <w:lvlText w:val="%1.%2.%3.%4)"/>
      <w:lvlJc w:val="left"/>
      <w:pPr>
        <w:ind w:left="180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4">
      <w:start w:val="1"/>
      <w:numFmt w:val="lowerLetter"/>
      <w:lvlText w:val="%1.%2.%3.%4.%5)"/>
      <w:lvlJc w:val="left"/>
      <w:pPr>
        <w:ind w:left="21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5">
      <w:start w:val="1"/>
      <w:numFmt w:val="lowerLetter"/>
      <w:lvlText w:val="%1.%2.%3.%4.%5.%6)"/>
      <w:lvlJc w:val="left"/>
      <w:pPr>
        <w:ind w:left="25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6">
      <w:start w:val="1"/>
      <w:numFmt w:val="lowerLetter"/>
      <w:lvlText w:val="%1.%2.%3.%4.%5.%6.%7)"/>
      <w:lvlJc w:val="left"/>
      <w:pPr>
        <w:ind w:left="28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7">
      <w:start w:val="1"/>
      <w:numFmt w:val="lowerLetter"/>
      <w:lvlText w:val="%1.%2.%3.%4.%5.%6.%7.%8)"/>
      <w:lvlJc w:val="left"/>
      <w:pPr>
        <w:ind w:left="324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8">
      <w:start w:val="1"/>
      <w:numFmt w:val="lowerLetter"/>
      <w:lvlText w:val="%1.%2.%3.%4.%5.%6.%7.%8.%9)"/>
      <w:lvlJc w:val="left"/>
      <w:pPr>
        <w:ind w:left="360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</w:abstractNum>
  <w:abstractNum w:abstractNumId="5">
    <w:nsid w:val="6B903814"/>
    <w:multiLevelType w:val="multilevel"/>
    <w:tmpl w:val="37425652"/>
    <w:lvl w:ilvl="0">
      <w:start w:val="1"/>
      <w:numFmt w:val="lowerLetter"/>
      <w:lvlText w:val="(%1)"/>
      <w:lvlJc w:val="left"/>
      <w:pPr>
        <w:ind w:left="72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1">
      <w:start w:val="1"/>
      <w:numFmt w:val="lowerLetter"/>
      <w:lvlText w:val="(%1.%2)"/>
      <w:lvlJc w:val="left"/>
      <w:pPr>
        <w:ind w:left="108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2">
      <w:start w:val="1"/>
      <w:numFmt w:val="lowerLetter"/>
      <w:lvlText w:val="(%1.%2.%3)"/>
      <w:lvlJc w:val="left"/>
      <w:pPr>
        <w:ind w:left="144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3">
      <w:start w:val="1"/>
      <w:numFmt w:val="lowerLetter"/>
      <w:lvlText w:val="(%1.%2.%3.%4)"/>
      <w:lvlJc w:val="left"/>
      <w:pPr>
        <w:ind w:left="180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4">
      <w:start w:val="1"/>
      <w:numFmt w:val="lowerLetter"/>
      <w:lvlText w:val="(%1.%2.%3.%4.%5)"/>
      <w:lvlJc w:val="left"/>
      <w:pPr>
        <w:ind w:left="216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5">
      <w:start w:val="1"/>
      <w:numFmt w:val="lowerLetter"/>
      <w:lvlText w:val="(%1.%2.%3.%4.%5.%6)"/>
      <w:lvlJc w:val="left"/>
      <w:pPr>
        <w:ind w:left="252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6">
      <w:start w:val="1"/>
      <w:numFmt w:val="lowerLetter"/>
      <w:lvlText w:val="(%1.%2.%3.%4.%5.%6.%7)"/>
      <w:lvlJc w:val="left"/>
      <w:pPr>
        <w:ind w:left="288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7">
      <w:start w:val="1"/>
      <w:numFmt w:val="lowerLetter"/>
      <w:lvlText w:val="(%1.%2.%3.%4.%5.%6.%7.%8)"/>
      <w:lvlJc w:val="left"/>
      <w:pPr>
        <w:ind w:left="324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8">
      <w:start w:val="1"/>
      <w:numFmt w:val="lowerLetter"/>
      <w:lvlText w:val="(%1.%2.%3.%4.%5.%6.%7.%8.%9)"/>
      <w:lvlJc w:val="left"/>
      <w:pPr>
        <w:ind w:left="360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</w:abstractNum>
  <w:abstractNum w:abstractNumId="6">
    <w:nsid w:val="72D765A7"/>
    <w:multiLevelType w:val="multilevel"/>
    <w:tmpl w:val="1C181B70"/>
    <w:lvl w:ilvl="0">
      <w:start w:val="2"/>
      <w:numFmt w:val="lowerLetter"/>
      <w:lvlText w:val="(%1)"/>
      <w:lvlJc w:val="left"/>
      <w:pPr>
        <w:ind w:left="72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1">
      <w:start w:val="2"/>
      <w:numFmt w:val="lowerLetter"/>
      <w:lvlText w:val="(%1.%2)"/>
      <w:lvlJc w:val="left"/>
      <w:pPr>
        <w:ind w:left="108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2">
      <w:start w:val="2"/>
      <w:numFmt w:val="lowerLetter"/>
      <w:lvlText w:val="(%1.%2.%3)"/>
      <w:lvlJc w:val="left"/>
      <w:pPr>
        <w:ind w:left="144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3">
      <w:start w:val="2"/>
      <w:numFmt w:val="lowerLetter"/>
      <w:lvlText w:val="(%1.%2.%3.%4)"/>
      <w:lvlJc w:val="left"/>
      <w:pPr>
        <w:ind w:left="180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4">
      <w:start w:val="2"/>
      <w:numFmt w:val="lowerLetter"/>
      <w:lvlText w:val="(%1.%2.%3.%4.%5)"/>
      <w:lvlJc w:val="left"/>
      <w:pPr>
        <w:ind w:left="216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5">
      <w:start w:val="2"/>
      <w:numFmt w:val="lowerLetter"/>
      <w:lvlText w:val="(%1.%2.%3.%4.%5.%6)"/>
      <w:lvlJc w:val="left"/>
      <w:pPr>
        <w:ind w:left="252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6">
      <w:start w:val="2"/>
      <w:numFmt w:val="lowerLetter"/>
      <w:lvlText w:val="(%1.%2.%3.%4.%5.%6.%7)"/>
      <w:lvlJc w:val="left"/>
      <w:pPr>
        <w:ind w:left="288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7">
      <w:start w:val="2"/>
      <w:numFmt w:val="lowerLetter"/>
      <w:lvlText w:val="(%1.%2.%3.%4.%5.%6.%7.%8)"/>
      <w:lvlJc w:val="left"/>
      <w:pPr>
        <w:ind w:left="324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8">
      <w:start w:val="2"/>
      <w:numFmt w:val="lowerLetter"/>
      <w:lvlText w:val="(%1.%2.%3.%4.%5.%6.%7.%8.%9)"/>
      <w:lvlJc w:val="left"/>
      <w:pPr>
        <w:ind w:left="360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</w:abstractNum>
  <w:abstractNum w:abstractNumId="7">
    <w:nsid w:val="789F3CE3"/>
    <w:multiLevelType w:val="multilevel"/>
    <w:tmpl w:val="3F9CAE1A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6"/>
  </w:num>
  <w:num w:numId="5">
    <w:abstractNumId w:val="7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0F02"/>
    <w:rsid w:val="0001075C"/>
    <w:rsid w:val="00080F02"/>
    <w:rsid w:val="002E67BA"/>
    <w:rsid w:val="00573965"/>
    <w:rsid w:val="0060344E"/>
    <w:rsid w:val="008B4DA4"/>
    <w:rsid w:val="00CD7BF1"/>
    <w:rsid w:val="00D67343"/>
    <w:rsid w:val="00E97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Times New Roman" w:hAnsi="Microsoft Sans Serif" w:cs="Times New Roman"/>
        <w:sz w:val="24"/>
        <w:szCs w:val="24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suppressAutoHyphens/>
    </w:pPr>
    <w:rPr>
      <w:rFonts w:cs="Microsoft Sans Serif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Char1">
    <w:name w:val="Základný text Char1"/>
    <w:basedOn w:val="Predvolenpsmoodseku"/>
    <w:link w:val="Telotextu"/>
    <w:uiPriority w:val="99"/>
    <w:rPr>
      <w:rFonts w:ascii="Times New Roman" w:hAnsi="Times New Roman" w:cs="Times New Roman"/>
      <w:sz w:val="18"/>
      <w:szCs w:val="18"/>
      <w:u w:val="none"/>
    </w:rPr>
  </w:style>
  <w:style w:type="character" w:customStyle="1" w:styleId="Headerorfooter2">
    <w:name w:val="Header or footer (2)_"/>
    <w:basedOn w:val="Predvolenpsmoodseku"/>
    <w:link w:val="Headerorfooter20"/>
    <w:uiPriority w:val="99"/>
    <w:rPr>
      <w:rFonts w:ascii="Times New Roman" w:hAnsi="Times New Roman" w:cs="Times New Roman"/>
      <w:sz w:val="20"/>
      <w:szCs w:val="20"/>
      <w:u w:val="none"/>
      <w:lang w:val="cs-CZ" w:eastAsia="cs-CZ"/>
    </w:rPr>
  </w:style>
  <w:style w:type="character" w:customStyle="1" w:styleId="Heading2">
    <w:name w:val="Heading #2_"/>
    <w:basedOn w:val="Predvolenpsmoodseku"/>
    <w:link w:val="Heading20"/>
    <w:uiPriority w:val="99"/>
    <w:rPr>
      <w:rFonts w:ascii="Times New Roman" w:hAnsi="Times New Roman" w:cs="Times New Roman"/>
      <w:b/>
      <w:bCs/>
      <w:sz w:val="18"/>
      <w:szCs w:val="18"/>
      <w:u w:val="none"/>
    </w:rPr>
  </w:style>
  <w:style w:type="character" w:customStyle="1" w:styleId="Other">
    <w:name w:val="Other_"/>
    <w:basedOn w:val="Predvolenpsmoodseku"/>
    <w:link w:val="Other0"/>
    <w:uiPriority w:val="99"/>
    <w:rPr>
      <w:rFonts w:ascii="Times New Roman" w:hAnsi="Times New Roman" w:cs="Times New Roman"/>
      <w:sz w:val="18"/>
      <w:szCs w:val="18"/>
      <w:u w:val="none"/>
    </w:rPr>
  </w:style>
  <w:style w:type="character" w:customStyle="1" w:styleId="Headerorfooter">
    <w:name w:val="Header or footer_"/>
    <w:basedOn w:val="Predvolenpsmoodseku"/>
    <w:link w:val="Headerorfooter0"/>
    <w:uiPriority w:val="99"/>
    <w:rPr>
      <w:rFonts w:ascii="Times New Roman" w:hAnsi="Times New Roman" w:cs="Times New Roman"/>
      <w:sz w:val="20"/>
      <w:szCs w:val="20"/>
      <w:u w:val="none"/>
    </w:rPr>
  </w:style>
  <w:style w:type="character" w:customStyle="1" w:styleId="Tablecaption">
    <w:name w:val="Table caption_"/>
    <w:basedOn w:val="Predvolenpsmoodseku"/>
    <w:link w:val="Tablecaption0"/>
    <w:uiPriority w:val="99"/>
    <w:rPr>
      <w:rFonts w:ascii="Times New Roman" w:hAnsi="Times New Roman" w:cs="Times New Roman"/>
      <w:sz w:val="18"/>
      <w:szCs w:val="18"/>
      <w:u w:val="none"/>
    </w:rPr>
  </w:style>
  <w:style w:type="character" w:customStyle="1" w:styleId="Heading1">
    <w:name w:val="Heading #1_"/>
    <w:basedOn w:val="Predvolenpsmoodseku"/>
    <w:link w:val="Heading10"/>
    <w:uiPriority w:val="99"/>
    <w:rPr>
      <w:rFonts w:ascii="Arial" w:hAnsi="Arial" w:cs="Arial"/>
      <w:b/>
      <w:bCs/>
      <w:sz w:val="18"/>
      <w:szCs w:val="18"/>
      <w:u w:val="none"/>
    </w:rPr>
  </w:style>
  <w:style w:type="character" w:customStyle="1" w:styleId="ZkladntextChar">
    <w:name w:val="Základný text Char"/>
    <w:basedOn w:val="Predvolenpsmoodseku"/>
    <w:uiPriority w:val="99"/>
    <w:semiHidden/>
    <w:rPr>
      <w:rFonts w:cs="Microsoft Sans Serif"/>
      <w:color w:val="000000"/>
    </w:rPr>
  </w:style>
  <w:style w:type="character" w:customStyle="1" w:styleId="HlavikaChar">
    <w:name w:val="Hlavička Char"/>
    <w:basedOn w:val="Predvolenpsmoodseku"/>
    <w:link w:val="Hlavika"/>
    <w:uiPriority w:val="99"/>
    <w:rsid w:val="004A77FC"/>
    <w:rPr>
      <w:rFonts w:cs="Microsoft Sans Serif"/>
      <w:color w:val="000000"/>
    </w:rPr>
  </w:style>
  <w:style w:type="character" w:customStyle="1" w:styleId="PtaChar">
    <w:name w:val="Päta Char"/>
    <w:basedOn w:val="Predvolenpsmoodseku"/>
    <w:link w:val="Pta"/>
    <w:uiPriority w:val="99"/>
    <w:rsid w:val="004A77FC"/>
    <w:rPr>
      <w:rFonts w:cs="Microsoft Sans Serif"/>
      <w:color w:val="000000"/>
    </w:rPr>
  </w:style>
  <w:style w:type="character" w:customStyle="1" w:styleId="ListLabel1">
    <w:name w:val="ListLabel 1"/>
    <w:rPr>
      <w:rFonts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2">
    <w:name w:val="ListLabel 2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3">
    <w:name w:val="ListLabel 3"/>
    <w:rPr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4">
    <w:name w:val="ListLabel 4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5">
    <w:name w:val="ListLabel 5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6">
    <w:name w:val="ListLabel 6"/>
    <w:rPr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7">
    <w:name w:val="ListLabel 7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8">
    <w:name w:val="ListLabel 8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9">
    <w:name w:val="ListLabel 9"/>
    <w:rPr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10">
    <w:name w:val="ListLabel 10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11">
    <w:name w:val="ListLabel 11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12">
    <w:name w:val="ListLabel 12"/>
    <w:rPr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13">
    <w:name w:val="ListLabel 13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14">
    <w:name w:val="ListLabel 14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paragraph" w:customStyle="1" w:styleId="Nadpis">
    <w:name w:val="Nadpis"/>
    <w:basedOn w:val="Normlny"/>
    <w:next w:val="Telotextu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link w:val="ZkladntextChar1"/>
    <w:uiPriority w:val="99"/>
    <w:qFormat/>
    <w:pPr>
      <w:spacing w:after="200" w:line="288" w:lineRule="auto"/>
    </w:pPr>
    <w:rPr>
      <w:rFonts w:ascii="Times New Roman" w:hAnsi="Times New Roman" w:cs="Times New Roman"/>
      <w:color w:val="00000A"/>
      <w:sz w:val="18"/>
      <w:szCs w:val="18"/>
    </w:r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Headerorfooter20">
    <w:name w:val="Header or footer (2)"/>
    <w:basedOn w:val="Normlny"/>
    <w:link w:val="Headerorfooter2"/>
    <w:uiPriority w:val="99"/>
    <w:rPr>
      <w:rFonts w:ascii="Times New Roman" w:hAnsi="Times New Roman" w:cs="Times New Roman"/>
      <w:color w:val="00000A"/>
      <w:sz w:val="20"/>
      <w:szCs w:val="20"/>
      <w:lang w:val="cs-CZ" w:eastAsia="cs-CZ"/>
    </w:rPr>
  </w:style>
  <w:style w:type="paragraph" w:customStyle="1" w:styleId="Heading20">
    <w:name w:val="Heading #2"/>
    <w:basedOn w:val="Normlny"/>
    <w:link w:val="Heading2"/>
    <w:uiPriority w:val="99"/>
    <w:pPr>
      <w:ind w:firstLine="360"/>
      <w:outlineLvl w:val="1"/>
    </w:pPr>
    <w:rPr>
      <w:rFonts w:ascii="Times New Roman" w:hAnsi="Times New Roman" w:cs="Times New Roman"/>
      <w:b/>
      <w:bCs/>
      <w:color w:val="00000A"/>
      <w:sz w:val="18"/>
      <w:szCs w:val="18"/>
    </w:rPr>
  </w:style>
  <w:style w:type="paragraph" w:customStyle="1" w:styleId="Other0">
    <w:name w:val="Other"/>
    <w:basedOn w:val="Normlny"/>
    <w:link w:val="Other"/>
    <w:uiPriority w:val="99"/>
    <w:pPr>
      <w:spacing w:after="200"/>
    </w:pPr>
    <w:rPr>
      <w:rFonts w:ascii="Times New Roman" w:hAnsi="Times New Roman" w:cs="Times New Roman"/>
      <w:color w:val="00000A"/>
      <w:sz w:val="18"/>
      <w:szCs w:val="18"/>
    </w:rPr>
  </w:style>
  <w:style w:type="paragraph" w:customStyle="1" w:styleId="Headerorfooter0">
    <w:name w:val="Header or footer"/>
    <w:basedOn w:val="Normlny"/>
    <w:link w:val="Headerorfooter"/>
    <w:uiPriority w:val="99"/>
    <w:rPr>
      <w:rFonts w:ascii="Times New Roman" w:hAnsi="Times New Roman" w:cs="Times New Roman"/>
      <w:color w:val="00000A"/>
      <w:sz w:val="20"/>
      <w:szCs w:val="20"/>
    </w:rPr>
  </w:style>
  <w:style w:type="paragraph" w:customStyle="1" w:styleId="Tablecaption0">
    <w:name w:val="Table caption"/>
    <w:basedOn w:val="Normlny"/>
    <w:link w:val="Tablecaption"/>
    <w:uiPriority w:val="99"/>
    <w:rPr>
      <w:rFonts w:ascii="Times New Roman" w:hAnsi="Times New Roman" w:cs="Times New Roman"/>
      <w:color w:val="00000A"/>
      <w:sz w:val="18"/>
      <w:szCs w:val="18"/>
    </w:rPr>
  </w:style>
  <w:style w:type="paragraph" w:customStyle="1" w:styleId="Heading10">
    <w:name w:val="Heading #1"/>
    <w:basedOn w:val="Normlny"/>
    <w:link w:val="Heading1"/>
    <w:uiPriority w:val="99"/>
    <w:pPr>
      <w:spacing w:after="200" w:line="307" w:lineRule="auto"/>
      <w:ind w:left="440" w:hanging="440"/>
      <w:outlineLvl w:val="0"/>
    </w:pPr>
    <w:rPr>
      <w:rFonts w:ascii="Arial" w:hAnsi="Arial" w:cs="Arial"/>
      <w:b/>
      <w:bCs/>
      <w:color w:val="00000A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4A77F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4A77FC"/>
    <w:pPr>
      <w:tabs>
        <w:tab w:val="center" w:pos="4536"/>
        <w:tab w:val="right" w:pos="9072"/>
      </w:tabs>
    </w:pPr>
  </w:style>
  <w:style w:type="paragraph" w:customStyle="1" w:styleId="Obsahrmca">
    <w:name w:val="Obsah rámca"/>
    <w:basedOn w:val="Normlny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1893</Words>
  <Characters>10794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Maria</cp:lastModifiedBy>
  <cp:revision>14</cp:revision>
  <cp:lastPrinted>2021-02-05T09:16:00Z</cp:lastPrinted>
  <dcterms:created xsi:type="dcterms:W3CDTF">2021-02-02T12:30:00Z</dcterms:created>
  <dcterms:modified xsi:type="dcterms:W3CDTF">2026-02-26T11:12:00Z</dcterms:modified>
  <dc:language>sk-SK</dc:language>
</cp:coreProperties>
</file>